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ACD552" w14:textId="77777777" w:rsidR="00700127" w:rsidRPr="00FD2554" w:rsidRDefault="000D66FB" w:rsidP="00FD2554">
      <w:pPr>
        <w:spacing w:line="360" w:lineRule="auto"/>
        <w:jc w:val="center"/>
        <w:rPr>
          <w:rFonts w:cstheme="minorHAnsi"/>
          <w:b/>
          <w:bCs/>
          <w:sz w:val="48"/>
          <w:szCs w:val="48"/>
        </w:rPr>
      </w:pPr>
      <w:r w:rsidRPr="00FD2554">
        <w:rPr>
          <w:rFonts w:cstheme="minorHAnsi"/>
          <w:b/>
          <w:bCs/>
          <w:sz w:val="48"/>
          <w:szCs w:val="48"/>
        </w:rPr>
        <w:t>Carbon stocks and productivity in mangroves under climate change: regional and global perspectives</w:t>
      </w:r>
    </w:p>
    <w:p w14:paraId="2D39287D" w14:textId="77777777" w:rsidR="00B82CDD" w:rsidRDefault="00B82CDD" w:rsidP="00046869">
      <w:pPr>
        <w:spacing w:line="480" w:lineRule="auto"/>
      </w:pPr>
    </w:p>
    <w:p w14:paraId="0D591FF7" w14:textId="77777777" w:rsidR="00046869" w:rsidRDefault="00046869" w:rsidP="00046869">
      <w:pPr>
        <w:spacing w:line="480" w:lineRule="auto"/>
      </w:pPr>
    </w:p>
    <w:p w14:paraId="24B7B6D2" w14:textId="625C6344" w:rsidR="00B82CDD" w:rsidRDefault="00B82CDD" w:rsidP="00FD2554">
      <w:pPr>
        <w:spacing w:line="360" w:lineRule="auto"/>
        <w:jc w:val="center"/>
      </w:pPr>
      <w:r>
        <w:t>Thesis submitted in candidature for the Degree of Doctor of Philosophy at Bangor University, Wales</w:t>
      </w:r>
    </w:p>
    <w:p w14:paraId="483B519F" w14:textId="77777777" w:rsidR="00046869" w:rsidRDefault="00046869" w:rsidP="00046869">
      <w:pPr>
        <w:spacing w:line="480" w:lineRule="auto"/>
      </w:pPr>
    </w:p>
    <w:p w14:paraId="5929AFF9" w14:textId="40B4B0D4" w:rsidR="00B82CDD" w:rsidRDefault="00B82CDD" w:rsidP="00FD2554">
      <w:pPr>
        <w:spacing w:line="360" w:lineRule="auto"/>
        <w:jc w:val="center"/>
      </w:pPr>
      <w:r>
        <w:t>by</w:t>
      </w:r>
    </w:p>
    <w:p w14:paraId="4595E64A" w14:textId="380C08A7" w:rsidR="00046869" w:rsidRDefault="00B82CDD" w:rsidP="00FD2554">
      <w:pPr>
        <w:spacing w:line="360" w:lineRule="auto"/>
        <w:jc w:val="center"/>
      </w:pPr>
      <w:r>
        <w:t xml:space="preserve">Mark Chatting </w:t>
      </w:r>
    </w:p>
    <w:p w14:paraId="65794DB7" w14:textId="77777777" w:rsidR="00046869" w:rsidRDefault="00046869" w:rsidP="00046869">
      <w:pPr>
        <w:spacing w:line="480" w:lineRule="auto"/>
        <w:jc w:val="center"/>
      </w:pPr>
    </w:p>
    <w:p w14:paraId="4C86D136" w14:textId="77777777" w:rsidR="00046869" w:rsidRDefault="00046869" w:rsidP="00FD2554">
      <w:pPr>
        <w:spacing w:line="360" w:lineRule="auto"/>
        <w:jc w:val="center"/>
      </w:pPr>
      <w:r>
        <w:t>School of Ocean Sciences,</w:t>
      </w:r>
    </w:p>
    <w:p w14:paraId="3F202253" w14:textId="3FEDB81C" w:rsidR="00046869" w:rsidRDefault="00046869" w:rsidP="00FD2554">
      <w:pPr>
        <w:spacing w:line="360" w:lineRule="auto"/>
        <w:jc w:val="center"/>
      </w:pPr>
      <w:r>
        <w:t xml:space="preserve">Bangor </w:t>
      </w:r>
      <w:r w:rsidR="00C83365">
        <w:t>University</w:t>
      </w:r>
    </w:p>
    <w:p w14:paraId="37A24F20" w14:textId="77777777" w:rsidR="00046869" w:rsidRDefault="00046869" w:rsidP="00FD2554">
      <w:pPr>
        <w:spacing w:line="360" w:lineRule="auto"/>
        <w:jc w:val="center"/>
      </w:pPr>
      <w:r>
        <w:t>Menai Bridge,</w:t>
      </w:r>
    </w:p>
    <w:p w14:paraId="7FE86FE0" w14:textId="77777777" w:rsidR="00046869" w:rsidRDefault="00046869" w:rsidP="00FD2554">
      <w:pPr>
        <w:spacing w:line="360" w:lineRule="auto"/>
        <w:jc w:val="center"/>
      </w:pPr>
      <w:r>
        <w:t>Anglesey, Wales</w:t>
      </w:r>
    </w:p>
    <w:p w14:paraId="101AAB79" w14:textId="77777777" w:rsidR="00046869" w:rsidRDefault="00046869" w:rsidP="00FD2554">
      <w:pPr>
        <w:spacing w:line="360" w:lineRule="auto"/>
        <w:jc w:val="center"/>
      </w:pPr>
      <w:r>
        <w:t>LL59 5AB</w:t>
      </w:r>
    </w:p>
    <w:p w14:paraId="71C52783" w14:textId="77777777" w:rsidR="00046869" w:rsidRDefault="00046869" w:rsidP="00046869">
      <w:pPr>
        <w:spacing w:line="480" w:lineRule="auto"/>
        <w:jc w:val="center"/>
      </w:pPr>
    </w:p>
    <w:p w14:paraId="47D02183" w14:textId="77777777" w:rsidR="00046869" w:rsidRDefault="00046869" w:rsidP="00FD2554">
      <w:pPr>
        <w:spacing w:line="480" w:lineRule="auto"/>
      </w:pPr>
    </w:p>
    <w:p w14:paraId="243A0404" w14:textId="6B33A9F5" w:rsidR="00046869" w:rsidRDefault="00046869" w:rsidP="00046869">
      <w:pPr>
        <w:spacing w:line="480" w:lineRule="auto"/>
        <w:jc w:val="center"/>
        <w:sectPr w:rsidR="00046869" w:rsidSect="002257E1">
          <w:footerReference w:type="even" r:id="rId8"/>
          <w:footerReference w:type="default" r:id="rId9"/>
          <w:footerReference w:type="first" r:id="rId10"/>
          <w:pgSz w:w="11906" w:h="16838"/>
          <w:pgMar w:top="1440" w:right="1440" w:bottom="1440" w:left="1440" w:header="708" w:footer="708" w:gutter="0"/>
          <w:cols w:space="708"/>
          <w:titlePg/>
          <w:docGrid w:linePitch="360"/>
        </w:sectPr>
      </w:pPr>
      <w:r>
        <w:t>May 2022</w:t>
      </w:r>
    </w:p>
    <w:p w14:paraId="643E41A4" w14:textId="0197DB6E" w:rsidR="00094754" w:rsidRDefault="00094754">
      <w:pPr>
        <w:sectPr w:rsidR="00094754">
          <w:pgSz w:w="11906" w:h="16838"/>
          <w:pgMar w:top="1440" w:right="1440" w:bottom="1440" w:left="1440" w:header="708" w:footer="708" w:gutter="0"/>
          <w:cols w:space="708"/>
          <w:docGrid w:linePitch="360"/>
        </w:sectPr>
      </w:pPr>
    </w:p>
    <w:p w14:paraId="19BE5884" w14:textId="7D372770" w:rsidR="00094754" w:rsidRDefault="00094754" w:rsidP="00094754">
      <w:pPr>
        <w:spacing w:line="480" w:lineRule="auto"/>
      </w:pPr>
      <w:r w:rsidRPr="001F23FA">
        <w:lastRenderedPageBreak/>
        <w:t>I hereby declare that this thesis is the results of my own investigations, except where otherwise</w:t>
      </w:r>
      <w:r w:rsidR="001F23FA">
        <w:t xml:space="preserve"> </w:t>
      </w:r>
      <w:r w:rsidRPr="001F23FA">
        <w:t>stated. All other sources are acknowledged by bibliographic references. This work</w:t>
      </w:r>
      <w:r w:rsidR="001F23FA">
        <w:t xml:space="preserve"> </w:t>
      </w:r>
      <w:r w:rsidRPr="001F23FA">
        <w:t>has not previously</w:t>
      </w:r>
      <w:r w:rsidR="001F23FA">
        <w:t xml:space="preserve"> </w:t>
      </w:r>
      <w:r w:rsidRPr="001F23FA">
        <w:t>been accepted in substance for any degree and is not being concurrently</w:t>
      </w:r>
      <w:r w:rsidR="001F23FA">
        <w:t xml:space="preserve"> </w:t>
      </w:r>
      <w:r w:rsidRPr="001F23FA">
        <w:t>submitted in candidature</w:t>
      </w:r>
      <w:r w:rsidR="001F23FA">
        <w:t xml:space="preserve"> </w:t>
      </w:r>
      <w:r w:rsidRPr="001F23FA">
        <w:t>for any degree unless, as agreed by the University, for approved dual awards.</w:t>
      </w:r>
    </w:p>
    <w:p w14:paraId="47F0EF9E" w14:textId="01256B07" w:rsidR="00B81360" w:rsidRDefault="00B81360" w:rsidP="00094754">
      <w:pPr>
        <w:spacing w:line="480" w:lineRule="auto"/>
      </w:pPr>
    </w:p>
    <w:p w14:paraId="13878ADE" w14:textId="70A41852" w:rsidR="00B81360" w:rsidRPr="001F23FA" w:rsidRDefault="00B81360" w:rsidP="00094754">
      <w:pPr>
        <w:spacing w:line="480" w:lineRule="auto"/>
      </w:pPr>
      <w:r>
        <w:t xml:space="preserve">I confirm that I am submitting this work with agreement of my </w:t>
      </w:r>
      <w:r w:rsidR="00456A88">
        <w:t>supervisors</w:t>
      </w:r>
      <w:r>
        <w:t>.</w:t>
      </w:r>
    </w:p>
    <w:p w14:paraId="36568C02" w14:textId="77777777" w:rsidR="00094754" w:rsidRPr="00094754" w:rsidRDefault="00094754" w:rsidP="00094754">
      <w:pPr>
        <w:spacing w:line="480" w:lineRule="auto"/>
        <w:rPr>
          <w:sz w:val="22"/>
          <w:szCs w:val="22"/>
        </w:rPr>
      </w:pPr>
      <w:r w:rsidRPr="00094754">
        <w:rPr>
          <w:sz w:val="22"/>
          <w:szCs w:val="22"/>
        </w:rPr>
        <w:t>-------------------------------------------------------------------------------------------------------------------------------------</w:t>
      </w:r>
    </w:p>
    <w:p w14:paraId="5F1D558C" w14:textId="77777777" w:rsidR="00094754" w:rsidRDefault="00094754" w:rsidP="00094754">
      <w:pPr>
        <w:spacing w:line="480" w:lineRule="auto"/>
      </w:pPr>
      <w:proofErr w:type="spellStart"/>
      <w:r w:rsidRPr="001F23FA">
        <w:t>Yr</w:t>
      </w:r>
      <w:proofErr w:type="spellEnd"/>
      <w:r w:rsidRPr="001F23FA">
        <w:t xml:space="preserve"> </w:t>
      </w:r>
      <w:proofErr w:type="spellStart"/>
      <w:r w:rsidRPr="001F23FA">
        <w:t>wyf</w:t>
      </w:r>
      <w:proofErr w:type="spellEnd"/>
      <w:r w:rsidRPr="001F23FA">
        <w:t xml:space="preserve"> </w:t>
      </w:r>
      <w:proofErr w:type="spellStart"/>
      <w:r w:rsidRPr="001F23FA">
        <w:t>drwy</w:t>
      </w:r>
      <w:proofErr w:type="spellEnd"/>
      <w:r w:rsidRPr="001F23FA">
        <w:t xml:space="preserve"> </w:t>
      </w:r>
      <w:proofErr w:type="spellStart"/>
      <w:r w:rsidRPr="001F23FA">
        <w:t>hyn</w:t>
      </w:r>
      <w:proofErr w:type="spellEnd"/>
      <w:r w:rsidRPr="001F23FA">
        <w:t xml:space="preserve"> </w:t>
      </w:r>
      <w:proofErr w:type="spellStart"/>
      <w:r w:rsidRPr="001F23FA">
        <w:t>yn</w:t>
      </w:r>
      <w:proofErr w:type="spellEnd"/>
      <w:r w:rsidRPr="001F23FA">
        <w:t xml:space="preserve"> </w:t>
      </w:r>
      <w:proofErr w:type="spellStart"/>
      <w:r w:rsidRPr="001F23FA">
        <w:t>datgan</w:t>
      </w:r>
      <w:proofErr w:type="spellEnd"/>
      <w:r w:rsidRPr="001F23FA">
        <w:t xml:space="preserve"> </w:t>
      </w:r>
      <w:proofErr w:type="spellStart"/>
      <w:r w:rsidRPr="001F23FA">
        <w:t>mai</w:t>
      </w:r>
      <w:proofErr w:type="spellEnd"/>
      <w:r w:rsidRPr="001F23FA">
        <w:t xml:space="preserve"> </w:t>
      </w:r>
      <w:proofErr w:type="spellStart"/>
      <w:r w:rsidRPr="001F23FA">
        <w:t>canlyniad</w:t>
      </w:r>
      <w:proofErr w:type="spellEnd"/>
      <w:r w:rsidRPr="001F23FA">
        <w:t xml:space="preserve"> </w:t>
      </w:r>
      <w:proofErr w:type="spellStart"/>
      <w:r w:rsidRPr="001F23FA">
        <w:t>fy</w:t>
      </w:r>
      <w:proofErr w:type="spellEnd"/>
      <w:r w:rsidRPr="001F23FA">
        <w:t xml:space="preserve"> </w:t>
      </w:r>
      <w:proofErr w:type="spellStart"/>
      <w:r w:rsidRPr="001F23FA">
        <w:t>ymchwil</w:t>
      </w:r>
      <w:proofErr w:type="spellEnd"/>
      <w:r w:rsidRPr="001F23FA">
        <w:t xml:space="preserve"> </w:t>
      </w:r>
      <w:proofErr w:type="spellStart"/>
      <w:r w:rsidRPr="001F23FA">
        <w:t>fy</w:t>
      </w:r>
      <w:proofErr w:type="spellEnd"/>
      <w:r w:rsidRPr="001F23FA">
        <w:t xml:space="preserve"> </w:t>
      </w:r>
      <w:proofErr w:type="spellStart"/>
      <w:r w:rsidRPr="001F23FA">
        <w:t>hun</w:t>
      </w:r>
      <w:proofErr w:type="spellEnd"/>
      <w:r w:rsidRPr="001F23FA">
        <w:t xml:space="preserve"> </w:t>
      </w:r>
      <w:proofErr w:type="spellStart"/>
      <w:r w:rsidRPr="001F23FA">
        <w:t>yw’r</w:t>
      </w:r>
      <w:proofErr w:type="spellEnd"/>
      <w:r w:rsidRPr="001F23FA">
        <w:t xml:space="preserve"> thesis </w:t>
      </w:r>
      <w:proofErr w:type="spellStart"/>
      <w:r w:rsidRPr="001F23FA">
        <w:t>hwn</w:t>
      </w:r>
      <w:proofErr w:type="spellEnd"/>
      <w:r w:rsidRPr="001F23FA">
        <w:t xml:space="preserve">, ac </w:t>
      </w:r>
      <w:proofErr w:type="spellStart"/>
      <w:r w:rsidRPr="001F23FA">
        <w:t>eithrio</w:t>
      </w:r>
      <w:proofErr w:type="spellEnd"/>
      <w:r w:rsidRPr="001F23FA">
        <w:t xml:space="preserve"> </w:t>
      </w:r>
      <w:proofErr w:type="spellStart"/>
      <w:r w:rsidRPr="001F23FA">
        <w:t>lle</w:t>
      </w:r>
      <w:proofErr w:type="spellEnd"/>
      <w:r w:rsidRPr="001F23FA">
        <w:t xml:space="preserve"> </w:t>
      </w:r>
      <w:proofErr w:type="spellStart"/>
      <w:r w:rsidRPr="001F23FA">
        <w:t>nodir</w:t>
      </w:r>
      <w:proofErr w:type="spellEnd"/>
      <w:r w:rsidRPr="001F23FA">
        <w:t xml:space="preserve"> </w:t>
      </w:r>
      <w:proofErr w:type="spellStart"/>
      <w:r w:rsidRPr="001F23FA">
        <w:t>yn</w:t>
      </w:r>
      <w:proofErr w:type="spellEnd"/>
      <w:r w:rsidR="001F23FA">
        <w:t xml:space="preserve"> </w:t>
      </w:r>
      <w:proofErr w:type="spellStart"/>
      <w:r w:rsidRPr="001F23FA">
        <w:t>wahanol</w:t>
      </w:r>
      <w:proofErr w:type="spellEnd"/>
      <w:r w:rsidRPr="001F23FA">
        <w:t xml:space="preserve">. </w:t>
      </w:r>
      <w:proofErr w:type="spellStart"/>
      <w:r w:rsidRPr="001F23FA">
        <w:t>Caiff</w:t>
      </w:r>
      <w:proofErr w:type="spellEnd"/>
      <w:r w:rsidRPr="001F23FA">
        <w:t xml:space="preserve"> </w:t>
      </w:r>
      <w:proofErr w:type="spellStart"/>
      <w:r w:rsidRPr="001F23FA">
        <w:t>ffynonellau</w:t>
      </w:r>
      <w:proofErr w:type="spellEnd"/>
      <w:r w:rsidRPr="001F23FA">
        <w:t xml:space="preserve"> </w:t>
      </w:r>
      <w:proofErr w:type="spellStart"/>
      <w:r w:rsidRPr="001F23FA">
        <w:t>eraill</w:t>
      </w:r>
      <w:proofErr w:type="spellEnd"/>
      <w:r w:rsidRPr="001F23FA">
        <w:t xml:space="preserve"> </w:t>
      </w:r>
      <w:proofErr w:type="spellStart"/>
      <w:r w:rsidRPr="001F23FA">
        <w:t>eu</w:t>
      </w:r>
      <w:proofErr w:type="spellEnd"/>
      <w:r w:rsidRPr="001F23FA">
        <w:t xml:space="preserve"> </w:t>
      </w:r>
      <w:proofErr w:type="spellStart"/>
      <w:r w:rsidRPr="001F23FA">
        <w:t>cydnabod</w:t>
      </w:r>
      <w:proofErr w:type="spellEnd"/>
      <w:r w:rsidRPr="001F23FA">
        <w:t xml:space="preserve"> </w:t>
      </w:r>
      <w:proofErr w:type="spellStart"/>
      <w:r w:rsidRPr="001F23FA">
        <w:t>gan</w:t>
      </w:r>
      <w:proofErr w:type="spellEnd"/>
      <w:r w:rsidRPr="001F23FA">
        <w:t xml:space="preserve"> </w:t>
      </w:r>
      <w:proofErr w:type="spellStart"/>
      <w:r w:rsidRPr="001F23FA">
        <w:t>droednodiadau</w:t>
      </w:r>
      <w:proofErr w:type="spellEnd"/>
      <w:r w:rsidRPr="001F23FA">
        <w:t xml:space="preserve"> </w:t>
      </w:r>
      <w:proofErr w:type="spellStart"/>
      <w:r w:rsidRPr="001F23FA">
        <w:t>yn</w:t>
      </w:r>
      <w:proofErr w:type="spellEnd"/>
      <w:r w:rsidRPr="001F23FA">
        <w:t xml:space="preserve"> </w:t>
      </w:r>
      <w:proofErr w:type="spellStart"/>
      <w:r w:rsidRPr="001F23FA">
        <w:t>rhoi</w:t>
      </w:r>
      <w:proofErr w:type="spellEnd"/>
      <w:r w:rsidR="001F23FA">
        <w:t xml:space="preserve"> </w:t>
      </w:r>
      <w:proofErr w:type="spellStart"/>
      <w:r w:rsidRPr="001F23FA">
        <w:t>cyfeiriadau</w:t>
      </w:r>
      <w:proofErr w:type="spellEnd"/>
      <w:r w:rsidRPr="001F23FA">
        <w:t xml:space="preserve"> </w:t>
      </w:r>
      <w:proofErr w:type="spellStart"/>
      <w:r w:rsidRPr="001F23FA">
        <w:t>eglur</w:t>
      </w:r>
      <w:proofErr w:type="spellEnd"/>
      <w:r w:rsidRPr="001F23FA">
        <w:t xml:space="preserve">. </w:t>
      </w:r>
      <w:proofErr w:type="spellStart"/>
      <w:r w:rsidRPr="001F23FA">
        <w:t>Nid</w:t>
      </w:r>
      <w:proofErr w:type="spellEnd"/>
      <w:r w:rsidRPr="001F23FA">
        <w:t xml:space="preserve"> </w:t>
      </w:r>
      <w:proofErr w:type="spellStart"/>
      <w:r w:rsidRPr="001F23FA">
        <w:t>yw</w:t>
      </w:r>
      <w:proofErr w:type="spellEnd"/>
      <w:r w:rsidR="001F23FA">
        <w:t xml:space="preserve"> </w:t>
      </w:r>
      <w:proofErr w:type="spellStart"/>
      <w:r w:rsidRPr="001F23FA">
        <w:t>sylwedd</w:t>
      </w:r>
      <w:proofErr w:type="spellEnd"/>
      <w:r w:rsidRPr="001F23FA">
        <w:t xml:space="preserve"> y </w:t>
      </w:r>
      <w:proofErr w:type="spellStart"/>
      <w:r w:rsidRPr="001F23FA">
        <w:t>gwaith</w:t>
      </w:r>
      <w:proofErr w:type="spellEnd"/>
      <w:r w:rsidRPr="001F23FA">
        <w:t xml:space="preserve"> </w:t>
      </w:r>
      <w:proofErr w:type="spellStart"/>
      <w:r w:rsidRPr="001F23FA">
        <w:t>hwn</w:t>
      </w:r>
      <w:proofErr w:type="spellEnd"/>
      <w:r w:rsidRPr="001F23FA">
        <w:t xml:space="preserve"> </w:t>
      </w:r>
      <w:proofErr w:type="spellStart"/>
      <w:r w:rsidRPr="001F23FA">
        <w:t>wedi</w:t>
      </w:r>
      <w:proofErr w:type="spellEnd"/>
      <w:r w:rsidRPr="001F23FA">
        <w:t xml:space="preserve"> </w:t>
      </w:r>
      <w:proofErr w:type="spellStart"/>
      <w:r w:rsidRPr="001F23FA">
        <w:t>cael</w:t>
      </w:r>
      <w:proofErr w:type="spellEnd"/>
      <w:r w:rsidRPr="001F23FA">
        <w:t xml:space="preserve"> </w:t>
      </w:r>
      <w:proofErr w:type="spellStart"/>
      <w:r w:rsidRPr="001F23FA">
        <w:t>ei</w:t>
      </w:r>
      <w:proofErr w:type="spellEnd"/>
      <w:r w:rsidRPr="001F23FA">
        <w:t xml:space="preserve"> </w:t>
      </w:r>
      <w:proofErr w:type="spellStart"/>
      <w:r w:rsidRPr="001F23FA">
        <w:t>dderbyn</w:t>
      </w:r>
      <w:proofErr w:type="spellEnd"/>
      <w:r w:rsidRPr="001F23FA">
        <w:t xml:space="preserve"> </w:t>
      </w:r>
      <w:proofErr w:type="spellStart"/>
      <w:r w:rsidRPr="001F23FA">
        <w:t>o’r</w:t>
      </w:r>
      <w:proofErr w:type="spellEnd"/>
      <w:r w:rsidRPr="001F23FA">
        <w:t xml:space="preserve"> </w:t>
      </w:r>
      <w:proofErr w:type="spellStart"/>
      <w:r w:rsidRPr="001F23FA">
        <w:t>blaen</w:t>
      </w:r>
      <w:proofErr w:type="spellEnd"/>
      <w:r w:rsidRPr="001F23FA">
        <w:t xml:space="preserve"> </w:t>
      </w:r>
      <w:proofErr w:type="spellStart"/>
      <w:r w:rsidRPr="001F23FA">
        <w:t>ar</w:t>
      </w:r>
      <w:proofErr w:type="spellEnd"/>
      <w:r w:rsidRPr="001F23FA">
        <w:t xml:space="preserve"> </w:t>
      </w:r>
      <w:proofErr w:type="spellStart"/>
      <w:r w:rsidRPr="001F23FA">
        <w:t>gyfer</w:t>
      </w:r>
      <w:proofErr w:type="spellEnd"/>
      <w:r w:rsidRPr="001F23FA">
        <w:t xml:space="preserve"> </w:t>
      </w:r>
      <w:proofErr w:type="spellStart"/>
      <w:r w:rsidRPr="001F23FA">
        <w:t>unrhyw</w:t>
      </w:r>
      <w:proofErr w:type="spellEnd"/>
      <w:r w:rsidRPr="001F23FA">
        <w:t xml:space="preserve"> </w:t>
      </w:r>
      <w:proofErr w:type="spellStart"/>
      <w:r w:rsidRPr="001F23FA">
        <w:t>radd</w:t>
      </w:r>
      <w:proofErr w:type="spellEnd"/>
      <w:r w:rsidRPr="001F23FA">
        <w:t xml:space="preserve">, ac </w:t>
      </w:r>
      <w:proofErr w:type="spellStart"/>
      <w:r w:rsidRPr="001F23FA">
        <w:t>nid</w:t>
      </w:r>
      <w:proofErr w:type="spellEnd"/>
      <w:r w:rsidRPr="001F23FA">
        <w:t xml:space="preserve"> </w:t>
      </w:r>
      <w:proofErr w:type="spellStart"/>
      <w:r w:rsidRPr="001F23FA">
        <w:t>yw’n</w:t>
      </w:r>
      <w:proofErr w:type="spellEnd"/>
      <w:r w:rsidRPr="001F23FA">
        <w:t xml:space="preserve"> </w:t>
      </w:r>
      <w:proofErr w:type="spellStart"/>
      <w:r w:rsidRPr="001F23FA">
        <w:t>cael</w:t>
      </w:r>
      <w:proofErr w:type="spellEnd"/>
      <w:r w:rsidRPr="001F23FA">
        <w:t xml:space="preserve"> </w:t>
      </w:r>
      <w:proofErr w:type="spellStart"/>
      <w:r w:rsidRPr="001F23FA">
        <w:t>ei</w:t>
      </w:r>
      <w:proofErr w:type="spellEnd"/>
      <w:r w:rsidR="001F23FA">
        <w:t xml:space="preserve"> </w:t>
      </w:r>
      <w:proofErr w:type="spellStart"/>
      <w:r w:rsidRPr="001F23FA">
        <w:t>gyflwyno</w:t>
      </w:r>
      <w:proofErr w:type="spellEnd"/>
      <w:r w:rsidRPr="001F23FA">
        <w:t xml:space="preserve"> </w:t>
      </w:r>
      <w:proofErr w:type="spellStart"/>
      <w:r w:rsidRPr="001F23FA">
        <w:t>ar</w:t>
      </w:r>
      <w:proofErr w:type="spellEnd"/>
      <w:r w:rsidRPr="001F23FA">
        <w:t xml:space="preserve"> </w:t>
      </w:r>
      <w:proofErr w:type="spellStart"/>
      <w:r w:rsidRPr="001F23FA">
        <w:t>yr</w:t>
      </w:r>
      <w:proofErr w:type="spellEnd"/>
      <w:r w:rsidRPr="001F23FA">
        <w:t xml:space="preserve"> un </w:t>
      </w:r>
      <w:proofErr w:type="spellStart"/>
      <w:r w:rsidRPr="001F23FA">
        <w:t>pryd</w:t>
      </w:r>
      <w:proofErr w:type="spellEnd"/>
      <w:r w:rsidRPr="001F23FA">
        <w:t xml:space="preserve"> </w:t>
      </w:r>
      <w:proofErr w:type="spellStart"/>
      <w:r w:rsidRPr="001F23FA">
        <w:t>mewn</w:t>
      </w:r>
      <w:proofErr w:type="spellEnd"/>
      <w:r w:rsidRPr="001F23FA">
        <w:t xml:space="preserve"> </w:t>
      </w:r>
      <w:proofErr w:type="spellStart"/>
      <w:r w:rsidRPr="001F23FA">
        <w:t>ymgeisiaeth</w:t>
      </w:r>
      <w:proofErr w:type="spellEnd"/>
      <w:r w:rsidRPr="001F23FA">
        <w:t xml:space="preserve"> am </w:t>
      </w:r>
      <w:proofErr w:type="spellStart"/>
      <w:r w:rsidRPr="001F23FA">
        <w:t>unrhyw</w:t>
      </w:r>
      <w:proofErr w:type="spellEnd"/>
      <w:r w:rsidRPr="001F23FA">
        <w:t xml:space="preserve"> </w:t>
      </w:r>
      <w:proofErr w:type="spellStart"/>
      <w:r w:rsidRPr="001F23FA">
        <w:t>radd</w:t>
      </w:r>
      <w:proofErr w:type="spellEnd"/>
      <w:r w:rsidR="001F23FA">
        <w:t xml:space="preserve"> </w:t>
      </w:r>
      <w:proofErr w:type="spellStart"/>
      <w:r w:rsidRPr="001F23FA">
        <w:t>oni</w:t>
      </w:r>
      <w:proofErr w:type="spellEnd"/>
      <w:r w:rsidRPr="001F23FA">
        <w:t xml:space="preserve"> bai </w:t>
      </w:r>
      <w:proofErr w:type="spellStart"/>
      <w:r w:rsidRPr="001F23FA">
        <w:t>ei</w:t>
      </w:r>
      <w:proofErr w:type="spellEnd"/>
      <w:r w:rsidRPr="001F23FA">
        <w:t xml:space="preserve"> </w:t>
      </w:r>
      <w:proofErr w:type="spellStart"/>
      <w:r w:rsidRPr="001F23FA">
        <w:t>fod</w:t>
      </w:r>
      <w:proofErr w:type="spellEnd"/>
      <w:r w:rsidRPr="001F23FA">
        <w:t xml:space="preserve">, </w:t>
      </w:r>
      <w:proofErr w:type="spellStart"/>
      <w:r w:rsidRPr="001F23FA">
        <w:t>fel</w:t>
      </w:r>
      <w:proofErr w:type="spellEnd"/>
      <w:r w:rsidRPr="001F23FA">
        <w:t xml:space="preserve"> y </w:t>
      </w:r>
      <w:proofErr w:type="spellStart"/>
      <w:r w:rsidRPr="001F23FA">
        <w:t>cytunwyd</w:t>
      </w:r>
      <w:proofErr w:type="spellEnd"/>
      <w:r w:rsidRPr="001F23FA">
        <w:t xml:space="preserve"> </w:t>
      </w:r>
      <w:proofErr w:type="spellStart"/>
      <w:r w:rsidRPr="001F23FA">
        <w:t>gan</w:t>
      </w:r>
      <w:proofErr w:type="spellEnd"/>
      <w:r w:rsidRPr="001F23FA">
        <w:t xml:space="preserve"> y</w:t>
      </w:r>
      <w:r w:rsidR="001F23FA">
        <w:t xml:space="preserve"> </w:t>
      </w:r>
      <w:proofErr w:type="spellStart"/>
      <w:r w:rsidRPr="001F23FA">
        <w:t>Brifysgol</w:t>
      </w:r>
      <w:proofErr w:type="spellEnd"/>
      <w:r w:rsidRPr="001F23FA">
        <w:t xml:space="preserve">, am </w:t>
      </w:r>
      <w:proofErr w:type="spellStart"/>
      <w:r w:rsidRPr="001F23FA">
        <w:t>gymwysterau</w:t>
      </w:r>
      <w:proofErr w:type="spellEnd"/>
      <w:r w:rsidRPr="001F23FA">
        <w:t xml:space="preserve"> </w:t>
      </w:r>
      <w:proofErr w:type="spellStart"/>
      <w:r w:rsidRPr="001F23FA">
        <w:t>deuol</w:t>
      </w:r>
      <w:proofErr w:type="spellEnd"/>
      <w:r w:rsidRPr="001F23FA">
        <w:t xml:space="preserve"> </w:t>
      </w:r>
      <w:proofErr w:type="spellStart"/>
      <w:r w:rsidRPr="001F23FA">
        <w:t>cymeradwy</w:t>
      </w:r>
      <w:proofErr w:type="spellEnd"/>
      <w:r w:rsidRPr="001F23FA">
        <w:t>.</w:t>
      </w:r>
    </w:p>
    <w:p w14:paraId="43A6D9D3" w14:textId="77777777" w:rsidR="00F46D22" w:rsidRDefault="00F46D22" w:rsidP="00094754">
      <w:pPr>
        <w:spacing w:line="480" w:lineRule="auto"/>
      </w:pPr>
    </w:p>
    <w:p w14:paraId="45F97BB5" w14:textId="77777777" w:rsidR="00F46D22" w:rsidRDefault="00F46D22" w:rsidP="00094754">
      <w:pPr>
        <w:spacing w:line="480" w:lineRule="auto"/>
      </w:pPr>
    </w:p>
    <w:p w14:paraId="0ACCC086" w14:textId="0C38742A" w:rsidR="00F46D22" w:rsidRPr="001F23FA" w:rsidRDefault="00F46D22" w:rsidP="00F46D22">
      <w:pPr>
        <w:spacing w:line="480" w:lineRule="auto"/>
        <w:sectPr w:rsidR="00F46D22" w:rsidRPr="001F23FA">
          <w:pgSz w:w="11906" w:h="16838"/>
          <w:pgMar w:top="1440" w:right="1440" w:bottom="1440" w:left="1440" w:header="708" w:footer="708" w:gutter="0"/>
          <w:cols w:space="708"/>
          <w:docGrid w:linePitch="360"/>
        </w:sectPr>
      </w:pPr>
      <w:proofErr w:type="spellStart"/>
      <w:r>
        <w:t>Rwy'n</w:t>
      </w:r>
      <w:proofErr w:type="spellEnd"/>
      <w:r>
        <w:t xml:space="preserve"> </w:t>
      </w:r>
      <w:proofErr w:type="spellStart"/>
      <w:r>
        <w:t>cadarnhau</w:t>
      </w:r>
      <w:proofErr w:type="spellEnd"/>
      <w:r>
        <w:t xml:space="preserve"> </w:t>
      </w:r>
      <w:proofErr w:type="spellStart"/>
      <w:r>
        <w:t>fy</w:t>
      </w:r>
      <w:proofErr w:type="spellEnd"/>
      <w:r>
        <w:t xml:space="preserve"> mod </w:t>
      </w:r>
      <w:proofErr w:type="spellStart"/>
      <w:r>
        <w:t>yn</w:t>
      </w:r>
      <w:proofErr w:type="spellEnd"/>
      <w:r>
        <w:t xml:space="preserve"> </w:t>
      </w:r>
      <w:proofErr w:type="spellStart"/>
      <w:r>
        <w:t>cyflwyno'r</w:t>
      </w:r>
      <w:proofErr w:type="spellEnd"/>
      <w:r>
        <w:t xml:space="preserve"> </w:t>
      </w:r>
      <w:proofErr w:type="spellStart"/>
      <w:r>
        <w:t>gwaith</w:t>
      </w:r>
      <w:proofErr w:type="spellEnd"/>
      <w:r>
        <w:t xml:space="preserve"> </w:t>
      </w:r>
      <w:proofErr w:type="spellStart"/>
      <w:r>
        <w:t>hwn</w:t>
      </w:r>
      <w:proofErr w:type="spellEnd"/>
      <w:r>
        <w:t xml:space="preserve"> </w:t>
      </w:r>
      <w:proofErr w:type="spellStart"/>
      <w:r>
        <w:t>gyda</w:t>
      </w:r>
      <w:proofErr w:type="spellEnd"/>
      <w:r>
        <w:t xml:space="preserve"> </w:t>
      </w:r>
      <w:proofErr w:type="spellStart"/>
      <w:r>
        <w:t>chytundeb</w:t>
      </w:r>
      <w:proofErr w:type="spellEnd"/>
      <w:r>
        <w:t xml:space="preserve"> </w:t>
      </w:r>
      <w:proofErr w:type="spellStart"/>
      <w:r>
        <w:t>fy</w:t>
      </w:r>
      <w:proofErr w:type="spellEnd"/>
      <w:r>
        <w:t xml:space="preserve"> </w:t>
      </w:r>
      <w:proofErr w:type="spellStart"/>
      <w:r>
        <w:t>Ngoruchwyliwr</w:t>
      </w:r>
      <w:proofErr w:type="spellEnd"/>
      <w:r>
        <w:t xml:space="preserve"> (</w:t>
      </w:r>
      <w:proofErr w:type="spellStart"/>
      <w:r>
        <w:t>Goruchwylwyr</w:t>
      </w:r>
      <w:proofErr w:type="spellEnd"/>
      <w:r>
        <w:t>)</w:t>
      </w:r>
    </w:p>
    <w:p w14:paraId="005BCA72" w14:textId="77777777" w:rsidR="00094754" w:rsidRDefault="00094754" w:rsidP="00094754">
      <w:pPr>
        <w:pStyle w:val="Heading1"/>
        <w:jc w:val="center"/>
        <w:rPr>
          <w:rFonts w:asciiTheme="minorHAnsi" w:hAnsiTheme="minorHAnsi" w:cstheme="minorHAnsi"/>
          <w:b/>
          <w:bCs/>
          <w:color w:val="000000" w:themeColor="text1"/>
        </w:rPr>
      </w:pPr>
      <w:bookmarkStart w:id="0" w:name="_Toc104882869"/>
      <w:bookmarkStart w:id="1" w:name="_Toc120622091"/>
      <w:r w:rsidRPr="008C0924">
        <w:rPr>
          <w:rFonts w:asciiTheme="minorHAnsi" w:hAnsiTheme="minorHAnsi" w:cstheme="minorHAnsi"/>
          <w:b/>
          <w:bCs/>
          <w:color w:val="000000" w:themeColor="text1"/>
        </w:rPr>
        <w:lastRenderedPageBreak/>
        <w:t>Summary</w:t>
      </w:r>
      <w:bookmarkEnd w:id="0"/>
      <w:bookmarkEnd w:id="1"/>
    </w:p>
    <w:p w14:paraId="5C722319" w14:textId="4674296F" w:rsidR="00094754" w:rsidRDefault="00094754" w:rsidP="00094754">
      <w:pPr>
        <w:spacing w:line="480" w:lineRule="auto"/>
      </w:pPr>
      <w:r>
        <w:t xml:space="preserve">Mangrove ecosystems experienced significant deforestation over the last five decades, with as much as half global coverage lost. Recent awareness of mangroves’ roles in storm defence and carbon cycling has led to increased political will to conserve and protect these ecosystems, with declines in global deforestation rates as a consequence. Climate change is now regarded </w:t>
      </w:r>
      <w:r w:rsidR="009C7E1C">
        <w:t xml:space="preserve">as </w:t>
      </w:r>
      <w:r>
        <w:t xml:space="preserve">the biggest threat to mangroves. Yet, it remains generally unclear how mangroves will respond under predicted climate change. This thesis investigates how understanding of mangrove functioning in an extreme environmental setting can refine global present-day estimates of mangrove productivity and carbon stocks and inform predictions of future mangrove productivity and carbon stocks. </w:t>
      </w:r>
    </w:p>
    <w:p w14:paraId="21B94BF4" w14:textId="77777777" w:rsidR="00094754" w:rsidRDefault="00094754" w:rsidP="00094754">
      <w:pPr>
        <w:spacing w:line="480" w:lineRule="auto"/>
      </w:pPr>
    </w:p>
    <w:p w14:paraId="5CA397A5" w14:textId="77777777" w:rsidR="00094754" w:rsidRDefault="00094754" w:rsidP="00094754">
      <w:pPr>
        <w:spacing w:line="480" w:lineRule="auto"/>
      </w:pPr>
      <w:r>
        <w:t xml:space="preserve">Mangrove research has centred on tropical humid settings, leaving their counterparts at the extremities of their climatic distribution under-represented. It is unclear how forest productivity and carbon stocks of arid and hot environment mangroves compare to their humid tropical counterparts. Chapters 2 and 4 of this thesis quantify mangrove primary productivity and carbon stocks in three mangrove stands in the hot and arid country of Qatar, the Arabian/Persian Gulf (‘the Gulf’). Here, data collected </w:t>
      </w:r>
      <w:r>
        <w:rPr>
          <w:i/>
          <w:iCs/>
        </w:rPr>
        <w:t xml:space="preserve">in situ </w:t>
      </w:r>
      <w:r>
        <w:t xml:space="preserve">in Qatari mangroves reveal that mangroves in the country are less productive and store less carbon than many humid tropical mangroves. The study also finds productivity and biomass dynamics of Qatar mangroves differ from those of humid regions, likely as a result of differing nutrient dynamics in arid settings. For instance, biomass and productivity of Qatari mangroves had an inverse relationship with tidal elevation, which is the opposite to many humid tropical locations. Chapters 3 and 5 incorporate the empirically derived biomass, carbon stock and productivity data into numerical models to estimate present and future global mangrove </w:t>
      </w:r>
      <w:r>
        <w:lastRenderedPageBreak/>
        <w:t xml:space="preserve">productivity and carbon stocks. </w:t>
      </w:r>
      <w:proofErr w:type="gramStart"/>
      <w:r>
        <w:t>Similarly</w:t>
      </w:r>
      <w:proofErr w:type="gramEnd"/>
      <w:r>
        <w:t xml:space="preserve"> to previous global modelling work, the thesis finds the greatest mangrove productivity and carbon stocks to occur in Southeast Asia. Future predictions suggest a likely increase in global carbon stocks, although productivity is unlikely to change significantly. Models show the most mangrove-rich countries might have a &gt;10% increase in carbon stocks. However, under the more extreme climate change scenarios, the rising temperatures will elevate the probability that carbon stocks will decrease across countries. This finding is because models used in this dissertation, through the inclusion of new empirical data from Qatar, are trained on data that allocates greater representation to mangroves in hot arid climates than done in previous modelling. </w:t>
      </w:r>
    </w:p>
    <w:p w14:paraId="0AFD8423" w14:textId="77777777" w:rsidR="00094754" w:rsidRDefault="00094754" w:rsidP="00094754">
      <w:pPr>
        <w:spacing w:line="480" w:lineRule="auto"/>
      </w:pPr>
    </w:p>
    <w:p w14:paraId="3AC2FB79" w14:textId="77777777" w:rsidR="00094754" w:rsidRPr="008C0924" w:rsidRDefault="00094754" w:rsidP="00094754">
      <w:pPr>
        <w:spacing w:line="480" w:lineRule="auto"/>
      </w:pPr>
      <w:r>
        <w:t>Inclusion of empirical data from the climatic extremes of global mangrove distribution, as done here, generates a more realistic prediction of what may occur to mangrove carbon stocks and productivity under predicted climate change, particularly through effects of heightened temperature. Mangroves are expanding their global distribution into higher latitudes, with forests on the edge of their climatic distribution likely to become more widespread. It is hoped that the increased understanding of mangrove functioning under extreme climatic conditions and predicted climate change delivered by this thesis will be instructive to the effective future management and conservation of the global mangrove ecosystem.</w:t>
      </w:r>
    </w:p>
    <w:p w14:paraId="5BA2C92A" w14:textId="77777777" w:rsidR="00094754" w:rsidRDefault="00094754" w:rsidP="00094754">
      <w:pPr>
        <w:spacing w:line="480" w:lineRule="auto"/>
        <w:rPr>
          <w:sz w:val="22"/>
          <w:szCs w:val="22"/>
        </w:rPr>
      </w:pPr>
    </w:p>
    <w:p w14:paraId="3A6DD6C4" w14:textId="77777777" w:rsidR="00DA1F1F" w:rsidRDefault="00DA1F1F" w:rsidP="00094754">
      <w:pPr>
        <w:spacing w:line="480" w:lineRule="auto"/>
        <w:rPr>
          <w:sz w:val="22"/>
          <w:szCs w:val="22"/>
        </w:rPr>
      </w:pPr>
    </w:p>
    <w:p w14:paraId="653612BE" w14:textId="04E3A238" w:rsidR="00DA1F1F" w:rsidRDefault="00DA1F1F" w:rsidP="00094754">
      <w:pPr>
        <w:spacing w:line="480" w:lineRule="auto"/>
        <w:rPr>
          <w:sz w:val="22"/>
          <w:szCs w:val="22"/>
        </w:rPr>
        <w:sectPr w:rsidR="00DA1F1F">
          <w:pgSz w:w="11906" w:h="16838"/>
          <w:pgMar w:top="1440" w:right="1440" w:bottom="1440" w:left="1440" w:header="708" w:footer="708" w:gutter="0"/>
          <w:cols w:space="708"/>
          <w:docGrid w:linePitch="360"/>
        </w:sectPr>
      </w:pPr>
      <w:r>
        <w:rPr>
          <w:sz w:val="22"/>
          <w:szCs w:val="22"/>
        </w:rPr>
        <w:t>Chapters 2 (Mangrove primary productivity in an extreme environment) and 3 (Past, present and future global mangrove primary productivity) have not been published</w:t>
      </w:r>
      <w:r w:rsidR="00266073">
        <w:rPr>
          <w:sz w:val="22"/>
          <w:szCs w:val="22"/>
        </w:rPr>
        <w:t xml:space="preserve">. </w:t>
      </w:r>
      <w:r w:rsidR="00A124AE">
        <w:rPr>
          <w:sz w:val="22"/>
          <w:szCs w:val="22"/>
        </w:rPr>
        <w:t>However, chapter</w:t>
      </w:r>
      <w:r>
        <w:rPr>
          <w:sz w:val="22"/>
          <w:szCs w:val="22"/>
        </w:rPr>
        <w:t xml:space="preserve"> 4 (Mangrove carbon stocks and biomass partitioning in an extreme environment) </w:t>
      </w:r>
      <w:r w:rsidR="00266073">
        <w:rPr>
          <w:sz w:val="22"/>
          <w:szCs w:val="22"/>
        </w:rPr>
        <w:t xml:space="preserve">was published in </w:t>
      </w:r>
      <w:r w:rsidR="00266073">
        <w:rPr>
          <w:sz w:val="22"/>
          <w:szCs w:val="22"/>
        </w:rPr>
        <w:lastRenderedPageBreak/>
        <w:t xml:space="preserve">2020 in </w:t>
      </w:r>
      <w:r w:rsidR="00266073">
        <w:rPr>
          <w:i/>
          <w:iCs/>
          <w:sz w:val="22"/>
          <w:szCs w:val="22"/>
        </w:rPr>
        <w:t>Estuarine, Coastal and Shelf Science</w:t>
      </w:r>
      <w:r w:rsidR="00266073" w:rsidRPr="00906EF9">
        <w:rPr>
          <w:sz w:val="22"/>
          <w:szCs w:val="22"/>
        </w:rPr>
        <w:t xml:space="preserve">, </w:t>
      </w:r>
      <w:r>
        <w:rPr>
          <w:sz w:val="22"/>
          <w:szCs w:val="22"/>
        </w:rPr>
        <w:t xml:space="preserve">and </w:t>
      </w:r>
      <w:r w:rsidR="00A124AE">
        <w:rPr>
          <w:sz w:val="22"/>
          <w:szCs w:val="22"/>
        </w:rPr>
        <w:t xml:space="preserve">chapter </w:t>
      </w:r>
      <w:r>
        <w:rPr>
          <w:sz w:val="22"/>
          <w:szCs w:val="22"/>
        </w:rPr>
        <w:t xml:space="preserve">5 (Future mangrove carbon storage under climate change and deforestation) </w:t>
      </w:r>
      <w:r w:rsidR="00A124AE">
        <w:rPr>
          <w:sz w:val="22"/>
          <w:szCs w:val="22"/>
        </w:rPr>
        <w:t xml:space="preserve">was published in 2022 in </w:t>
      </w:r>
      <w:r w:rsidR="00DC4508">
        <w:rPr>
          <w:i/>
          <w:iCs/>
          <w:sz w:val="22"/>
          <w:szCs w:val="22"/>
        </w:rPr>
        <w:t>Frontiers in Marine Science</w:t>
      </w:r>
      <w:r w:rsidR="00DC4508" w:rsidRPr="00906EF9">
        <w:rPr>
          <w:sz w:val="22"/>
          <w:szCs w:val="22"/>
        </w:rPr>
        <w:t>.</w:t>
      </w:r>
    </w:p>
    <w:sdt>
      <w:sdtPr>
        <w:rPr>
          <w:rFonts w:asciiTheme="minorHAnsi" w:eastAsiaTheme="minorHAnsi" w:hAnsiTheme="minorHAnsi" w:cstheme="minorBidi"/>
          <w:b w:val="0"/>
          <w:bCs w:val="0"/>
          <w:color w:val="auto"/>
          <w:sz w:val="24"/>
          <w:szCs w:val="24"/>
          <w:lang w:val="en-GB"/>
        </w:rPr>
        <w:id w:val="-1827728700"/>
        <w:docPartObj>
          <w:docPartGallery w:val="Table of Contents"/>
          <w:docPartUnique/>
        </w:docPartObj>
      </w:sdtPr>
      <w:sdtEndPr>
        <w:rPr>
          <w:noProof/>
        </w:rPr>
      </w:sdtEndPr>
      <w:sdtContent>
        <w:p w14:paraId="39E1ECF6" w14:textId="77777777" w:rsidR="00BE6337" w:rsidRDefault="00094754" w:rsidP="00D87626">
          <w:pPr>
            <w:pStyle w:val="TOCHeading"/>
            <w:rPr>
              <w:noProof/>
            </w:rPr>
          </w:pPr>
          <w:r w:rsidRPr="000735F1">
            <w:rPr>
              <w:rFonts w:asciiTheme="minorHAnsi" w:hAnsiTheme="minorHAnsi" w:cstheme="minorHAnsi"/>
              <w:color w:val="000000" w:themeColor="text1"/>
              <w:sz w:val="32"/>
              <w:szCs w:val="32"/>
            </w:rPr>
            <w:t>Table of Contents</w:t>
          </w:r>
          <w:r>
            <w:rPr>
              <w:rFonts w:cstheme="minorHAnsi"/>
              <w:b w:val="0"/>
              <w:bCs w:val="0"/>
              <w:sz w:val="20"/>
              <w:szCs w:val="20"/>
            </w:rPr>
            <w:fldChar w:fldCharType="begin"/>
          </w:r>
          <w:r>
            <w:instrText xml:space="preserve"> TOC \o "1-3" \h \z \u </w:instrText>
          </w:r>
          <w:r>
            <w:rPr>
              <w:rFonts w:cstheme="minorHAnsi"/>
              <w:b w:val="0"/>
              <w:bCs w:val="0"/>
              <w:sz w:val="20"/>
              <w:szCs w:val="20"/>
            </w:rPr>
            <w:fldChar w:fldCharType="separate"/>
          </w:r>
        </w:p>
        <w:p w14:paraId="2B4C5948" w14:textId="3CE6E4D3" w:rsidR="00BE6337" w:rsidRDefault="00BE6337">
          <w:pPr>
            <w:pStyle w:val="TOC1"/>
            <w:tabs>
              <w:tab w:val="right" w:leader="dot" w:pos="9016"/>
            </w:tabs>
            <w:rPr>
              <w:rFonts w:eastAsiaTheme="minorEastAsia" w:cstheme="minorBidi"/>
              <w:b w:val="0"/>
              <w:bCs w:val="0"/>
              <w:noProof/>
              <w:sz w:val="24"/>
              <w:szCs w:val="24"/>
              <w:lang w:val="en-QA" w:eastAsia="en-GB"/>
            </w:rPr>
          </w:pPr>
          <w:hyperlink w:anchor="_Toc120622091" w:history="1">
            <w:r w:rsidRPr="00E50853">
              <w:rPr>
                <w:rStyle w:val="Hyperlink"/>
                <w:noProof/>
              </w:rPr>
              <w:t>Summary</w:t>
            </w:r>
            <w:r>
              <w:rPr>
                <w:noProof/>
                <w:webHidden/>
              </w:rPr>
              <w:tab/>
            </w:r>
            <w:r>
              <w:rPr>
                <w:noProof/>
                <w:webHidden/>
              </w:rPr>
              <w:fldChar w:fldCharType="begin"/>
            </w:r>
            <w:r>
              <w:rPr>
                <w:noProof/>
                <w:webHidden/>
              </w:rPr>
              <w:instrText xml:space="preserve"> PAGEREF _Toc120622091 \h </w:instrText>
            </w:r>
            <w:r>
              <w:rPr>
                <w:noProof/>
                <w:webHidden/>
              </w:rPr>
            </w:r>
            <w:r>
              <w:rPr>
                <w:noProof/>
                <w:webHidden/>
              </w:rPr>
              <w:fldChar w:fldCharType="separate"/>
            </w:r>
            <w:r>
              <w:rPr>
                <w:noProof/>
                <w:webHidden/>
              </w:rPr>
              <w:t>4</w:t>
            </w:r>
            <w:r>
              <w:rPr>
                <w:noProof/>
                <w:webHidden/>
              </w:rPr>
              <w:fldChar w:fldCharType="end"/>
            </w:r>
          </w:hyperlink>
        </w:p>
        <w:p w14:paraId="2B09F6AD" w14:textId="442899B8" w:rsidR="00BE6337" w:rsidRDefault="00BE6337">
          <w:pPr>
            <w:pStyle w:val="TOC1"/>
            <w:tabs>
              <w:tab w:val="right" w:leader="dot" w:pos="9016"/>
            </w:tabs>
            <w:rPr>
              <w:rFonts w:eastAsiaTheme="minorEastAsia" w:cstheme="minorBidi"/>
              <w:b w:val="0"/>
              <w:bCs w:val="0"/>
              <w:noProof/>
              <w:sz w:val="24"/>
              <w:szCs w:val="24"/>
              <w:lang w:val="en-QA" w:eastAsia="en-GB"/>
            </w:rPr>
          </w:pPr>
          <w:hyperlink w:anchor="_Toc120622092" w:history="1">
            <w:r w:rsidRPr="00E50853">
              <w:rPr>
                <w:rStyle w:val="Hyperlink"/>
                <w:noProof/>
              </w:rPr>
              <w:t>Acknowledgements</w:t>
            </w:r>
            <w:r>
              <w:rPr>
                <w:noProof/>
                <w:webHidden/>
              </w:rPr>
              <w:tab/>
            </w:r>
            <w:r>
              <w:rPr>
                <w:noProof/>
                <w:webHidden/>
              </w:rPr>
              <w:fldChar w:fldCharType="begin"/>
            </w:r>
            <w:r>
              <w:rPr>
                <w:noProof/>
                <w:webHidden/>
              </w:rPr>
              <w:instrText xml:space="preserve"> PAGEREF _Toc120622092 \h </w:instrText>
            </w:r>
            <w:r>
              <w:rPr>
                <w:noProof/>
                <w:webHidden/>
              </w:rPr>
            </w:r>
            <w:r>
              <w:rPr>
                <w:noProof/>
                <w:webHidden/>
              </w:rPr>
              <w:fldChar w:fldCharType="separate"/>
            </w:r>
            <w:r>
              <w:rPr>
                <w:noProof/>
                <w:webHidden/>
              </w:rPr>
              <w:t>12</w:t>
            </w:r>
            <w:r>
              <w:rPr>
                <w:noProof/>
                <w:webHidden/>
              </w:rPr>
              <w:fldChar w:fldCharType="end"/>
            </w:r>
          </w:hyperlink>
        </w:p>
        <w:p w14:paraId="38490452" w14:textId="61240FFD" w:rsidR="00BE6337" w:rsidRDefault="00BE6337">
          <w:pPr>
            <w:pStyle w:val="TOC1"/>
            <w:tabs>
              <w:tab w:val="left" w:pos="480"/>
              <w:tab w:val="right" w:leader="dot" w:pos="9016"/>
            </w:tabs>
            <w:rPr>
              <w:rFonts w:eastAsiaTheme="minorEastAsia" w:cstheme="minorBidi"/>
              <w:b w:val="0"/>
              <w:bCs w:val="0"/>
              <w:noProof/>
              <w:sz w:val="24"/>
              <w:szCs w:val="24"/>
              <w:lang w:val="en-QA" w:eastAsia="en-GB"/>
            </w:rPr>
          </w:pPr>
          <w:hyperlink w:anchor="_Toc120622093" w:history="1">
            <w:r w:rsidRPr="00E50853">
              <w:rPr>
                <w:rStyle w:val="Hyperlink"/>
                <w:noProof/>
                <w:lang w:val="en-US"/>
              </w:rPr>
              <w:t>1.</w:t>
            </w:r>
            <w:r>
              <w:rPr>
                <w:rFonts w:eastAsiaTheme="minorEastAsia" w:cstheme="minorBidi"/>
                <w:b w:val="0"/>
                <w:bCs w:val="0"/>
                <w:noProof/>
                <w:sz w:val="24"/>
                <w:szCs w:val="24"/>
                <w:lang w:val="en-QA" w:eastAsia="en-GB"/>
              </w:rPr>
              <w:tab/>
            </w:r>
            <w:r w:rsidRPr="00E50853">
              <w:rPr>
                <w:rStyle w:val="Hyperlink"/>
                <w:noProof/>
                <w:lang w:val="en-US"/>
              </w:rPr>
              <w:t>General Introduction</w:t>
            </w:r>
            <w:r>
              <w:rPr>
                <w:noProof/>
                <w:webHidden/>
              </w:rPr>
              <w:tab/>
            </w:r>
            <w:r>
              <w:rPr>
                <w:noProof/>
                <w:webHidden/>
              </w:rPr>
              <w:fldChar w:fldCharType="begin"/>
            </w:r>
            <w:r>
              <w:rPr>
                <w:noProof/>
                <w:webHidden/>
              </w:rPr>
              <w:instrText xml:space="preserve"> PAGEREF _Toc120622093 \h </w:instrText>
            </w:r>
            <w:r>
              <w:rPr>
                <w:noProof/>
                <w:webHidden/>
              </w:rPr>
            </w:r>
            <w:r>
              <w:rPr>
                <w:noProof/>
                <w:webHidden/>
              </w:rPr>
              <w:fldChar w:fldCharType="separate"/>
            </w:r>
            <w:r>
              <w:rPr>
                <w:noProof/>
                <w:webHidden/>
              </w:rPr>
              <w:t>14</w:t>
            </w:r>
            <w:r>
              <w:rPr>
                <w:noProof/>
                <w:webHidden/>
              </w:rPr>
              <w:fldChar w:fldCharType="end"/>
            </w:r>
          </w:hyperlink>
        </w:p>
        <w:p w14:paraId="64377D7A" w14:textId="501BB12C"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094" w:history="1">
            <w:r w:rsidRPr="00E50853">
              <w:rPr>
                <w:rStyle w:val="Hyperlink"/>
                <w:b/>
                <w:bCs/>
                <w:noProof/>
              </w:rPr>
              <w:t>1.1</w:t>
            </w:r>
            <w:r>
              <w:rPr>
                <w:rFonts w:eastAsiaTheme="minorEastAsia" w:cstheme="minorBidi"/>
                <w:i w:val="0"/>
                <w:iCs w:val="0"/>
                <w:noProof/>
                <w:sz w:val="24"/>
                <w:szCs w:val="24"/>
                <w:lang w:val="en-QA" w:eastAsia="en-GB"/>
              </w:rPr>
              <w:tab/>
            </w:r>
            <w:r w:rsidRPr="00E50853">
              <w:rPr>
                <w:rStyle w:val="Hyperlink"/>
                <w:b/>
                <w:bCs/>
                <w:noProof/>
              </w:rPr>
              <w:t>Mangrove Ecosystems</w:t>
            </w:r>
            <w:r>
              <w:rPr>
                <w:noProof/>
                <w:webHidden/>
              </w:rPr>
              <w:tab/>
            </w:r>
            <w:r>
              <w:rPr>
                <w:noProof/>
                <w:webHidden/>
              </w:rPr>
              <w:fldChar w:fldCharType="begin"/>
            </w:r>
            <w:r>
              <w:rPr>
                <w:noProof/>
                <w:webHidden/>
              </w:rPr>
              <w:instrText xml:space="preserve"> PAGEREF _Toc120622094 \h </w:instrText>
            </w:r>
            <w:r>
              <w:rPr>
                <w:noProof/>
                <w:webHidden/>
              </w:rPr>
            </w:r>
            <w:r>
              <w:rPr>
                <w:noProof/>
                <w:webHidden/>
              </w:rPr>
              <w:fldChar w:fldCharType="separate"/>
            </w:r>
            <w:r>
              <w:rPr>
                <w:noProof/>
                <w:webHidden/>
              </w:rPr>
              <w:t>14</w:t>
            </w:r>
            <w:r>
              <w:rPr>
                <w:noProof/>
                <w:webHidden/>
              </w:rPr>
              <w:fldChar w:fldCharType="end"/>
            </w:r>
          </w:hyperlink>
        </w:p>
        <w:p w14:paraId="3FD59A4C" w14:textId="62E3103C"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095" w:history="1">
            <w:r w:rsidRPr="00E50853">
              <w:rPr>
                <w:rStyle w:val="Hyperlink"/>
                <w:b/>
                <w:bCs/>
                <w:noProof/>
              </w:rPr>
              <w:t>1.2</w:t>
            </w:r>
            <w:r>
              <w:rPr>
                <w:rFonts w:eastAsiaTheme="minorEastAsia" w:cstheme="minorBidi"/>
                <w:i w:val="0"/>
                <w:iCs w:val="0"/>
                <w:noProof/>
                <w:sz w:val="24"/>
                <w:szCs w:val="24"/>
                <w:lang w:val="en-QA" w:eastAsia="en-GB"/>
              </w:rPr>
              <w:tab/>
            </w:r>
            <w:r w:rsidRPr="00E50853">
              <w:rPr>
                <w:rStyle w:val="Hyperlink"/>
                <w:b/>
                <w:bCs/>
                <w:noProof/>
              </w:rPr>
              <w:t>The functional importance of Mangroves</w:t>
            </w:r>
            <w:r>
              <w:rPr>
                <w:noProof/>
                <w:webHidden/>
              </w:rPr>
              <w:tab/>
            </w:r>
            <w:r>
              <w:rPr>
                <w:noProof/>
                <w:webHidden/>
              </w:rPr>
              <w:fldChar w:fldCharType="begin"/>
            </w:r>
            <w:r>
              <w:rPr>
                <w:noProof/>
                <w:webHidden/>
              </w:rPr>
              <w:instrText xml:space="preserve"> PAGEREF _Toc120622095 \h </w:instrText>
            </w:r>
            <w:r>
              <w:rPr>
                <w:noProof/>
                <w:webHidden/>
              </w:rPr>
            </w:r>
            <w:r>
              <w:rPr>
                <w:noProof/>
                <w:webHidden/>
              </w:rPr>
              <w:fldChar w:fldCharType="separate"/>
            </w:r>
            <w:r>
              <w:rPr>
                <w:noProof/>
                <w:webHidden/>
              </w:rPr>
              <w:t>16</w:t>
            </w:r>
            <w:r>
              <w:rPr>
                <w:noProof/>
                <w:webHidden/>
              </w:rPr>
              <w:fldChar w:fldCharType="end"/>
            </w:r>
          </w:hyperlink>
        </w:p>
        <w:p w14:paraId="008D1B72" w14:textId="05CE2940"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096" w:history="1">
            <w:r w:rsidRPr="00E50853">
              <w:rPr>
                <w:rStyle w:val="Hyperlink"/>
                <w:b/>
                <w:bCs/>
                <w:noProof/>
              </w:rPr>
              <w:t>1.3</w:t>
            </w:r>
            <w:r>
              <w:rPr>
                <w:rFonts w:eastAsiaTheme="minorEastAsia" w:cstheme="minorBidi"/>
                <w:i w:val="0"/>
                <w:iCs w:val="0"/>
                <w:noProof/>
                <w:sz w:val="24"/>
                <w:szCs w:val="24"/>
                <w:lang w:val="en-QA" w:eastAsia="en-GB"/>
              </w:rPr>
              <w:tab/>
            </w:r>
            <w:r w:rsidRPr="00E50853">
              <w:rPr>
                <w:rStyle w:val="Hyperlink"/>
                <w:b/>
                <w:bCs/>
                <w:noProof/>
              </w:rPr>
              <w:t>Importance of Mangroves in the context of carbon cycling</w:t>
            </w:r>
            <w:r>
              <w:rPr>
                <w:noProof/>
                <w:webHidden/>
              </w:rPr>
              <w:tab/>
            </w:r>
            <w:r>
              <w:rPr>
                <w:noProof/>
                <w:webHidden/>
              </w:rPr>
              <w:fldChar w:fldCharType="begin"/>
            </w:r>
            <w:r>
              <w:rPr>
                <w:noProof/>
                <w:webHidden/>
              </w:rPr>
              <w:instrText xml:space="preserve"> PAGEREF _Toc120622096 \h </w:instrText>
            </w:r>
            <w:r>
              <w:rPr>
                <w:noProof/>
                <w:webHidden/>
              </w:rPr>
            </w:r>
            <w:r>
              <w:rPr>
                <w:noProof/>
                <w:webHidden/>
              </w:rPr>
              <w:fldChar w:fldCharType="separate"/>
            </w:r>
            <w:r>
              <w:rPr>
                <w:noProof/>
                <w:webHidden/>
              </w:rPr>
              <w:t>19</w:t>
            </w:r>
            <w:r>
              <w:rPr>
                <w:noProof/>
                <w:webHidden/>
              </w:rPr>
              <w:fldChar w:fldCharType="end"/>
            </w:r>
          </w:hyperlink>
        </w:p>
        <w:p w14:paraId="4062A2FB" w14:textId="39157AD2"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097" w:history="1">
            <w:r w:rsidRPr="00E50853">
              <w:rPr>
                <w:rStyle w:val="Hyperlink"/>
                <w:b/>
                <w:bCs/>
                <w:noProof/>
              </w:rPr>
              <w:t>1.4</w:t>
            </w:r>
            <w:r>
              <w:rPr>
                <w:rFonts w:eastAsiaTheme="minorEastAsia" w:cstheme="minorBidi"/>
                <w:i w:val="0"/>
                <w:iCs w:val="0"/>
                <w:noProof/>
                <w:sz w:val="24"/>
                <w:szCs w:val="24"/>
                <w:lang w:val="en-QA" w:eastAsia="en-GB"/>
              </w:rPr>
              <w:tab/>
            </w:r>
            <w:r w:rsidRPr="00E50853">
              <w:rPr>
                <w:rStyle w:val="Hyperlink"/>
                <w:b/>
                <w:bCs/>
                <w:noProof/>
              </w:rPr>
              <w:t>Threats and Current Knowledge Gaps</w:t>
            </w:r>
            <w:r>
              <w:rPr>
                <w:noProof/>
                <w:webHidden/>
              </w:rPr>
              <w:tab/>
            </w:r>
            <w:r>
              <w:rPr>
                <w:noProof/>
                <w:webHidden/>
              </w:rPr>
              <w:fldChar w:fldCharType="begin"/>
            </w:r>
            <w:r>
              <w:rPr>
                <w:noProof/>
                <w:webHidden/>
              </w:rPr>
              <w:instrText xml:space="preserve"> PAGEREF _Toc120622097 \h </w:instrText>
            </w:r>
            <w:r>
              <w:rPr>
                <w:noProof/>
                <w:webHidden/>
              </w:rPr>
            </w:r>
            <w:r>
              <w:rPr>
                <w:noProof/>
                <w:webHidden/>
              </w:rPr>
              <w:fldChar w:fldCharType="separate"/>
            </w:r>
            <w:r>
              <w:rPr>
                <w:noProof/>
                <w:webHidden/>
              </w:rPr>
              <w:t>23</w:t>
            </w:r>
            <w:r>
              <w:rPr>
                <w:noProof/>
                <w:webHidden/>
              </w:rPr>
              <w:fldChar w:fldCharType="end"/>
            </w:r>
          </w:hyperlink>
        </w:p>
        <w:p w14:paraId="2313445D" w14:textId="07BC5945"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098" w:history="1">
            <w:r w:rsidRPr="00E50853">
              <w:rPr>
                <w:rStyle w:val="Hyperlink"/>
                <w:b/>
                <w:bCs/>
                <w:noProof/>
              </w:rPr>
              <w:t>1.5</w:t>
            </w:r>
            <w:r>
              <w:rPr>
                <w:rFonts w:eastAsiaTheme="minorEastAsia" w:cstheme="minorBidi"/>
                <w:i w:val="0"/>
                <w:iCs w:val="0"/>
                <w:noProof/>
                <w:sz w:val="24"/>
                <w:szCs w:val="24"/>
                <w:lang w:val="en-QA" w:eastAsia="en-GB"/>
              </w:rPr>
              <w:tab/>
            </w:r>
            <w:r w:rsidRPr="00E50853">
              <w:rPr>
                <w:rStyle w:val="Hyperlink"/>
                <w:b/>
                <w:bCs/>
                <w:noProof/>
              </w:rPr>
              <w:t>Study aims</w:t>
            </w:r>
            <w:r>
              <w:rPr>
                <w:noProof/>
                <w:webHidden/>
              </w:rPr>
              <w:tab/>
            </w:r>
            <w:r>
              <w:rPr>
                <w:noProof/>
                <w:webHidden/>
              </w:rPr>
              <w:fldChar w:fldCharType="begin"/>
            </w:r>
            <w:r>
              <w:rPr>
                <w:noProof/>
                <w:webHidden/>
              </w:rPr>
              <w:instrText xml:space="preserve"> PAGEREF _Toc120622098 \h </w:instrText>
            </w:r>
            <w:r>
              <w:rPr>
                <w:noProof/>
                <w:webHidden/>
              </w:rPr>
            </w:r>
            <w:r>
              <w:rPr>
                <w:noProof/>
                <w:webHidden/>
              </w:rPr>
              <w:fldChar w:fldCharType="separate"/>
            </w:r>
            <w:r>
              <w:rPr>
                <w:noProof/>
                <w:webHidden/>
              </w:rPr>
              <w:t>28</w:t>
            </w:r>
            <w:r>
              <w:rPr>
                <w:noProof/>
                <w:webHidden/>
              </w:rPr>
              <w:fldChar w:fldCharType="end"/>
            </w:r>
          </w:hyperlink>
        </w:p>
        <w:p w14:paraId="3532662C" w14:textId="7B69B260" w:rsidR="00BE6337" w:rsidRDefault="00BE6337">
          <w:pPr>
            <w:pStyle w:val="TOC1"/>
            <w:tabs>
              <w:tab w:val="left" w:pos="480"/>
              <w:tab w:val="right" w:leader="dot" w:pos="9016"/>
            </w:tabs>
            <w:rPr>
              <w:rFonts w:eastAsiaTheme="minorEastAsia" w:cstheme="minorBidi"/>
              <w:b w:val="0"/>
              <w:bCs w:val="0"/>
              <w:noProof/>
              <w:sz w:val="24"/>
              <w:szCs w:val="24"/>
              <w:lang w:val="en-QA" w:eastAsia="en-GB"/>
            </w:rPr>
          </w:pPr>
          <w:hyperlink w:anchor="_Toc120622099" w:history="1">
            <w:r w:rsidRPr="00E50853">
              <w:rPr>
                <w:rStyle w:val="Hyperlink"/>
                <w:noProof/>
              </w:rPr>
              <w:t>2.</w:t>
            </w:r>
            <w:r>
              <w:rPr>
                <w:rFonts w:eastAsiaTheme="minorEastAsia" w:cstheme="minorBidi"/>
                <w:b w:val="0"/>
                <w:bCs w:val="0"/>
                <w:noProof/>
                <w:sz w:val="24"/>
                <w:szCs w:val="24"/>
                <w:lang w:val="en-QA" w:eastAsia="en-GB"/>
              </w:rPr>
              <w:tab/>
            </w:r>
            <w:r w:rsidRPr="00E50853">
              <w:rPr>
                <w:rStyle w:val="Hyperlink"/>
                <w:noProof/>
              </w:rPr>
              <w:t>Mangrove primary productivity in an extreme environment</w:t>
            </w:r>
            <w:r>
              <w:rPr>
                <w:noProof/>
                <w:webHidden/>
              </w:rPr>
              <w:tab/>
            </w:r>
            <w:r>
              <w:rPr>
                <w:noProof/>
                <w:webHidden/>
              </w:rPr>
              <w:fldChar w:fldCharType="begin"/>
            </w:r>
            <w:r>
              <w:rPr>
                <w:noProof/>
                <w:webHidden/>
              </w:rPr>
              <w:instrText xml:space="preserve"> PAGEREF _Toc120622099 \h </w:instrText>
            </w:r>
            <w:r>
              <w:rPr>
                <w:noProof/>
                <w:webHidden/>
              </w:rPr>
            </w:r>
            <w:r>
              <w:rPr>
                <w:noProof/>
                <w:webHidden/>
              </w:rPr>
              <w:fldChar w:fldCharType="separate"/>
            </w:r>
            <w:r>
              <w:rPr>
                <w:noProof/>
                <w:webHidden/>
              </w:rPr>
              <w:t>32</w:t>
            </w:r>
            <w:r>
              <w:rPr>
                <w:noProof/>
                <w:webHidden/>
              </w:rPr>
              <w:fldChar w:fldCharType="end"/>
            </w:r>
          </w:hyperlink>
        </w:p>
        <w:p w14:paraId="69867D46" w14:textId="56819468"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00" w:history="1">
            <w:r w:rsidRPr="00E50853">
              <w:rPr>
                <w:rStyle w:val="Hyperlink"/>
                <w:b/>
                <w:bCs/>
                <w:noProof/>
              </w:rPr>
              <w:t>2.1</w:t>
            </w:r>
            <w:r>
              <w:rPr>
                <w:rFonts w:eastAsiaTheme="minorEastAsia" w:cstheme="minorBidi"/>
                <w:i w:val="0"/>
                <w:iCs w:val="0"/>
                <w:noProof/>
                <w:sz w:val="24"/>
                <w:szCs w:val="24"/>
                <w:lang w:val="en-QA" w:eastAsia="en-GB"/>
              </w:rPr>
              <w:tab/>
            </w:r>
            <w:r w:rsidRPr="00E50853">
              <w:rPr>
                <w:rStyle w:val="Hyperlink"/>
                <w:b/>
                <w:bCs/>
                <w:noProof/>
              </w:rPr>
              <w:t>Abstract</w:t>
            </w:r>
            <w:r>
              <w:rPr>
                <w:noProof/>
                <w:webHidden/>
              </w:rPr>
              <w:tab/>
            </w:r>
            <w:r>
              <w:rPr>
                <w:noProof/>
                <w:webHidden/>
              </w:rPr>
              <w:fldChar w:fldCharType="begin"/>
            </w:r>
            <w:r>
              <w:rPr>
                <w:noProof/>
                <w:webHidden/>
              </w:rPr>
              <w:instrText xml:space="preserve"> PAGEREF _Toc120622100 \h </w:instrText>
            </w:r>
            <w:r>
              <w:rPr>
                <w:noProof/>
                <w:webHidden/>
              </w:rPr>
            </w:r>
            <w:r>
              <w:rPr>
                <w:noProof/>
                <w:webHidden/>
              </w:rPr>
              <w:fldChar w:fldCharType="separate"/>
            </w:r>
            <w:r>
              <w:rPr>
                <w:noProof/>
                <w:webHidden/>
              </w:rPr>
              <w:t>33</w:t>
            </w:r>
            <w:r>
              <w:rPr>
                <w:noProof/>
                <w:webHidden/>
              </w:rPr>
              <w:fldChar w:fldCharType="end"/>
            </w:r>
          </w:hyperlink>
        </w:p>
        <w:p w14:paraId="6780D7B8" w14:textId="199954CF"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01" w:history="1">
            <w:r w:rsidRPr="00E50853">
              <w:rPr>
                <w:rStyle w:val="Hyperlink"/>
                <w:b/>
                <w:bCs/>
                <w:noProof/>
              </w:rPr>
              <w:t>2.2</w:t>
            </w:r>
            <w:r>
              <w:rPr>
                <w:rFonts w:eastAsiaTheme="minorEastAsia" w:cstheme="minorBidi"/>
                <w:i w:val="0"/>
                <w:iCs w:val="0"/>
                <w:noProof/>
                <w:sz w:val="24"/>
                <w:szCs w:val="24"/>
                <w:lang w:val="en-QA" w:eastAsia="en-GB"/>
              </w:rPr>
              <w:tab/>
            </w:r>
            <w:r w:rsidRPr="00E50853">
              <w:rPr>
                <w:rStyle w:val="Hyperlink"/>
                <w:b/>
                <w:bCs/>
                <w:noProof/>
              </w:rPr>
              <w:t>Introduction</w:t>
            </w:r>
            <w:r>
              <w:rPr>
                <w:noProof/>
                <w:webHidden/>
              </w:rPr>
              <w:tab/>
            </w:r>
            <w:r>
              <w:rPr>
                <w:noProof/>
                <w:webHidden/>
              </w:rPr>
              <w:fldChar w:fldCharType="begin"/>
            </w:r>
            <w:r>
              <w:rPr>
                <w:noProof/>
                <w:webHidden/>
              </w:rPr>
              <w:instrText xml:space="preserve"> PAGEREF _Toc120622101 \h </w:instrText>
            </w:r>
            <w:r>
              <w:rPr>
                <w:noProof/>
                <w:webHidden/>
              </w:rPr>
            </w:r>
            <w:r>
              <w:rPr>
                <w:noProof/>
                <w:webHidden/>
              </w:rPr>
              <w:fldChar w:fldCharType="separate"/>
            </w:r>
            <w:r>
              <w:rPr>
                <w:noProof/>
                <w:webHidden/>
              </w:rPr>
              <w:t>34</w:t>
            </w:r>
            <w:r>
              <w:rPr>
                <w:noProof/>
                <w:webHidden/>
              </w:rPr>
              <w:fldChar w:fldCharType="end"/>
            </w:r>
          </w:hyperlink>
        </w:p>
        <w:p w14:paraId="54E0A042" w14:textId="60A2E623"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02" w:history="1">
            <w:r w:rsidRPr="00E50853">
              <w:rPr>
                <w:rStyle w:val="Hyperlink"/>
                <w:b/>
                <w:bCs/>
                <w:noProof/>
              </w:rPr>
              <w:t>2.3</w:t>
            </w:r>
            <w:r>
              <w:rPr>
                <w:rFonts w:eastAsiaTheme="minorEastAsia" w:cstheme="minorBidi"/>
                <w:i w:val="0"/>
                <w:iCs w:val="0"/>
                <w:noProof/>
                <w:sz w:val="24"/>
                <w:szCs w:val="24"/>
                <w:lang w:val="en-QA" w:eastAsia="en-GB"/>
              </w:rPr>
              <w:tab/>
            </w:r>
            <w:r w:rsidRPr="00E50853">
              <w:rPr>
                <w:rStyle w:val="Hyperlink"/>
                <w:b/>
                <w:bCs/>
                <w:noProof/>
              </w:rPr>
              <w:t>Methods</w:t>
            </w:r>
            <w:r>
              <w:rPr>
                <w:noProof/>
                <w:webHidden/>
              </w:rPr>
              <w:tab/>
            </w:r>
            <w:r>
              <w:rPr>
                <w:noProof/>
                <w:webHidden/>
              </w:rPr>
              <w:fldChar w:fldCharType="begin"/>
            </w:r>
            <w:r>
              <w:rPr>
                <w:noProof/>
                <w:webHidden/>
              </w:rPr>
              <w:instrText xml:space="preserve"> PAGEREF _Toc120622102 \h </w:instrText>
            </w:r>
            <w:r>
              <w:rPr>
                <w:noProof/>
                <w:webHidden/>
              </w:rPr>
            </w:r>
            <w:r>
              <w:rPr>
                <w:noProof/>
                <w:webHidden/>
              </w:rPr>
              <w:fldChar w:fldCharType="separate"/>
            </w:r>
            <w:r>
              <w:rPr>
                <w:noProof/>
                <w:webHidden/>
              </w:rPr>
              <w:t>38</w:t>
            </w:r>
            <w:r>
              <w:rPr>
                <w:noProof/>
                <w:webHidden/>
              </w:rPr>
              <w:fldChar w:fldCharType="end"/>
            </w:r>
          </w:hyperlink>
        </w:p>
        <w:p w14:paraId="4870EBD4" w14:textId="1DE66972"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03" w:history="1">
            <w:r w:rsidRPr="00E50853">
              <w:rPr>
                <w:rStyle w:val="Hyperlink"/>
                <w:b/>
                <w:bCs/>
                <w:noProof/>
              </w:rPr>
              <w:t>2.3.1</w:t>
            </w:r>
            <w:r>
              <w:rPr>
                <w:rFonts w:eastAsiaTheme="minorEastAsia" w:cstheme="minorBidi"/>
                <w:noProof/>
                <w:sz w:val="24"/>
                <w:szCs w:val="24"/>
                <w:lang w:val="en-QA" w:eastAsia="en-GB"/>
              </w:rPr>
              <w:tab/>
            </w:r>
            <w:r w:rsidRPr="00E50853">
              <w:rPr>
                <w:rStyle w:val="Hyperlink"/>
                <w:b/>
                <w:bCs/>
                <w:noProof/>
              </w:rPr>
              <w:t>Study locations</w:t>
            </w:r>
            <w:r>
              <w:rPr>
                <w:noProof/>
                <w:webHidden/>
              </w:rPr>
              <w:tab/>
            </w:r>
            <w:r>
              <w:rPr>
                <w:noProof/>
                <w:webHidden/>
              </w:rPr>
              <w:fldChar w:fldCharType="begin"/>
            </w:r>
            <w:r>
              <w:rPr>
                <w:noProof/>
                <w:webHidden/>
              </w:rPr>
              <w:instrText xml:space="preserve"> PAGEREF _Toc120622103 \h </w:instrText>
            </w:r>
            <w:r>
              <w:rPr>
                <w:noProof/>
                <w:webHidden/>
              </w:rPr>
            </w:r>
            <w:r>
              <w:rPr>
                <w:noProof/>
                <w:webHidden/>
              </w:rPr>
              <w:fldChar w:fldCharType="separate"/>
            </w:r>
            <w:r>
              <w:rPr>
                <w:noProof/>
                <w:webHidden/>
              </w:rPr>
              <w:t>38</w:t>
            </w:r>
            <w:r>
              <w:rPr>
                <w:noProof/>
                <w:webHidden/>
              </w:rPr>
              <w:fldChar w:fldCharType="end"/>
            </w:r>
          </w:hyperlink>
        </w:p>
        <w:p w14:paraId="2F13F46A" w14:textId="6CA67928"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04" w:history="1">
            <w:r w:rsidRPr="00E50853">
              <w:rPr>
                <w:rStyle w:val="Hyperlink"/>
                <w:b/>
                <w:bCs/>
                <w:noProof/>
              </w:rPr>
              <w:t>2.3.2</w:t>
            </w:r>
            <w:r>
              <w:rPr>
                <w:rFonts w:eastAsiaTheme="minorEastAsia" w:cstheme="minorBidi"/>
                <w:noProof/>
                <w:sz w:val="24"/>
                <w:szCs w:val="24"/>
                <w:lang w:val="en-QA" w:eastAsia="en-GB"/>
              </w:rPr>
              <w:tab/>
            </w:r>
            <w:r w:rsidRPr="00E50853">
              <w:rPr>
                <w:rStyle w:val="Hyperlink"/>
                <w:b/>
                <w:bCs/>
                <w:noProof/>
              </w:rPr>
              <w:t>Sampling design</w:t>
            </w:r>
            <w:r>
              <w:rPr>
                <w:noProof/>
                <w:webHidden/>
              </w:rPr>
              <w:tab/>
            </w:r>
            <w:r>
              <w:rPr>
                <w:noProof/>
                <w:webHidden/>
              </w:rPr>
              <w:fldChar w:fldCharType="begin"/>
            </w:r>
            <w:r>
              <w:rPr>
                <w:noProof/>
                <w:webHidden/>
              </w:rPr>
              <w:instrText xml:space="preserve"> PAGEREF _Toc120622104 \h </w:instrText>
            </w:r>
            <w:r>
              <w:rPr>
                <w:noProof/>
                <w:webHidden/>
              </w:rPr>
            </w:r>
            <w:r>
              <w:rPr>
                <w:noProof/>
                <w:webHidden/>
              </w:rPr>
              <w:fldChar w:fldCharType="separate"/>
            </w:r>
            <w:r>
              <w:rPr>
                <w:noProof/>
                <w:webHidden/>
              </w:rPr>
              <w:t>39</w:t>
            </w:r>
            <w:r>
              <w:rPr>
                <w:noProof/>
                <w:webHidden/>
              </w:rPr>
              <w:fldChar w:fldCharType="end"/>
            </w:r>
          </w:hyperlink>
        </w:p>
        <w:p w14:paraId="2B945C87" w14:textId="1FCEC3A1"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05" w:history="1">
            <w:r w:rsidRPr="00E50853">
              <w:rPr>
                <w:rStyle w:val="Hyperlink"/>
                <w:b/>
                <w:bCs/>
                <w:noProof/>
              </w:rPr>
              <w:t>2.3.3</w:t>
            </w:r>
            <w:r>
              <w:rPr>
                <w:rFonts w:eastAsiaTheme="minorEastAsia" w:cstheme="minorBidi"/>
                <w:noProof/>
                <w:sz w:val="24"/>
                <w:szCs w:val="24"/>
                <w:lang w:val="en-QA" w:eastAsia="en-GB"/>
              </w:rPr>
              <w:tab/>
            </w:r>
            <w:r w:rsidRPr="00E50853">
              <w:rPr>
                <w:rStyle w:val="Hyperlink"/>
                <w:b/>
                <w:bCs/>
                <w:noProof/>
              </w:rPr>
              <w:t>Above and below ground production</w:t>
            </w:r>
            <w:r>
              <w:rPr>
                <w:noProof/>
                <w:webHidden/>
              </w:rPr>
              <w:tab/>
            </w:r>
            <w:r>
              <w:rPr>
                <w:noProof/>
                <w:webHidden/>
              </w:rPr>
              <w:fldChar w:fldCharType="begin"/>
            </w:r>
            <w:r>
              <w:rPr>
                <w:noProof/>
                <w:webHidden/>
              </w:rPr>
              <w:instrText xml:space="preserve"> PAGEREF _Toc120622105 \h </w:instrText>
            </w:r>
            <w:r>
              <w:rPr>
                <w:noProof/>
                <w:webHidden/>
              </w:rPr>
            </w:r>
            <w:r>
              <w:rPr>
                <w:noProof/>
                <w:webHidden/>
              </w:rPr>
              <w:fldChar w:fldCharType="separate"/>
            </w:r>
            <w:r>
              <w:rPr>
                <w:noProof/>
                <w:webHidden/>
              </w:rPr>
              <w:t>40</w:t>
            </w:r>
            <w:r>
              <w:rPr>
                <w:noProof/>
                <w:webHidden/>
              </w:rPr>
              <w:fldChar w:fldCharType="end"/>
            </w:r>
          </w:hyperlink>
        </w:p>
        <w:p w14:paraId="75AE6E99" w14:textId="3A507C31"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06" w:history="1">
            <w:r w:rsidRPr="00E50853">
              <w:rPr>
                <w:rStyle w:val="Hyperlink"/>
                <w:b/>
                <w:bCs/>
                <w:noProof/>
              </w:rPr>
              <w:t>2.3.4</w:t>
            </w:r>
            <w:r>
              <w:rPr>
                <w:rFonts w:eastAsiaTheme="minorEastAsia" w:cstheme="minorBidi"/>
                <w:noProof/>
                <w:sz w:val="24"/>
                <w:szCs w:val="24"/>
                <w:lang w:val="en-QA" w:eastAsia="en-GB"/>
              </w:rPr>
              <w:tab/>
            </w:r>
            <w:r w:rsidRPr="00E50853">
              <w:rPr>
                <w:rStyle w:val="Hyperlink"/>
                <w:b/>
                <w:bCs/>
                <w:noProof/>
              </w:rPr>
              <w:t>Soil respiration</w:t>
            </w:r>
            <w:r>
              <w:rPr>
                <w:noProof/>
                <w:webHidden/>
              </w:rPr>
              <w:tab/>
            </w:r>
            <w:r>
              <w:rPr>
                <w:noProof/>
                <w:webHidden/>
              </w:rPr>
              <w:fldChar w:fldCharType="begin"/>
            </w:r>
            <w:r>
              <w:rPr>
                <w:noProof/>
                <w:webHidden/>
              </w:rPr>
              <w:instrText xml:space="preserve"> PAGEREF _Toc120622106 \h </w:instrText>
            </w:r>
            <w:r>
              <w:rPr>
                <w:noProof/>
                <w:webHidden/>
              </w:rPr>
            </w:r>
            <w:r>
              <w:rPr>
                <w:noProof/>
                <w:webHidden/>
              </w:rPr>
              <w:fldChar w:fldCharType="separate"/>
            </w:r>
            <w:r>
              <w:rPr>
                <w:noProof/>
                <w:webHidden/>
              </w:rPr>
              <w:t>40</w:t>
            </w:r>
            <w:r>
              <w:rPr>
                <w:noProof/>
                <w:webHidden/>
              </w:rPr>
              <w:fldChar w:fldCharType="end"/>
            </w:r>
          </w:hyperlink>
        </w:p>
        <w:p w14:paraId="3FD5CF54" w14:textId="51E91377"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07" w:history="1">
            <w:r w:rsidRPr="00E50853">
              <w:rPr>
                <w:rStyle w:val="Hyperlink"/>
                <w:b/>
                <w:bCs/>
                <w:noProof/>
              </w:rPr>
              <w:t>2.3.5</w:t>
            </w:r>
            <w:r>
              <w:rPr>
                <w:rFonts w:eastAsiaTheme="minorEastAsia" w:cstheme="minorBidi"/>
                <w:noProof/>
                <w:sz w:val="24"/>
                <w:szCs w:val="24"/>
                <w:lang w:val="en-QA" w:eastAsia="en-GB"/>
              </w:rPr>
              <w:tab/>
            </w:r>
            <w:r w:rsidRPr="00E50853">
              <w:rPr>
                <w:rStyle w:val="Hyperlink"/>
                <w:b/>
                <w:bCs/>
                <w:noProof/>
              </w:rPr>
              <w:t>Data analysis</w:t>
            </w:r>
            <w:r>
              <w:rPr>
                <w:noProof/>
                <w:webHidden/>
              </w:rPr>
              <w:tab/>
            </w:r>
            <w:r>
              <w:rPr>
                <w:noProof/>
                <w:webHidden/>
              </w:rPr>
              <w:fldChar w:fldCharType="begin"/>
            </w:r>
            <w:r>
              <w:rPr>
                <w:noProof/>
                <w:webHidden/>
              </w:rPr>
              <w:instrText xml:space="preserve"> PAGEREF _Toc120622107 \h </w:instrText>
            </w:r>
            <w:r>
              <w:rPr>
                <w:noProof/>
                <w:webHidden/>
              </w:rPr>
            </w:r>
            <w:r>
              <w:rPr>
                <w:noProof/>
                <w:webHidden/>
              </w:rPr>
              <w:fldChar w:fldCharType="separate"/>
            </w:r>
            <w:r>
              <w:rPr>
                <w:noProof/>
                <w:webHidden/>
              </w:rPr>
              <w:t>41</w:t>
            </w:r>
            <w:r>
              <w:rPr>
                <w:noProof/>
                <w:webHidden/>
              </w:rPr>
              <w:fldChar w:fldCharType="end"/>
            </w:r>
          </w:hyperlink>
        </w:p>
        <w:p w14:paraId="087FAB27" w14:textId="280A9619"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08" w:history="1">
            <w:r w:rsidRPr="00E50853">
              <w:rPr>
                <w:rStyle w:val="Hyperlink"/>
                <w:b/>
                <w:bCs/>
                <w:noProof/>
              </w:rPr>
              <w:t>2.4</w:t>
            </w:r>
            <w:r>
              <w:rPr>
                <w:rFonts w:eastAsiaTheme="minorEastAsia" w:cstheme="minorBidi"/>
                <w:i w:val="0"/>
                <w:iCs w:val="0"/>
                <w:noProof/>
                <w:sz w:val="24"/>
                <w:szCs w:val="24"/>
                <w:lang w:val="en-QA" w:eastAsia="en-GB"/>
              </w:rPr>
              <w:tab/>
            </w:r>
            <w:r w:rsidRPr="00E50853">
              <w:rPr>
                <w:rStyle w:val="Hyperlink"/>
                <w:b/>
                <w:bCs/>
                <w:noProof/>
              </w:rPr>
              <w:t>Results</w:t>
            </w:r>
            <w:r>
              <w:rPr>
                <w:noProof/>
                <w:webHidden/>
              </w:rPr>
              <w:tab/>
            </w:r>
            <w:r>
              <w:rPr>
                <w:noProof/>
                <w:webHidden/>
              </w:rPr>
              <w:fldChar w:fldCharType="begin"/>
            </w:r>
            <w:r>
              <w:rPr>
                <w:noProof/>
                <w:webHidden/>
              </w:rPr>
              <w:instrText xml:space="preserve"> PAGEREF _Toc120622108 \h </w:instrText>
            </w:r>
            <w:r>
              <w:rPr>
                <w:noProof/>
                <w:webHidden/>
              </w:rPr>
            </w:r>
            <w:r>
              <w:rPr>
                <w:noProof/>
                <w:webHidden/>
              </w:rPr>
              <w:fldChar w:fldCharType="separate"/>
            </w:r>
            <w:r>
              <w:rPr>
                <w:noProof/>
                <w:webHidden/>
              </w:rPr>
              <w:t>43</w:t>
            </w:r>
            <w:r>
              <w:rPr>
                <w:noProof/>
                <w:webHidden/>
              </w:rPr>
              <w:fldChar w:fldCharType="end"/>
            </w:r>
          </w:hyperlink>
        </w:p>
        <w:p w14:paraId="24D59E48" w14:textId="48A40A94"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09" w:history="1">
            <w:r w:rsidRPr="00E50853">
              <w:rPr>
                <w:rStyle w:val="Hyperlink"/>
                <w:b/>
                <w:bCs/>
                <w:noProof/>
              </w:rPr>
              <w:t>2.4.1</w:t>
            </w:r>
            <w:r>
              <w:rPr>
                <w:rFonts w:eastAsiaTheme="minorEastAsia" w:cstheme="minorBidi"/>
                <w:noProof/>
                <w:sz w:val="24"/>
                <w:szCs w:val="24"/>
                <w:lang w:val="en-QA" w:eastAsia="en-GB"/>
              </w:rPr>
              <w:tab/>
            </w:r>
            <w:r w:rsidRPr="00E50853">
              <w:rPr>
                <w:rStyle w:val="Hyperlink"/>
                <w:b/>
                <w:bCs/>
                <w:noProof/>
              </w:rPr>
              <w:t>Litterfall</w:t>
            </w:r>
            <w:r>
              <w:rPr>
                <w:noProof/>
                <w:webHidden/>
              </w:rPr>
              <w:tab/>
            </w:r>
            <w:r>
              <w:rPr>
                <w:noProof/>
                <w:webHidden/>
              </w:rPr>
              <w:fldChar w:fldCharType="begin"/>
            </w:r>
            <w:r>
              <w:rPr>
                <w:noProof/>
                <w:webHidden/>
              </w:rPr>
              <w:instrText xml:space="preserve"> PAGEREF _Toc120622109 \h </w:instrText>
            </w:r>
            <w:r>
              <w:rPr>
                <w:noProof/>
                <w:webHidden/>
              </w:rPr>
            </w:r>
            <w:r>
              <w:rPr>
                <w:noProof/>
                <w:webHidden/>
              </w:rPr>
              <w:fldChar w:fldCharType="separate"/>
            </w:r>
            <w:r>
              <w:rPr>
                <w:noProof/>
                <w:webHidden/>
              </w:rPr>
              <w:t>43</w:t>
            </w:r>
            <w:r>
              <w:rPr>
                <w:noProof/>
                <w:webHidden/>
              </w:rPr>
              <w:fldChar w:fldCharType="end"/>
            </w:r>
          </w:hyperlink>
        </w:p>
        <w:p w14:paraId="322602F4" w14:textId="3C5275A5"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10" w:history="1">
            <w:r w:rsidRPr="00E50853">
              <w:rPr>
                <w:rStyle w:val="Hyperlink"/>
                <w:b/>
                <w:bCs/>
                <w:noProof/>
              </w:rPr>
              <w:t>2.4.2</w:t>
            </w:r>
            <w:r>
              <w:rPr>
                <w:rFonts w:eastAsiaTheme="minorEastAsia" w:cstheme="minorBidi"/>
                <w:noProof/>
                <w:sz w:val="24"/>
                <w:szCs w:val="24"/>
                <w:lang w:val="en-QA" w:eastAsia="en-GB"/>
              </w:rPr>
              <w:tab/>
            </w:r>
            <w:r w:rsidRPr="00E50853">
              <w:rPr>
                <w:rStyle w:val="Hyperlink"/>
                <w:b/>
                <w:bCs/>
                <w:noProof/>
              </w:rPr>
              <w:t>Aboveground apical shoot growth</w:t>
            </w:r>
            <w:r>
              <w:rPr>
                <w:noProof/>
                <w:webHidden/>
              </w:rPr>
              <w:tab/>
            </w:r>
            <w:r>
              <w:rPr>
                <w:noProof/>
                <w:webHidden/>
              </w:rPr>
              <w:fldChar w:fldCharType="begin"/>
            </w:r>
            <w:r>
              <w:rPr>
                <w:noProof/>
                <w:webHidden/>
              </w:rPr>
              <w:instrText xml:space="preserve"> PAGEREF _Toc120622110 \h </w:instrText>
            </w:r>
            <w:r>
              <w:rPr>
                <w:noProof/>
                <w:webHidden/>
              </w:rPr>
            </w:r>
            <w:r>
              <w:rPr>
                <w:noProof/>
                <w:webHidden/>
              </w:rPr>
              <w:fldChar w:fldCharType="separate"/>
            </w:r>
            <w:r>
              <w:rPr>
                <w:noProof/>
                <w:webHidden/>
              </w:rPr>
              <w:t>46</w:t>
            </w:r>
            <w:r>
              <w:rPr>
                <w:noProof/>
                <w:webHidden/>
              </w:rPr>
              <w:fldChar w:fldCharType="end"/>
            </w:r>
          </w:hyperlink>
        </w:p>
        <w:p w14:paraId="774C1976" w14:textId="49F2642B"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11" w:history="1">
            <w:r w:rsidRPr="00E50853">
              <w:rPr>
                <w:rStyle w:val="Hyperlink"/>
                <w:b/>
                <w:bCs/>
                <w:noProof/>
              </w:rPr>
              <w:t>2.4.3</w:t>
            </w:r>
            <w:r>
              <w:rPr>
                <w:rFonts w:eastAsiaTheme="minorEastAsia" w:cstheme="minorBidi"/>
                <w:noProof/>
                <w:sz w:val="24"/>
                <w:szCs w:val="24"/>
                <w:lang w:val="en-QA" w:eastAsia="en-GB"/>
              </w:rPr>
              <w:tab/>
            </w:r>
            <w:r w:rsidRPr="00E50853">
              <w:rPr>
                <w:rStyle w:val="Hyperlink"/>
                <w:b/>
                <w:bCs/>
                <w:noProof/>
              </w:rPr>
              <w:t>Below ground tree growth</w:t>
            </w:r>
            <w:r>
              <w:rPr>
                <w:noProof/>
                <w:webHidden/>
              </w:rPr>
              <w:tab/>
            </w:r>
            <w:r>
              <w:rPr>
                <w:noProof/>
                <w:webHidden/>
              </w:rPr>
              <w:fldChar w:fldCharType="begin"/>
            </w:r>
            <w:r>
              <w:rPr>
                <w:noProof/>
                <w:webHidden/>
              </w:rPr>
              <w:instrText xml:space="preserve"> PAGEREF _Toc120622111 \h </w:instrText>
            </w:r>
            <w:r>
              <w:rPr>
                <w:noProof/>
                <w:webHidden/>
              </w:rPr>
            </w:r>
            <w:r>
              <w:rPr>
                <w:noProof/>
                <w:webHidden/>
              </w:rPr>
              <w:fldChar w:fldCharType="separate"/>
            </w:r>
            <w:r>
              <w:rPr>
                <w:noProof/>
                <w:webHidden/>
              </w:rPr>
              <w:t>47</w:t>
            </w:r>
            <w:r>
              <w:rPr>
                <w:noProof/>
                <w:webHidden/>
              </w:rPr>
              <w:fldChar w:fldCharType="end"/>
            </w:r>
          </w:hyperlink>
        </w:p>
        <w:p w14:paraId="3D79C75E" w14:textId="7625E0CF"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12" w:history="1">
            <w:r w:rsidRPr="00E50853">
              <w:rPr>
                <w:rStyle w:val="Hyperlink"/>
                <w:b/>
                <w:bCs/>
                <w:noProof/>
              </w:rPr>
              <w:t>2.4.4</w:t>
            </w:r>
            <w:r>
              <w:rPr>
                <w:rFonts w:eastAsiaTheme="minorEastAsia" w:cstheme="minorBidi"/>
                <w:noProof/>
                <w:sz w:val="24"/>
                <w:szCs w:val="24"/>
                <w:lang w:val="en-QA" w:eastAsia="en-GB"/>
              </w:rPr>
              <w:tab/>
            </w:r>
            <w:r w:rsidRPr="00E50853">
              <w:rPr>
                <w:rStyle w:val="Hyperlink"/>
                <w:b/>
                <w:bCs/>
                <w:noProof/>
              </w:rPr>
              <w:t>Soil respiration</w:t>
            </w:r>
            <w:r>
              <w:rPr>
                <w:noProof/>
                <w:webHidden/>
              </w:rPr>
              <w:tab/>
            </w:r>
            <w:r>
              <w:rPr>
                <w:noProof/>
                <w:webHidden/>
              </w:rPr>
              <w:fldChar w:fldCharType="begin"/>
            </w:r>
            <w:r>
              <w:rPr>
                <w:noProof/>
                <w:webHidden/>
              </w:rPr>
              <w:instrText xml:space="preserve"> PAGEREF _Toc120622112 \h </w:instrText>
            </w:r>
            <w:r>
              <w:rPr>
                <w:noProof/>
                <w:webHidden/>
              </w:rPr>
            </w:r>
            <w:r>
              <w:rPr>
                <w:noProof/>
                <w:webHidden/>
              </w:rPr>
              <w:fldChar w:fldCharType="separate"/>
            </w:r>
            <w:r>
              <w:rPr>
                <w:noProof/>
                <w:webHidden/>
              </w:rPr>
              <w:t>48</w:t>
            </w:r>
            <w:r>
              <w:rPr>
                <w:noProof/>
                <w:webHidden/>
              </w:rPr>
              <w:fldChar w:fldCharType="end"/>
            </w:r>
          </w:hyperlink>
        </w:p>
        <w:p w14:paraId="03E23299" w14:textId="36C2DDDA"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13" w:history="1">
            <w:r w:rsidRPr="00E50853">
              <w:rPr>
                <w:rStyle w:val="Hyperlink"/>
                <w:b/>
                <w:bCs/>
                <w:noProof/>
              </w:rPr>
              <w:t>2.5</w:t>
            </w:r>
            <w:r>
              <w:rPr>
                <w:rFonts w:eastAsiaTheme="minorEastAsia" w:cstheme="minorBidi"/>
                <w:i w:val="0"/>
                <w:iCs w:val="0"/>
                <w:noProof/>
                <w:sz w:val="24"/>
                <w:szCs w:val="24"/>
                <w:lang w:val="en-QA" w:eastAsia="en-GB"/>
              </w:rPr>
              <w:tab/>
            </w:r>
            <w:r w:rsidRPr="00E50853">
              <w:rPr>
                <w:rStyle w:val="Hyperlink"/>
                <w:b/>
                <w:bCs/>
                <w:noProof/>
              </w:rPr>
              <w:t>Discussion</w:t>
            </w:r>
            <w:r>
              <w:rPr>
                <w:noProof/>
                <w:webHidden/>
              </w:rPr>
              <w:tab/>
            </w:r>
            <w:r>
              <w:rPr>
                <w:noProof/>
                <w:webHidden/>
              </w:rPr>
              <w:fldChar w:fldCharType="begin"/>
            </w:r>
            <w:r>
              <w:rPr>
                <w:noProof/>
                <w:webHidden/>
              </w:rPr>
              <w:instrText xml:space="preserve"> PAGEREF _Toc120622113 \h </w:instrText>
            </w:r>
            <w:r>
              <w:rPr>
                <w:noProof/>
                <w:webHidden/>
              </w:rPr>
            </w:r>
            <w:r>
              <w:rPr>
                <w:noProof/>
                <w:webHidden/>
              </w:rPr>
              <w:fldChar w:fldCharType="separate"/>
            </w:r>
            <w:r>
              <w:rPr>
                <w:noProof/>
                <w:webHidden/>
              </w:rPr>
              <w:t>49</w:t>
            </w:r>
            <w:r>
              <w:rPr>
                <w:noProof/>
                <w:webHidden/>
              </w:rPr>
              <w:fldChar w:fldCharType="end"/>
            </w:r>
          </w:hyperlink>
        </w:p>
        <w:p w14:paraId="17BBDC12" w14:textId="4F6A2329" w:rsidR="00BE6337" w:rsidRDefault="00BE6337">
          <w:pPr>
            <w:pStyle w:val="TOC1"/>
            <w:tabs>
              <w:tab w:val="left" w:pos="480"/>
              <w:tab w:val="right" w:leader="dot" w:pos="9016"/>
            </w:tabs>
            <w:rPr>
              <w:rFonts w:eastAsiaTheme="minorEastAsia" w:cstheme="minorBidi"/>
              <w:b w:val="0"/>
              <w:bCs w:val="0"/>
              <w:noProof/>
              <w:sz w:val="24"/>
              <w:szCs w:val="24"/>
              <w:lang w:val="en-QA" w:eastAsia="en-GB"/>
            </w:rPr>
          </w:pPr>
          <w:hyperlink w:anchor="_Toc120622114" w:history="1">
            <w:r w:rsidRPr="00E50853">
              <w:rPr>
                <w:rStyle w:val="Hyperlink"/>
                <w:noProof/>
              </w:rPr>
              <w:t>3.</w:t>
            </w:r>
            <w:r>
              <w:rPr>
                <w:rFonts w:eastAsiaTheme="minorEastAsia" w:cstheme="minorBidi"/>
                <w:b w:val="0"/>
                <w:bCs w:val="0"/>
                <w:noProof/>
                <w:sz w:val="24"/>
                <w:szCs w:val="24"/>
                <w:lang w:val="en-QA" w:eastAsia="en-GB"/>
              </w:rPr>
              <w:tab/>
            </w:r>
            <w:r w:rsidRPr="00E50853">
              <w:rPr>
                <w:rStyle w:val="Hyperlink"/>
                <w:noProof/>
              </w:rPr>
              <w:t>Past, present and future global mangrove primary productivity</w:t>
            </w:r>
            <w:r>
              <w:rPr>
                <w:noProof/>
                <w:webHidden/>
              </w:rPr>
              <w:tab/>
            </w:r>
            <w:r>
              <w:rPr>
                <w:noProof/>
                <w:webHidden/>
              </w:rPr>
              <w:fldChar w:fldCharType="begin"/>
            </w:r>
            <w:r>
              <w:rPr>
                <w:noProof/>
                <w:webHidden/>
              </w:rPr>
              <w:instrText xml:space="preserve"> PAGEREF _Toc120622114 \h </w:instrText>
            </w:r>
            <w:r>
              <w:rPr>
                <w:noProof/>
                <w:webHidden/>
              </w:rPr>
            </w:r>
            <w:r>
              <w:rPr>
                <w:noProof/>
                <w:webHidden/>
              </w:rPr>
              <w:fldChar w:fldCharType="separate"/>
            </w:r>
            <w:r>
              <w:rPr>
                <w:noProof/>
                <w:webHidden/>
              </w:rPr>
              <w:t>57</w:t>
            </w:r>
            <w:r>
              <w:rPr>
                <w:noProof/>
                <w:webHidden/>
              </w:rPr>
              <w:fldChar w:fldCharType="end"/>
            </w:r>
          </w:hyperlink>
        </w:p>
        <w:p w14:paraId="1CF652C4" w14:textId="0462336B"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15" w:history="1">
            <w:r w:rsidRPr="00E50853">
              <w:rPr>
                <w:rStyle w:val="Hyperlink"/>
                <w:b/>
                <w:bCs/>
                <w:noProof/>
                <w:lang w:val="en-US"/>
              </w:rPr>
              <w:t>3.1</w:t>
            </w:r>
            <w:r>
              <w:rPr>
                <w:rFonts w:eastAsiaTheme="minorEastAsia" w:cstheme="minorBidi"/>
                <w:i w:val="0"/>
                <w:iCs w:val="0"/>
                <w:noProof/>
                <w:sz w:val="24"/>
                <w:szCs w:val="24"/>
                <w:lang w:val="en-QA" w:eastAsia="en-GB"/>
              </w:rPr>
              <w:tab/>
            </w:r>
            <w:r w:rsidRPr="00E50853">
              <w:rPr>
                <w:rStyle w:val="Hyperlink"/>
                <w:b/>
                <w:bCs/>
                <w:noProof/>
                <w:lang w:val="en-US"/>
              </w:rPr>
              <w:t>Abstract</w:t>
            </w:r>
            <w:r>
              <w:rPr>
                <w:noProof/>
                <w:webHidden/>
              </w:rPr>
              <w:tab/>
            </w:r>
            <w:r>
              <w:rPr>
                <w:noProof/>
                <w:webHidden/>
              </w:rPr>
              <w:fldChar w:fldCharType="begin"/>
            </w:r>
            <w:r>
              <w:rPr>
                <w:noProof/>
                <w:webHidden/>
              </w:rPr>
              <w:instrText xml:space="preserve"> PAGEREF _Toc120622115 \h </w:instrText>
            </w:r>
            <w:r>
              <w:rPr>
                <w:noProof/>
                <w:webHidden/>
              </w:rPr>
            </w:r>
            <w:r>
              <w:rPr>
                <w:noProof/>
                <w:webHidden/>
              </w:rPr>
              <w:fldChar w:fldCharType="separate"/>
            </w:r>
            <w:r>
              <w:rPr>
                <w:noProof/>
                <w:webHidden/>
              </w:rPr>
              <w:t>58</w:t>
            </w:r>
            <w:r>
              <w:rPr>
                <w:noProof/>
                <w:webHidden/>
              </w:rPr>
              <w:fldChar w:fldCharType="end"/>
            </w:r>
          </w:hyperlink>
        </w:p>
        <w:p w14:paraId="30D1F3D5" w14:textId="0C166766"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16" w:history="1">
            <w:r w:rsidRPr="00E50853">
              <w:rPr>
                <w:rStyle w:val="Hyperlink"/>
                <w:b/>
                <w:bCs/>
                <w:noProof/>
                <w:lang w:val="en-US"/>
              </w:rPr>
              <w:t>3.2</w:t>
            </w:r>
            <w:r>
              <w:rPr>
                <w:rFonts w:eastAsiaTheme="minorEastAsia" w:cstheme="minorBidi"/>
                <w:i w:val="0"/>
                <w:iCs w:val="0"/>
                <w:noProof/>
                <w:sz w:val="24"/>
                <w:szCs w:val="24"/>
                <w:lang w:val="en-QA" w:eastAsia="en-GB"/>
              </w:rPr>
              <w:tab/>
            </w:r>
            <w:r w:rsidRPr="00E50853">
              <w:rPr>
                <w:rStyle w:val="Hyperlink"/>
                <w:b/>
                <w:bCs/>
                <w:noProof/>
                <w:lang w:val="en-US"/>
              </w:rPr>
              <w:t>Introduction</w:t>
            </w:r>
            <w:r>
              <w:rPr>
                <w:noProof/>
                <w:webHidden/>
              </w:rPr>
              <w:tab/>
            </w:r>
            <w:r>
              <w:rPr>
                <w:noProof/>
                <w:webHidden/>
              </w:rPr>
              <w:fldChar w:fldCharType="begin"/>
            </w:r>
            <w:r>
              <w:rPr>
                <w:noProof/>
                <w:webHidden/>
              </w:rPr>
              <w:instrText xml:space="preserve"> PAGEREF _Toc120622116 \h </w:instrText>
            </w:r>
            <w:r>
              <w:rPr>
                <w:noProof/>
                <w:webHidden/>
              </w:rPr>
            </w:r>
            <w:r>
              <w:rPr>
                <w:noProof/>
                <w:webHidden/>
              </w:rPr>
              <w:fldChar w:fldCharType="separate"/>
            </w:r>
            <w:r>
              <w:rPr>
                <w:noProof/>
                <w:webHidden/>
              </w:rPr>
              <w:t>59</w:t>
            </w:r>
            <w:r>
              <w:rPr>
                <w:noProof/>
                <w:webHidden/>
              </w:rPr>
              <w:fldChar w:fldCharType="end"/>
            </w:r>
          </w:hyperlink>
        </w:p>
        <w:p w14:paraId="018408ED" w14:textId="405F78D1"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17" w:history="1">
            <w:r w:rsidRPr="00E50853">
              <w:rPr>
                <w:rStyle w:val="Hyperlink"/>
                <w:b/>
                <w:bCs/>
                <w:noProof/>
                <w:lang w:val="en-US"/>
              </w:rPr>
              <w:t>3.3</w:t>
            </w:r>
            <w:r>
              <w:rPr>
                <w:rFonts w:eastAsiaTheme="minorEastAsia" w:cstheme="minorBidi"/>
                <w:i w:val="0"/>
                <w:iCs w:val="0"/>
                <w:noProof/>
                <w:sz w:val="24"/>
                <w:szCs w:val="24"/>
                <w:lang w:val="en-QA" w:eastAsia="en-GB"/>
              </w:rPr>
              <w:tab/>
            </w:r>
            <w:r w:rsidRPr="00E50853">
              <w:rPr>
                <w:rStyle w:val="Hyperlink"/>
                <w:b/>
                <w:bCs/>
                <w:noProof/>
                <w:lang w:val="en-US"/>
              </w:rPr>
              <w:t>Methods</w:t>
            </w:r>
            <w:r>
              <w:rPr>
                <w:noProof/>
                <w:webHidden/>
              </w:rPr>
              <w:tab/>
            </w:r>
            <w:r>
              <w:rPr>
                <w:noProof/>
                <w:webHidden/>
              </w:rPr>
              <w:fldChar w:fldCharType="begin"/>
            </w:r>
            <w:r>
              <w:rPr>
                <w:noProof/>
                <w:webHidden/>
              </w:rPr>
              <w:instrText xml:space="preserve"> PAGEREF _Toc120622117 \h </w:instrText>
            </w:r>
            <w:r>
              <w:rPr>
                <w:noProof/>
                <w:webHidden/>
              </w:rPr>
            </w:r>
            <w:r>
              <w:rPr>
                <w:noProof/>
                <w:webHidden/>
              </w:rPr>
              <w:fldChar w:fldCharType="separate"/>
            </w:r>
            <w:r>
              <w:rPr>
                <w:noProof/>
                <w:webHidden/>
              </w:rPr>
              <w:t>62</w:t>
            </w:r>
            <w:r>
              <w:rPr>
                <w:noProof/>
                <w:webHidden/>
              </w:rPr>
              <w:fldChar w:fldCharType="end"/>
            </w:r>
          </w:hyperlink>
        </w:p>
        <w:p w14:paraId="415717B5" w14:textId="77429D61"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18" w:history="1">
            <w:r w:rsidRPr="00E50853">
              <w:rPr>
                <w:rStyle w:val="Hyperlink"/>
                <w:b/>
                <w:bCs/>
                <w:noProof/>
              </w:rPr>
              <w:t>3.3.1</w:t>
            </w:r>
            <w:r>
              <w:rPr>
                <w:rFonts w:eastAsiaTheme="minorEastAsia" w:cstheme="minorBidi"/>
                <w:noProof/>
                <w:sz w:val="24"/>
                <w:szCs w:val="24"/>
                <w:lang w:val="en-QA" w:eastAsia="en-GB"/>
              </w:rPr>
              <w:tab/>
            </w:r>
            <w:r w:rsidRPr="00E50853">
              <w:rPr>
                <w:rStyle w:val="Hyperlink"/>
                <w:b/>
                <w:bCs/>
                <w:noProof/>
              </w:rPr>
              <w:t>Sourcing literature data</w:t>
            </w:r>
            <w:r>
              <w:rPr>
                <w:noProof/>
                <w:webHidden/>
              </w:rPr>
              <w:tab/>
            </w:r>
            <w:r>
              <w:rPr>
                <w:noProof/>
                <w:webHidden/>
              </w:rPr>
              <w:fldChar w:fldCharType="begin"/>
            </w:r>
            <w:r>
              <w:rPr>
                <w:noProof/>
                <w:webHidden/>
              </w:rPr>
              <w:instrText xml:space="preserve"> PAGEREF _Toc120622118 \h </w:instrText>
            </w:r>
            <w:r>
              <w:rPr>
                <w:noProof/>
                <w:webHidden/>
              </w:rPr>
            </w:r>
            <w:r>
              <w:rPr>
                <w:noProof/>
                <w:webHidden/>
              </w:rPr>
              <w:fldChar w:fldCharType="separate"/>
            </w:r>
            <w:r>
              <w:rPr>
                <w:noProof/>
                <w:webHidden/>
              </w:rPr>
              <w:t>62</w:t>
            </w:r>
            <w:r>
              <w:rPr>
                <w:noProof/>
                <w:webHidden/>
              </w:rPr>
              <w:fldChar w:fldCharType="end"/>
            </w:r>
          </w:hyperlink>
        </w:p>
        <w:p w14:paraId="453549A8" w14:textId="1526ADAB"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19" w:history="1">
            <w:r w:rsidRPr="00E50853">
              <w:rPr>
                <w:rStyle w:val="Hyperlink"/>
                <w:b/>
                <w:bCs/>
                <w:noProof/>
                <w:lang w:eastAsia="en-GB"/>
              </w:rPr>
              <w:t>3.3.2</w:t>
            </w:r>
            <w:r>
              <w:rPr>
                <w:rFonts w:eastAsiaTheme="minorEastAsia" w:cstheme="minorBidi"/>
                <w:noProof/>
                <w:sz w:val="24"/>
                <w:szCs w:val="24"/>
                <w:lang w:val="en-QA" w:eastAsia="en-GB"/>
              </w:rPr>
              <w:tab/>
            </w:r>
            <w:r w:rsidRPr="00E50853">
              <w:rPr>
                <w:rStyle w:val="Hyperlink"/>
                <w:b/>
                <w:bCs/>
                <w:noProof/>
                <w:lang w:eastAsia="en-GB"/>
              </w:rPr>
              <w:t>Method of predictive modelling</w:t>
            </w:r>
            <w:r>
              <w:rPr>
                <w:noProof/>
                <w:webHidden/>
              </w:rPr>
              <w:tab/>
            </w:r>
            <w:r>
              <w:rPr>
                <w:noProof/>
                <w:webHidden/>
              </w:rPr>
              <w:fldChar w:fldCharType="begin"/>
            </w:r>
            <w:r>
              <w:rPr>
                <w:noProof/>
                <w:webHidden/>
              </w:rPr>
              <w:instrText xml:space="preserve"> PAGEREF _Toc120622119 \h </w:instrText>
            </w:r>
            <w:r>
              <w:rPr>
                <w:noProof/>
                <w:webHidden/>
              </w:rPr>
            </w:r>
            <w:r>
              <w:rPr>
                <w:noProof/>
                <w:webHidden/>
              </w:rPr>
              <w:fldChar w:fldCharType="separate"/>
            </w:r>
            <w:r>
              <w:rPr>
                <w:noProof/>
                <w:webHidden/>
              </w:rPr>
              <w:t>63</w:t>
            </w:r>
            <w:r>
              <w:rPr>
                <w:noProof/>
                <w:webHidden/>
              </w:rPr>
              <w:fldChar w:fldCharType="end"/>
            </w:r>
          </w:hyperlink>
        </w:p>
        <w:p w14:paraId="28577B3D" w14:textId="50EC3224"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20" w:history="1">
            <w:r w:rsidRPr="00E50853">
              <w:rPr>
                <w:rStyle w:val="Hyperlink"/>
                <w:b/>
                <w:bCs/>
                <w:noProof/>
              </w:rPr>
              <w:t>3.3.3</w:t>
            </w:r>
            <w:r>
              <w:rPr>
                <w:rFonts w:eastAsiaTheme="minorEastAsia" w:cstheme="minorBidi"/>
                <w:noProof/>
                <w:sz w:val="24"/>
                <w:szCs w:val="24"/>
                <w:lang w:val="en-QA" w:eastAsia="en-GB"/>
              </w:rPr>
              <w:tab/>
            </w:r>
            <w:r w:rsidRPr="00E50853">
              <w:rPr>
                <w:rStyle w:val="Hyperlink"/>
                <w:b/>
                <w:bCs/>
                <w:noProof/>
              </w:rPr>
              <w:t>Generating monthly global leaf litter estimates from 1980 to 2094</w:t>
            </w:r>
            <w:r>
              <w:rPr>
                <w:noProof/>
                <w:webHidden/>
              </w:rPr>
              <w:tab/>
            </w:r>
            <w:r>
              <w:rPr>
                <w:noProof/>
                <w:webHidden/>
              </w:rPr>
              <w:fldChar w:fldCharType="begin"/>
            </w:r>
            <w:r>
              <w:rPr>
                <w:noProof/>
                <w:webHidden/>
              </w:rPr>
              <w:instrText xml:space="preserve"> PAGEREF _Toc120622120 \h </w:instrText>
            </w:r>
            <w:r>
              <w:rPr>
                <w:noProof/>
                <w:webHidden/>
              </w:rPr>
            </w:r>
            <w:r>
              <w:rPr>
                <w:noProof/>
                <w:webHidden/>
              </w:rPr>
              <w:fldChar w:fldCharType="separate"/>
            </w:r>
            <w:r>
              <w:rPr>
                <w:noProof/>
                <w:webHidden/>
              </w:rPr>
              <w:t>64</w:t>
            </w:r>
            <w:r>
              <w:rPr>
                <w:noProof/>
                <w:webHidden/>
              </w:rPr>
              <w:fldChar w:fldCharType="end"/>
            </w:r>
          </w:hyperlink>
        </w:p>
        <w:p w14:paraId="3F1F9865" w14:textId="719653F6"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21" w:history="1">
            <w:r w:rsidRPr="00E50853">
              <w:rPr>
                <w:rStyle w:val="Hyperlink"/>
                <w:b/>
                <w:bCs/>
                <w:noProof/>
              </w:rPr>
              <w:t>3.3.4</w:t>
            </w:r>
            <w:r>
              <w:rPr>
                <w:rFonts w:eastAsiaTheme="minorEastAsia" w:cstheme="minorBidi"/>
                <w:noProof/>
                <w:sz w:val="24"/>
                <w:szCs w:val="24"/>
                <w:lang w:val="en-QA" w:eastAsia="en-GB"/>
              </w:rPr>
              <w:tab/>
            </w:r>
            <w:r w:rsidRPr="00E50853">
              <w:rPr>
                <w:rStyle w:val="Hyperlink"/>
                <w:b/>
                <w:bCs/>
                <w:noProof/>
              </w:rPr>
              <w:t>Projecting climate driven changes in NPP across global marine provinces</w:t>
            </w:r>
            <w:r>
              <w:rPr>
                <w:noProof/>
                <w:webHidden/>
              </w:rPr>
              <w:tab/>
            </w:r>
            <w:r>
              <w:rPr>
                <w:noProof/>
                <w:webHidden/>
              </w:rPr>
              <w:fldChar w:fldCharType="begin"/>
            </w:r>
            <w:r>
              <w:rPr>
                <w:noProof/>
                <w:webHidden/>
              </w:rPr>
              <w:instrText xml:space="preserve"> PAGEREF _Toc120622121 \h </w:instrText>
            </w:r>
            <w:r>
              <w:rPr>
                <w:noProof/>
                <w:webHidden/>
              </w:rPr>
            </w:r>
            <w:r>
              <w:rPr>
                <w:noProof/>
                <w:webHidden/>
              </w:rPr>
              <w:fldChar w:fldCharType="separate"/>
            </w:r>
            <w:r>
              <w:rPr>
                <w:noProof/>
                <w:webHidden/>
              </w:rPr>
              <w:t>67</w:t>
            </w:r>
            <w:r>
              <w:rPr>
                <w:noProof/>
                <w:webHidden/>
              </w:rPr>
              <w:fldChar w:fldCharType="end"/>
            </w:r>
          </w:hyperlink>
        </w:p>
        <w:p w14:paraId="3A262E3D" w14:textId="1F833635"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22" w:history="1">
            <w:r w:rsidRPr="00E50853">
              <w:rPr>
                <w:rStyle w:val="Hyperlink"/>
                <w:b/>
                <w:bCs/>
                <w:noProof/>
                <w:lang w:val="en-US"/>
              </w:rPr>
              <w:t>3.4</w:t>
            </w:r>
            <w:r>
              <w:rPr>
                <w:rFonts w:eastAsiaTheme="minorEastAsia" w:cstheme="minorBidi"/>
                <w:i w:val="0"/>
                <w:iCs w:val="0"/>
                <w:noProof/>
                <w:sz w:val="24"/>
                <w:szCs w:val="24"/>
                <w:lang w:val="en-QA" w:eastAsia="en-GB"/>
              </w:rPr>
              <w:tab/>
            </w:r>
            <w:r w:rsidRPr="00E50853">
              <w:rPr>
                <w:rStyle w:val="Hyperlink"/>
                <w:b/>
                <w:bCs/>
                <w:noProof/>
                <w:lang w:val="en-US"/>
              </w:rPr>
              <w:t>Results</w:t>
            </w:r>
            <w:r>
              <w:rPr>
                <w:noProof/>
                <w:webHidden/>
              </w:rPr>
              <w:tab/>
            </w:r>
            <w:r>
              <w:rPr>
                <w:noProof/>
                <w:webHidden/>
              </w:rPr>
              <w:fldChar w:fldCharType="begin"/>
            </w:r>
            <w:r>
              <w:rPr>
                <w:noProof/>
                <w:webHidden/>
              </w:rPr>
              <w:instrText xml:space="preserve"> PAGEREF _Toc120622122 \h </w:instrText>
            </w:r>
            <w:r>
              <w:rPr>
                <w:noProof/>
                <w:webHidden/>
              </w:rPr>
            </w:r>
            <w:r>
              <w:rPr>
                <w:noProof/>
                <w:webHidden/>
              </w:rPr>
              <w:fldChar w:fldCharType="separate"/>
            </w:r>
            <w:r>
              <w:rPr>
                <w:noProof/>
                <w:webHidden/>
              </w:rPr>
              <w:t>68</w:t>
            </w:r>
            <w:r>
              <w:rPr>
                <w:noProof/>
                <w:webHidden/>
              </w:rPr>
              <w:fldChar w:fldCharType="end"/>
            </w:r>
          </w:hyperlink>
        </w:p>
        <w:p w14:paraId="65C8A1F1" w14:textId="417117E6"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23" w:history="1">
            <w:r w:rsidRPr="00E50853">
              <w:rPr>
                <w:rStyle w:val="Hyperlink"/>
                <w:b/>
                <w:bCs/>
                <w:noProof/>
              </w:rPr>
              <w:t>3.4.1</w:t>
            </w:r>
            <w:r>
              <w:rPr>
                <w:rFonts w:eastAsiaTheme="minorEastAsia" w:cstheme="minorBidi"/>
                <w:noProof/>
                <w:sz w:val="24"/>
                <w:szCs w:val="24"/>
                <w:lang w:val="en-QA" w:eastAsia="en-GB"/>
              </w:rPr>
              <w:tab/>
            </w:r>
            <w:r w:rsidRPr="00E50853">
              <w:rPr>
                <w:rStyle w:val="Hyperlink"/>
                <w:b/>
                <w:bCs/>
                <w:noProof/>
              </w:rPr>
              <w:t>Historical Net Primary Productivity Rates and Seasonality</w:t>
            </w:r>
            <w:r>
              <w:rPr>
                <w:noProof/>
                <w:webHidden/>
              </w:rPr>
              <w:tab/>
            </w:r>
            <w:r>
              <w:rPr>
                <w:noProof/>
                <w:webHidden/>
              </w:rPr>
              <w:fldChar w:fldCharType="begin"/>
            </w:r>
            <w:r>
              <w:rPr>
                <w:noProof/>
                <w:webHidden/>
              </w:rPr>
              <w:instrText xml:space="preserve"> PAGEREF _Toc120622123 \h </w:instrText>
            </w:r>
            <w:r>
              <w:rPr>
                <w:noProof/>
                <w:webHidden/>
              </w:rPr>
            </w:r>
            <w:r>
              <w:rPr>
                <w:noProof/>
                <w:webHidden/>
              </w:rPr>
              <w:fldChar w:fldCharType="separate"/>
            </w:r>
            <w:r>
              <w:rPr>
                <w:noProof/>
                <w:webHidden/>
              </w:rPr>
              <w:t>70</w:t>
            </w:r>
            <w:r>
              <w:rPr>
                <w:noProof/>
                <w:webHidden/>
              </w:rPr>
              <w:fldChar w:fldCharType="end"/>
            </w:r>
          </w:hyperlink>
        </w:p>
        <w:p w14:paraId="5CF974D7" w14:textId="0E58E1F4"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24" w:history="1">
            <w:r w:rsidRPr="00E50853">
              <w:rPr>
                <w:rStyle w:val="Hyperlink"/>
                <w:b/>
                <w:bCs/>
                <w:noProof/>
              </w:rPr>
              <w:t>3.4.2</w:t>
            </w:r>
            <w:r>
              <w:rPr>
                <w:rFonts w:eastAsiaTheme="minorEastAsia" w:cstheme="minorBidi"/>
                <w:noProof/>
                <w:sz w:val="24"/>
                <w:szCs w:val="24"/>
                <w:lang w:val="en-QA" w:eastAsia="en-GB"/>
              </w:rPr>
              <w:tab/>
            </w:r>
            <w:r w:rsidRPr="00E50853">
              <w:rPr>
                <w:rStyle w:val="Hyperlink"/>
                <w:b/>
                <w:bCs/>
                <w:noProof/>
              </w:rPr>
              <w:t>Forecasted Net Primary Productivity Rates and Seasonality</w:t>
            </w:r>
            <w:r>
              <w:rPr>
                <w:noProof/>
                <w:webHidden/>
              </w:rPr>
              <w:tab/>
            </w:r>
            <w:r>
              <w:rPr>
                <w:noProof/>
                <w:webHidden/>
              </w:rPr>
              <w:fldChar w:fldCharType="begin"/>
            </w:r>
            <w:r>
              <w:rPr>
                <w:noProof/>
                <w:webHidden/>
              </w:rPr>
              <w:instrText xml:space="preserve"> PAGEREF _Toc120622124 \h </w:instrText>
            </w:r>
            <w:r>
              <w:rPr>
                <w:noProof/>
                <w:webHidden/>
              </w:rPr>
            </w:r>
            <w:r>
              <w:rPr>
                <w:noProof/>
                <w:webHidden/>
              </w:rPr>
              <w:fldChar w:fldCharType="separate"/>
            </w:r>
            <w:r>
              <w:rPr>
                <w:noProof/>
                <w:webHidden/>
              </w:rPr>
              <w:t>75</w:t>
            </w:r>
            <w:r>
              <w:rPr>
                <w:noProof/>
                <w:webHidden/>
              </w:rPr>
              <w:fldChar w:fldCharType="end"/>
            </w:r>
          </w:hyperlink>
        </w:p>
        <w:p w14:paraId="69043139" w14:textId="3D6C124A"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25" w:history="1">
            <w:r w:rsidRPr="00E50853">
              <w:rPr>
                <w:rStyle w:val="Hyperlink"/>
                <w:b/>
                <w:bCs/>
                <w:noProof/>
                <w:lang w:val="en-US"/>
              </w:rPr>
              <w:t>3.5</w:t>
            </w:r>
            <w:r>
              <w:rPr>
                <w:rFonts w:eastAsiaTheme="minorEastAsia" w:cstheme="minorBidi"/>
                <w:i w:val="0"/>
                <w:iCs w:val="0"/>
                <w:noProof/>
                <w:sz w:val="24"/>
                <w:szCs w:val="24"/>
                <w:lang w:val="en-QA" w:eastAsia="en-GB"/>
              </w:rPr>
              <w:tab/>
            </w:r>
            <w:r w:rsidRPr="00E50853">
              <w:rPr>
                <w:rStyle w:val="Hyperlink"/>
                <w:b/>
                <w:bCs/>
                <w:noProof/>
                <w:lang w:val="en-US"/>
              </w:rPr>
              <w:t>Discussion</w:t>
            </w:r>
            <w:r>
              <w:rPr>
                <w:noProof/>
                <w:webHidden/>
              </w:rPr>
              <w:tab/>
            </w:r>
            <w:r>
              <w:rPr>
                <w:noProof/>
                <w:webHidden/>
              </w:rPr>
              <w:fldChar w:fldCharType="begin"/>
            </w:r>
            <w:r>
              <w:rPr>
                <w:noProof/>
                <w:webHidden/>
              </w:rPr>
              <w:instrText xml:space="preserve"> PAGEREF _Toc120622125 \h </w:instrText>
            </w:r>
            <w:r>
              <w:rPr>
                <w:noProof/>
                <w:webHidden/>
              </w:rPr>
            </w:r>
            <w:r>
              <w:rPr>
                <w:noProof/>
                <w:webHidden/>
              </w:rPr>
              <w:fldChar w:fldCharType="separate"/>
            </w:r>
            <w:r>
              <w:rPr>
                <w:noProof/>
                <w:webHidden/>
              </w:rPr>
              <w:t>79</w:t>
            </w:r>
            <w:r>
              <w:rPr>
                <w:noProof/>
                <w:webHidden/>
              </w:rPr>
              <w:fldChar w:fldCharType="end"/>
            </w:r>
          </w:hyperlink>
        </w:p>
        <w:p w14:paraId="60E13EBB" w14:textId="6D2BF5AD" w:rsidR="00BE6337" w:rsidRDefault="00BE6337">
          <w:pPr>
            <w:pStyle w:val="TOC1"/>
            <w:tabs>
              <w:tab w:val="left" w:pos="480"/>
              <w:tab w:val="right" w:leader="dot" w:pos="9016"/>
            </w:tabs>
            <w:rPr>
              <w:rFonts w:eastAsiaTheme="minorEastAsia" w:cstheme="minorBidi"/>
              <w:b w:val="0"/>
              <w:bCs w:val="0"/>
              <w:noProof/>
              <w:sz w:val="24"/>
              <w:szCs w:val="24"/>
              <w:lang w:val="en-QA" w:eastAsia="en-GB"/>
            </w:rPr>
          </w:pPr>
          <w:hyperlink w:anchor="_Toc120622126" w:history="1">
            <w:r w:rsidRPr="00E50853">
              <w:rPr>
                <w:rStyle w:val="Hyperlink"/>
                <w:noProof/>
              </w:rPr>
              <w:t>4.</w:t>
            </w:r>
            <w:r>
              <w:rPr>
                <w:rFonts w:eastAsiaTheme="minorEastAsia" w:cstheme="minorBidi"/>
                <w:b w:val="0"/>
                <w:bCs w:val="0"/>
                <w:noProof/>
                <w:sz w:val="24"/>
                <w:szCs w:val="24"/>
                <w:lang w:val="en-QA" w:eastAsia="en-GB"/>
              </w:rPr>
              <w:tab/>
            </w:r>
            <w:r w:rsidRPr="00E50853">
              <w:rPr>
                <w:rStyle w:val="Hyperlink"/>
                <w:noProof/>
              </w:rPr>
              <w:t>Mangrove carbon stocks and biomass partitioning in an extreme environment</w:t>
            </w:r>
            <w:r>
              <w:rPr>
                <w:noProof/>
                <w:webHidden/>
              </w:rPr>
              <w:tab/>
            </w:r>
            <w:r>
              <w:rPr>
                <w:noProof/>
                <w:webHidden/>
              </w:rPr>
              <w:fldChar w:fldCharType="begin"/>
            </w:r>
            <w:r>
              <w:rPr>
                <w:noProof/>
                <w:webHidden/>
              </w:rPr>
              <w:instrText xml:space="preserve"> PAGEREF _Toc120622126 \h </w:instrText>
            </w:r>
            <w:r>
              <w:rPr>
                <w:noProof/>
                <w:webHidden/>
              </w:rPr>
            </w:r>
            <w:r>
              <w:rPr>
                <w:noProof/>
                <w:webHidden/>
              </w:rPr>
              <w:fldChar w:fldCharType="separate"/>
            </w:r>
            <w:r>
              <w:rPr>
                <w:noProof/>
                <w:webHidden/>
              </w:rPr>
              <w:t>86</w:t>
            </w:r>
            <w:r>
              <w:rPr>
                <w:noProof/>
                <w:webHidden/>
              </w:rPr>
              <w:fldChar w:fldCharType="end"/>
            </w:r>
          </w:hyperlink>
        </w:p>
        <w:p w14:paraId="3C3082C5" w14:textId="5F35CFC8"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27" w:history="1">
            <w:r w:rsidRPr="00E50853">
              <w:rPr>
                <w:rStyle w:val="Hyperlink"/>
                <w:b/>
                <w:bCs/>
                <w:noProof/>
              </w:rPr>
              <w:t>4.1</w:t>
            </w:r>
            <w:r>
              <w:rPr>
                <w:rFonts w:eastAsiaTheme="minorEastAsia" w:cstheme="minorBidi"/>
                <w:i w:val="0"/>
                <w:iCs w:val="0"/>
                <w:noProof/>
                <w:sz w:val="24"/>
                <w:szCs w:val="24"/>
                <w:lang w:val="en-QA" w:eastAsia="en-GB"/>
              </w:rPr>
              <w:tab/>
            </w:r>
            <w:r w:rsidRPr="00E50853">
              <w:rPr>
                <w:rStyle w:val="Hyperlink"/>
                <w:b/>
                <w:bCs/>
                <w:noProof/>
              </w:rPr>
              <w:t>Abstract</w:t>
            </w:r>
            <w:r>
              <w:rPr>
                <w:noProof/>
                <w:webHidden/>
              </w:rPr>
              <w:tab/>
            </w:r>
            <w:r>
              <w:rPr>
                <w:noProof/>
                <w:webHidden/>
              </w:rPr>
              <w:fldChar w:fldCharType="begin"/>
            </w:r>
            <w:r>
              <w:rPr>
                <w:noProof/>
                <w:webHidden/>
              </w:rPr>
              <w:instrText xml:space="preserve"> PAGEREF _Toc120622127 \h </w:instrText>
            </w:r>
            <w:r>
              <w:rPr>
                <w:noProof/>
                <w:webHidden/>
              </w:rPr>
            </w:r>
            <w:r>
              <w:rPr>
                <w:noProof/>
                <w:webHidden/>
              </w:rPr>
              <w:fldChar w:fldCharType="separate"/>
            </w:r>
            <w:r>
              <w:rPr>
                <w:noProof/>
                <w:webHidden/>
              </w:rPr>
              <w:t>87</w:t>
            </w:r>
            <w:r>
              <w:rPr>
                <w:noProof/>
                <w:webHidden/>
              </w:rPr>
              <w:fldChar w:fldCharType="end"/>
            </w:r>
          </w:hyperlink>
        </w:p>
        <w:p w14:paraId="2C159C8E" w14:textId="58164CC7"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28" w:history="1">
            <w:r w:rsidRPr="00E50853">
              <w:rPr>
                <w:rStyle w:val="Hyperlink"/>
                <w:b/>
                <w:bCs/>
                <w:noProof/>
              </w:rPr>
              <w:t>4.2</w:t>
            </w:r>
            <w:r>
              <w:rPr>
                <w:rFonts w:eastAsiaTheme="minorEastAsia" w:cstheme="minorBidi"/>
                <w:i w:val="0"/>
                <w:iCs w:val="0"/>
                <w:noProof/>
                <w:sz w:val="24"/>
                <w:szCs w:val="24"/>
                <w:lang w:val="en-QA" w:eastAsia="en-GB"/>
              </w:rPr>
              <w:tab/>
            </w:r>
            <w:r w:rsidRPr="00E50853">
              <w:rPr>
                <w:rStyle w:val="Hyperlink"/>
                <w:b/>
                <w:bCs/>
                <w:noProof/>
              </w:rPr>
              <w:t>Introduction</w:t>
            </w:r>
            <w:r>
              <w:rPr>
                <w:noProof/>
                <w:webHidden/>
              </w:rPr>
              <w:tab/>
            </w:r>
            <w:r>
              <w:rPr>
                <w:noProof/>
                <w:webHidden/>
              </w:rPr>
              <w:fldChar w:fldCharType="begin"/>
            </w:r>
            <w:r>
              <w:rPr>
                <w:noProof/>
                <w:webHidden/>
              </w:rPr>
              <w:instrText xml:space="preserve"> PAGEREF _Toc120622128 \h </w:instrText>
            </w:r>
            <w:r>
              <w:rPr>
                <w:noProof/>
                <w:webHidden/>
              </w:rPr>
            </w:r>
            <w:r>
              <w:rPr>
                <w:noProof/>
                <w:webHidden/>
              </w:rPr>
              <w:fldChar w:fldCharType="separate"/>
            </w:r>
            <w:r>
              <w:rPr>
                <w:noProof/>
                <w:webHidden/>
              </w:rPr>
              <w:t>87</w:t>
            </w:r>
            <w:r>
              <w:rPr>
                <w:noProof/>
                <w:webHidden/>
              </w:rPr>
              <w:fldChar w:fldCharType="end"/>
            </w:r>
          </w:hyperlink>
        </w:p>
        <w:p w14:paraId="5423B705" w14:textId="627D8979"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29" w:history="1">
            <w:r w:rsidRPr="00E50853">
              <w:rPr>
                <w:rStyle w:val="Hyperlink"/>
                <w:b/>
                <w:bCs/>
                <w:noProof/>
              </w:rPr>
              <w:t>4.3</w:t>
            </w:r>
            <w:r>
              <w:rPr>
                <w:rFonts w:eastAsiaTheme="minorEastAsia" w:cstheme="minorBidi"/>
                <w:i w:val="0"/>
                <w:iCs w:val="0"/>
                <w:noProof/>
                <w:sz w:val="24"/>
                <w:szCs w:val="24"/>
                <w:lang w:val="en-QA" w:eastAsia="en-GB"/>
              </w:rPr>
              <w:tab/>
            </w:r>
            <w:r w:rsidRPr="00E50853">
              <w:rPr>
                <w:rStyle w:val="Hyperlink"/>
                <w:b/>
                <w:bCs/>
                <w:noProof/>
              </w:rPr>
              <w:t>Methods</w:t>
            </w:r>
            <w:r>
              <w:rPr>
                <w:noProof/>
                <w:webHidden/>
              </w:rPr>
              <w:tab/>
            </w:r>
            <w:r>
              <w:rPr>
                <w:noProof/>
                <w:webHidden/>
              </w:rPr>
              <w:fldChar w:fldCharType="begin"/>
            </w:r>
            <w:r>
              <w:rPr>
                <w:noProof/>
                <w:webHidden/>
              </w:rPr>
              <w:instrText xml:space="preserve"> PAGEREF _Toc120622129 \h </w:instrText>
            </w:r>
            <w:r>
              <w:rPr>
                <w:noProof/>
                <w:webHidden/>
              </w:rPr>
            </w:r>
            <w:r>
              <w:rPr>
                <w:noProof/>
                <w:webHidden/>
              </w:rPr>
              <w:fldChar w:fldCharType="separate"/>
            </w:r>
            <w:r>
              <w:rPr>
                <w:noProof/>
                <w:webHidden/>
              </w:rPr>
              <w:t>91</w:t>
            </w:r>
            <w:r>
              <w:rPr>
                <w:noProof/>
                <w:webHidden/>
              </w:rPr>
              <w:fldChar w:fldCharType="end"/>
            </w:r>
          </w:hyperlink>
        </w:p>
        <w:p w14:paraId="793126EF" w14:textId="111A5377"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30" w:history="1">
            <w:r w:rsidRPr="00E50853">
              <w:rPr>
                <w:rStyle w:val="Hyperlink"/>
                <w:b/>
                <w:bCs/>
                <w:noProof/>
              </w:rPr>
              <w:t>4.3.1</w:t>
            </w:r>
            <w:r>
              <w:rPr>
                <w:rFonts w:eastAsiaTheme="minorEastAsia" w:cstheme="minorBidi"/>
                <w:noProof/>
                <w:sz w:val="24"/>
                <w:szCs w:val="24"/>
                <w:lang w:val="en-QA" w:eastAsia="en-GB"/>
              </w:rPr>
              <w:tab/>
            </w:r>
            <w:r w:rsidRPr="00E50853">
              <w:rPr>
                <w:rStyle w:val="Hyperlink"/>
                <w:b/>
                <w:bCs/>
                <w:noProof/>
              </w:rPr>
              <w:t>Study Sites</w:t>
            </w:r>
            <w:r>
              <w:rPr>
                <w:noProof/>
                <w:webHidden/>
              </w:rPr>
              <w:tab/>
            </w:r>
            <w:r>
              <w:rPr>
                <w:noProof/>
                <w:webHidden/>
              </w:rPr>
              <w:fldChar w:fldCharType="begin"/>
            </w:r>
            <w:r>
              <w:rPr>
                <w:noProof/>
                <w:webHidden/>
              </w:rPr>
              <w:instrText xml:space="preserve"> PAGEREF _Toc120622130 \h </w:instrText>
            </w:r>
            <w:r>
              <w:rPr>
                <w:noProof/>
                <w:webHidden/>
              </w:rPr>
            </w:r>
            <w:r>
              <w:rPr>
                <w:noProof/>
                <w:webHidden/>
              </w:rPr>
              <w:fldChar w:fldCharType="separate"/>
            </w:r>
            <w:r>
              <w:rPr>
                <w:noProof/>
                <w:webHidden/>
              </w:rPr>
              <w:t>91</w:t>
            </w:r>
            <w:r>
              <w:rPr>
                <w:noProof/>
                <w:webHidden/>
              </w:rPr>
              <w:fldChar w:fldCharType="end"/>
            </w:r>
          </w:hyperlink>
        </w:p>
        <w:p w14:paraId="6DAFA325" w14:textId="22A869F9"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31" w:history="1">
            <w:r w:rsidRPr="00E50853">
              <w:rPr>
                <w:rStyle w:val="Hyperlink"/>
                <w:b/>
                <w:bCs/>
                <w:noProof/>
              </w:rPr>
              <w:t>4.3.2</w:t>
            </w:r>
            <w:r>
              <w:rPr>
                <w:rFonts w:eastAsiaTheme="minorEastAsia" w:cstheme="minorBidi"/>
                <w:noProof/>
                <w:sz w:val="24"/>
                <w:szCs w:val="24"/>
                <w:lang w:val="en-QA" w:eastAsia="en-GB"/>
              </w:rPr>
              <w:tab/>
            </w:r>
            <w:r w:rsidRPr="00E50853">
              <w:rPr>
                <w:rStyle w:val="Hyperlink"/>
                <w:b/>
                <w:bCs/>
                <w:noProof/>
              </w:rPr>
              <w:t>Sampling design</w:t>
            </w:r>
            <w:r>
              <w:rPr>
                <w:noProof/>
                <w:webHidden/>
              </w:rPr>
              <w:tab/>
            </w:r>
            <w:r>
              <w:rPr>
                <w:noProof/>
                <w:webHidden/>
              </w:rPr>
              <w:fldChar w:fldCharType="begin"/>
            </w:r>
            <w:r>
              <w:rPr>
                <w:noProof/>
                <w:webHidden/>
              </w:rPr>
              <w:instrText xml:space="preserve"> PAGEREF _Toc120622131 \h </w:instrText>
            </w:r>
            <w:r>
              <w:rPr>
                <w:noProof/>
                <w:webHidden/>
              </w:rPr>
            </w:r>
            <w:r>
              <w:rPr>
                <w:noProof/>
                <w:webHidden/>
              </w:rPr>
              <w:fldChar w:fldCharType="separate"/>
            </w:r>
            <w:r>
              <w:rPr>
                <w:noProof/>
                <w:webHidden/>
              </w:rPr>
              <w:t>91</w:t>
            </w:r>
            <w:r>
              <w:rPr>
                <w:noProof/>
                <w:webHidden/>
              </w:rPr>
              <w:fldChar w:fldCharType="end"/>
            </w:r>
          </w:hyperlink>
        </w:p>
        <w:p w14:paraId="0612BA41" w14:textId="67753169"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32" w:history="1">
            <w:r w:rsidRPr="00E50853">
              <w:rPr>
                <w:rStyle w:val="Hyperlink"/>
                <w:b/>
                <w:bCs/>
                <w:noProof/>
              </w:rPr>
              <w:t>4.3.3</w:t>
            </w:r>
            <w:r>
              <w:rPr>
                <w:rFonts w:eastAsiaTheme="minorEastAsia" w:cstheme="minorBidi"/>
                <w:noProof/>
                <w:sz w:val="24"/>
                <w:szCs w:val="24"/>
                <w:lang w:val="en-QA" w:eastAsia="en-GB"/>
              </w:rPr>
              <w:tab/>
            </w:r>
            <w:r w:rsidRPr="00E50853">
              <w:rPr>
                <w:rStyle w:val="Hyperlink"/>
                <w:b/>
                <w:bCs/>
                <w:noProof/>
              </w:rPr>
              <w:t>Field and laboratory methods</w:t>
            </w:r>
            <w:r>
              <w:rPr>
                <w:noProof/>
                <w:webHidden/>
              </w:rPr>
              <w:tab/>
            </w:r>
            <w:r>
              <w:rPr>
                <w:noProof/>
                <w:webHidden/>
              </w:rPr>
              <w:fldChar w:fldCharType="begin"/>
            </w:r>
            <w:r>
              <w:rPr>
                <w:noProof/>
                <w:webHidden/>
              </w:rPr>
              <w:instrText xml:space="preserve"> PAGEREF _Toc120622132 \h </w:instrText>
            </w:r>
            <w:r>
              <w:rPr>
                <w:noProof/>
                <w:webHidden/>
              </w:rPr>
            </w:r>
            <w:r>
              <w:rPr>
                <w:noProof/>
                <w:webHidden/>
              </w:rPr>
              <w:fldChar w:fldCharType="separate"/>
            </w:r>
            <w:r>
              <w:rPr>
                <w:noProof/>
                <w:webHidden/>
              </w:rPr>
              <w:t>92</w:t>
            </w:r>
            <w:r>
              <w:rPr>
                <w:noProof/>
                <w:webHidden/>
              </w:rPr>
              <w:fldChar w:fldCharType="end"/>
            </w:r>
          </w:hyperlink>
        </w:p>
        <w:p w14:paraId="1780142D" w14:textId="2262E914"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33" w:history="1">
            <w:r w:rsidRPr="00E50853">
              <w:rPr>
                <w:rStyle w:val="Hyperlink"/>
                <w:b/>
                <w:bCs/>
                <w:noProof/>
              </w:rPr>
              <w:t>4.3.4</w:t>
            </w:r>
            <w:r>
              <w:rPr>
                <w:rFonts w:eastAsiaTheme="minorEastAsia" w:cstheme="minorBidi"/>
                <w:noProof/>
                <w:sz w:val="24"/>
                <w:szCs w:val="24"/>
                <w:lang w:val="en-QA" w:eastAsia="en-GB"/>
              </w:rPr>
              <w:tab/>
            </w:r>
            <w:r w:rsidRPr="00E50853">
              <w:rPr>
                <w:rStyle w:val="Hyperlink"/>
                <w:b/>
                <w:bCs/>
                <w:noProof/>
              </w:rPr>
              <w:t>Tree excavation to establish allometric equations</w:t>
            </w:r>
            <w:r>
              <w:rPr>
                <w:noProof/>
                <w:webHidden/>
              </w:rPr>
              <w:tab/>
            </w:r>
            <w:r>
              <w:rPr>
                <w:noProof/>
                <w:webHidden/>
              </w:rPr>
              <w:fldChar w:fldCharType="begin"/>
            </w:r>
            <w:r>
              <w:rPr>
                <w:noProof/>
                <w:webHidden/>
              </w:rPr>
              <w:instrText xml:space="preserve"> PAGEREF _Toc120622133 \h </w:instrText>
            </w:r>
            <w:r>
              <w:rPr>
                <w:noProof/>
                <w:webHidden/>
              </w:rPr>
            </w:r>
            <w:r>
              <w:rPr>
                <w:noProof/>
                <w:webHidden/>
              </w:rPr>
              <w:fldChar w:fldCharType="separate"/>
            </w:r>
            <w:r>
              <w:rPr>
                <w:noProof/>
                <w:webHidden/>
              </w:rPr>
              <w:t>93</w:t>
            </w:r>
            <w:r>
              <w:rPr>
                <w:noProof/>
                <w:webHidden/>
              </w:rPr>
              <w:fldChar w:fldCharType="end"/>
            </w:r>
          </w:hyperlink>
        </w:p>
        <w:p w14:paraId="2792BD8B" w14:textId="69B33BA7"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34" w:history="1">
            <w:r w:rsidRPr="00E50853">
              <w:rPr>
                <w:rStyle w:val="Hyperlink"/>
                <w:b/>
                <w:bCs/>
                <w:noProof/>
              </w:rPr>
              <w:t>4.3.5</w:t>
            </w:r>
            <w:r>
              <w:rPr>
                <w:rFonts w:eastAsiaTheme="minorEastAsia" w:cstheme="minorBidi"/>
                <w:noProof/>
                <w:sz w:val="24"/>
                <w:szCs w:val="24"/>
                <w:lang w:val="en-QA" w:eastAsia="en-GB"/>
              </w:rPr>
              <w:tab/>
            </w:r>
            <w:r w:rsidRPr="00E50853">
              <w:rPr>
                <w:rStyle w:val="Hyperlink"/>
                <w:b/>
                <w:bCs/>
                <w:noProof/>
              </w:rPr>
              <w:t>Converting Field Observations into Tree Carbon Stocks</w:t>
            </w:r>
            <w:r>
              <w:rPr>
                <w:noProof/>
                <w:webHidden/>
              </w:rPr>
              <w:tab/>
            </w:r>
            <w:r>
              <w:rPr>
                <w:noProof/>
                <w:webHidden/>
              </w:rPr>
              <w:fldChar w:fldCharType="begin"/>
            </w:r>
            <w:r>
              <w:rPr>
                <w:noProof/>
                <w:webHidden/>
              </w:rPr>
              <w:instrText xml:space="preserve"> PAGEREF _Toc120622134 \h </w:instrText>
            </w:r>
            <w:r>
              <w:rPr>
                <w:noProof/>
                <w:webHidden/>
              </w:rPr>
            </w:r>
            <w:r>
              <w:rPr>
                <w:noProof/>
                <w:webHidden/>
              </w:rPr>
              <w:fldChar w:fldCharType="separate"/>
            </w:r>
            <w:r>
              <w:rPr>
                <w:noProof/>
                <w:webHidden/>
              </w:rPr>
              <w:t>94</w:t>
            </w:r>
            <w:r>
              <w:rPr>
                <w:noProof/>
                <w:webHidden/>
              </w:rPr>
              <w:fldChar w:fldCharType="end"/>
            </w:r>
          </w:hyperlink>
        </w:p>
        <w:p w14:paraId="437E4401" w14:textId="78C0A5E1"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35" w:history="1">
            <w:r w:rsidRPr="00E50853">
              <w:rPr>
                <w:rStyle w:val="Hyperlink"/>
                <w:b/>
                <w:bCs/>
                <w:noProof/>
              </w:rPr>
              <w:t>4.3.6</w:t>
            </w:r>
            <w:r>
              <w:rPr>
                <w:rFonts w:eastAsiaTheme="minorEastAsia" w:cstheme="minorBidi"/>
                <w:noProof/>
                <w:sz w:val="24"/>
                <w:szCs w:val="24"/>
                <w:lang w:val="en-QA" w:eastAsia="en-GB"/>
              </w:rPr>
              <w:tab/>
            </w:r>
            <w:r w:rsidRPr="00E50853">
              <w:rPr>
                <w:rStyle w:val="Hyperlink"/>
                <w:b/>
                <w:bCs/>
                <w:noProof/>
              </w:rPr>
              <w:t>Statistical Analysis</w:t>
            </w:r>
            <w:r>
              <w:rPr>
                <w:noProof/>
                <w:webHidden/>
              </w:rPr>
              <w:tab/>
            </w:r>
            <w:r>
              <w:rPr>
                <w:noProof/>
                <w:webHidden/>
              </w:rPr>
              <w:fldChar w:fldCharType="begin"/>
            </w:r>
            <w:r>
              <w:rPr>
                <w:noProof/>
                <w:webHidden/>
              </w:rPr>
              <w:instrText xml:space="preserve"> PAGEREF _Toc120622135 \h </w:instrText>
            </w:r>
            <w:r>
              <w:rPr>
                <w:noProof/>
                <w:webHidden/>
              </w:rPr>
            </w:r>
            <w:r>
              <w:rPr>
                <w:noProof/>
                <w:webHidden/>
              </w:rPr>
              <w:fldChar w:fldCharType="separate"/>
            </w:r>
            <w:r>
              <w:rPr>
                <w:noProof/>
                <w:webHidden/>
              </w:rPr>
              <w:t>95</w:t>
            </w:r>
            <w:r>
              <w:rPr>
                <w:noProof/>
                <w:webHidden/>
              </w:rPr>
              <w:fldChar w:fldCharType="end"/>
            </w:r>
          </w:hyperlink>
        </w:p>
        <w:p w14:paraId="5E03B147" w14:textId="7D173B85"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36" w:history="1">
            <w:r w:rsidRPr="00E50853">
              <w:rPr>
                <w:rStyle w:val="Hyperlink"/>
                <w:b/>
                <w:bCs/>
                <w:noProof/>
              </w:rPr>
              <w:t>4.4</w:t>
            </w:r>
            <w:r>
              <w:rPr>
                <w:rFonts w:eastAsiaTheme="minorEastAsia" w:cstheme="minorBidi"/>
                <w:i w:val="0"/>
                <w:iCs w:val="0"/>
                <w:noProof/>
                <w:sz w:val="24"/>
                <w:szCs w:val="24"/>
                <w:lang w:val="en-QA" w:eastAsia="en-GB"/>
              </w:rPr>
              <w:tab/>
            </w:r>
            <w:r w:rsidRPr="00E50853">
              <w:rPr>
                <w:rStyle w:val="Hyperlink"/>
                <w:b/>
                <w:bCs/>
                <w:noProof/>
              </w:rPr>
              <w:t>Results</w:t>
            </w:r>
            <w:r>
              <w:rPr>
                <w:noProof/>
                <w:webHidden/>
              </w:rPr>
              <w:tab/>
            </w:r>
            <w:r>
              <w:rPr>
                <w:noProof/>
                <w:webHidden/>
              </w:rPr>
              <w:fldChar w:fldCharType="begin"/>
            </w:r>
            <w:r>
              <w:rPr>
                <w:noProof/>
                <w:webHidden/>
              </w:rPr>
              <w:instrText xml:space="preserve"> PAGEREF _Toc120622136 \h </w:instrText>
            </w:r>
            <w:r>
              <w:rPr>
                <w:noProof/>
                <w:webHidden/>
              </w:rPr>
            </w:r>
            <w:r>
              <w:rPr>
                <w:noProof/>
                <w:webHidden/>
              </w:rPr>
              <w:fldChar w:fldCharType="separate"/>
            </w:r>
            <w:r>
              <w:rPr>
                <w:noProof/>
                <w:webHidden/>
              </w:rPr>
              <w:t>98</w:t>
            </w:r>
            <w:r>
              <w:rPr>
                <w:noProof/>
                <w:webHidden/>
              </w:rPr>
              <w:fldChar w:fldCharType="end"/>
            </w:r>
          </w:hyperlink>
        </w:p>
        <w:p w14:paraId="4EB4E59B" w14:textId="72E9ED05"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37" w:history="1">
            <w:r w:rsidRPr="00E50853">
              <w:rPr>
                <w:rStyle w:val="Hyperlink"/>
                <w:b/>
                <w:bCs/>
                <w:noProof/>
              </w:rPr>
              <w:t>4.4.1</w:t>
            </w:r>
            <w:r>
              <w:rPr>
                <w:rFonts w:eastAsiaTheme="minorEastAsia" w:cstheme="minorBidi"/>
                <w:noProof/>
                <w:sz w:val="24"/>
                <w:szCs w:val="24"/>
                <w:lang w:val="en-QA" w:eastAsia="en-GB"/>
              </w:rPr>
              <w:tab/>
            </w:r>
            <w:r w:rsidRPr="00E50853">
              <w:rPr>
                <w:rStyle w:val="Hyperlink"/>
                <w:b/>
                <w:bCs/>
                <w:noProof/>
              </w:rPr>
              <w:t>Stand Characteristics of Qatar Mangroves</w:t>
            </w:r>
            <w:r>
              <w:rPr>
                <w:noProof/>
                <w:webHidden/>
              </w:rPr>
              <w:tab/>
            </w:r>
            <w:r>
              <w:rPr>
                <w:noProof/>
                <w:webHidden/>
              </w:rPr>
              <w:fldChar w:fldCharType="begin"/>
            </w:r>
            <w:r>
              <w:rPr>
                <w:noProof/>
                <w:webHidden/>
              </w:rPr>
              <w:instrText xml:space="preserve"> PAGEREF _Toc120622137 \h </w:instrText>
            </w:r>
            <w:r>
              <w:rPr>
                <w:noProof/>
                <w:webHidden/>
              </w:rPr>
            </w:r>
            <w:r>
              <w:rPr>
                <w:noProof/>
                <w:webHidden/>
              </w:rPr>
              <w:fldChar w:fldCharType="separate"/>
            </w:r>
            <w:r>
              <w:rPr>
                <w:noProof/>
                <w:webHidden/>
              </w:rPr>
              <w:t>98</w:t>
            </w:r>
            <w:r>
              <w:rPr>
                <w:noProof/>
                <w:webHidden/>
              </w:rPr>
              <w:fldChar w:fldCharType="end"/>
            </w:r>
          </w:hyperlink>
        </w:p>
        <w:p w14:paraId="0CD94BF8" w14:textId="33356E7F"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38" w:history="1">
            <w:r w:rsidRPr="00E50853">
              <w:rPr>
                <w:rStyle w:val="Hyperlink"/>
                <w:b/>
                <w:bCs/>
                <w:noProof/>
              </w:rPr>
              <w:t>4.4.2</w:t>
            </w:r>
            <w:r>
              <w:rPr>
                <w:rFonts w:eastAsiaTheme="minorEastAsia" w:cstheme="minorBidi"/>
                <w:noProof/>
                <w:sz w:val="24"/>
                <w:szCs w:val="24"/>
                <w:lang w:val="en-QA" w:eastAsia="en-GB"/>
              </w:rPr>
              <w:tab/>
            </w:r>
            <w:r w:rsidRPr="00E50853">
              <w:rPr>
                <w:rStyle w:val="Hyperlink"/>
                <w:b/>
                <w:bCs/>
                <w:noProof/>
              </w:rPr>
              <w:t>Tree Allometry</w:t>
            </w:r>
            <w:r>
              <w:rPr>
                <w:noProof/>
                <w:webHidden/>
              </w:rPr>
              <w:tab/>
            </w:r>
            <w:r>
              <w:rPr>
                <w:noProof/>
                <w:webHidden/>
              </w:rPr>
              <w:fldChar w:fldCharType="begin"/>
            </w:r>
            <w:r>
              <w:rPr>
                <w:noProof/>
                <w:webHidden/>
              </w:rPr>
              <w:instrText xml:space="preserve"> PAGEREF _Toc120622138 \h </w:instrText>
            </w:r>
            <w:r>
              <w:rPr>
                <w:noProof/>
                <w:webHidden/>
              </w:rPr>
            </w:r>
            <w:r>
              <w:rPr>
                <w:noProof/>
                <w:webHidden/>
              </w:rPr>
              <w:fldChar w:fldCharType="separate"/>
            </w:r>
            <w:r>
              <w:rPr>
                <w:noProof/>
                <w:webHidden/>
              </w:rPr>
              <w:t>98</w:t>
            </w:r>
            <w:r>
              <w:rPr>
                <w:noProof/>
                <w:webHidden/>
              </w:rPr>
              <w:fldChar w:fldCharType="end"/>
            </w:r>
          </w:hyperlink>
        </w:p>
        <w:p w14:paraId="074428B6" w14:textId="3F091F9F"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39" w:history="1">
            <w:r w:rsidRPr="00E50853">
              <w:rPr>
                <w:rStyle w:val="Hyperlink"/>
                <w:b/>
                <w:bCs/>
                <w:noProof/>
              </w:rPr>
              <w:t>4.4.3</w:t>
            </w:r>
            <w:r>
              <w:rPr>
                <w:rFonts w:eastAsiaTheme="minorEastAsia" w:cstheme="minorBidi"/>
                <w:noProof/>
                <w:sz w:val="24"/>
                <w:szCs w:val="24"/>
                <w:lang w:val="en-QA" w:eastAsia="en-GB"/>
              </w:rPr>
              <w:tab/>
            </w:r>
            <w:r w:rsidRPr="00E50853">
              <w:rPr>
                <w:rStyle w:val="Hyperlink"/>
                <w:b/>
                <w:bCs/>
                <w:noProof/>
              </w:rPr>
              <w:t>Tree and Soil Carbon stocks</w:t>
            </w:r>
            <w:r>
              <w:rPr>
                <w:noProof/>
                <w:webHidden/>
              </w:rPr>
              <w:tab/>
            </w:r>
            <w:r>
              <w:rPr>
                <w:noProof/>
                <w:webHidden/>
              </w:rPr>
              <w:fldChar w:fldCharType="begin"/>
            </w:r>
            <w:r>
              <w:rPr>
                <w:noProof/>
                <w:webHidden/>
              </w:rPr>
              <w:instrText xml:space="preserve"> PAGEREF _Toc120622139 \h </w:instrText>
            </w:r>
            <w:r>
              <w:rPr>
                <w:noProof/>
                <w:webHidden/>
              </w:rPr>
            </w:r>
            <w:r>
              <w:rPr>
                <w:noProof/>
                <w:webHidden/>
              </w:rPr>
              <w:fldChar w:fldCharType="separate"/>
            </w:r>
            <w:r>
              <w:rPr>
                <w:noProof/>
                <w:webHidden/>
              </w:rPr>
              <w:t>101</w:t>
            </w:r>
            <w:r>
              <w:rPr>
                <w:noProof/>
                <w:webHidden/>
              </w:rPr>
              <w:fldChar w:fldCharType="end"/>
            </w:r>
          </w:hyperlink>
        </w:p>
        <w:p w14:paraId="5CDA89C2" w14:textId="7B1B8613"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40" w:history="1">
            <w:r w:rsidRPr="00E50853">
              <w:rPr>
                <w:rStyle w:val="Hyperlink"/>
                <w:b/>
                <w:bCs/>
                <w:noProof/>
              </w:rPr>
              <w:t>4.5</w:t>
            </w:r>
            <w:r>
              <w:rPr>
                <w:rFonts w:eastAsiaTheme="minorEastAsia" w:cstheme="minorBidi"/>
                <w:i w:val="0"/>
                <w:iCs w:val="0"/>
                <w:noProof/>
                <w:sz w:val="24"/>
                <w:szCs w:val="24"/>
                <w:lang w:val="en-QA" w:eastAsia="en-GB"/>
              </w:rPr>
              <w:tab/>
            </w:r>
            <w:r w:rsidRPr="00E50853">
              <w:rPr>
                <w:rStyle w:val="Hyperlink"/>
                <w:b/>
                <w:bCs/>
                <w:noProof/>
              </w:rPr>
              <w:t>Discussion</w:t>
            </w:r>
            <w:r>
              <w:rPr>
                <w:noProof/>
                <w:webHidden/>
              </w:rPr>
              <w:tab/>
            </w:r>
            <w:r>
              <w:rPr>
                <w:noProof/>
                <w:webHidden/>
              </w:rPr>
              <w:fldChar w:fldCharType="begin"/>
            </w:r>
            <w:r>
              <w:rPr>
                <w:noProof/>
                <w:webHidden/>
              </w:rPr>
              <w:instrText xml:space="preserve"> PAGEREF _Toc120622140 \h </w:instrText>
            </w:r>
            <w:r>
              <w:rPr>
                <w:noProof/>
                <w:webHidden/>
              </w:rPr>
            </w:r>
            <w:r>
              <w:rPr>
                <w:noProof/>
                <w:webHidden/>
              </w:rPr>
              <w:fldChar w:fldCharType="separate"/>
            </w:r>
            <w:r>
              <w:rPr>
                <w:noProof/>
                <w:webHidden/>
              </w:rPr>
              <w:t>105</w:t>
            </w:r>
            <w:r>
              <w:rPr>
                <w:noProof/>
                <w:webHidden/>
              </w:rPr>
              <w:fldChar w:fldCharType="end"/>
            </w:r>
          </w:hyperlink>
        </w:p>
        <w:p w14:paraId="46E3C7CB" w14:textId="0F0BBA64" w:rsidR="00BE6337" w:rsidRDefault="00BE6337">
          <w:pPr>
            <w:pStyle w:val="TOC1"/>
            <w:tabs>
              <w:tab w:val="left" w:pos="480"/>
              <w:tab w:val="right" w:leader="dot" w:pos="9016"/>
            </w:tabs>
            <w:rPr>
              <w:rFonts w:eastAsiaTheme="minorEastAsia" w:cstheme="minorBidi"/>
              <w:b w:val="0"/>
              <w:bCs w:val="0"/>
              <w:noProof/>
              <w:sz w:val="24"/>
              <w:szCs w:val="24"/>
              <w:lang w:val="en-QA" w:eastAsia="en-GB"/>
            </w:rPr>
          </w:pPr>
          <w:hyperlink w:anchor="_Toc120622141" w:history="1">
            <w:r w:rsidRPr="00E50853">
              <w:rPr>
                <w:rStyle w:val="Hyperlink"/>
                <w:noProof/>
              </w:rPr>
              <w:t>5.</w:t>
            </w:r>
            <w:r>
              <w:rPr>
                <w:rFonts w:eastAsiaTheme="minorEastAsia" w:cstheme="minorBidi"/>
                <w:b w:val="0"/>
                <w:bCs w:val="0"/>
                <w:noProof/>
                <w:sz w:val="24"/>
                <w:szCs w:val="24"/>
                <w:lang w:val="en-QA" w:eastAsia="en-GB"/>
              </w:rPr>
              <w:tab/>
            </w:r>
            <w:r w:rsidRPr="00E50853">
              <w:rPr>
                <w:rStyle w:val="Hyperlink"/>
                <w:noProof/>
              </w:rPr>
              <w:t>Future mangrove carbon storage under climate change and deforestation</w:t>
            </w:r>
            <w:r>
              <w:rPr>
                <w:noProof/>
                <w:webHidden/>
              </w:rPr>
              <w:tab/>
            </w:r>
            <w:r>
              <w:rPr>
                <w:noProof/>
                <w:webHidden/>
              </w:rPr>
              <w:fldChar w:fldCharType="begin"/>
            </w:r>
            <w:r>
              <w:rPr>
                <w:noProof/>
                <w:webHidden/>
              </w:rPr>
              <w:instrText xml:space="preserve"> PAGEREF _Toc120622141 \h </w:instrText>
            </w:r>
            <w:r>
              <w:rPr>
                <w:noProof/>
                <w:webHidden/>
              </w:rPr>
            </w:r>
            <w:r>
              <w:rPr>
                <w:noProof/>
                <w:webHidden/>
              </w:rPr>
              <w:fldChar w:fldCharType="separate"/>
            </w:r>
            <w:r>
              <w:rPr>
                <w:noProof/>
                <w:webHidden/>
              </w:rPr>
              <w:t>111</w:t>
            </w:r>
            <w:r>
              <w:rPr>
                <w:noProof/>
                <w:webHidden/>
              </w:rPr>
              <w:fldChar w:fldCharType="end"/>
            </w:r>
          </w:hyperlink>
        </w:p>
        <w:p w14:paraId="2B749B4D" w14:textId="128B1CC5"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42" w:history="1">
            <w:r w:rsidRPr="00E50853">
              <w:rPr>
                <w:rStyle w:val="Hyperlink"/>
                <w:b/>
                <w:bCs/>
                <w:noProof/>
              </w:rPr>
              <w:t>5.1</w:t>
            </w:r>
            <w:r>
              <w:rPr>
                <w:rFonts w:eastAsiaTheme="minorEastAsia" w:cstheme="minorBidi"/>
                <w:i w:val="0"/>
                <w:iCs w:val="0"/>
                <w:noProof/>
                <w:sz w:val="24"/>
                <w:szCs w:val="24"/>
                <w:lang w:val="en-QA" w:eastAsia="en-GB"/>
              </w:rPr>
              <w:tab/>
            </w:r>
            <w:r w:rsidRPr="00E50853">
              <w:rPr>
                <w:rStyle w:val="Hyperlink"/>
                <w:b/>
                <w:bCs/>
                <w:noProof/>
              </w:rPr>
              <w:t>Abstract</w:t>
            </w:r>
            <w:r>
              <w:rPr>
                <w:noProof/>
                <w:webHidden/>
              </w:rPr>
              <w:tab/>
            </w:r>
            <w:r>
              <w:rPr>
                <w:noProof/>
                <w:webHidden/>
              </w:rPr>
              <w:fldChar w:fldCharType="begin"/>
            </w:r>
            <w:r>
              <w:rPr>
                <w:noProof/>
                <w:webHidden/>
              </w:rPr>
              <w:instrText xml:space="preserve"> PAGEREF _Toc120622142 \h </w:instrText>
            </w:r>
            <w:r>
              <w:rPr>
                <w:noProof/>
                <w:webHidden/>
              </w:rPr>
            </w:r>
            <w:r>
              <w:rPr>
                <w:noProof/>
                <w:webHidden/>
              </w:rPr>
              <w:fldChar w:fldCharType="separate"/>
            </w:r>
            <w:r>
              <w:rPr>
                <w:noProof/>
                <w:webHidden/>
              </w:rPr>
              <w:t>112</w:t>
            </w:r>
            <w:r>
              <w:rPr>
                <w:noProof/>
                <w:webHidden/>
              </w:rPr>
              <w:fldChar w:fldCharType="end"/>
            </w:r>
          </w:hyperlink>
        </w:p>
        <w:p w14:paraId="3376A9AC" w14:textId="5FA38055"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43" w:history="1">
            <w:r w:rsidRPr="00E50853">
              <w:rPr>
                <w:rStyle w:val="Hyperlink"/>
                <w:b/>
                <w:bCs/>
                <w:noProof/>
              </w:rPr>
              <w:t>5.2</w:t>
            </w:r>
            <w:r>
              <w:rPr>
                <w:rFonts w:eastAsiaTheme="minorEastAsia" w:cstheme="minorBidi"/>
                <w:i w:val="0"/>
                <w:iCs w:val="0"/>
                <w:noProof/>
                <w:sz w:val="24"/>
                <w:szCs w:val="24"/>
                <w:lang w:val="en-QA" w:eastAsia="en-GB"/>
              </w:rPr>
              <w:tab/>
            </w:r>
            <w:r w:rsidRPr="00E50853">
              <w:rPr>
                <w:rStyle w:val="Hyperlink"/>
                <w:b/>
                <w:bCs/>
                <w:noProof/>
              </w:rPr>
              <w:t>Introduction</w:t>
            </w:r>
            <w:r>
              <w:rPr>
                <w:noProof/>
                <w:webHidden/>
              </w:rPr>
              <w:tab/>
            </w:r>
            <w:r>
              <w:rPr>
                <w:noProof/>
                <w:webHidden/>
              </w:rPr>
              <w:fldChar w:fldCharType="begin"/>
            </w:r>
            <w:r>
              <w:rPr>
                <w:noProof/>
                <w:webHidden/>
              </w:rPr>
              <w:instrText xml:space="preserve"> PAGEREF _Toc120622143 \h </w:instrText>
            </w:r>
            <w:r>
              <w:rPr>
                <w:noProof/>
                <w:webHidden/>
              </w:rPr>
            </w:r>
            <w:r>
              <w:rPr>
                <w:noProof/>
                <w:webHidden/>
              </w:rPr>
              <w:fldChar w:fldCharType="separate"/>
            </w:r>
            <w:r>
              <w:rPr>
                <w:noProof/>
                <w:webHidden/>
              </w:rPr>
              <w:t>113</w:t>
            </w:r>
            <w:r>
              <w:rPr>
                <w:noProof/>
                <w:webHidden/>
              </w:rPr>
              <w:fldChar w:fldCharType="end"/>
            </w:r>
          </w:hyperlink>
        </w:p>
        <w:p w14:paraId="6A57F703" w14:textId="02DAB7CF"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44" w:history="1">
            <w:r w:rsidRPr="00E50853">
              <w:rPr>
                <w:rStyle w:val="Hyperlink"/>
                <w:b/>
                <w:bCs/>
                <w:noProof/>
              </w:rPr>
              <w:t>5.3</w:t>
            </w:r>
            <w:r>
              <w:rPr>
                <w:rFonts w:eastAsiaTheme="minorEastAsia" w:cstheme="minorBidi"/>
                <w:i w:val="0"/>
                <w:iCs w:val="0"/>
                <w:noProof/>
                <w:sz w:val="24"/>
                <w:szCs w:val="24"/>
                <w:lang w:val="en-QA" w:eastAsia="en-GB"/>
              </w:rPr>
              <w:tab/>
            </w:r>
            <w:r w:rsidRPr="00E50853">
              <w:rPr>
                <w:rStyle w:val="Hyperlink"/>
                <w:b/>
                <w:bCs/>
                <w:noProof/>
              </w:rPr>
              <w:t>Methods</w:t>
            </w:r>
            <w:r>
              <w:rPr>
                <w:noProof/>
                <w:webHidden/>
              </w:rPr>
              <w:tab/>
            </w:r>
            <w:r>
              <w:rPr>
                <w:noProof/>
                <w:webHidden/>
              </w:rPr>
              <w:fldChar w:fldCharType="begin"/>
            </w:r>
            <w:r>
              <w:rPr>
                <w:noProof/>
                <w:webHidden/>
              </w:rPr>
              <w:instrText xml:space="preserve"> PAGEREF _Toc120622144 \h </w:instrText>
            </w:r>
            <w:r>
              <w:rPr>
                <w:noProof/>
                <w:webHidden/>
              </w:rPr>
            </w:r>
            <w:r>
              <w:rPr>
                <w:noProof/>
                <w:webHidden/>
              </w:rPr>
              <w:fldChar w:fldCharType="separate"/>
            </w:r>
            <w:r>
              <w:rPr>
                <w:noProof/>
                <w:webHidden/>
              </w:rPr>
              <w:t>116</w:t>
            </w:r>
            <w:r>
              <w:rPr>
                <w:noProof/>
                <w:webHidden/>
              </w:rPr>
              <w:fldChar w:fldCharType="end"/>
            </w:r>
          </w:hyperlink>
        </w:p>
        <w:p w14:paraId="4BAC0B86" w14:textId="4D74B0EB"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45" w:history="1">
            <w:r w:rsidRPr="00E50853">
              <w:rPr>
                <w:rStyle w:val="Hyperlink"/>
                <w:b/>
                <w:bCs/>
                <w:noProof/>
              </w:rPr>
              <w:t>5.3.1</w:t>
            </w:r>
            <w:r>
              <w:rPr>
                <w:rFonts w:eastAsiaTheme="minorEastAsia" w:cstheme="minorBidi"/>
                <w:noProof/>
                <w:sz w:val="24"/>
                <w:szCs w:val="24"/>
                <w:lang w:val="en-QA" w:eastAsia="en-GB"/>
              </w:rPr>
              <w:tab/>
            </w:r>
            <w:r w:rsidRPr="00E50853">
              <w:rPr>
                <w:rStyle w:val="Hyperlink"/>
                <w:b/>
                <w:bCs/>
                <w:noProof/>
              </w:rPr>
              <w:t>Literature data</w:t>
            </w:r>
            <w:r>
              <w:rPr>
                <w:noProof/>
                <w:webHidden/>
              </w:rPr>
              <w:tab/>
            </w:r>
            <w:r>
              <w:rPr>
                <w:noProof/>
                <w:webHidden/>
              </w:rPr>
              <w:fldChar w:fldCharType="begin"/>
            </w:r>
            <w:r>
              <w:rPr>
                <w:noProof/>
                <w:webHidden/>
              </w:rPr>
              <w:instrText xml:space="preserve"> PAGEREF _Toc120622145 \h </w:instrText>
            </w:r>
            <w:r>
              <w:rPr>
                <w:noProof/>
                <w:webHidden/>
              </w:rPr>
            </w:r>
            <w:r>
              <w:rPr>
                <w:noProof/>
                <w:webHidden/>
              </w:rPr>
              <w:fldChar w:fldCharType="separate"/>
            </w:r>
            <w:r>
              <w:rPr>
                <w:noProof/>
                <w:webHidden/>
              </w:rPr>
              <w:t>116</w:t>
            </w:r>
            <w:r>
              <w:rPr>
                <w:noProof/>
                <w:webHidden/>
              </w:rPr>
              <w:fldChar w:fldCharType="end"/>
            </w:r>
          </w:hyperlink>
        </w:p>
        <w:p w14:paraId="224300ED" w14:textId="391C5291"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46" w:history="1">
            <w:r w:rsidRPr="00E50853">
              <w:rPr>
                <w:rStyle w:val="Hyperlink"/>
                <w:b/>
                <w:bCs/>
                <w:noProof/>
              </w:rPr>
              <w:t>5.3.2</w:t>
            </w:r>
            <w:r>
              <w:rPr>
                <w:rFonts w:eastAsiaTheme="minorEastAsia" w:cstheme="minorBidi"/>
                <w:noProof/>
                <w:sz w:val="24"/>
                <w:szCs w:val="24"/>
                <w:lang w:val="en-QA" w:eastAsia="en-GB"/>
              </w:rPr>
              <w:tab/>
            </w:r>
            <w:r w:rsidRPr="00E50853">
              <w:rPr>
                <w:rStyle w:val="Hyperlink"/>
                <w:b/>
                <w:bCs/>
                <w:noProof/>
              </w:rPr>
              <w:t>Estimating current soil stocks and sequestration rates</w:t>
            </w:r>
            <w:r>
              <w:rPr>
                <w:noProof/>
                <w:webHidden/>
              </w:rPr>
              <w:tab/>
            </w:r>
            <w:r>
              <w:rPr>
                <w:noProof/>
                <w:webHidden/>
              </w:rPr>
              <w:fldChar w:fldCharType="begin"/>
            </w:r>
            <w:r>
              <w:rPr>
                <w:noProof/>
                <w:webHidden/>
              </w:rPr>
              <w:instrText xml:space="preserve"> PAGEREF _Toc120622146 \h </w:instrText>
            </w:r>
            <w:r>
              <w:rPr>
                <w:noProof/>
                <w:webHidden/>
              </w:rPr>
            </w:r>
            <w:r>
              <w:rPr>
                <w:noProof/>
                <w:webHidden/>
              </w:rPr>
              <w:fldChar w:fldCharType="separate"/>
            </w:r>
            <w:r>
              <w:rPr>
                <w:noProof/>
                <w:webHidden/>
              </w:rPr>
              <w:t>117</w:t>
            </w:r>
            <w:r>
              <w:rPr>
                <w:noProof/>
                <w:webHidden/>
              </w:rPr>
              <w:fldChar w:fldCharType="end"/>
            </w:r>
          </w:hyperlink>
        </w:p>
        <w:p w14:paraId="7F87577D" w14:textId="117086DE"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47" w:history="1">
            <w:r w:rsidRPr="00E50853">
              <w:rPr>
                <w:rStyle w:val="Hyperlink"/>
                <w:b/>
                <w:bCs/>
                <w:noProof/>
              </w:rPr>
              <w:t>5.3.3</w:t>
            </w:r>
            <w:r>
              <w:rPr>
                <w:rFonts w:eastAsiaTheme="minorEastAsia" w:cstheme="minorBidi"/>
                <w:noProof/>
                <w:sz w:val="24"/>
                <w:szCs w:val="24"/>
                <w:lang w:val="en-QA" w:eastAsia="en-GB"/>
              </w:rPr>
              <w:tab/>
            </w:r>
            <w:r w:rsidRPr="00E50853">
              <w:rPr>
                <w:rStyle w:val="Hyperlink"/>
                <w:b/>
                <w:bCs/>
                <w:noProof/>
              </w:rPr>
              <w:t>Present day stocks and soil sequestration rates</w:t>
            </w:r>
            <w:r>
              <w:rPr>
                <w:noProof/>
                <w:webHidden/>
              </w:rPr>
              <w:tab/>
            </w:r>
            <w:r>
              <w:rPr>
                <w:noProof/>
                <w:webHidden/>
              </w:rPr>
              <w:fldChar w:fldCharType="begin"/>
            </w:r>
            <w:r>
              <w:rPr>
                <w:noProof/>
                <w:webHidden/>
              </w:rPr>
              <w:instrText xml:space="preserve"> PAGEREF _Toc120622147 \h </w:instrText>
            </w:r>
            <w:r>
              <w:rPr>
                <w:noProof/>
                <w:webHidden/>
              </w:rPr>
            </w:r>
            <w:r>
              <w:rPr>
                <w:noProof/>
                <w:webHidden/>
              </w:rPr>
              <w:fldChar w:fldCharType="separate"/>
            </w:r>
            <w:r>
              <w:rPr>
                <w:noProof/>
                <w:webHidden/>
              </w:rPr>
              <w:t>119</w:t>
            </w:r>
            <w:r>
              <w:rPr>
                <w:noProof/>
                <w:webHidden/>
              </w:rPr>
              <w:fldChar w:fldCharType="end"/>
            </w:r>
          </w:hyperlink>
        </w:p>
        <w:p w14:paraId="06345CFC" w14:textId="5F4768C1"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48" w:history="1">
            <w:r w:rsidRPr="00E50853">
              <w:rPr>
                <w:rStyle w:val="Hyperlink"/>
                <w:b/>
                <w:bCs/>
                <w:noProof/>
              </w:rPr>
              <w:t>5.3.4</w:t>
            </w:r>
            <w:r>
              <w:rPr>
                <w:rFonts w:eastAsiaTheme="minorEastAsia" w:cstheme="minorBidi"/>
                <w:noProof/>
                <w:sz w:val="24"/>
                <w:szCs w:val="24"/>
                <w:lang w:val="en-QA" w:eastAsia="en-GB"/>
              </w:rPr>
              <w:tab/>
            </w:r>
            <w:r w:rsidRPr="00E50853">
              <w:rPr>
                <w:rStyle w:val="Hyperlink"/>
                <w:b/>
                <w:bCs/>
                <w:noProof/>
              </w:rPr>
              <w:t>Forecasted stocks and soil sequestration rates</w:t>
            </w:r>
            <w:r>
              <w:rPr>
                <w:noProof/>
                <w:webHidden/>
              </w:rPr>
              <w:tab/>
            </w:r>
            <w:r>
              <w:rPr>
                <w:noProof/>
                <w:webHidden/>
              </w:rPr>
              <w:fldChar w:fldCharType="begin"/>
            </w:r>
            <w:r>
              <w:rPr>
                <w:noProof/>
                <w:webHidden/>
              </w:rPr>
              <w:instrText xml:space="preserve"> PAGEREF _Toc120622148 \h </w:instrText>
            </w:r>
            <w:r>
              <w:rPr>
                <w:noProof/>
                <w:webHidden/>
              </w:rPr>
            </w:r>
            <w:r>
              <w:rPr>
                <w:noProof/>
                <w:webHidden/>
              </w:rPr>
              <w:fldChar w:fldCharType="separate"/>
            </w:r>
            <w:r>
              <w:rPr>
                <w:noProof/>
                <w:webHidden/>
              </w:rPr>
              <w:t>120</w:t>
            </w:r>
            <w:r>
              <w:rPr>
                <w:noProof/>
                <w:webHidden/>
              </w:rPr>
              <w:fldChar w:fldCharType="end"/>
            </w:r>
          </w:hyperlink>
        </w:p>
        <w:p w14:paraId="21DFEBB7" w14:textId="140D402B"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49" w:history="1">
            <w:r w:rsidRPr="00E50853">
              <w:rPr>
                <w:rStyle w:val="Hyperlink"/>
                <w:b/>
                <w:bCs/>
                <w:noProof/>
              </w:rPr>
              <w:t>5.3.5</w:t>
            </w:r>
            <w:r>
              <w:rPr>
                <w:rFonts w:eastAsiaTheme="minorEastAsia" w:cstheme="minorBidi"/>
                <w:noProof/>
                <w:sz w:val="24"/>
                <w:szCs w:val="24"/>
                <w:lang w:val="en-QA" w:eastAsia="en-GB"/>
              </w:rPr>
              <w:tab/>
            </w:r>
            <w:r w:rsidRPr="00E50853">
              <w:rPr>
                <w:rStyle w:val="Hyperlink"/>
                <w:b/>
                <w:bCs/>
                <w:noProof/>
              </w:rPr>
              <w:t>Mangrove deforestation</w:t>
            </w:r>
            <w:r>
              <w:rPr>
                <w:noProof/>
                <w:webHidden/>
              </w:rPr>
              <w:tab/>
            </w:r>
            <w:r>
              <w:rPr>
                <w:noProof/>
                <w:webHidden/>
              </w:rPr>
              <w:fldChar w:fldCharType="begin"/>
            </w:r>
            <w:r>
              <w:rPr>
                <w:noProof/>
                <w:webHidden/>
              </w:rPr>
              <w:instrText xml:space="preserve"> PAGEREF _Toc120622149 \h </w:instrText>
            </w:r>
            <w:r>
              <w:rPr>
                <w:noProof/>
                <w:webHidden/>
              </w:rPr>
            </w:r>
            <w:r>
              <w:rPr>
                <w:noProof/>
                <w:webHidden/>
              </w:rPr>
              <w:fldChar w:fldCharType="separate"/>
            </w:r>
            <w:r>
              <w:rPr>
                <w:noProof/>
                <w:webHidden/>
              </w:rPr>
              <w:t>122</w:t>
            </w:r>
            <w:r>
              <w:rPr>
                <w:noProof/>
                <w:webHidden/>
              </w:rPr>
              <w:fldChar w:fldCharType="end"/>
            </w:r>
          </w:hyperlink>
        </w:p>
        <w:p w14:paraId="26629FDA" w14:textId="47CE3AF8"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50" w:history="1">
            <w:r w:rsidRPr="00E50853">
              <w:rPr>
                <w:rStyle w:val="Hyperlink"/>
                <w:b/>
                <w:bCs/>
                <w:noProof/>
              </w:rPr>
              <w:t>5.3.6</w:t>
            </w:r>
            <w:r>
              <w:rPr>
                <w:rFonts w:eastAsiaTheme="minorEastAsia" w:cstheme="minorBidi"/>
                <w:noProof/>
                <w:sz w:val="24"/>
                <w:szCs w:val="24"/>
                <w:lang w:val="en-QA" w:eastAsia="en-GB"/>
              </w:rPr>
              <w:tab/>
            </w:r>
            <w:r w:rsidRPr="00E50853">
              <w:rPr>
                <w:rStyle w:val="Hyperlink"/>
                <w:b/>
                <w:bCs/>
                <w:noProof/>
              </w:rPr>
              <w:t>Country level emissions</w:t>
            </w:r>
            <w:r>
              <w:rPr>
                <w:noProof/>
                <w:webHidden/>
              </w:rPr>
              <w:tab/>
            </w:r>
            <w:r>
              <w:rPr>
                <w:noProof/>
                <w:webHidden/>
              </w:rPr>
              <w:fldChar w:fldCharType="begin"/>
            </w:r>
            <w:r>
              <w:rPr>
                <w:noProof/>
                <w:webHidden/>
              </w:rPr>
              <w:instrText xml:space="preserve"> PAGEREF _Toc120622150 \h </w:instrText>
            </w:r>
            <w:r>
              <w:rPr>
                <w:noProof/>
                <w:webHidden/>
              </w:rPr>
            </w:r>
            <w:r>
              <w:rPr>
                <w:noProof/>
                <w:webHidden/>
              </w:rPr>
              <w:fldChar w:fldCharType="separate"/>
            </w:r>
            <w:r>
              <w:rPr>
                <w:noProof/>
                <w:webHidden/>
              </w:rPr>
              <w:t>123</w:t>
            </w:r>
            <w:r>
              <w:rPr>
                <w:noProof/>
                <w:webHidden/>
              </w:rPr>
              <w:fldChar w:fldCharType="end"/>
            </w:r>
          </w:hyperlink>
        </w:p>
        <w:p w14:paraId="309B35E7" w14:textId="49131DD1"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51" w:history="1">
            <w:r w:rsidRPr="00E50853">
              <w:rPr>
                <w:rStyle w:val="Hyperlink"/>
                <w:b/>
                <w:bCs/>
                <w:noProof/>
              </w:rPr>
              <w:t>5.4</w:t>
            </w:r>
            <w:r>
              <w:rPr>
                <w:rFonts w:eastAsiaTheme="minorEastAsia" w:cstheme="minorBidi"/>
                <w:i w:val="0"/>
                <w:iCs w:val="0"/>
                <w:noProof/>
                <w:sz w:val="24"/>
                <w:szCs w:val="24"/>
                <w:lang w:val="en-QA" w:eastAsia="en-GB"/>
              </w:rPr>
              <w:tab/>
            </w:r>
            <w:r w:rsidRPr="00E50853">
              <w:rPr>
                <w:rStyle w:val="Hyperlink"/>
                <w:b/>
                <w:bCs/>
                <w:noProof/>
              </w:rPr>
              <w:t>Results</w:t>
            </w:r>
            <w:r>
              <w:rPr>
                <w:noProof/>
                <w:webHidden/>
              </w:rPr>
              <w:tab/>
            </w:r>
            <w:r>
              <w:rPr>
                <w:noProof/>
                <w:webHidden/>
              </w:rPr>
              <w:fldChar w:fldCharType="begin"/>
            </w:r>
            <w:r>
              <w:rPr>
                <w:noProof/>
                <w:webHidden/>
              </w:rPr>
              <w:instrText xml:space="preserve"> PAGEREF _Toc120622151 \h </w:instrText>
            </w:r>
            <w:r>
              <w:rPr>
                <w:noProof/>
                <w:webHidden/>
              </w:rPr>
            </w:r>
            <w:r>
              <w:rPr>
                <w:noProof/>
                <w:webHidden/>
              </w:rPr>
              <w:fldChar w:fldCharType="separate"/>
            </w:r>
            <w:r>
              <w:rPr>
                <w:noProof/>
                <w:webHidden/>
              </w:rPr>
              <w:t>124</w:t>
            </w:r>
            <w:r>
              <w:rPr>
                <w:noProof/>
                <w:webHidden/>
              </w:rPr>
              <w:fldChar w:fldCharType="end"/>
            </w:r>
          </w:hyperlink>
        </w:p>
        <w:p w14:paraId="4D6FB23D" w14:textId="182D1C59"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52" w:history="1">
            <w:r w:rsidRPr="00E50853">
              <w:rPr>
                <w:rStyle w:val="Hyperlink"/>
                <w:b/>
                <w:bCs/>
                <w:noProof/>
              </w:rPr>
              <w:t>5.4.1</w:t>
            </w:r>
            <w:r>
              <w:rPr>
                <w:rFonts w:eastAsiaTheme="minorEastAsia" w:cstheme="minorBidi"/>
                <w:noProof/>
                <w:sz w:val="24"/>
                <w:szCs w:val="24"/>
                <w:lang w:val="en-QA" w:eastAsia="en-GB"/>
              </w:rPr>
              <w:tab/>
            </w:r>
            <w:r w:rsidRPr="00E50853">
              <w:rPr>
                <w:rStyle w:val="Hyperlink"/>
                <w:b/>
                <w:bCs/>
                <w:noProof/>
              </w:rPr>
              <w:t>Present day carbon stocks and sequestration rates</w:t>
            </w:r>
            <w:r>
              <w:rPr>
                <w:noProof/>
                <w:webHidden/>
              </w:rPr>
              <w:tab/>
            </w:r>
            <w:r>
              <w:rPr>
                <w:noProof/>
                <w:webHidden/>
              </w:rPr>
              <w:fldChar w:fldCharType="begin"/>
            </w:r>
            <w:r>
              <w:rPr>
                <w:noProof/>
                <w:webHidden/>
              </w:rPr>
              <w:instrText xml:space="preserve"> PAGEREF _Toc120622152 \h </w:instrText>
            </w:r>
            <w:r>
              <w:rPr>
                <w:noProof/>
                <w:webHidden/>
              </w:rPr>
            </w:r>
            <w:r>
              <w:rPr>
                <w:noProof/>
                <w:webHidden/>
              </w:rPr>
              <w:fldChar w:fldCharType="separate"/>
            </w:r>
            <w:r>
              <w:rPr>
                <w:noProof/>
                <w:webHidden/>
              </w:rPr>
              <w:t>128</w:t>
            </w:r>
            <w:r>
              <w:rPr>
                <w:noProof/>
                <w:webHidden/>
              </w:rPr>
              <w:fldChar w:fldCharType="end"/>
            </w:r>
          </w:hyperlink>
        </w:p>
        <w:p w14:paraId="5115A766" w14:textId="4C57A533"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53" w:history="1">
            <w:r w:rsidRPr="00E50853">
              <w:rPr>
                <w:rStyle w:val="Hyperlink"/>
                <w:b/>
                <w:bCs/>
                <w:noProof/>
              </w:rPr>
              <w:t>5.4.2</w:t>
            </w:r>
            <w:r>
              <w:rPr>
                <w:rFonts w:eastAsiaTheme="minorEastAsia" w:cstheme="minorBidi"/>
                <w:noProof/>
                <w:sz w:val="24"/>
                <w:szCs w:val="24"/>
                <w:lang w:val="en-QA" w:eastAsia="en-GB"/>
              </w:rPr>
              <w:tab/>
            </w:r>
            <w:r w:rsidRPr="00E50853">
              <w:rPr>
                <w:rStyle w:val="Hyperlink"/>
                <w:b/>
                <w:bCs/>
                <w:noProof/>
              </w:rPr>
              <w:t>Emissions from mangrove deforestation</w:t>
            </w:r>
            <w:r>
              <w:rPr>
                <w:noProof/>
                <w:webHidden/>
              </w:rPr>
              <w:tab/>
            </w:r>
            <w:r>
              <w:rPr>
                <w:noProof/>
                <w:webHidden/>
              </w:rPr>
              <w:fldChar w:fldCharType="begin"/>
            </w:r>
            <w:r>
              <w:rPr>
                <w:noProof/>
                <w:webHidden/>
              </w:rPr>
              <w:instrText xml:space="preserve"> PAGEREF _Toc120622153 \h </w:instrText>
            </w:r>
            <w:r>
              <w:rPr>
                <w:noProof/>
                <w:webHidden/>
              </w:rPr>
            </w:r>
            <w:r>
              <w:rPr>
                <w:noProof/>
                <w:webHidden/>
              </w:rPr>
              <w:fldChar w:fldCharType="separate"/>
            </w:r>
            <w:r>
              <w:rPr>
                <w:noProof/>
                <w:webHidden/>
              </w:rPr>
              <w:t>132</w:t>
            </w:r>
            <w:r>
              <w:rPr>
                <w:noProof/>
                <w:webHidden/>
              </w:rPr>
              <w:fldChar w:fldCharType="end"/>
            </w:r>
          </w:hyperlink>
        </w:p>
        <w:p w14:paraId="46C3DAB5" w14:textId="127A63A1" w:rsidR="00BE6337" w:rsidRDefault="00BE6337">
          <w:pPr>
            <w:pStyle w:val="TOC3"/>
            <w:tabs>
              <w:tab w:val="left" w:pos="1200"/>
              <w:tab w:val="right" w:leader="dot" w:pos="9016"/>
            </w:tabs>
            <w:rPr>
              <w:rFonts w:eastAsiaTheme="minorEastAsia" w:cstheme="minorBidi"/>
              <w:noProof/>
              <w:sz w:val="24"/>
              <w:szCs w:val="24"/>
              <w:lang w:val="en-QA" w:eastAsia="en-GB"/>
            </w:rPr>
          </w:pPr>
          <w:hyperlink w:anchor="_Toc120622154" w:history="1">
            <w:r w:rsidRPr="00E50853">
              <w:rPr>
                <w:rStyle w:val="Hyperlink"/>
                <w:b/>
                <w:bCs/>
                <w:noProof/>
              </w:rPr>
              <w:t>5.4.3</w:t>
            </w:r>
            <w:r>
              <w:rPr>
                <w:rFonts w:eastAsiaTheme="minorEastAsia" w:cstheme="minorBidi"/>
                <w:noProof/>
                <w:sz w:val="24"/>
                <w:szCs w:val="24"/>
                <w:lang w:val="en-QA" w:eastAsia="en-GB"/>
              </w:rPr>
              <w:tab/>
            </w:r>
            <w:r w:rsidRPr="00E50853">
              <w:rPr>
                <w:rStyle w:val="Hyperlink"/>
                <w:b/>
                <w:bCs/>
                <w:noProof/>
              </w:rPr>
              <w:t>Net change in global carbon stocks and sequestration rates</w:t>
            </w:r>
            <w:r>
              <w:rPr>
                <w:noProof/>
                <w:webHidden/>
              </w:rPr>
              <w:tab/>
            </w:r>
            <w:r>
              <w:rPr>
                <w:noProof/>
                <w:webHidden/>
              </w:rPr>
              <w:fldChar w:fldCharType="begin"/>
            </w:r>
            <w:r>
              <w:rPr>
                <w:noProof/>
                <w:webHidden/>
              </w:rPr>
              <w:instrText xml:space="preserve"> PAGEREF _Toc120622154 \h </w:instrText>
            </w:r>
            <w:r>
              <w:rPr>
                <w:noProof/>
                <w:webHidden/>
              </w:rPr>
            </w:r>
            <w:r>
              <w:rPr>
                <w:noProof/>
                <w:webHidden/>
              </w:rPr>
              <w:fldChar w:fldCharType="separate"/>
            </w:r>
            <w:r>
              <w:rPr>
                <w:noProof/>
                <w:webHidden/>
              </w:rPr>
              <w:t>134</w:t>
            </w:r>
            <w:r>
              <w:rPr>
                <w:noProof/>
                <w:webHidden/>
              </w:rPr>
              <w:fldChar w:fldCharType="end"/>
            </w:r>
          </w:hyperlink>
        </w:p>
        <w:p w14:paraId="62AA25BF" w14:textId="59869685"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55" w:history="1">
            <w:r w:rsidRPr="00E50853">
              <w:rPr>
                <w:rStyle w:val="Hyperlink"/>
                <w:b/>
                <w:bCs/>
                <w:noProof/>
              </w:rPr>
              <w:t>5.5</w:t>
            </w:r>
            <w:r>
              <w:rPr>
                <w:rFonts w:eastAsiaTheme="minorEastAsia" w:cstheme="minorBidi"/>
                <w:i w:val="0"/>
                <w:iCs w:val="0"/>
                <w:noProof/>
                <w:sz w:val="24"/>
                <w:szCs w:val="24"/>
                <w:lang w:val="en-QA" w:eastAsia="en-GB"/>
              </w:rPr>
              <w:tab/>
            </w:r>
            <w:r w:rsidRPr="00E50853">
              <w:rPr>
                <w:rStyle w:val="Hyperlink"/>
                <w:b/>
                <w:bCs/>
                <w:noProof/>
              </w:rPr>
              <w:t>Discussion</w:t>
            </w:r>
            <w:r>
              <w:rPr>
                <w:noProof/>
                <w:webHidden/>
              </w:rPr>
              <w:tab/>
            </w:r>
            <w:r>
              <w:rPr>
                <w:noProof/>
                <w:webHidden/>
              </w:rPr>
              <w:fldChar w:fldCharType="begin"/>
            </w:r>
            <w:r>
              <w:rPr>
                <w:noProof/>
                <w:webHidden/>
              </w:rPr>
              <w:instrText xml:space="preserve"> PAGEREF _Toc120622155 \h </w:instrText>
            </w:r>
            <w:r>
              <w:rPr>
                <w:noProof/>
                <w:webHidden/>
              </w:rPr>
            </w:r>
            <w:r>
              <w:rPr>
                <w:noProof/>
                <w:webHidden/>
              </w:rPr>
              <w:fldChar w:fldCharType="separate"/>
            </w:r>
            <w:r>
              <w:rPr>
                <w:noProof/>
                <w:webHidden/>
              </w:rPr>
              <w:t>136</w:t>
            </w:r>
            <w:r>
              <w:rPr>
                <w:noProof/>
                <w:webHidden/>
              </w:rPr>
              <w:fldChar w:fldCharType="end"/>
            </w:r>
          </w:hyperlink>
        </w:p>
        <w:p w14:paraId="347701FB" w14:textId="2C20EA45" w:rsidR="00BE6337" w:rsidRDefault="00BE6337">
          <w:pPr>
            <w:pStyle w:val="TOC1"/>
            <w:tabs>
              <w:tab w:val="left" w:pos="480"/>
              <w:tab w:val="right" w:leader="dot" w:pos="9016"/>
            </w:tabs>
            <w:rPr>
              <w:rFonts w:eastAsiaTheme="minorEastAsia" w:cstheme="minorBidi"/>
              <w:b w:val="0"/>
              <w:bCs w:val="0"/>
              <w:noProof/>
              <w:sz w:val="24"/>
              <w:szCs w:val="24"/>
              <w:lang w:val="en-QA" w:eastAsia="en-GB"/>
            </w:rPr>
          </w:pPr>
          <w:hyperlink w:anchor="_Toc120622156" w:history="1">
            <w:r w:rsidRPr="00E50853">
              <w:rPr>
                <w:rStyle w:val="Hyperlink"/>
                <w:noProof/>
              </w:rPr>
              <w:t>6.</w:t>
            </w:r>
            <w:r>
              <w:rPr>
                <w:rFonts w:eastAsiaTheme="minorEastAsia" w:cstheme="minorBidi"/>
                <w:b w:val="0"/>
                <w:bCs w:val="0"/>
                <w:noProof/>
                <w:sz w:val="24"/>
                <w:szCs w:val="24"/>
                <w:lang w:val="en-QA" w:eastAsia="en-GB"/>
              </w:rPr>
              <w:tab/>
            </w:r>
            <w:r w:rsidRPr="00E50853">
              <w:rPr>
                <w:rStyle w:val="Hyperlink"/>
                <w:noProof/>
              </w:rPr>
              <w:t>General discussion</w:t>
            </w:r>
            <w:r>
              <w:rPr>
                <w:noProof/>
                <w:webHidden/>
              </w:rPr>
              <w:tab/>
            </w:r>
            <w:r>
              <w:rPr>
                <w:noProof/>
                <w:webHidden/>
              </w:rPr>
              <w:fldChar w:fldCharType="begin"/>
            </w:r>
            <w:r>
              <w:rPr>
                <w:noProof/>
                <w:webHidden/>
              </w:rPr>
              <w:instrText xml:space="preserve"> PAGEREF _Toc120622156 \h </w:instrText>
            </w:r>
            <w:r>
              <w:rPr>
                <w:noProof/>
                <w:webHidden/>
              </w:rPr>
            </w:r>
            <w:r>
              <w:rPr>
                <w:noProof/>
                <w:webHidden/>
              </w:rPr>
              <w:fldChar w:fldCharType="separate"/>
            </w:r>
            <w:r>
              <w:rPr>
                <w:noProof/>
                <w:webHidden/>
              </w:rPr>
              <w:t>144</w:t>
            </w:r>
            <w:r>
              <w:rPr>
                <w:noProof/>
                <w:webHidden/>
              </w:rPr>
              <w:fldChar w:fldCharType="end"/>
            </w:r>
          </w:hyperlink>
        </w:p>
        <w:p w14:paraId="5493BBBF" w14:textId="54DFA7E4"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57" w:history="1">
            <w:r w:rsidRPr="00E50853">
              <w:rPr>
                <w:rStyle w:val="Hyperlink"/>
                <w:b/>
                <w:bCs/>
                <w:noProof/>
              </w:rPr>
              <w:t>6.1</w:t>
            </w:r>
            <w:r>
              <w:rPr>
                <w:rFonts w:eastAsiaTheme="minorEastAsia" w:cstheme="minorBidi"/>
                <w:i w:val="0"/>
                <w:iCs w:val="0"/>
                <w:noProof/>
                <w:sz w:val="24"/>
                <w:szCs w:val="24"/>
                <w:lang w:val="en-QA" w:eastAsia="en-GB"/>
              </w:rPr>
              <w:tab/>
            </w:r>
            <w:r w:rsidRPr="00E50853">
              <w:rPr>
                <w:rStyle w:val="Hyperlink"/>
                <w:b/>
                <w:bCs/>
                <w:noProof/>
              </w:rPr>
              <w:t>Aims of the thesis</w:t>
            </w:r>
            <w:r>
              <w:rPr>
                <w:noProof/>
                <w:webHidden/>
              </w:rPr>
              <w:tab/>
            </w:r>
            <w:r>
              <w:rPr>
                <w:noProof/>
                <w:webHidden/>
              </w:rPr>
              <w:fldChar w:fldCharType="begin"/>
            </w:r>
            <w:r>
              <w:rPr>
                <w:noProof/>
                <w:webHidden/>
              </w:rPr>
              <w:instrText xml:space="preserve"> PAGEREF _Toc120622157 \h </w:instrText>
            </w:r>
            <w:r>
              <w:rPr>
                <w:noProof/>
                <w:webHidden/>
              </w:rPr>
            </w:r>
            <w:r>
              <w:rPr>
                <w:noProof/>
                <w:webHidden/>
              </w:rPr>
              <w:fldChar w:fldCharType="separate"/>
            </w:r>
            <w:r>
              <w:rPr>
                <w:noProof/>
                <w:webHidden/>
              </w:rPr>
              <w:t>144</w:t>
            </w:r>
            <w:r>
              <w:rPr>
                <w:noProof/>
                <w:webHidden/>
              </w:rPr>
              <w:fldChar w:fldCharType="end"/>
            </w:r>
          </w:hyperlink>
        </w:p>
        <w:p w14:paraId="429665C1" w14:textId="622F0276"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58" w:history="1">
            <w:r w:rsidRPr="00E50853">
              <w:rPr>
                <w:rStyle w:val="Hyperlink"/>
                <w:b/>
                <w:bCs/>
                <w:noProof/>
              </w:rPr>
              <w:t>6.2</w:t>
            </w:r>
            <w:r>
              <w:rPr>
                <w:rFonts w:eastAsiaTheme="minorEastAsia" w:cstheme="minorBidi"/>
                <w:i w:val="0"/>
                <w:iCs w:val="0"/>
                <w:noProof/>
                <w:sz w:val="24"/>
                <w:szCs w:val="24"/>
                <w:lang w:val="en-QA" w:eastAsia="en-GB"/>
              </w:rPr>
              <w:tab/>
            </w:r>
            <w:r w:rsidRPr="00E50853">
              <w:rPr>
                <w:rStyle w:val="Hyperlink"/>
                <w:b/>
                <w:bCs/>
                <w:noProof/>
              </w:rPr>
              <w:t>Summary of findings</w:t>
            </w:r>
            <w:r>
              <w:rPr>
                <w:noProof/>
                <w:webHidden/>
              </w:rPr>
              <w:tab/>
            </w:r>
            <w:r>
              <w:rPr>
                <w:noProof/>
                <w:webHidden/>
              </w:rPr>
              <w:fldChar w:fldCharType="begin"/>
            </w:r>
            <w:r>
              <w:rPr>
                <w:noProof/>
                <w:webHidden/>
              </w:rPr>
              <w:instrText xml:space="preserve"> PAGEREF _Toc120622158 \h </w:instrText>
            </w:r>
            <w:r>
              <w:rPr>
                <w:noProof/>
                <w:webHidden/>
              </w:rPr>
            </w:r>
            <w:r>
              <w:rPr>
                <w:noProof/>
                <w:webHidden/>
              </w:rPr>
              <w:fldChar w:fldCharType="separate"/>
            </w:r>
            <w:r>
              <w:rPr>
                <w:noProof/>
                <w:webHidden/>
              </w:rPr>
              <w:t>144</w:t>
            </w:r>
            <w:r>
              <w:rPr>
                <w:noProof/>
                <w:webHidden/>
              </w:rPr>
              <w:fldChar w:fldCharType="end"/>
            </w:r>
          </w:hyperlink>
        </w:p>
        <w:p w14:paraId="1ECA6F03" w14:textId="784EA794"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59" w:history="1">
            <w:r w:rsidRPr="00E50853">
              <w:rPr>
                <w:rStyle w:val="Hyperlink"/>
                <w:b/>
                <w:bCs/>
                <w:noProof/>
              </w:rPr>
              <w:t>6.3</w:t>
            </w:r>
            <w:r>
              <w:rPr>
                <w:rFonts w:eastAsiaTheme="minorEastAsia" w:cstheme="minorBidi"/>
                <w:i w:val="0"/>
                <w:iCs w:val="0"/>
                <w:noProof/>
                <w:sz w:val="24"/>
                <w:szCs w:val="24"/>
                <w:lang w:val="en-QA" w:eastAsia="en-GB"/>
              </w:rPr>
              <w:tab/>
            </w:r>
            <w:r w:rsidRPr="00E50853">
              <w:rPr>
                <w:rStyle w:val="Hyperlink"/>
                <w:b/>
                <w:bCs/>
                <w:noProof/>
              </w:rPr>
              <w:t>What this thesis can add to mangrove science</w:t>
            </w:r>
            <w:r>
              <w:rPr>
                <w:noProof/>
                <w:webHidden/>
              </w:rPr>
              <w:tab/>
            </w:r>
            <w:r>
              <w:rPr>
                <w:noProof/>
                <w:webHidden/>
              </w:rPr>
              <w:fldChar w:fldCharType="begin"/>
            </w:r>
            <w:r>
              <w:rPr>
                <w:noProof/>
                <w:webHidden/>
              </w:rPr>
              <w:instrText xml:space="preserve"> PAGEREF _Toc120622159 \h </w:instrText>
            </w:r>
            <w:r>
              <w:rPr>
                <w:noProof/>
                <w:webHidden/>
              </w:rPr>
            </w:r>
            <w:r>
              <w:rPr>
                <w:noProof/>
                <w:webHidden/>
              </w:rPr>
              <w:fldChar w:fldCharType="separate"/>
            </w:r>
            <w:r>
              <w:rPr>
                <w:noProof/>
                <w:webHidden/>
              </w:rPr>
              <w:t>149</w:t>
            </w:r>
            <w:r>
              <w:rPr>
                <w:noProof/>
                <w:webHidden/>
              </w:rPr>
              <w:fldChar w:fldCharType="end"/>
            </w:r>
          </w:hyperlink>
        </w:p>
        <w:p w14:paraId="57118E05" w14:textId="50122254"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60" w:history="1">
            <w:r w:rsidRPr="00E50853">
              <w:rPr>
                <w:rStyle w:val="Hyperlink"/>
                <w:b/>
                <w:bCs/>
                <w:noProof/>
              </w:rPr>
              <w:t>6.4</w:t>
            </w:r>
            <w:r>
              <w:rPr>
                <w:rFonts w:eastAsiaTheme="minorEastAsia" w:cstheme="minorBidi"/>
                <w:i w:val="0"/>
                <w:iCs w:val="0"/>
                <w:noProof/>
                <w:sz w:val="24"/>
                <w:szCs w:val="24"/>
                <w:lang w:val="en-QA" w:eastAsia="en-GB"/>
              </w:rPr>
              <w:tab/>
            </w:r>
            <w:r w:rsidRPr="00E50853">
              <w:rPr>
                <w:rStyle w:val="Hyperlink"/>
                <w:b/>
                <w:bCs/>
                <w:noProof/>
              </w:rPr>
              <w:t>Limitations</w:t>
            </w:r>
            <w:r>
              <w:rPr>
                <w:noProof/>
                <w:webHidden/>
              </w:rPr>
              <w:tab/>
            </w:r>
            <w:r>
              <w:rPr>
                <w:noProof/>
                <w:webHidden/>
              </w:rPr>
              <w:fldChar w:fldCharType="begin"/>
            </w:r>
            <w:r>
              <w:rPr>
                <w:noProof/>
                <w:webHidden/>
              </w:rPr>
              <w:instrText xml:space="preserve"> PAGEREF _Toc120622160 \h </w:instrText>
            </w:r>
            <w:r>
              <w:rPr>
                <w:noProof/>
                <w:webHidden/>
              </w:rPr>
            </w:r>
            <w:r>
              <w:rPr>
                <w:noProof/>
                <w:webHidden/>
              </w:rPr>
              <w:fldChar w:fldCharType="separate"/>
            </w:r>
            <w:r>
              <w:rPr>
                <w:noProof/>
                <w:webHidden/>
              </w:rPr>
              <w:t>151</w:t>
            </w:r>
            <w:r>
              <w:rPr>
                <w:noProof/>
                <w:webHidden/>
              </w:rPr>
              <w:fldChar w:fldCharType="end"/>
            </w:r>
          </w:hyperlink>
        </w:p>
        <w:p w14:paraId="57823E0A" w14:textId="4A322EC0"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61" w:history="1">
            <w:r w:rsidRPr="00E50853">
              <w:rPr>
                <w:rStyle w:val="Hyperlink"/>
                <w:b/>
                <w:bCs/>
                <w:noProof/>
              </w:rPr>
              <w:t>6.5</w:t>
            </w:r>
            <w:r>
              <w:rPr>
                <w:rFonts w:eastAsiaTheme="minorEastAsia" w:cstheme="minorBidi"/>
                <w:i w:val="0"/>
                <w:iCs w:val="0"/>
                <w:noProof/>
                <w:sz w:val="24"/>
                <w:szCs w:val="24"/>
                <w:lang w:val="en-QA" w:eastAsia="en-GB"/>
              </w:rPr>
              <w:tab/>
            </w:r>
            <w:r w:rsidRPr="00E50853">
              <w:rPr>
                <w:rStyle w:val="Hyperlink"/>
                <w:b/>
                <w:bCs/>
                <w:noProof/>
              </w:rPr>
              <w:t>Future research and applications of results</w:t>
            </w:r>
            <w:r>
              <w:rPr>
                <w:noProof/>
                <w:webHidden/>
              </w:rPr>
              <w:tab/>
            </w:r>
            <w:r>
              <w:rPr>
                <w:noProof/>
                <w:webHidden/>
              </w:rPr>
              <w:fldChar w:fldCharType="begin"/>
            </w:r>
            <w:r>
              <w:rPr>
                <w:noProof/>
                <w:webHidden/>
              </w:rPr>
              <w:instrText xml:space="preserve"> PAGEREF _Toc120622161 \h </w:instrText>
            </w:r>
            <w:r>
              <w:rPr>
                <w:noProof/>
                <w:webHidden/>
              </w:rPr>
            </w:r>
            <w:r>
              <w:rPr>
                <w:noProof/>
                <w:webHidden/>
              </w:rPr>
              <w:fldChar w:fldCharType="separate"/>
            </w:r>
            <w:r>
              <w:rPr>
                <w:noProof/>
                <w:webHidden/>
              </w:rPr>
              <w:t>155</w:t>
            </w:r>
            <w:r>
              <w:rPr>
                <w:noProof/>
                <w:webHidden/>
              </w:rPr>
              <w:fldChar w:fldCharType="end"/>
            </w:r>
          </w:hyperlink>
        </w:p>
        <w:p w14:paraId="3A92F8E0" w14:textId="589B2D7E" w:rsidR="00BE6337" w:rsidRDefault="00BE6337">
          <w:pPr>
            <w:pStyle w:val="TOC1"/>
            <w:tabs>
              <w:tab w:val="left" w:pos="480"/>
              <w:tab w:val="right" w:leader="dot" w:pos="9016"/>
            </w:tabs>
            <w:rPr>
              <w:rFonts w:eastAsiaTheme="minorEastAsia" w:cstheme="minorBidi"/>
              <w:b w:val="0"/>
              <w:bCs w:val="0"/>
              <w:noProof/>
              <w:sz w:val="24"/>
              <w:szCs w:val="24"/>
              <w:lang w:val="en-QA" w:eastAsia="en-GB"/>
            </w:rPr>
          </w:pPr>
          <w:hyperlink w:anchor="_Toc120622162" w:history="1">
            <w:r w:rsidRPr="00E50853">
              <w:rPr>
                <w:rStyle w:val="Hyperlink"/>
                <w:noProof/>
              </w:rPr>
              <w:t>7.</w:t>
            </w:r>
            <w:r>
              <w:rPr>
                <w:rFonts w:eastAsiaTheme="minorEastAsia" w:cstheme="minorBidi"/>
                <w:b w:val="0"/>
                <w:bCs w:val="0"/>
                <w:noProof/>
                <w:sz w:val="24"/>
                <w:szCs w:val="24"/>
                <w:lang w:val="en-QA" w:eastAsia="en-GB"/>
              </w:rPr>
              <w:tab/>
            </w:r>
            <w:r w:rsidRPr="00E50853">
              <w:rPr>
                <w:rStyle w:val="Hyperlink"/>
                <w:noProof/>
              </w:rPr>
              <w:t>References</w:t>
            </w:r>
            <w:r>
              <w:rPr>
                <w:noProof/>
                <w:webHidden/>
              </w:rPr>
              <w:tab/>
            </w:r>
            <w:r>
              <w:rPr>
                <w:noProof/>
                <w:webHidden/>
              </w:rPr>
              <w:fldChar w:fldCharType="begin"/>
            </w:r>
            <w:r>
              <w:rPr>
                <w:noProof/>
                <w:webHidden/>
              </w:rPr>
              <w:instrText xml:space="preserve"> PAGEREF _Toc120622162 \h </w:instrText>
            </w:r>
            <w:r>
              <w:rPr>
                <w:noProof/>
                <w:webHidden/>
              </w:rPr>
            </w:r>
            <w:r>
              <w:rPr>
                <w:noProof/>
                <w:webHidden/>
              </w:rPr>
              <w:fldChar w:fldCharType="separate"/>
            </w:r>
            <w:r>
              <w:rPr>
                <w:noProof/>
                <w:webHidden/>
              </w:rPr>
              <w:t>159</w:t>
            </w:r>
            <w:r>
              <w:rPr>
                <w:noProof/>
                <w:webHidden/>
              </w:rPr>
              <w:fldChar w:fldCharType="end"/>
            </w:r>
          </w:hyperlink>
        </w:p>
        <w:p w14:paraId="33626ACA" w14:textId="07B106D8" w:rsidR="00BE6337" w:rsidRDefault="00BE6337">
          <w:pPr>
            <w:pStyle w:val="TOC1"/>
            <w:tabs>
              <w:tab w:val="left" w:pos="480"/>
              <w:tab w:val="right" w:leader="dot" w:pos="9016"/>
            </w:tabs>
            <w:rPr>
              <w:rFonts w:eastAsiaTheme="minorEastAsia" w:cstheme="minorBidi"/>
              <w:b w:val="0"/>
              <w:bCs w:val="0"/>
              <w:noProof/>
              <w:sz w:val="24"/>
              <w:szCs w:val="24"/>
              <w:lang w:val="en-QA" w:eastAsia="en-GB"/>
            </w:rPr>
          </w:pPr>
          <w:hyperlink w:anchor="_Toc120622163" w:history="1">
            <w:r w:rsidRPr="00E50853">
              <w:rPr>
                <w:rStyle w:val="Hyperlink"/>
                <w:noProof/>
              </w:rPr>
              <w:t>8.</w:t>
            </w:r>
            <w:r>
              <w:rPr>
                <w:rFonts w:eastAsiaTheme="minorEastAsia" w:cstheme="minorBidi"/>
                <w:b w:val="0"/>
                <w:bCs w:val="0"/>
                <w:noProof/>
                <w:sz w:val="24"/>
                <w:szCs w:val="24"/>
                <w:lang w:val="en-QA" w:eastAsia="en-GB"/>
              </w:rPr>
              <w:tab/>
            </w:r>
            <w:r w:rsidRPr="00E50853">
              <w:rPr>
                <w:rStyle w:val="Hyperlink"/>
                <w:noProof/>
              </w:rPr>
              <w:t>Appendices</w:t>
            </w:r>
            <w:r>
              <w:rPr>
                <w:noProof/>
                <w:webHidden/>
              </w:rPr>
              <w:tab/>
            </w:r>
            <w:r>
              <w:rPr>
                <w:noProof/>
                <w:webHidden/>
              </w:rPr>
              <w:fldChar w:fldCharType="begin"/>
            </w:r>
            <w:r>
              <w:rPr>
                <w:noProof/>
                <w:webHidden/>
              </w:rPr>
              <w:instrText xml:space="preserve"> PAGEREF _Toc120622163 \h </w:instrText>
            </w:r>
            <w:r>
              <w:rPr>
                <w:noProof/>
                <w:webHidden/>
              </w:rPr>
            </w:r>
            <w:r>
              <w:rPr>
                <w:noProof/>
                <w:webHidden/>
              </w:rPr>
              <w:fldChar w:fldCharType="separate"/>
            </w:r>
            <w:r>
              <w:rPr>
                <w:noProof/>
                <w:webHidden/>
              </w:rPr>
              <w:t>194</w:t>
            </w:r>
            <w:r>
              <w:rPr>
                <w:noProof/>
                <w:webHidden/>
              </w:rPr>
              <w:fldChar w:fldCharType="end"/>
            </w:r>
          </w:hyperlink>
        </w:p>
        <w:p w14:paraId="61A790D0" w14:textId="776EA743"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64" w:history="1">
            <w:r w:rsidRPr="00E50853">
              <w:rPr>
                <w:rStyle w:val="Hyperlink"/>
                <w:b/>
                <w:bCs/>
                <w:noProof/>
              </w:rPr>
              <w:t>8.1</w:t>
            </w:r>
            <w:r>
              <w:rPr>
                <w:rFonts w:eastAsiaTheme="minorEastAsia" w:cstheme="minorBidi"/>
                <w:i w:val="0"/>
                <w:iCs w:val="0"/>
                <w:noProof/>
                <w:sz w:val="24"/>
                <w:szCs w:val="24"/>
                <w:lang w:val="en-QA" w:eastAsia="en-GB"/>
              </w:rPr>
              <w:tab/>
            </w:r>
            <w:r w:rsidRPr="00E50853">
              <w:rPr>
                <w:rStyle w:val="Hyperlink"/>
                <w:b/>
                <w:bCs/>
                <w:noProof/>
              </w:rPr>
              <w:t>Tables</w:t>
            </w:r>
            <w:r>
              <w:rPr>
                <w:noProof/>
                <w:webHidden/>
              </w:rPr>
              <w:tab/>
            </w:r>
            <w:r>
              <w:rPr>
                <w:noProof/>
                <w:webHidden/>
              </w:rPr>
              <w:fldChar w:fldCharType="begin"/>
            </w:r>
            <w:r>
              <w:rPr>
                <w:noProof/>
                <w:webHidden/>
              </w:rPr>
              <w:instrText xml:space="preserve"> PAGEREF _Toc120622164 \h </w:instrText>
            </w:r>
            <w:r>
              <w:rPr>
                <w:noProof/>
                <w:webHidden/>
              </w:rPr>
            </w:r>
            <w:r>
              <w:rPr>
                <w:noProof/>
                <w:webHidden/>
              </w:rPr>
              <w:fldChar w:fldCharType="separate"/>
            </w:r>
            <w:r>
              <w:rPr>
                <w:noProof/>
                <w:webHidden/>
              </w:rPr>
              <w:t>194</w:t>
            </w:r>
            <w:r>
              <w:rPr>
                <w:noProof/>
                <w:webHidden/>
              </w:rPr>
              <w:fldChar w:fldCharType="end"/>
            </w:r>
          </w:hyperlink>
        </w:p>
        <w:p w14:paraId="746B55B3" w14:textId="7F6831DD" w:rsidR="00BE6337" w:rsidRDefault="00BE6337">
          <w:pPr>
            <w:pStyle w:val="TOC2"/>
            <w:tabs>
              <w:tab w:val="left" w:pos="960"/>
              <w:tab w:val="right" w:leader="dot" w:pos="9016"/>
            </w:tabs>
            <w:rPr>
              <w:rFonts w:eastAsiaTheme="minorEastAsia" w:cstheme="minorBidi"/>
              <w:i w:val="0"/>
              <w:iCs w:val="0"/>
              <w:noProof/>
              <w:sz w:val="24"/>
              <w:szCs w:val="24"/>
              <w:lang w:val="en-QA" w:eastAsia="en-GB"/>
            </w:rPr>
          </w:pPr>
          <w:hyperlink w:anchor="_Toc120622165" w:history="1">
            <w:r w:rsidRPr="00E50853">
              <w:rPr>
                <w:rStyle w:val="Hyperlink"/>
                <w:b/>
                <w:bCs/>
                <w:noProof/>
              </w:rPr>
              <w:t>8.2</w:t>
            </w:r>
            <w:r>
              <w:rPr>
                <w:rFonts w:eastAsiaTheme="minorEastAsia" w:cstheme="minorBidi"/>
                <w:i w:val="0"/>
                <w:iCs w:val="0"/>
                <w:noProof/>
                <w:sz w:val="24"/>
                <w:szCs w:val="24"/>
                <w:lang w:val="en-QA" w:eastAsia="en-GB"/>
              </w:rPr>
              <w:tab/>
            </w:r>
            <w:r w:rsidRPr="00E50853">
              <w:rPr>
                <w:rStyle w:val="Hyperlink"/>
                <w:b/>
                <w:bCs/>
                <w:noProof/>
              </w:rPr>
              <w:t>Figures</w:t>
            </w:r>
            <w:r>
              <w:rPr>
                <w:noProof/>
                <w:webHidden/>
              </w:rPr>
              <w:tab/>
            </w:r>
            <w:r>
              <w:rPr>
                <w:noProof/>
                <w:webHidden/>
              </w:rPr>
              <w:fldChar w:fldCharType="begin"/>
            </w:r>
            <w:r>
              <w:rPr>
                <w:noProof/>
                <w:webHidden/>
              </w:rPr>
              <w:instrText xml:space="preserve"> PAGEREF _Toc120622165 \h </w:instrText>
            </w:r>
            <w:r>
              <w:rPr>
                <w:noProof/>
                <w:webHidden/>
              </w:rPr>
            </w:r>
            <w:r>
              <w:rPr>
                <w:noProof/>
                <w:webHidden/>
              </w:rPr>
              <w:fldChar w:fldCharType="separate"/>
            </w:r>
            <w:r>
              <w:rPr>
                <w:noProof/>
                <w:webHidden/>
              </w:rPr>
              <w:t>201</w:t>
            </w:r>
            <w:r>
              <w:rPr>
                <w:noProof/>
                <w:webHidden/>
              </w:rPr>
              <w:fldChar w:fldCharType="end"/>
            </w:r>
          </w:hyperlink>
        </w:p>
        <w:p w14:paraId="54C3A192" w14:textId="0D2CE31A" w:rsidR="00BE6337" w:rsidRDefault="00BE6337">
          <w:pPr>
            <w:pStyle w:val="TOC1"/>
            <w:tabs>
              <w:tab w:val="right" w:leader="dot" w:pos="9016"/>
            </w:tabs>
            <w:rPr>
              <w:rFonts w:eastAsiaTheme="minorEastAsia" w:cstheme="minorBidi"/>
              <w:b w:val="0"/>
              <w:bCs w:val="0"/>
              <w:noProof/>
              <w:sz w:val="24"/>
              <w:szCs w:val="24"/>
              <w:lang w:val="en-QA" w:eastAsia="en-GB"/>
            </w:rPr>
          </w:pPr>
          <w:hyperlink w:anchor="_Toc120622166" w:history="1">
            <w:r w:rsidRPr="00E50853">
              <w:rPr>
                <w:rStyle w:val="Hyperlink"/>
                <w:noProof/>
              </w:rPr>
              <w:t>Supplementary Research</w:t>
            </w:r>
            <w:r>
              <w:rPr>
                <w:noProof/>
                <w:webHidden/>
              </w:rPr>
              <w:tab/>
            </w:r>
            <w:r>
              <w:rPr>
                <w:noProof/>
                <w:webHidden/>
              </w:rPr>
              <w:fldChar w:fldCharType="begin"/>
            </w:r>
            <w:r>
              <w:rPr>
                <w:noProof/>
                <w:webHidden/>
              </w:rPr>
              <w:instrText xml:space="preserve"> PAGEREF _Toc120622166 \h </w:instrText>
            </w:r>
            <w:r>
              <w:rPr>
                <w:noProof/>
                <w:webHidden/>
              </w:rPr>
            </w:r>
            <w:r>
              <w:rPr>
                <w:noProof/>
                <w:webHidden/>
              </w:rPr>
              <w:fldChar w:fldCharType="separate"/>
            </w:r>
            <w:r>
              <w:rPr>
                <w:noProof/>
                <w:webHidden/>
              </w:rPr>
              <w:t>207</w:t>
            </w:r>
            <w:r>
              <w:rPr>
                <w:noProof/>
                <w:webHidden/>
              </w:rPr>
              <w:fldChar w:fldCharType="end"/>
            </w:r>
          </w:hyperlink>
        </w:p>
        <w:p w14:paraId="2211621E" w14:textId="10459ACF" w:rsidR="00094754" w:rsidRDefault="00094754">
          <w:r>
            <w:rPr>
              <w:b/>
              <w:bCs/>
              <w:noProof/>
            </w:rPr>
            <w:fldChar w:fldCharType="end"/>
          </w:r>
        </w:p>
      </w:sdtContent>
    </w:sdt>
    <w:p w14:paraId="1F18FF9F" w14:textId="77777777" w:rsidR="00094754" w:rsidRDefault="00094754" w:rsidP="00094754">
      <w:pPr>
        <w:spacing w:line="480" w:lineRule="auto"/>
        <w:rPr>
          <w:sz w:val="22"/>
          <w:szCs w:val="22"/>
        </w:rPr>
        <w:sectPr w:rsidR="00094754">
          <w:pgSz w:w="11906" w:h="16838"/>
          <w:pgMar w:top="1440" w:right="1440" w:bottom="1440" w:left="1440" w:header="708" w:footer="708" w:gutter="0"/>
          <w:cols w:space="708"/>
          <w:docGrid w:linePitch="360"/>
        </w:sectPr>
      </w:pPr>
    </w:p>
    <w:p w14:paraId="1157A09E" w14:textId="77777777" w:rsidR="005A5DA2" w:rsidRDefault="005A5DA2" w:rsidP="005A5DA2">
      <w:pPr>
        <w:spacing w:line="480" w:lineRule="auto"/>
        <w:rPr>
          <w:b/>
          <w:bCs/>
          <w:sz w:val="26"/>
          <w:szCs w:val="26"/>
        </w:rPr>
      </w:pPr>
      <w:r>
        <w:rPr>
          <w:b/>
          <w:bCs/>
          <w:sz w:val="26"/>
          <w:szCs w:val="26"/>
        </w:rPr>
        <w:lastRenderedPageBreak/>
        <w:t>List of tables</w:t>
      </w:r>
    </w:p>
    <w:p w14:paraId="69B97DA6" w14:textId="77777777" w:rsidR="005A5DA2" w:rsidRDefault="005A5DA2" w:rsidP="005A5DA2">
      <w:pPr>
        <w:spacing w:line="480" w:lineRule="auto"/>
        <w:rPr>
          <w:sz w:val="22"/>
          <w:szCs w:val="22"/>
        </w:rPr>
      </w:pPr>
      <w:r w:rsidRPr="001A3D7A">
        <w:rPr>
          <w:sz w:val="22"/>
          <w:szCs w:val="22"/>
        </w:rPr>
        <w:t xml:space="preserve">Table </w:t>
      </w:r>
      <w:r>
        <w:rPr>
          <w:sz w:val="22"/>
          <w:szCs w:val="22"/>
        </w:rPr>
        <w:t>3</w:t>
      </w:r>
      <w:r w:rsidRPr="001A3D7A">
        <w:rPr>
          <w:sz w:val="22"/>
          <w:szCs w:val="22"/>
        </w:rPr>
        <w:t>.</w:t>
      </w:r>
      <w:r>
        <w:rPr>
          <w:sz w:val="22"/>
          <w:szCs w:val="22"/>
        </w:rPr>
        <w:t>1</w:t>
      </w:r>
      <w:r w:rsidRPr="001A3D7A">
        <w:rPr>
          <w:sz w:val="22"/>
          <w:szCs w:val="22"/>
        </w:rPr>
        <w:t xml:space="preserve"> </w:t>
      </w:r>
      <w:r>
        <w:rPr>
          <w:sz w:val="22"/>
          <w:szCs w:val="22"/>
        </w:rPr>
        <w:t>P</w:t>
      </w:r>
      <w:r w:rsidRPr="001A3D7A">
        <w:rPr>
          <w:sz w:val="22"/>
          <w:szCs w:val="22"/>
        </w:rPr>
        <w:t>ast (1980 to 1990) annual seasonality of Net Primary Productivity (NPP)</w:t>
      </w:r>
      <w:r>
        <w:rPr>
          <w:sz w:val="22"/>
          <w:szCs w:val="22"/>
        </w:rPr>
        <w:t xml:space="preserve"> (pg. 74)</w:t>
      </w:r>
    </w:p>
    <w:p w14:paraId="0C16489D" w14:textId="77777777" w:rsidR="005A5DA2" w:rsidRDefault="005A5DA2" w:rsidP="005A5DA2">
      <w:pPr>
        <w:spacing w:line="480" w:lineRule="auto"/>
        <w:rPr>
          <w:sz w:val="22"/>
          <w:szCs w:val="22"/>
        </w:rPr>
      </w:pPr>
      <w:r w:rsidRPr="001E6E69">
        <w:rPr>
          <w:sz w:val="22"/>
          <w:szCs w:val="22"/>
        </w:rPr>
        <w:t>Table 4.1 Allometric equations developed</w:t>
      </w:r>
      <w:r>
        <w:rPr>
          <w:sz w:val="22"/>
          <w:szCs w:val="22"/>
        </w:rPr>
        <w:t xml:space="preserve"> (pg. 97)</w:t>
      </w:r>
    </w:p>
    <w:p w14:paraId="4DEC5373" w14:textId="77777777" w:rsidR="005A5DA2" w:rsidRDefault="005A5DA2" w:rsidP="005A5DA2">
      <w:pPr>
        <w:spacing w:line="480" w:lineRule="auto"/>
        <w:rPr>
          <w:sz w:val="22"/>
          <w:szCs w:val="22"/>
        </w:rPr>
      </w:pPr>
      <w:r w:rsidRPr="001E6E69">
        <w:rPr>
          <w:sz w:val="22"/>
          <w:szCs w:val="22"/>
        </w:rPr>
        <w:t xml:space="preserve">Table 4.2 </w:t>
      </w:r>
      <w:proofErr w:type="gramStart"/>
      <w:r>
        <w:rPr>
          <w:sz w:val="22"/>
          <w:szCs w:val="22"/>
        </w:rPr>
        <w:t>Mangrove forest</w:t>
      </w:r>
      <w:proofErr w:type="gramEnd"/>
      <w:r>
        <w:rPr>
          <w:sz w:val="22"/>
          <w:szCs w:val="22"/>
        </w:rPr>
        <w:t xml:space="preserve"> stand characteristics in</w:t>
      </w:r>
      <w:r w:rsidRPr="001E6E69">
        <w:rPr>
          <w:sz w:val="22"/>
          <w:szCs w:val="22"/>
        </w:rPr>
        <w:t xml:space="preserve"> different sites and intertidal depths in Qatar mangroves</w:t>
      </w:r>
      <w:r>
        <w:rPr>
          <w:sz w:val="22"/>
          <w:szCs w:val="22"/>
        </w:rPr>
        <w:t xml:space="preserve"> (pg. 100)</w:t>
      </w:r>
    </w:p>
    <w:p w14:paraId="7E4A4741" w14:textId="77777777" w:rsidR="005A5DA2" w:rsidRDefault="005A5DA2" w:rsidP="005A5DA2">
      <w:pPr>
        <w:spacing w:line="480" w:lineRule="auto"/>
        <w:rPr>
          <w:sz w:val="22"/>
          <w:szCs w:val="22"/>
        </w:rPr>
      </w:pPr>
      <w:r w:rsidRPr="008A5580">
        <w:rPr>
          <w:sz w:val="22"/>
          <w:szCs w:val="22"/>
        </w:rPr>
        <w:t xml:space="preserve">Table 4.3 </w:t>
      </w:r>
      <w:r>
        <w:rPr>
          <w:sz w:val="22"/>
          <w:szCs w:val="22"/>
        </w:rPr>
        <w:t xml:space="preserve">Mangrove soil characteristics </w:t>
      </w:r>
      <w:r w:rsidRPr="008A5580">
        <w:rPr>
          <w:sz w:val="22"/>
          <w:szCs w:val="22"/>
        </w:rPr>
        <w:t>of sampled plots in Qatari mangroves</w:t>
      </w:r>
      <w:r>
        <w:rPr>
          <w:sz w:val="22"/>
          <w:szCs w:val="22"/>
        </w:rPr>
        <w:t xml:space="preserve"> (pg. 104)</w:t>
      </w:r>
    </w:p>
    <w:p w14:paraId="029C78B6" w14:textId="77777777" w:rsidR="005A5DA2" w:rsidRDefault="005A5DA2" w:rsidP="005A5DA2">
      <w:pPr>
        <w:spacing w:line="480" w:lineRule="auto"/>
        <w:rPr>
          <w:sz w:val="22"/>
          <w:szCs w:val="22"/>
        </w:rPr>
      </w:pPr>
      <w:r w:rsidRPr="00AA34F2">
        <w:rPr>
          <w:sz w:val="22"/>
          <w:szCs w:val="22"/>
        </w:rPr>
        <w:t xml:space="preserve">Table </w:t>
      </w:r>
      <w:r>
        <w:rPr>
          <w:sz w:val="22"/>
          <w:szCs w:val="22"/>
        </w:rPr>
        <w:t>5.</w:t>
      </w:r>
      <w:r w:rsidRPr="00AA34F2">
        <w:rPr>
          <w:sz w:val="22"/>
          <w:szCs w:val="22"/>
        </w:rPr>
        <w:t xml:space="preserve">1 </w:t>
      </w:r>
      <w:r>
        <w:rPr>
          <w:sz w:val="22"/>
          <w:szCs w:val="22"/>
        </w:rPr>
        <w:t>M</w:t>
      </w:r>
      <w:r w:rsidRPr="00AA34F2">
        <w:rPr>
          <w:sz w:val="22"/>
          <w:szCs w:val="22"/>
        </w:rPr>
        <w:t xml:space="preserve">angrove </w:t>
      </w:r>
      <w:r>
        <w:rPr>
          <w:sz w:val="22"/>
          <w:szCs w:val="22"/>
        </w:rPr>
        <w:t>carbon</w:t>
      </w:r>
      <w:r w:rsidRPr="00AA34F2">
        <w:rPr>
          <w:sz w:val="22"/>
          <w:szCs w:val="22"/>
        </w:rPr>
        <w:t xml:space="preserve"> stocks held by the 20 most mangrove-rich countries</w:t>
      </w:r>
      <w:r>
        <w:rPr>
          <w:sz w:val="22"/>
          <w:szCs w:val="22"/>
        </w:rPr>
        <w:t xml:space="preserve"> (pg. 129)</w:t>
      </w:r>
    </w:p>
    <w:p w14:paraId="47CF8767" w14:textId="77777777" w:rsidR="005A5DA2" w:rsidRDefault="005A5DA2" w:rsidP="005A5DA2">
      <w:pPr>
        <w:spacing w:line="480" w:lineRule="auto"/>
        <w:rPr>
          <w:sz w:val="22"/>
          <w:szCs w:val="22"/>
        </w:rPr>
      </w:pPr>
      <w:r w:rsidRPr="00D200CC">
        <w:rPr>
          <w:sz w:val="22"/>
          <w:szCs w:val="22"/>
        </w:rPr>
        <w:t xml:space="preserve">Table 5.2 </w:t>
      </w:r>
      <w:r>
        <w:rPr>
          <w:sz w:val="22"/>
          <w:szCs w:val="22"/>
        </w:rPr>
        <w:t>M</w:t>
      </w:r>
      <w:r w:rsidRPr="00D200CC">
        <w:rPr>
          <w:sz w:val="22"/>
          <w:szCs w:val="22"/>
        </w:rPr>
        <w:t xml:space="preserve">angrove </w:t>
      </w:r>
      <w:r>
        <w:rPr>
          <w:sz w:val="22"/>
          <w:szCs w:val="22"/>
        </w:rPr>
        <w:t>carbon</w:t>
      </w:r>
      <w:r w:rsidRPr="00D200CC">
        <w:rPr>
          <w:sz w:val="22"/>
          <w:szCs w:val="22"/>
        </w:rPr>
        <w:t xml:space="preserve"> sequestration rates of the 20 highest sequestering countries</w:t>
      </w:r>
      <w:r>
        <w:rPr>
          <w:sz w:val="22"/>
          <w:szCs w:val="22"/>
        </w:rPr>
        <w:t xml:space="preserve"> (pg. 133)</w:t>
      </w:r>
    </w:p>
    <w:p w14:paraId="7F8A577A" w14:textId="77777777" w:rsidR="005A5DA2" w:rsidRDefault="005A5DA2" w:rsidP="005A5DA2">
      <w:pPr>
        <w:rPr>
          <w:sz w:val="22"/>
          <w:szCs w:val="22"/>
        </w:rPr>
      </w:pPr>
      <w:r w:rsidRPr="008A75BE">
        <w:rPr>
          <w:sz w:val="22"/>
          <w:szCs w:val="22"/>
        </w:rPr>
        <w:t xml:space="preserve">Table </w:t>
      </w:r>
      <w:r>
        <w:rPr>
          <w:sz w:val="22"/>
          <w:szCs w:val="22"/>
        </w:rPr>
        <w:t>5.</w:t>
      </w:r>
      <w:r w:rsidRPr="008A75BE">
        <w:rPr>
          <w:sz w:val="22"/>
          <w:szCs w:val="22"/>
        </w:rPr>
        <w:t xml:space="preserve">3 </w:t>
      </w:r>
      <w:r>
        <w:rPr>
          <w:sz w:val="22"/>
          <w:szCs w:val="22"/>
        </w:rPr>
        <w:t>Net e</w:t>
      </w:r>
      <w:r w:rsidRPr="008A75BE">
        <w:rPr>
          <w:sz w:val="22"/>
          <w:szCs w:val="22"/>
        </w:rPr>
        <w:t>ffects of climate change and mangrove deforestation on total global mangrove carbon stocks and sequestration rates</w:t>
      </w:r>
      <w:r>
        <w:rPr>
          <w:sz w:val="22"/>
          <w:szCs w:val="22"/>
        </w:rPr>
        <w:t xml:space="preserve"> (pg. 135)</w:t>
      </w:r>
    </w:p>
    <w:p w14:paraId="794AEB16" w14:textId="77777777" w:rsidR="005A5DA2" w:rsidRDefault="005A5DA2" w:rsidP="005A5DA2">
      <w:pPr>
        <w:rPr>
          <w:sz w:val="22"/>
          <w:szCs w:val="22"/>
        </w:rPr>
      </w:pPr>
    </w:p>
    <w:p w14:paraId="4A29B04A" w14:textId="77777777" w:rsidR="005A5DA2" w:rsidRDefault="005A5DA2" w:rsidP="005A5DA2">
      <w:pPr>
        <w:spacing w:line="480" w:lineRule="auto"/>
        <w:rPr>
          <w:b/>
          <w:bCs/>
          <w:sz w:val="26"/>
          <w:szCs w:val="26"/>
        </w:rPr>
      </w:pPr>
    </w:p>
    <w:p w14:paraId="3C5CE61E" w14:textId="77777777" w:rsidR="005A5DA2" w:rsidRDefault="005A5DA2" w:rsidP="005A5DA2">
      <w:pPr>
        <w:spacing w:line="480" w:lineRule="auto"/>
        <w:rPr>
          <w:b/>
          <w:bCs/>
          <w:sz w:val="26"/>
          <w:szCs w:val="26"/>
        </w:rPr>
      </w:pPr>
      <w:r w:rsidRPr="00D90F5D">
        <w:rPr>
          <w:b/>
          <w:bCs/>
          <w:sz w:val="26"/>
          <w:szCs w:val="26"/>
        </w:rPr>
        <w:t>List of figures</w:t>
      </w:r>
    </w:p>
    <w:p w14:paraId="52F4E191" w14:textId="77777777" w:rsidR="005A5DA2" w:rsidRDefault="005A5DA2" w:rsidP="005A5DA2">
      <w:pPr>
        <w:spacing w:line="480" w:lineRule="auto"/>
        <w:rPr>
          <w:sz w:val="22"/>
          <w:szCs w:val="22"/>
        </w:rPr>
      </w:pPr>
      <w:r>
        <w:rPr>
          <w:sz w:val="22"/>
          <w:szCs w:val="22"/>
        </w:rPr>
        <w:t>Figure 1.1 Global mangrove distribution (pg. 15)</w:t>
      </w:r>
    </w:p>
    <w:p w14:paraId="177E5B42" w14:textId="77777777" w:rsidR="005A5DA2" w:rsidRPr="00D90F5D" w:rsidRDefault="005A5DA2" w:rsidP="005A5DA2">
      <w:pPr>
        <w:spacing w:line="480" w:lineRule="auto"/>
        <w:rPr>
          <w:sz w:val="22"/>
          <w:szCs w:val="22"/>
        </w:rPr>
      </w:pPr>
      <w:r>
        <w:rPr>
          <w:sz w:val="22"/>
          <w:szCs w:val="22"/>
        </w:rPr>
        <w:t>Figure 1.2 C</w:t>
      </w:r>
      <w:r w:rsidRPr="00077776">
        <w:rPr>
          <w:sz w:val="22"/>
          <w:szCs w:val="22"/>
        </w:rPr>
        <w:t>arbon stocks in different forest types</w:t>
      </w:r>
      <w:r>
        <w:rPr>
          <w:sz w:val="22"/>
          <w:szCs w:val="22"/>
        </w:rPr>
        <w:t xml:space="preserve"> (pg. 20)</w:t>
      </w:r>
    </w:p>
    <w:p w14:paraId="657FB5D0" w14:textId="77777777" w:rsidR="005A5DA2" w:rsidRDefault="005A5DA2" w:rsidP="005A5DA2">
      <w:pPr>
        <w:spacing w:line="480" w:lineRule="auto"/>
        <w:rPr>
          <w:sz w:val="22"/>
          <w:szCs w:val="22"/>
        </w:rPr>
      </w:pPr>
      <w:r w:rsidRPr="00D449F3">
        <w:rPr>
          <w:sz w:val="22"/>
          <w:szCs w:val="22"/>
        </w:rPr>
        <w:t>Figure 1.3 Comparison of carbon buried within mangrove sediment</w:t>
      </w:r>
      <w:r>
        <w:rPr>
          <w:sz w:val="22"/>
          <w:szCs w:val="22"/>
        </w:rPr>
        <w:t xml:space="preserve"> (pg. 23)</w:t>
      </w:r>
    </w:p>
    <w:p w14:paraId="6F6EC74C" w14:textId="77777777" w:rsidR="005A5DA2" w:rsidRDefault="005A5DA2" w:rsidP="005A5DA2">
      <w:pPr>
        <w:spacing w:line="480" w:lineRule="auto"/>
        <w:rPr>
          <w:sz w:val="22"/>
          <w:szCs w:val="22"/>
        </w:rPr>
      </w:pPr>
      <w:r w:rsidRPr="00D449F3">
        <w:rPr>
          <w:sz w:val="22"/>
          <w:szCs w:val="22"/>
        </w:rPr>
        <w:t xml:space="preserve">Figure 1.4 Mangroves </w:t>
      </w:r>
      <w:r>
        <w:rPr>
          <w:sz w:val="22"/>
          <w:szCs w:val="22"/>
        </w:rPr>
        <w:t xml:space="preserve">and </w:t>
      </w:r>
      <w:r w:rsidRPr="00D449F3">
        <w:rPr>
          <w:sz w:val="22"/>
          <w:szCs w:val="22"/>
        </w:rPr>
        <w:t>relative sea level rise</w:t>
      </w:r>
      <w:r>
        <w:rPr>
          <w:sz w:val="22"/>
          <w:szCs w:val="22"/>
        </w:rPr>
        <w:t xml:space="preserve"> (pg. 26)</w:t>
      </w:r>
    </w:p>
    <w:p w14:paraId="07E0AD8B" w14:textId="77777777" w:rsidR="005A5DA2" w:rsidRDefault="005A5DA2" w:rsidP="005A5DA2">
      <w:pPr>
        <w:spacing w:line="480" w:lineRule="auto"/>
        <w:rPr>
          <w:sz w:val="22"/>
          <w:szCs w:val="22"/>
        </w:rPr>
      </w:pPr>
      <w:r w:rsidRPr="00B3719B">
        <w:rPr>
          <w:sz w:val="22"/>
          <w:szCs w:val="22"/>
        </w:rPr>
        <w:t>Figure 1.5 Workflow for the present thesis</w:t>
      </w:r>
      <w:r>
        <w:rPr>
          <w:sz w:val="22"/>
          <w:szCs w:val="22"/>
        </w:rPr>
        <w:t xml:space="preserve"> (pg. 30)</w:t>
      </w:r>
    </w:p>
    <w:p w14:paraId="516E5595" w14:textId="77777777" w:rsidR="005A5DA2" w:rsidRDefault="005A5DA2" w:rsidP="005A5DA2">
      <w:pPr>
        <w:spacing w:line="480" w:lineRule="auto"/>
        <w:rPr>
          <w:sz w:val="22"/>
          <w:szCs w:val="22"/>
        </w:rPr>
      </w:pPr>
      <w:r w:rsidRPr="00375ED5">
        <w:rPr>
          <w:sz w:val="22"/>
          <w:szCs w:val="22"/>
        </w:rPr>
        <w:t>Figure. 2.1 Map of study sites</w:t>
      </w:r>
      <w:r>
        <w:rPr>
          <w:sz w:val="22"/>
          <w:szCs w:val="22"/>
        </w:rPr>
        <w:t xml:space="preserve"> (pg. 39)</w:t>
      </w:r>
    </w:p>
    <w:p w14:paraId="10D615CA" w14:textId="77777777" w:rsidR="005A5DA2" w:rsidRDefault="005A5DA2" w:rsidP="005A5DA2">
      <w:pPr>
        <w:spacing w:line="480" w:lineRule="auto"/>
        <w:rPr>
          <w:sz w:val="22"/>
          <w:szCs w:val="22"/>
        </w:rPr>
      </w:pPr>
      <w:r w:rsidRPr="00375ED5">
        <w:rPr>
          <w:sz w:val="22"/>
          <w:szCs w:val="22"/>
        </w:rPr>
        <w:t xml:space="preserve">Figure 2.2 </w:t>
      </w:r>
      <w:r>
        <w:rPr>
          <w:sz w:val="22"/>
          <w:szCs w:val="22"/>
        </w:rPr>
        <w:t>D</w:t>
      </w:r>
      <w:r w:rsidRPr="00375ED5">
        <w:rPr>
          <w:sz w:val="22"/>
          <w:szCs w:val="22"/>
        </w:rPr>
        <w:t>aily litterfall over all three sampling sites</w:t>
      </w:r>
      <w:r>
        <w:rPr>
          <w:sz w:val="22"/>
          <w:szCs w:val="22"/>
        </w:rPr>
        <w:t xml:space="preserve"> (pg. 45)</w:t>
      </w:r>
    </w:p>
    <w:p w14:paraId="000EA600" w14:textId="77777777" w:rsidR="005A5DA2" w:rsidRDefault="005A5DA2" w:rsidP="005A5DA2">
      <w:pPr>
        <w:spacing w:line="480" w:lineRule="auto"/>
        <w:rPr>
          <w:sz w:val="22"/>
          <w:szCs w:val="22"/>
        </w:rPr>
      </w:pPr>
      <w:r w:rsidRPr="00375ED5">
        <w:rPr>
          <w:sz w:val="22"/>
          <w:szCs w:val="22"/>
        </w:rPr>
        <w:t xml:space="preserve">Figure </w:t>
      </w:r>
      <w:r>
        <w:rPr>
          <w:sz w:val="22"/>
          <w:szCs w:val="22"/>
        </w:rPr>
        <w:t>2.</w:t>
      </w:r>
      <w:r w:rsidRPr="00375ED5">
        <w:rPr>
          <w:sz w:val="22"/>
          <w:szCs w:val="22"/>
        </w:rPr>
        <w:t xml:space="preserve">3 </w:t>
      </w:r>
      <w:r>
        <w:rPr>
          <w:sz w:val="22"/>
          <w:szCs w:val="22"/>
        </w:rPr>
        <w:t>D</w:t>
      </w:r>
      <w:r w:rsidRPr="00375ED5">
        <w:rPr>
          <w:sz w:val="22"/>
          <w:szCs w:val="22"/>
        </w:rPr>
        <w:t>aily litter rate across tidal heights</w:t>
      </w:r>
      <w:r>
        <w:rPr>
          <w:sz w:val="22"/>
          <w:szCs w:val="22"/>
        </w:rPr>
        <w:t xml:space="preserve"> (pg. 46)</w:t>
      </w:r>
    </w:p>
    <w:p w14:paraId="4D0309A4" w14:textId="77777777" w:rsidR="005A5DA2" w:rsidRDefault="005A5DA2" w:rsidP="005A5DA2">
      <w:pPr>
        <w:spacing w:line="480" w:lineRule="auto"/>
        <w:rPr>
          <w:sz w:val="22"/>
          <w:szCs w:val="22"/>
        </w:rPr>
      </w:pPr>
      <w:r w:rsidRPr="003E4DFB">
        <w:rPr>
          <w:sz w:val="22"/>
          <w:szCs w:val="22"/>
        </w:rPr>
        <w:t xml:space="preserve">Figure 2.4 </w:t>
      </w:r>
      <w:r>
        <w:rPr>
          <w:sz w:val="22"/>
          <w:szCs w:val="22"/>
        </w:rPr>
        <w:t>A</w:t>
      </w:r>
      <w:r w:rsidRPr="003E4DFB">
        <w:rPr>
          <w:sz w:val="22"/>
          <w:szCs w:val="22"/>
        </w:rPr>
        <w:t>pical tip growth across tidal heights and different seasons</w:t>
      </w:r>
      <w:r>
        <w:rPr>
          <w:sz w:val="22"/>
          <w:szCs w:val="22"/>
        </w:rPr>
        <w:t xml:space="preserve"> (pg. 47)</w:t>
      </w:r>
    </w:p>
    <w:p w14:paraId="0895C8E7" w14:textId="77777777" w:rsidR="005A5DA2" w:rsidRDefault="005A5DA2" w:rsidP="005A5DA2">
      <w:pPr>
        <w:spacing w:line="480" w:lineRule="auto"/>
        <w:rPr>
          <w:sz w:val="22"/>
          <w:szCs w:val="22"/>
        </w:rPr>
      </w:pPr>
      <w:r w:rsidRPr="003E4DFB">
        <w:rPr>
          <w:sz w:val="22"/>
          <w:szCs w:val="22"/>
        </w:rPr>
        <w:t xml:space="preserve">Figure 2.5 </w:t>
      </w:r>
      <w:r>
        <w:rPr>
          <w:sz w:val="22"/>
          <w:szCs w:val="22"/>
        </w:rPr>
        <w:t>A</w:t>
      </w:r>
      <w:r w:rsidRPr="003E4DFB">
        <w:rPr>
          <w:sz w:val="22"/>
          <w:szCs w:val="22"/>
        </w:rPr>
        <w:t>nnual root growth across tidal heights and different sampling sites</w:t>
      </w:r>
      <w:r>
        <w:rPr>
          <w:sz w:val="22"/>
          <w:szCs w:val="22"/>
        </w:rPr>
        <w:t xml:space="preserve"> (pg. 48)</w:t>
      </w:r>
    </w:p>
    <w:p w14:paraId="7548EB61" w14:textId="77777777" w:rsidR="005A5DA2" w:rsidRDefault="005A5DA2" w:rsidP="005A5DA2">
      <w:pPr>
        <w:spacing w:line="480" w:lineRule="auto"/>
        <w:rPr>
          <w:sz w:val="22"/>
          <w:szCs w:val="22"/>
        </w:rPr>
      </w:pPr>
      <w:r w:rsidRPr="003E4DFB">
        <w:rPr>
          <w:sz w:val="22"/>
          <w:szCs w:val="22"/>
        </w:rPr>
        <w:t xml:space="preserve">Figure 2.6 </w:t>
      </w:r>
      <w:r>
        <w:rPr>
          <w:sz w:val="22"/>
          <w:szCs w:val="22"/>
        </w:rPr>
        <w:t>S</w:t>
      </w:r>
      <w:r w:rsidRPr="003E4DFB">
        <w:rPr>
          <w:sz w:val="22"/>
          <w:szCs w:val="22"/>
        </w:rPr>
        <w:t>oil respiration rate of across tidal heights and seasons</w:t>
      </w:r>
      <w:r>
        <w:rPr>
          <w:sz w:val="22"/>
          <w:szCs w:val="22"/>
        </w:rPr>
        <w:t xml:space="preserve"> (pg. 49)</w:t>
      </w:r>
    </w:p>
    <w:p w14:paraId="097AE18D" w14:textId="77777777" w:rsidR="005A5DA2" w:rsidRDefault="005A5DA2" w:rsidP="005A5DA2">
      <w:pPr>
        <w:spacing w:line="480" w:lineRule="auto"/>
        <w:rPr>
          <w:sz w:val="22"/>
          <w:szCs w:val="22"/>
        </w:rPr>
      </w:pPr>
      <w:r w:rsidRPr="00DE7398">
        <w:rPr>
          <w:sz w:val="22"/>
          <w:szCs w:val="22"/>
        </w:rPr>
        <w:t>Figure 3.1</w:t>
      </w:r>
      <w:r>
        <w:rPr>
          <w:sz w:val="22"/>
          <w:szCs w:val="22"/>
        </w:rPr>
        <w:t xml:space="preserve">a) </w:t>
      </w:r>
      <w:r w:rsidRPr="00906EF9">
        <w:rPr>
          <w:sz w:val="22"/>
          <w:szCs w:val="22"/>
          <w:lang w:val="en-US"/>
        </w:rPr>
        <w:t>Locations of studies where leaf litter data were taken from to develop the numerical model used in predicting mangrove productivity in space and time</w:t>
      </w:r>
      <w:r w:rsidRPr="00790FA5">
        <w:rPr>
          <w:sz w:val="22"/>
          <w:szCs w:val="22"/>
        </w:rPr>
        <w:t>;</w:t>
      </w:r>
      <w:r>
        <w:rPr>
          <w:sz w:val="22"/>
          <w:szCs w:val="22"/>
        </w:rPr>
        <w:t xml:space="preserve"> b)</w:t>
      </w:r>
      <w:r w:rsidRPr="00DE7398">
        <w:rPr>
          <w:sz w:val="22"/>
          <w:szCs w:val="22"/>
        </w:rPr>
        <w:t xml:space="preserve"> Marine provinces</w:t>
      </w:r>
      <w:r>
        <w:rPr>
          <w:sz w:val="22"/>
          <w:szCs w:val="22"/>
        </w:rPr>
        <w:t xml:space="preserve"> </w:t>
      </w:r>
      <w:r w:rsidRPr="00DE7398">
        <w:rPr>
          <w:sz w:val="22"/>
          <w:szCs w:val="22"/>
        </w:rPr>
        <w:t xml:space="preserve">used for </w:t>
      </w:r>
      <w:r w:rsidRPr="00DE7398">
        <w:rPr>
          <w:sz w:val="22"/>
          <w:szCs w:val="22"/>
        </w:rPr>
        <w:lastRenderedPageBreak/>
        <w:t>grouping mangrove Net Primary Productivity (NPP)</w:t>
      </w:r>
      <w:r>
        <w:rPr>
          <w:sz w:val="22"/>
          <w:szCs w:val="22"/>
        </w:rPr>
        <w:t xml:space="preserve"> and c)</w:t>
      </w:r>
      <w:r w:rsidRPr="00DE7398">
        <w:rPr>
          <w:sz w:val="22"/>
          <w:szCs w:val="22"/>
        </w:rPr>
        <w:t xml:space="preserve"> </w:t>
      </w:r>
      <w:r>
        <w:rPr>
          <w:sz w:val="22"/>
          <w:szCs w:val="22"/>
        </w:rPr>
        <w:t>G</w:t>
      </w:r>
      <w:r w:rsidRPr="00DE7398">
        <w:rPr>
          <w:sz w:val="22"/>
          <w:szCs w:val="22"/>
        </w:rPr>
        <w:t>lobal historical (1980 – 1990) Net Primary Productively (NPP)</w:t>
      </w:r>
      <w:r>
        <w:rPr>
          <w:sz w:val="22"/>
          <w:szCs w:val="22"/>
        </w:rPr>
        <w:t xml:space="preserve"> (pg. 69)</w:t>
      </w:r>
    </w:p>
    <w:p w14:paraId="4A2B94B2" w14:textId="77777777" w:rsidR="005A5DA2" w:rsidRDefault="005A5DA2" w:rsidP="005A5DA2">
      <w:pPr>
        <w:spacing w:line="480" w:lineRule="auto"/>
        <w:rPr>
          <w:sz w:val="22"/>
          <w:szCs w:val="22"/>
        </w:rPr>
      </w:pPr>
      <w:r w:rsidRPr="00906EF9">
        <w:rPr>
          <w:sz w:val="22"/>
          <w:szCs w:val="22"/>
        </w:rPr>
        <w:t xml:space="preserve">Figure 3.2 </w:t>
      </w:r>
      <w:r w:rsidRPr="00906EF9">
        <w:rPr>
          <w:sz w:val="22"/>
          <w:szCs w:val="22"/>
          <w:lang w:val="en-US"/>
        </w:rPr>
        <w:t>a) Partial dependance plot of mean monthly air temperature (bio6) and predicted litterfall; and b)</w:t>
      </w:r>
      <w:r>
        <w:rPr>
          <w:b/>
          <w:bCs/>
          <w:sz w:val="22"/>
          <w:szCs w:val="22"/>
          <w:lang w:val="en-US"/>
        </w:rPr>
        <w:t xml:space="preserve"> </w:t>
      </w:r>
      <w:r w:rsidRPr="00906EF9">
        <w:rPr>
          <w:sz w:val="22"/>
          <w:szCs w:val="22"/>
        </w:rPr>
        <w:t xml:space="preserve">Increase in Mean Squared Error (MSE) for litterfall when dropping a </w:t>
      </w:r>
      <w:proofErr w:type="spellStart"/>
      <w:r w:rsidRPr="00906EF9">
        <w:rPr>
          <w:sz w:val="22"/>
          <w:szCs w:val="22"/>
        </w:rPr>
        <w:t>bioclim</w:t>
      </w:r>
      <w:proofErr w:type="spellEnd"/>
      <w:r w:rsidRPr="00906EF9">
        <w:rPr>
          <w:sz w:val="22"/>
          <w:szCs w:val="22"/>
        </w:rPr>
        <w:t xml:space="preserve"> predictor from the predictive model</w:t>
      </w:r>
      <w:r>
        <w:rPr>
          <w:sz w:val="22"/>
          <w:szCs w:val="22"/>
        </w:rPr>
        <w:t xml:space="preserve"> (pg. 71)</w:t>
      </w:r>
    </w:p>
    <w:p w14:paraId="04F44C88" w14:textId="77777777" w:rsidR="005A5DA2" w:rsidRDefault="005A5DA2" w:rsidP="005A5DA2">
      <w:pPr>
        <w:spacing w:line="480" w:lineRule="auto"/>
        <w:rPr>
          <w:sz w:val="22"/>
          <w:szCs w:val="22"/>
        </w:rPr>
      </w:pPr>
      <w:r w:rsidRPr="00DE7398">
        <w:rPr>
          <w:sz w:val="22"/>
          <w:szCs w:val="22"/>
        </w:rPr>
        <w:t>Figure 3.</w:t>
      </w:r>
      <w:r>
        <w:rPr>
          <w:sz w:val="22"/>
          <w:szCs w:val="22"/>
        </w:rPr>
        <w:t>3</w:t>
      </w:r>
      <w:r w:rsidRPr="00DE7398">
        <w:rPr>
          <w:sz w:val="22"/>
          <w:szCs w:val="22"/>
        </w:rPr>
        <w:t xml:space="preserve"> </w:t>
      </w:r>
      <w:r>
        <w:rPr>
          <w:sz w:val="22"/>
          <w:szCs w:val="22"/>
        </w:rPr>
        <w:t>M</w:t>
      </w:r>
      <w:r w:rsidRPr="00DE7398">
        <w:rPr>
          <w:sz w:val="22"/>
          <w:szCs w:val="22"/>
        </w:rPr>
        <w:t>onthly global NPP from 1980 to 1990; 2030 to 2040 and 2085 to 2095</w:t>
      </w:r>
      <w:r>
        <w:rPr>
          <w:sz w:val="22"/>
          <w:szCs w:val="22"/>
        </w:rPr>
        <w:t xml:space="preserve"> (pg. 73)</w:t>
      </w:r>
    </w:p>
    <w:p w14:paraId="2B28A50B" w14:textId="77777777" w:rsidR="005A5DA2" w:rsidRDefault="005A5DA2" w:rsidP="005A5DA2">
      <w:pPr>
        <w:spacing w:line="480" w:lineRule="auto"/>
        <w:rPr>
          <w:sz w:val="22"/>
          <w:szCs w:val="22"/>
        </w:rPr>
      </w:pPr>
      <w:r w:rsidRPr="00DE7398">
        <w:rPr>
          <w:sz w:val="22"/>
          <w:szCs w:val="22"/>
        </w:rPr>
        <w:t>Figure 3.</w:t>
      </w:r>
      <w:r>
        <w:rPr>
          <w:sz w:val="22"/>
          <w:szCs w:val="22"/>
        </w:rPr>
        <w:t>4</w:t>
      </w:r>
      <w:r w:rsidRPr="00DE7398">
        <w:rPr>
          <w:sz w:val="22"/>
          <w:szCs w:val="22"/>
        </w:rPr>
        <w:t xml:space="preserve"> Total global NPP for the four forecasted emissions scenarios</w:t>
      </w:r>
      <w:r>
        <w:rPr>
          <w:sz w:val="22"/>
          <w:szCs w:val="22"/>
        </w:rPr>
        <w:t xml:space="preserve"> (pg. 76)</w:t>
      </w:r>
    </w:p>
    <w:p w14:paraId="51507435" w14:textId="77777777" w:rsidR="005A5DA2" w:rsidRDefault="005A5DA2" w:rsidP="005A5DA2">
      <w:pPr>
        <w:spacing w:line="480" w:lineRule="auto"/>
        <w:rPr>
          <w:sz w:val="22"/>
          <w:szCs w:val="22"/>
        </w:rPr>
      </w:pPr>
      <w:r w:rsidRPr="002661C9">
        <w:rPr>
          <w:sz w:val="22"/>
          <w:szCs w:val="22"/>
          <w:lang w:val="en-US"/>
        </w:rPr>
        <w:t>Figure 3.</w:t>
      </w:r>
      <w:r>
        <w:rPr>
          <w:sz w:val="22"/>
          <w:szCs w:val="22"/>
          <w:lang w:val="en-US"/>
        </w:rPr>
        <w:t>5</w:t>
      </w:r>
      <w:r w:rsidRPr="002661C9">
        <w:rPr>
          <w:sz w:val="22"/>
          <w:szCs w:val="22"/>
          <w:lang w:val="en-US"/>
        </w:rPr>
        <w:t>: Global change in annual Net Primary Productivity (NPP) rates under the low emissions (SSP245) scenario by a) mid-century (2030 to 2040) and b) late century (2085 to 2095)</w:t>
      </w:r>
      <w:r>
        <w:rPr>
          <w:sz w:val="22"/>
          <w:szCs w:val="22"/>
          <w:lang w:val="en-US"/>
        </w:rPr>
        <w:t xml:space="preserve"> (pg. 78)</w:t>
      </w:r>
    </w:p>
    <w:p w14:paraId="1686ED99" w14:textId="77777777" w:rsidR="005A5DA2" w:rsidRDefault="005A5DA2" w:rsidP="005A5DA2">
      <w:pPr>
        <w:spacing w:line="480" w:lineRule="auto"/>
        <w:rPr>
          <w:sz w:val="22"/>
          <w:szCs w:val="22"/>
        </w:rPr>
      </w:pPr>
      <w:r w:rsidRPr="001E6E69">
        <w:rPr>
          <w:sz w:val="22"/>
          <w:szCs w:val="22"/>
        </w:rPr>
        <w:t>Figure 4.1 Allometric relationships of a</w:t>
      </w:r>
      <w:r>
        <w:rPr>
          <w:sz w:val="22"/>
          <w:szCs w:val="22"/>
        </w:rPr>
        <w:t xml:space="preserve">) </w:t>
      </w:r>
      <w:r w:rsidRPr="001E6E69">
        <w:rPr>
          <w:sz w:val="22"/>
          <w:szCs w:val="22"/>
        </w:rPr>
        <w:t>aboveground and b</w:t>
      </w:r>
      <w:r>
        <w:rPr>
          <w:sz w:val="22"/>
          <w:szCs w:val="22"/>
        </w:rPr>
        <w:t xml:space="preserve">) </w:t>
      </w:r>
      <w:r w:rsidRPr="001E6E69">
        <w:rPr>
          <w:sz w:val="22"/>
          <w:szCs w:val="22"/>
        </w:rPr>
        <w:t>below ground biomass</w:t>
      </w:r>
      <w:r>
        <w:rPr>
          <w:sz w:val="22"/>
          <w:szCs w:val="22"/>
        </w:rPr>
        <w:t xml:space="preserve"> (pg. 99)</w:t>
      </w:r>
    </w:p>
    <w:p w14:paraId="5155BFFA" w14:textId="77777777" w:rsidR="005A5DA2" w:rsidRDefault="005A5DA2" w:rsidP="005A5DA2">
      <w:pPr>
        <w:spacing w:line="480" w:lineRule="auto"/>
        <w:rPr>
          <w:sz w:val="22"/>
          <w:szCs w:val="22"/>
        </w:rPr>
      </w:pPr>
      <w:r w:rsidRPr="001E6E69">
        <w:rPr>
          <w:sz w:val="22"/>
          <w:szCs w:val="22"/>
        </w:rPr>
        <w:t>Figure. 4.2</w:t>
      </w:r>
      <w:r>
        <w:rPr>
          <w:sz w:val="22"/>
          <w:szCs w:val="22"/>
        </w:rPr>
        <w:t>a)</w:t>
      </w:r>
      <w:r w:rsidRPr="001E6E69">
        <w:rPr>
          <w:sz w:val="22"/>
          <w:szCs w:val="22"/>
        </w:rPr>
        <w:t xml:space="preserve"> </w:t>
      </w:r>
      <w:r>
        <w:rPr>
          <w:sz w:val="22"/>
          <w:szCs w:val="22"/>
        </w:rPr>
        <w:t>A</w:t>
      </w:r>
      <w:r w:rsidRPr="001E6E69">
        <w:rPr>
          <w:sz w:val="22"/>
          <w:szCs w:val="22"/>
        </w:rPr>
        <w:t>boveground and b</w:t>
      </w:r>
      <w:r>
        <w:rPr>
          <w:sz w:val="22"/>
          <w:szCs w:val="22"/>
        </w:rPr>
        <w:t>)</w:t>
      </w:r>
      <w:r w:rsidRPr="001E6E69">
        <w:rPr>
          <w:sz w:val="22"/>
          <w:szCs w:val="22"/>
        </w:rPr>
        <w:t xml:space="preserve"> below ground tree C distance to seaward edge</w:t>
      </w:r>
      <w:r>
        <w:rPr>
          <w:sz w:val="22"/>
          <w:szCs w:val="22"/>
        </w:rPr>
        <w:t xml:space="preserve"> (pg. 102)</w:t>
      </w:r>
    </w:p>
    <w:p w14:paraId="61B2B8E7" w14:textId="77777777" w:rsidR="005A5DA2" w:rsidRDefault="005A5DA2" w:rsidP="005A5DA2">
      <w:pPr>
        <w:spacing w:line="480" w:lineRule="auto"/>
        <w:rPr>
          <w:sz w:val="22"/>
          <w:szCs w:val="22"/>
        </w:rPr>
      </w:pPr>
      <w:r w:rsidRPr="008A5580">
        <w:rPr>
          <w:sz w:val="22"/>
          <w:szCs w:val="22"/>
        </w:rPr>
        <w:t>Figure 4.3 Total C across tidal zones in Qatari mangroves</w:t>
      </w:r>
      <w:r>
        <w:rPr>
          <w:sz w:val="22"/>
          <w:szCs w:val="22"/>
        </w:rPr>
        <w:t xml:space="preserve"> (pg. 103)</w:t>
      </w:r>
    </w:p>
    <w:p w14:paraId="206C6304" w14:textId="77777777" w:rsidR="005A5DA2" w:rsidRDefault="005A5DA2" w:rsidP="005A5DA2">
      <w:pPr>
        <w:spacing w:line="480" w:lineRule="auto"/>
        <w:rPr>
          <w:sz w:val="22"/>
          <w:szCs w:val="22"/>
        </w:rPr>
      </w:pPr>
      <w:r w:rsidRPr="00E66BEF">
        <w:rPr>
          <w:sz w:val="22"/>
          <w:szCs w:val="22"/>
        </w:rPr>
        <w:t xml:space="preserve">Figure 5.1 Estimated current global C stocks in mangrove </w:t>
      </w:r>
      <w:r>
        <w:rPr>
          <w:sz w:val="22"/>
          <w:szCs w:val="22"/>
        </w:rPr>
        <w:t>a)</w:t>
      </w:r>
      <w:r w:rsidRPr="00E66BEF">
        <w:rPr>
          <w:sz w:val="22"/>
          <w:szCs w:val="22"/>
        </w:rPr>
        <w:t xml:space="preserve"> trees, </w:t>
      </w:r>
      <w:r>
        <w:rPr>
          <w:sz w:val="22"/>
          <w:szCs w:val="22"/>
        </w:rPr>
        <w:t>b)</w:t>
      </w:r>
      <w:r w:rsidRPr="00E66BEF">
        <w:rPr>
          <w:sz w:val="22"/>
          <w:szCs w:val="22"/>
        </w:rPr>
        <w:t xml:space="preserve"> soils to 1m depth, and </w:t>
      </w:r>
      <w:r>
        <w:rPr>
          <w:sz w:val="22"/>
          <w:szCs w:val="22"/>
        </w:rPr>
        <w:t>c)</w:t>
      </w:r>
      <w:r w:rsidRPr="00E66BEF">
        <w:rPr>
          <w:sz w:val="22"/>
          <w:szCs w:val="22"/>
        </w:rPr>
        <w:t xml:space="preserve"> mangrove soil sequestration rates</w:t>
      </w:r>
      <w:r>
        <w:rPr>
          <w:sz w:val="22"/>
          <w:szCs w:val="22"/>
        </w:rPr>
        <w:t xml:space="preserve"> (pg. 125)</w:t>
      </w:r>
    </w:p>
    <w:p w14:paraId="791F55E9" w14:textId="77777777" w:rsidR="005A5DA2" w:rsidRDefault="005A5DA2" w:rsidP="005A5DA2">
      <w:pPr>
        <w:spacing w:line="480" w:lineRule="auto"/>
        <w:rPr>
          <w:sz w:val="22"/>
          <w:szCs w:val="22"/>
        </w:rPr>
      </w:pPr>
      <w:r w:rsidRPr="00E66BEF">
        <w:rPr>
          <w:sz w:val="22"/>
          <w:szCs w:val="22"/>
        </w:rPr>
        <w:t xml:space="preserve">Figure </w:t>
      </w:r>
      <w:r>
        <w:rPr>
          <w:sz w:val="22"/>
          <w:szCs w:val="22"/>
        </w:rPr>
        <w:t>5.</w:t>
      </w:r>
      <w:r w:rsidRPr="00E66BEF">
        <w:rPr>
          <w:sz w:val="22"/>
          <w:szCs w:val="22"/>
        </w:rPr>
        <w:t xml:space="preserve">2 Probability of countries experiencing gains in </w:t>
      </w:r>
      <w:r>
        <w:rPr>
          <w:sz w:val="22"/>
          <w:szCs w:val="22"/>
        </w:rPr>
        <w:t xml:space="preserve">carbon </w:t>
      </w:r>
      <w:r w:rsidRPr="00E66BEF">
        <w:rPr>
          <w:sz w:val="22"/>
          <w:szCs w:val="22"/>
        </w:rPr>
        <w:t xml:space="preserve">stocks </w:t>
      </w:r>
      <w:r>
        <w:rPr>
          <w:sz w:val="22"/>
          <w:szCs w:val="22"/>
        </w:rPr>
        <w:t>or sequestration rates (pg. 127)</w:t>
      </w:r>
    </w:p>
    <w:p w14:paraId="422FB418" w14:textId="77777777" w:rsidR="005A5DA2" w:rsidRDefault="005A5DA2" w:rsidP="005A5DA2">
      <w:pPr>
        <w:spacing w:line="480" w:lineRule="auto"/>
        <w:rPr>
          <w:sz w:val="22"/>
          <w:szCs w:val="22"/>
        </w:rPr>
      </w:pPr>
      <w:r w:rsidRPr="009511FB">
        <w:rPr>
          <w:sz w:val="22"/>
          <w:szCs w:val="22"/>
        </w:rPr>
        <w:t>Figure 5.3: Decadal global CO2e emissions from mangrove deforestation</w:t>
      </w:r>
      <w:r>
        <w:rPr>
          <w:sz w:val="22"/>
          <w:szCs w:val="22"/>
        </w:rPr>
        <w:t xml:space="preserve"> (pg. 131)</w:t>
      </w:r>
    </w:p>
    <w:p w14:paraId="3B1CDEA7" w14:textId="77777777" w:rsidR="005A5DA2" w:rsidRPr="00F43F44" w:rsidRDefault="005A5DA2" w:rsidP="005A5DA2">
      <w:pPr>
        <w:spacing w:line="480" w:lineRule="auto"/>
        <w:rPr>
          <w:sz w:val="22"/>
          <w:szCs w:val="22"/>
        </w:rPr>
      </w:pPr>
      <w:r w:rsidRPr="00906EF9">
        <w:rPr>
          <w:sz w:val="22"/>
          <w:szCs w:val="22"/>
        </w:rPr>
        <w:t>Figure 6.1: a) Maximum temperatures b) precipitation and c) sea surface temperatures in the locations used in previous global mangrove modelling studies</w:t>
      </w:r>
      <w:r>
        <w:rPr>
          <w:sz w:val="22"/>
          <w:szCs w:val="22"/>
        </w:rPr>
        <w:t xml:space="preserve"> (pg. 149)</w:t>
      </w:r>
    </w:p>
    <w:p w14:paraId="5D966FA7" w14:textId="77777777" w:rsidR="005A5DA2" w:rsidRDefault="005A5DA2" w:rsidP="005A5DA2">
      <w:pPr>
        <w:spacing w:line="480" w:lineRule="auto"/>
        <w:rPr>
          <w:sz w:val="22"/>
          <w:szCs w:val="22"/>
        </w:rPr>
      </w:pPr>
    </w:p>
    <w:p w14:paraId="6F464257" w14:textId="77777777" w:rsidR="005A5DA2" w:rsidRPr="00D90F5D" w:rsidRDefault="005A5DA2" w:rsidP="005A5DA2">
      <w:pPr>
        <w:spacing w:line="480" w:lineRule="auto"/>
        <w:rPr>
          <w:b/>
          <w:bCs/>
          <w:sz w:val="26"/>
          <w:szCs w:val="26"/>
        </w:rPr>
      </w:pPr>
      <w:r w:rsidRPr="00D90F5D">
        <w:rPr>
          <w:b/>
          <w:bCs/>
          <w:sz w:val="26"/>
          <w:szCs w:val="26"/>
        </w:rPr>
        <w:t>List of appendices</w:t>
      </w:r>
    </w:p>
    <w:p w14:paraId="756BFA4A" w14:textId="77777777" w:rsidR="005A5DA2" w:rsidRDefault="005A5DA2" w:rsidP="005A5DA2">
      <w:pPr>
        <w:spacing w:line="480" w:lineRule="auto"/>
        <w:rPr>
          <w:sz w:val="22"/>
          <w:szCs w:val="22"/>
        </w:rPr>
      </w:pPr>
      <w:r w:rsidRPr="0058247F">
        <w:rPr>
          <w:sz w:val="22"/>
          <w:szCs w:val="22"/>
        </w:rPr>
        <w:t xml:space="preserve">Table A1: </w:t>
      </w:r>
      <w:r>
        <w:rPr>
          <w:sz w:val="22"/>
          <w:szCs w:val="22"/>
        </w:rPr>
        <w:t>C</w:t>
      </w:r>
      <w:r w:rsidRPr="0058247F">
        <w:rPr>
          <w:sz w:val="22"/>
          <w:szCs w:val="22"/>
        </w:rPr>
        <w:t>limatic variables tested as predictors</w:t>
      </w:r>
      <w:r>
        <w:rPr>
          <w:sz w:val="22"/>
          <w:szCs w:val="22"/>
        </w:rPr>
        <w:t xml:space="preserve"> (pg. 194)</w:t>
      </w:r>
    </w:p>
    <w:p w14:paraId="4A6DDE4C" w14:textId="77777777" w:rsidR="005A5DA2" w:rsidRPr="004F2C22" w:rsidRDefault="005A5DA2" w:rsidP="005A5DA2">
      <w:pPr>
        <w:spacing w:line="480" w:lineRule="auto"/>
        <w:rPr>
          <w:sz w:val="22"/>
          <w:szCs w:val="22"/>
          <w:lang w:val="en-US"/>
        </w:rPr>
      </w:pPr>
      <w:r w:rsidRPr="00906EF9">
        <w:rPr>
          <w:sz w:val="22"/>
          <w:szCs w:val="22"/>
          <w:lang w:val="en-US"/>
        </w:rPr>
        <w:t xml:space="preserve">Table A2: Net Primary Productivity (NPP) per unit of area, total NPP </w:t>
      </w:r>
      <w:r>
        <w:rPr>
          <w:sz w:val="22"/>
          <w:szCs w:val="22"/>
          <w:lang w:val="en-US"/>
        </w:rPr>
        <w:t xml:space="preserve">per </w:t>
      </w:r>
      <w:r w:rsidRPr="00906EF9">
        <w:rPr>
          <w:sz w:val="22"/>
          <w:szCs w:val="22"/>
          <w:lang w:val="en-US"/>
        </w:rPr>
        <w:t xml:space="preserve">marine province, global proportion and cumulative % for all 38 global marine provinces that contained mangroves (pg. </w:t>
      </w:r>
      <w:r>
        <w:rPr>
          <w:sz w:val="22"/>
          <w:szCs w:val="22"/>
          <w:lang w:val="en-US"/>
        </w:rPr>
        <w:t>197)</w:t>
      </w:r>
    </w:p>
    <w:p w14:paraId="73F5D55C" w14:textId="77777777" w:rsidR="005A5DA2" w:rsidRPr="0058247F" w:rsidRDefault="005A5DA2" w:rsidP="005A5DA2">
      <w:pPr>
        <w:spacing w:line="480" w:lineRule="auto"/>
        <w:rPr>
          <w:sz w:val="22"/>
          <w:szCs w:val="22"/>
          <w:lang w:val="en-US"/>
        </w:rPr>
      </w:pPr>
      <w:r w:rsidRPr="0058247F">
        <w:rPr>
          <w:sz w:val="22"/>
          <w:szCs w:val="22"/>
        </w:rPr>
        <w:t>Table A</w:t>
      </w:r>
      <w:r>
        <w:rPr>
          <w:sz w:val="22"/>
          <w:szCs w:val="22"/>
        </w:rPr>
        <w:t>3</w:t>
      </w:r>
      <w:r w:rsidRPr="0058247F">
        <w:rPr>
          <w:sz w:val="22"/>
          <w:szCs w:val="22"/>
        </w:rPr>
        <w:t>: Climate ensemble members and weighting coefficients</w:t>
      </w:r>
      <w:r>
        <w:rPr>
          <w:sz w:val="22"/>
          <w:szCs w:val="22"/>
        </w:rPr>
        <w:t xml:space="preserve"> (pg. 199)</w:t>
      </w:r>
    </w:p>
    <w:p w14:paraId="39071CC3" w14:textId="77777777" w:rsidR="005A5DA2" w:rsidRPr="0058247F" w:rsidRDefault="005A5DA2" w:rsidP="005A5DA2">
      <w:pPr>
        <w:spacing w:line="480" w:lineRule="auto"/>
        <w:rPr>
          <w:sz w:val="22"/>
          <w:szCs w:val="22"/>
        </w:rPr>
      </w:pPr>
      <w:r w:rsidRPr="0058247F">
        <w:rPr>
          <w:sz w:val="22"/>
          <w:szCs w:val="22"/>
        </w:rPr>
        <w:t>Table A</w:t>
      </w:r>
      <w:r>
        <w:rPr>
          <w:sz w:val="22"/>
          <w:szCs w:val="22"/>
        </w:rPr>
        <w:t>4</w:t>
      </w:r>
      <w:r w:rsidRPr="0058247F">
        <w:rPr>
          <w:sz w:val="22"/>
          <w:szCs w:val="22"/>
        </w:rPr>
        <w:t xml:space="preserve">: </w:t>
      </w:r>
      <w:r>
        <w:rPr>
          <w:sz w:val="22"/>
          <w:szCs w:val="22"/>
        </w:rPr>
        <w:t>E</w:t>
      </w:r>
      <w:r w:rsidRPr="0058247F">
        <w:rPr>
          <w:sz w:val="22"/>
          <w:szCs w:val="22"/>
        </w:rPr>
        <w:t>missions for top 30 individual countries from mangrove deforestation</w:t>
      </w:r>
      <w:r>
        <w:rPr>
          <w:sz w:val="22"/>
          <w:szCs w:val="22"/>
        </w:rPr>
        <w:t xml:space="preserve"> (pg. 199)</w:t>
      </w:r>
    </w:p>
    <w:p w14:paraId="60E745DF" w14:textId="77777777" w:rsidR="005A5DA2" w:rsidRPr="0058247F" w:rsidRDefault="005A5DA2" w:rsidP="005A5DA2">
      <w:pPr>
        <w:spacing w:line="480" w:lineRule="auto"/>
        <w:rPr>
          <w:sz w:val="22"/>
          <w:szCs w:val="22"/>
          <w:vertAlign w:val="superscript"/>
        </w:rPr>
      </w:pPr>
      <w:r w:rsidRPr="0058247F">
        <w:rPr>
          <w:sz w:val="22"/>
          <w:szCs w:val="22"/>
        </w:rPr>
        <w:lastRenderedPageBreak/>
        <w:t>Figure A1: Transect sampling design used at the three sites</w:t>
      </w:r>
      <w:r>
        <w:rPr>
          <w:sz w:val="22"/>
          <w:szCs w:val="22"/>
        </w:rPr>
        <w:t xml:space="preserve"> (pg. 201)</w:t>
      </w:r>
    </w:p>
    <w:p w14:paraId="23705E78" w14:textId="77777777" w:rsidR="005A5DA2" w:rsidRDefault="005A5DA2" w:rsidP="005A5DA2">
      <w:pPr>
        <w:spacing w:line="480" w:lineRule="auto"/>
        <w:rPr>
          <w:sz w:val="22"/>
          <w:szCs w:val="22"/>
        </w:rPr>
      </w:pPr>
      <w:r w:rsidRPr="0058247F">
        <w:rPr>
          <w:sz w:val="22"/>
          <w:szCs w:val="22"/>
        </w:rPr>
        <w:t>Figure A2: Monthly air temperatures from weather station data around Qatar</w:t>
      </w:r>
      <w:r>
        <w:rPr>
          <w:sz w:val="22"/>
          <w:szCs w:val="22"/>
        </w:rPr>
        <w:t xml:space="preserve"> (pg. 202)</w:t>
      </w:r>
    </w:p>
    <w:p w14:paraId="28E4EEFF" w14:textId="77777777" w:rsidR="005A5DA2" w:rsidRPr="000826CB" w:rsidRDefault="005A5DA2" w:rsidP="005A5DA2">
      <w:pPr>
        <w:spacing w:line="480" w:lineRule="auto"/>
        <w:rPr>
          <w:bCs/>
          <w:sz w:val="22"/>
          <w:szCs w:val="22"/>
        </w:rPr>
      </w:pPr>
      <w:r w:rsidRPr="00906EF9">
        <w:rPr>
          <w:bCs/>
          <w:sz w:val="22"/>
          <w:szCs w:val="22"/>
        </w:rPr>
        <w:t>Figure A3: Estimated change in annual global NPP rates by late-century (2085 to 2095) under scenarios a) SSP126, b) SSP245, c) SSP370 and d) SSP585</w:t>
      </w:r>
      <w:r>
        <w:rPr>
          <w:bCs/>
          <w:sz w:val="22"/>
          <w:szCs w:val="22"/>
        </w:rPr>
        <w:t xml:space="preserve"> (pg. 203)</w:t>
      </w:r>
    </w:p>
    <w:p w14:paraId="71B17876" w14:textId="77777777" w:rsidR="005A5DA2" w:rsidRPr="0058247F" w:rsidRDefault="005A5DA2" w:rsidP="005A5DA2">
      <w:pPr>
        <w:spacing w:line="480" w:lineRule="auto"/>
        <w:rPr>
          <w:sz w:val="22"/>
          <w:szCs w:val="22"/>
        </w:rPr>
      </w:pPr>
      <w:r w:rsidRPr="0058247F">
        <w:rPr>
          <w:sz w:val="22"/>
          <w:szCs w:val="22"/>
        </w:rPr>
        <w:t>Figure A</w:t>
      </w:r>
      <w:r>
        <w:rPr>
          <w:sz w:val="22"/>
          <w:szCs w:val="22"/>
        </w:rPr>
        <w:t>4</w:t>
      </w:r>
      <w:r w:rsidRPr="0058247F">
        <w:rPr>
          <w:sz w:val="22"/>
          <w:szCs w:val="22"/>
        </w:rPr>
        <w:t>: Soil carbon sampling method</w:t>
      </w:r>
      <w:r>
        <w:rPr>
          <w:sz w:val="22"/>
          <w:szCs w:val="22"/>
        </w:rPr>
        <w:t xml:space="preserve"> (pg. 204)</w:t>
      </w:r>
    </w:p>
    <w:p w14:paraId="4067402D" w14:textId="77777777" w:rsidR="005A5DA2" w:rsidRPr="00525768" w:rsidRDefault="005A5DA2" w:rsidP="005A5DA2">
      <w:pPr>
        <w:spacing w:line="480" w:lineRule="auto"/>
        <w:rPr>
          <w:sz w:val="22"/>
          <w:szCs w:val="22"/>
          <w:highlight w:val="yellow"/>
          <w:vertAlign w:val="superscript"/>
        </w:rPr>
      </w:pPr>
      <w:r w:rsidRPr="006A4363">
        <w:rPr>
          <w:sz w:val="22"/>
          <w:szCs w:val="22"/>
        </w:rPr>
        <w:t>Figure A</w:t>
      </w:r>
      <w:r>
        <w:rPr>
          <w:sz w:val="22"/>
          <w:szCs w:val="22"/>
        </w:rPr>
        <w:t>5</w:t>
      </w:r>
      <w:r w:rsidRPr="006A4363">
        <w:rPr>
          <w:sz w:val="22"/>
          <w:szCs w:val="22"/>
        </w:rPr>
        <w:t xml:space="preserve">: </w:t>
      </w:r>
      <w:r w:rsidRPr="00324C94">
        <w:rPr>
          <w:sz w:val="22"/>
          <w:szCs w:val="22"/>
        </w:rPr>
        <w:t>Increase in Mean Squared Error (MSE) for mangrove a</w:t>
      </w:r>
      <w:r>
        <w:rPr>
          <w:sz w:val="22"/>
          <w:szCs w:val="22"/>
        </w:rPr>
        <w:t>)</w:t>
      </w:r>
      <w:r w:rsidRPr="00324C94">
        <w:rPr>
          <w:sz w:val="22"/>
          <w:szCs w:val="22"/>
        </w:rPr>
        <w:t xml:space="preserve"> carbon stocks and b</w:t>
      </w:r>
      <w:r>
        <w:rPr>
          <w:sz w:val="22"/>
          <w:szCs w:val="22"/>
        </w:rPr>
        <w:t>)</w:t>
      </w:r>
      <w:r w:rsidRPr="00324C94">
        <w:rPr>
          <w:sz w:val="22"/>
          <w:szCs w:val="22"/>
        </w:rPr>
        <w:t xml:space="preserve"> soil sequestration</w:t>
      </w:r>
      <w:r>
        <w:rPr>
          <w:sz w:val="22"/>
          <w:szCs w:val="22"/>
        </w:rPr>
        <w:t xml:space="preserve"> (pg. 205)</w:t>
      </w:r>
    </w:p>
    <w:p w14:paraId="5415DB2F" w14:textId="77777777" w:rsidR="005A5DA2" w:rsidRDefault="005A5DA2" w:rsidP="005A5DA2">
      <w:r w:rsidRPr="00047DD5">
        <w:rPr>
          <w:sz w:val="22"/>
          <w:szCs w:val="22"/>
        </w:rPr>
        <w:t>Figure A</w:t>
      </w:r>
      <w:r>
        <w:rPr>
          <w:sz w:val="22"/>
          <w:szCs w:val="22"/>
        </w:rPr>
        <w:t>6</w:t>
      </w:r>
      <w:r w:rsidRPr="00047DD5">
        <w:rPr>
          <w:sz w:val="22"/>
          <w:szCs w:val="22"/>
        </w:rPr>
        <w:t>: Estimated change in global carbon stocks and sequestration rates</w:t>
      </w:r>
      <w:r w:rsidRPr="0028456B">
        <w:rPr>
          <w:sz w:val="22"/>
          <w:szCs w:val="22"/>
        </w:rPr>
        <w:t xml:space="preserve"> by the year 2095</w:t>
      </w:r>
      <w:r>
        <w:rPr>
          <w:sz w:val="22"/>
          <w:szCs w:val="22"/>
        </w:rPr>
        <w:t xml:space="preserve"> (pg. 206)</w:t>
      </w:r>
    </w:p>
    <w:p w14:paraId="5D4EDCA6" w14:textId="39FF471B" w:rsidR="00094754" w:rsidRDefault="00094754" w:rsidP="00FA0744">
      <w:pPr>
        <w:spacing w:line="480" w:lineRule="auto"/>
        <w:rPr>
          <w:sz w:val="22"/>
          <w:szCs w:val="22"/>
        </w:rPr>
      </w:pPr>
    </w:p>
    <w:p w14:paraId="094A14FB" w14:textId="459E42E0" w:rsidR="00094754" w:rsidRDefault="00094754" w:rsidP="00094754">
      <w:pPr>
        <w:spacing w:line="480" w:lineRule="auto"/>
        <w:rPr>
          <w:sz w:val="22"/>
          <w:szCs w:val="22"/>
          <w:vertAlign w:val="superscript"/>
        </w:rPr>
      </w:pPr>
    </w:p>
    <w:p w14:paraId="637868E2" w14:textId="77777777" w:rsidR="00094754" w:rsidRDefault="00094754">
      <w:pPr>
        <w:rPr>
          <w:sz w:val="22"/>
          <w:szCs w:val="22"/>
          <w:vertAlign w:val="superscript"/>
        </w:rPr>
      </w:pPr>
      <w:r>
        <w:rPr>
          <w:sz w:val="22"/>
          <w:szCs w:val="22"/>
          <w:vertAlign w:val="superscript"/>
        </w:rPr>
        <w:br w:type="page"/>
      </w:r>
    </w:p>
    <w:p w14:paraId="17084643" w14:textId="61BE13DD" w:rsidR="00094754" w:rsidRPr="0008236F" w:rsidRDefault="00094754" w:rsidP="00094754">
      <w:pPr>
        <w:pStyle w:val="Heading1"/>
        <w:jc w:val="center"/>
        <w:rPr>
          <w:rFonts w:asciiTheme="minorHAnsi" w:hAnsiTheme="minorHAnsi" w:cstheme="minorHAnsi"/>
          <w:b/>
          <w:bCs/>
          <w:color w:val="000000" w:themeColor="text1"/>
        </w:rPr>
      </w:pPr>
      <w:bookmarkStart w:id="2" w:name="_Toc104882870"/>
      <w:bookmarkStart w:id="3" w:name="_Toc120622092"/>
      <w:r w:rsidRPr="0008236F">
        <w:rPr>
          <w:rFonts w:asciiTheme="minorHAnsi" w:hAnsiTheme="minorHAnsi" w:cstheme="minorHAnsi"/>
          <w:b/>
          <w:bCs/>
          <w:color w:val="000000" w:themeColor="text1"/>
        </w:rPr>
        <w:lastRenderedPageBreak/>
        <w:t>Acknowledgements</w:t>
      </w:r>
      <w:bookmarkEnd w:id="2"/>
      <w:bookmarkEnd w:id="3"/>
    </w:p>
    <w:p w14:paraId="337C3C87" w14:textId="52331E66" w:rsidR="00094754" w:rsidRDefault="00094754" w:rsidP="00094754">
      <w:pPr>
        <w:widowControl w:val="0"/>
        <w:autoSpaceDE w:val="0"/>
        <w:autoSpaceDN w:val="0"/>
        <w:adjustRightInd w:val="0"/>
        <w:spacing w:line="480" w:lineRule="auto"/>
      </w:pPr>
      <w:r>
        <w:t xml:space="preserve">Firstly, I would like to thank my supervisors Lewis </w:t>
      </w:r>
      <w:proofErr w:type="spellStart"/>
      <w:r>
        <w:t>LeVay</w:t>
      </w:r>
      <w:proofErr w:type="spellEnd"/>
      <w:r w:rsidR="0089197D">
        <w:t xml:space="preserve">, </w:t>
      </w:r>
      <w:r>
        <w:t xml:space="preserve">Martin </w:t>
      </w:r>
      <w:proofErr w:type="spellStart"/>
      <w:r>
        <w:t>Skov</w:t>
      </w:r>
      <w:proofErr w:type="spellEnd"/>
      <w:r>
        <w:t xml:space="preserve"> </w:t>
      </w:r>
      <w:r w:rsidR="0089197D">
        <w:t xml:space="preserve">and Mark Walton </w:t>
      </w:r>
      <w:r>
        <w:t>for their support and encouragement during this PhD. Their feedback was undoubtedly the most detailed and constructive I had ever come across and improved the quality of my work over the past six years.</w:t>
      </w:r>
    </w:p>
    <w:p w14:paraId="402AC5C2" w14:textId="77777777" w:rsidR="00094754" w:rsidRDefault="00094754" w:rsidP="00094754">
      <w:pPr>
        <w:widowControl w:val="0"/>
        <w:autoSpaceDE w:val="0"/>
        <w:autoSpaceDN w:val="0"/>
        <w:adjustRightInd w:val="0"/>
        <w:spacing w:line="480" w:lineRule="auto"/>
      </w:pPr>
    </w:p>
    <w:p w14:paraId="43F17E97" w14:textId="77777777" w:rsidR="00094754" w:rsidRDefault="00094754" w:rsidP="00094754">
      <w:pPr>
        <w:widowControl w:val="0"/>
        <w:autoSpaceDE w:val="0"/>
        <w:autoSpaceDN w:val="0"/>
        <w:adjustRightInd w:val="0"/>
        <w:spacing w:line="480" w:lineRule="auto"/>
      </w:pPr>
      <w:r>
        <w:t>Thank you to Ibrahim Al-</w:t>
      </w:r>
      <w:proofErr w:type="spellStart"/>
      <w:r>
        <w:t>Maslamani</w:t>
      </w:r>
      <w:proofErr w:type="spellEnd"/>
      <w:r>
        <w:t xml:space="preserve"> for entrusting me to lead the Qatar University side of the wider collaborative mangrove work between Bangor and Qatar Universities from 2015-2018 as well as his help and support during this PhD process. I would also like to thank the co-authors I worked with, Hilary Kennedy and Simon Wilson. I would not have been able to get two of the four data chapters published without their feedback.</w:t>
      </w:r>
    </w:p>
    <w:p w14:paraId="22923BE7" w14:textId="77777777" w:rsidR="00094754" w:rsidRDefault="00094754" w:rsidP="00094754">
      <w:pPr>
        <w:widowControl w:val="0"/>
        <w:autoSpaceDE w:val="0"/>
        <w:autoSpaceDN w:val="0"/>
        <w:adjustRightInd w:val="0"/>
        <w:spacing w:line="480" w:lineRule="auto"/>
      </w:pPr>
    </w:p>
    <w:p w14:paraId="5F10C69C" w14:textId="635BD978" w:rsidR="00094754" w:rsidRPr="0067054C" w:rsidRDefault="00094754" w:rsidP="00094754">
      <w:pPr>
        <w:widowControl w:val="0"/>
        <w:autoSpaceDE w:val="0"/>
        <w:autoSpaceDN w:val="0"/>
        <w:adjustRightInd w:val="0"/>
        <w:spacing w:line="480" w:lineRule="auto"/>
      </w:pPr>
      <w:r>
        <w:t xml:space="preserve">I am indebted to the Environmental Science </w:t>
      </w:r>
      <w:proofErr w:type="gramStart"/>
      <w:r>
        <w:t>Centre</w:t>
      </w:r>
      <w:r w:rsidR="00D956E0">
        <w:t>,</w:t>
      </w:r>
      <w:proofErr w:type="gramEnd"/>
      <w:r>
        <w:t xml:space="preserve"> this PhD would not have been possible without the department’s help and support. Thank you Hamad Al-</w:t>
      </w:r>
      <w:proofErr w:type="spellStart"/>
      <w:r>
        <w:t>Kuwari</w:t>
      </w:r>
      <w:proofErr w:type="spellEnd"/>
      <w:r>
        <w:t xml:space="preserve"> and </w:t>
      </w:r>
      <w:proofErr w:type="spellStart"/>
      <w:r>
        <w:t>Jassim</w:t>
      </w:r>
      <w:proofErr w:type="spellEnd"/>
      <w:r>
        <w:t xml:space="preserve"> Al Khayat for affording me time to complete this PhD. I am grateful to David Smyth and Bruno </w:t>
      </w:r>
      <w:proofErr w:type="spellStart"/>
      <w:r>
        <w:t>Giraldes</w:t>
      </w:r>
      <w:proofErr w:type="spellEnd"/>
      <w:r>
        <w:t xml:space="preserve"> for always being a sounding boards to bounce ideas off. In particular, I owe a lot to the patience and help of Sinan </w:t>
      </w:r>
      <w:proofErr w:type="spellStart"/>
      <w:r>
        <w:t>Husrevoglu</w:t>
      </w:r>
      <w:proofErr w:type="spellEnd"/>
      <w:r>
        <w:t xml:space="preserve"> who mentored me through the difficult process of learning to program in R, especially the two modelling chapters. I would also like to thank </w:t>
      </w:r>
      <w:proofErr w:type="spellStart"/>
      <w:r w:rsidRPr="0067054C">
        <w:t>Reyniel</w:t>
      </w:r>
      <w:proofErr w:type="spellEnd"/>
      <w:r w:rsidRPr="0067054C">
        <w:t xml:space="preserve"> </w:t>
      </w:r>
      <w:proofErr w:type="spellStart"/>
      <w:r w:rsidRPr="0067054C">
        <w:t>Gasang</w:t>
      </w:r>
      <w:proofErr w:type="spellEnd"/>
      <w:r w:rsidRPr="0067054C">
        <w:t xml:space="preserve">, Caesar </w:t>
      </w:r>
      <w:proofErr w:type="spellStart"/>
      <w:r w:rsidRPr="0067054C">
        <w:t>Sorino</w:t>
      </w:r>
      <w:proofErr w:type="spellEnd"/>
      <w:r w:rsidRPr="0067054C">
        <w:t xml:space="preserve">, </w:t>
      </w:r>
      <w:proofErr w:type="spellStart"/>
      <w:r w:rsidRPr="0067054C">
        <w:t>Azenith</w:t>
      </w:r>
      <w:proofErr w:type="spellEnd"/>
      <w:r w:rsidRPr="0067054C">
        <w:t xml:space="preserve"> Castillo, Hassan </w:t>
      </w:r>
      <w:proofErr w:type="spellStart"/>
      <w:r w:rsidRPr="0067054C">
        <w:t>Hassan</w:t>
      </w:r>
      <w:proofErr w:type="spellEnd"/>
      <w:r w:rsidRPr="0067054C">
        <w:t xml:space="preserve">, Muhammed </w:t>
      </w:r>
      <w:proofErr w:type="spellStart"/>
      <w:r w:rsidRPr="0067054C">
        <w:t>Rafeek</w:t>
      </w:r>
      <w:proofErr w:type="spellEnd"/>
      <w:r w:rsidRPr="0067054C">
        <w:t xml:space="preserve"> </w:t>
      </w:r>
      <w:proofErr w:type="spellStart"/>
      <w:r w:rsidRPr="0067054C">
        <w:t>Puthiyakath</w:t>
      </w:r>
      <w:proofErr w:type="spellEnd"/>
      <w:r w:rsidRPr="0067054C">
        <w:t xml:space="preserve">, Muhammed </w:t>
      </w:r>
      <w:proofErr w:type="spellStart"/>
      <w:r w:rsidRPr="0067054C">
        <w:t>Kunhi</w:t>
      </w:r>
      <w:proofErr w:type="spellEnd"/>
      <w:r w:rsidRPr="0067054C">
        <w:t xml:space="preserve"> </w:t>
      </w:r>
      <w:proofErr w:type="spellStart"/>
      <w:r w:rsidRPr="0067054C">
        <w:t>Pindath</w:t>
      </w:r>
      <w:proofErr w:type="spellEnd"/>
      <w:r w:rsidRPr="0067054C">
        <w:t xml:space="preserve">, Mohammed </w:t>
      </w:r>
      <w:proofErr w:type="spellStart"/>
      <w:r w:rsidRPr="0067054C">
        <w:t>Abdulkader</w:t>
      </w:r>
      <w:proofErr w:type="spellEnd"/>
      <w:r w:rsidRPr="0067054C">
        <w:t xml:space="preserve"> and the late </w:t>
      </w:r>
      <w:proofErr w:type="spellStart"/>
      <w:r w:rsidRPr="0067054C">
        <w:t>Rajan</w:t>
      </w:r>
      <w:proofErr w:type="spellEnd"/>
      <w:r w:rsidRPr="0067054C">
        <w:t xml:space="preserve"> </w:t>
      </w:r>
      <w:proofErr w:type="spellStart"/>
      <w:r w:rsidRPr="0067054C">
        <w:t>Punnassery</w:t>
      </w:r>
      <w:proofErr w:type="spellEnd"/>
      <w:r w:rsidRPr="0067054C">
        <w:t xml:space="preserve"> </w:t>
      </w:r>
      <w:proofErr w:type="spellStart"/>
      <w:r w:rsidRPr="0067054C">
        <w:t>Ouseph</w:t>
      </w:r>
      <w:proofErr w:type="spellEnd"/>
      <w:r w:rsidRPr="0067054C">
        <w:t>, for their extensive field and laboratory support</w:t>
      </w:r>
      <w:r>
        <w:t>. Chapter 2, in particular, would not have been possible without their hard work in the field during the painfully hot Qatari summer</w:t>
      </w:r>
      <w:r w:rsidRPr="0067054C">
        <w:t>.</w:t>
      </w:r>
      <w:r>
        <w:t xml:space="preserve"> </w:t>
      </w:r>
      <w:r w:rsidRPr="0067054C">
        <w:t xml:space="preserve">This research was </w:t>
      </w:r>
      <w:r>
        <w:t xml:space="preserve">also </w:t>
      </w:r>
      <w:r w:rsidRPr="0067054C">
        <w:t xml:space="preserve">supported by the Qatar National Research Fund, National Priorities Research Program (NPRP) [grant number 7 – 1302 – 1 – </w:t>
      </w:r>
      <w:r w:rsidRPr="0067054C">
        <w:lastRenderedPageBreak/>
        <w:t>242], “Ecological processes underlying ecosystem function in arid mangroves”</w:t>
      </w:r>
      <w:r>
        <w:t>.</w:t>
      </w:r>
      <w:r w:rsidRPr="0067054C">
        <w:t xml:space="preserve"> </w:t>
      </w:r>
    </w:p>
    <w:p w14:paraId="21A049A2" w14:textId="77777777" w:rsidR="00094754" w:rsidRDefault="00094754" w:rsidP="00094754">
      <w:pPr>
        <w:spacing w:line="480" w:lineRule="auto"/>
      </w:pPr>
    </w:p>
    <w:p w14:paraId="66E8E2E2" w14:textId="77777777" w:rsidR="00FA0744" w:rsidRDefault="00094754" w:rsidP="00FA0744">
      <w:pPr>
        <w:widowControl w:val="0"/>
        <w:autoSpaceDE w:val="0"/>
        <w:autoSpaceDN w:val="0"/>
        <w:adjustRightInd w:val="0"/>
        <w:spacing w:line="480" w:lineRule="auto"/>
        <w:sectPr w:rsidR="00FA0744">
          <w:pgSz w:w="11906" w:h="16838"/>
          <w:pgMar w:top="1440" w:right="1440" w:bottom="1440" w:left="1440" w:header="708" w:footer="708" w:gutter="0"/>
          <w:cols w:space="708"/>
          <w:docGrid w:linePitch="360"/>
        </w:sectPr>
      </w:pPr>
      <w:r>
        <w:t>Last but definitely not least, I would like to thank my wife, Rachel. During the six years of working on this PhD we’ve had two children, two full time jobs and been through a global pandemic, all in a country very far from home. Thanks for all the support, words of encouragement and countless times looking after the kids while I was having ‘free time PhD-</w:t>
      </w:r>
      <w:proofErr w:type="spellStart"/>
      <w:r>
        <w:t>ing</w:t>
      </w:r>
      <w:proofErr w:type="spellEnd"/>
      <w:r>
        <w:t>’.</w:t>
      </w:r>
    </w:p>
    <w:p w14:paraId="5EFE25C9" w14:textId="25C5837D" w:rsidR="00FA0744" w:rsidRPr="00EE36DE" w:rsidRDefault="00FA0744" w:rsidP="00FA0744">
      <w:pPr>
        <w:pStyle w:val="Heading1"/>
        <w:numPr>
          <w:ilvl w:val="0"/>
          <w:numId w:val="11"/>
        </w:numPr>
        <w:rPr>
          <w:rFonts w:asciiTheme="minorHAnsi" w:hAnsiTheme="minorHAnsi" w:cstheme="minorHAnsi"/>
          <w:b/>
          <w:bCs/>
          <w:color w:val="000000" w:themeColor="text1"/>
          <w:lang w:val="en-US"/>
        </w:rPr>
      </w:pPr>
      <w:bookmarkStart w:id="4" w:name="_Toc120622093"/>
      <w:r w:rsidRPr="00EE36DE">
        <w:rPr>
          <w:rFonts w:asciiTheme="minorHAnsi" w:hAnsiTheme="minorHAnsi" w:cstheme="minorHAnsi"/>
          <w:b/>
          <w:bCs/>
          <w:color w:val="000000" w:themeColor="text1"/>
          <w:lang w:val="en-US"/>
        </w:rPr>
        <w:lastRenderedPageBreak/>
        <w:t>General Introduction</w:t>
      </w:r>
      <w:bookmarkEnd w:id="4"/>
    </w:p>
    <w:p w14:paraId="56FC82CF" w14:textId="77777777" w:rsidR="00FA0744" w:rsidRPr="00896A84" w:rsidRDefault="00FA0744" w:rsidP="00FA0744">
      <w:pPr>
        <w:rPr>
          <w:lang w:val="en-US"/>
        </w:rPr>
      </w:pPr>
    </w:p>
    <w:p w14:paraId="30332388" w14:textId="715AFCD1" w:rsidR="00FA0744" w:rsidRPr="00AE3FEB" w:rsidRDefault="00FA0744" w:rsidP="00FA0744">
      <w:pPr>
        <w:pStyle w:val="Heading2"/>
        <w:rPr>
          <w:rFonts w:asciiTheme="minorHAnsi" w:hAnsiTheme="minorHAnsi" w:cstheme="minorHAnsi"/>
          <w:b/>
          <w:bCs/>
          <w:color w:val="000000" w:themeColor="text1"/>
        </w:rPr>
      </w:pPr>
      <w:bookmarkStart w:id="5" w:name="_Toc120622094"/>
      <w:r w:rsidRPr="00AE3FEB">
        <w:rPr>
          <w:rFonts w:asciiTheme="minorHAnsi" w:hAnsiTheme="minorHAnsi" w:cstheme="minorHAnsi"/>
          <w:b/>
          <w:bCs/>
          <w:color w:val="000000" w:themeColor="text1"/>
        </w:rPr>
        <w:t>1.1</w:t>
      </w:r>
      <w:r w:rsidRPr="00AE3FEB">
        <w:rPr>
          <w:rFonts w:asciiTheme="minorHAnsi" w:hAnsiTheme="minorHAnsi" w:cstheme="minorHAnsi"/>
          <w:b/>
          <w:bCs/>
          <w:color w:val="000000" w:themeColor="text1"/>
        </w:rPr>
        <w:tab/>
        <w:t>Mangrove Ecosystems</w:t>
      </w:r>
      <w:bookmarkEnd w:id="5"/>
    </w:p>
    <w:p w14:paraId="34E6D433" w14:textId="77777777" w:rsidR="00FA0744" w:rsidRDefault="00FA0744" w:rsidP="00FA0744">
      <w:pPr>
        <w:spacing w:line="480" w:lineRule="auto"/>
        <w:rPr>
          <w:lang w:val="en-US"/>
        </w:rPr>
      </w:pPr>
      <w:r>
        <w:rPr>
          <w:lang w:val="en-US"/>
        </w:rPr>
        <w:t>The mangrove forest environment is</w:t>
      </w:r>
      <w:r w:rsidRPr="00685912">
        <w:rPr>
          <w:lang w:val="en-US"/>
        </w:rPr>
        <w:t xml:space="preserve"> found around the world’s tropical and sub-tropical coastlines</w:t>
      </w:r>
      <w:r>
        <w:rPr>
          <w:lang w:val="en-US"/>
        </w:rPr>
        <w:t xml:space="preserve"> between approximately </w:t>
      </w:r>
      <w:r w:rsidRPr="009F1791">
        <w:rPr>
          <w:lang w:val="en-US"/>
        </w:rPr>
        <w:t>30° N and 30° S</w:t>
      </w:r>
      <w:r>
        <w:rPr>
          <w:lang w:val="en-US"/>
        </w:rPr>
        <w:t xml:space="preserve"> </w:t>
      </w:r>
      <w:r w:rsidRPr="009F1791">
        <w:rPr>
          <w:lang w:val="en-US"/>
        </w:rPr>
        <w:t>latitude</w:t>
      </w:r>
      <w:r>
        <w:rPr>
          <w:lang w:val="en-US"/>
        </w:rPr>
        <w:t xml:space="preserve"> </w:t>
      </w:r>
      <w:r>
        <w:rPr>
          <w:lang w:val="en-US"/>
        </w:rPr>
        <w:fldChar w:fldCharType="begin" w:fldLock="1"/>
      </w:r>
      <w:r>
        <w:rPr>
          <w:lang w:val="en-US"/>
        </w:rPr>
        <w:instrText>ADDIN CSL_CITATION {"citationItems":[{"id":"ITEM-1","itemData":{"DOI":"10.1111/j.1466-8238.2010.00584.x","ISBN":"1466-822X","ISSN":"1466822X","abstract":"Aim Our scientific understanding of the extent and distribution of mangrove forests of the world is inadequate. The available global mangrove databases, com- piled using disparate geospatial data sources and national statistics, need to be improved.Here,we mapped the status and distributions of global mangroves using recently available Global Land Survey (GLS) data and the Landsat archive. Methods We interpreted approximately 1000 Landsat scenes using hybrid super- vised and unsupervised digital image classification techniques. Each image was normalized for variation in solar angle and earth–sun distance by converting the digital number values to the top-of-the-atmosphere reflectance.Ground truth data and existing maps and databases were used to select training samples and also for iterative labelling. Results were validated using existing GIS data and the published literature to map ‘true mangroves’. Results The total area of mangroves in the year 2000 was 137,760 km2 in 118 countries and territories in the tropical and subtropical regions of the world. Approximately 75% of world’s mangroves are found in just 15 countries, and only 6.9% are protected under the existing protected areas network (IUCN I-IV). Our study confirms earlier findings that the biogeographic distribution of mangroves is generally confined to the tropical and subtropical regions and the largest percentage of mangroves is found between 5° N and 5° S latitude. Main conclusions We report that the remaining area of mangrove forest in the world is less than previously thought. Our estimate is 12.3% smaller than the most recent estimate by the Food and Agriculture Organization (FAO) of the United Nations.We present the most comprehensive, globally consistent and highest resolution (30 m) global mangrove database ever created.We developed and used better mapping techniques and data sources and mapped mangroves with better spatial and thematic details than previous studies.","author":[{"dropping-particle":"","family":"Giri","given":"C.","non-dropping-particle":"","parse-names":false,"suffix":""},{"dropping-particle":"","family":"Ochieng","given":"E.","non-dropping-particle":"","parse-names":false,"suffix":""},{"dropping-particle":"","family":"Tieszen","given":"L. L.","non-dropping-particle":"","parse-names":false,"suffix":""},{"dropping-particle":"","family":"Zhu","given":"Z.","non-dropping-particle":"","parse-names":false,"suffix":""},{"dropping-particle":"","family":"Singh","given":"A.","non-dropping-particle":"","parse-names":false,"suffix":""},{"dropping-particle":"","family":"Loveland","given":"T.","non-dropping-particle":"","parse-names":false,"suffix":""},{"dropping-particle":"","family":"Masek","given":"J.","non-dropping-particle":"","parse-names":false,"suffix":""},{"dropping-particle":"","family":"Duke","given":"N.","non-dropping-particle":"","parse-names":false,"suffix":""}],"container-title":"Global Ecology and Biogeography","id":"ITEM-1","issue":"1","issued":{"date-parts":[["2011","1"]]},"page":"154-159","title":"Status and distribution of mangrove forests of the world using earth observation satellite data","type":"article-journal","volume":"20"},"uris":["http://www.mendeley.com/documents/?uuid=d12166ad-2257-38a1-8725-93fbc824ac73"]}],"mendeley":{"formattedCitation":"(Giri et al., 2011)","plainTextFormattedCitation":"(Giri et al., 2011)","previouslyFormattedCitation":"(Giri et al., 2011)"},"properties":{"noteIndex":0},"schema":"https://github.com/citation-style-language/schema/raw/master/csl-citation.json"}</w:instrText>
      </w:r>
      <w:r>
        <w:rPr>
          <w:lang w:val="en-US"/>
        </w:rPr>
        <w:fldChar w:fldCharType="separate"/>
      </w:r>
      <w:r w:rsidRPr="000A579E">
        <w:rPr>
          <w:noProof/>
          <w:lang w:val="en-US"/>
        </w:rPr>
        <w:t>(Giri et al., 2011)</w:t>
      </w:r>
      <w:r>
        <w:rPr>
          <w:lang w:val="en-US"/>
        </w:rPr>
        <w:fldChar w:fldCharType="end"/>
      </w:r>
      <w:r>
        <w:rPr>
          <w:lang w:val="en-US"/>
        </w:rPr>
        <w:t xml:space="preserve"> (Figure 1.1)</w:t>
      </w:r>
      <w:r w:rsidRPr="009F1791">
        <w:rPr>
          <w:lang w:val="en-US"/>
        </w:rPr>
        <w:t>.</w:t>
      </w:r>
      <w:r w:rsidRPr="00DD4A7B">
        <w:rPr>
          <w:lang w:val="en-US"/>
        </w:rPr>
        <w:t xml:space="preserve"> </w:t>
      </w:r>
      <w:r>
        <w:rPr>
          <w:lang w:val="en-US"/>
        </w:rPr>
        <w:t>Forests are formed by m</w:t>
      </w:r>
      <w:r w:rsidRPr="00685912">
        <w:rPr>
          <w:lang w:val="en-US"/>
        </w:rPr>
        <w:t>angrove</w:t>
      </w:r>
      <w:r>
        <w:rPr>
          <w:lang w:val="en-US"/>
        </w:rPr>
        <w:t xml:space="preserve"> trees, which</w:t>
      </w:r>
      <w:r w:rsidRPr="00685912">
        <w:rPr>
          <w:lang w:val="en-US"/>
        </w:rPr>
        <w:t xml:space="preserve"> are the world’s only woody halophytes</w:t>
      </w:r>
      <w:r>
        <w:rPr>
          <w:lang w:val="en-US"/>
        </w:rPr>
        <w:t xml:space="preserve"> </w:t>
      </w:r>
      <w:r>
        <w:rPr>
          <w:lang w:val="en-US"/>
        </w:rPr>
        <w:fldChar w:fldCharType="begin" w:fldLock="1"/>
      </w:r>
      <w:r>
        <w:rPr>
          <w:lang w:val="en-US"/>
        </w:rPr>
        <w:instrText>ADDIN CSL_CITATION {"citationItems":[{"id":"ITEM-1","itemData":{"DOI":"10.1007/978-1-4020-4271-3","ISBN":"9781402042706","abstract":"Despite their importance in sustaining livelihoods for many people living along some of the world's most populous coastlines, tropical mangrove forests are disappearing at an alarming rate. Occupying a crucial place between land and sea, these tidal ecosystems provide a valuable ecological and economic resource as important nursery grounds and breeding sites for many organisms, and as a renewable source of wood and traditional foods and medicines. Perhaps most importantly, they are accumulation sites for sediment, contaminants, carbon and nutrients, and offer significant protection against coastal erosion. This book presents a functional overview of mangrove forest ecosystems; how they live and grow at the edge of tropical seas, how they play a critical role along most of the world's tropical coasts, and how their future might look in a world affected by climate change. Such a process-oriented approach is necessary in order to further understand the role of these dynamic forests in ecosystem function, and as a first step towards developing adequate strategies for their conservation and sustainable use and management. The book will provide a valuable resource for researchers in mangrove ecology as well as reference for resource managers. © 2009 Springer Science + Business Media B.V.","author":[{"dropping-particle":"","family":"Alongi","given":"Daniel M.","non-dropping-particle":"","parse-names":false,"suffix":""}],"container-title":"The Energetics of Mangrove Forests","id":"ITEM-1","issued":{"date-parts":[["2009"]]},"number-of-pages":"1-216","publisher":"Springer Science &amp; Business Media","publisher-place":"New York","title":"The energetics of mangrove forests","type":"book"},"uris":["http://www.mendeley.com/documents/?uuid=cbb1df17-e857-4abd-95d9-5dd9e7b78cbc"]}],"mendeley":{"formattedCitation":"(Alongi, 2009)","plainTextFormattedCitation":"(Alongi, 2009)","previouslyFormattedCitation":"(Alongi, 2009)"},"properties":{"noteIndex":0},"schema":"https://github.com/citation-style-language/schema/raw/master/csl-citation.json"}</w:instrText>
      </w:r>
      <w:r>
        <w:rPr>
          <w:lang w:val="en-US"/>
        </w:rPr>
        <w:fldChar w:fldCharType="separate"/>
      </w:r>
      <w:r w:rsidRPr="0069590D">
        <w:rPr>
          <w:noProof/>
          <w:lang w:val="en-US"/>
        </w:rPr>
        <w:t>(Alongi, 2009)</w:t>
      </w:r>
      <w:r>
        <w:rPr>
          <w:lang w:val="en-US"/>
        </w:rPr>
        <w:fldChar w:fldCharType="end"/>
      </w:r>
      <w:r>
        <w:rPr>
          <w:lang w:val="en-US"/>
        </w:rPr>
        <w:t xml:space="preserve"> and a group comprised of 27 genera and </w:t>
      </w:r>
      <w:r w:rsidRPr="00685912">
        <w:rPr>
          <w:lang w:val="en-US"/>
        </w:rPr>
        <w:t xml:space="preserve">approximately </w:t>
      </w:r>
      <w:r>
        <w:rPr>
          <w:lang w:val="en-US"/>
        </w:rPr>
        <w:t xml:space="preserve">70 species </w:t>
      </w:r>
      <w:r>
        <w:rPr>
          <w:lang w:val="en-US"/>
        </w:rPr>
        <w:fldChar w:fldCharType="begin" w:fldLock="1"/>
      </w:r>
      <w:r>
        <w:rPr>
          <w:lang w:val="en-US"/>
        </w:rPr>
        <w:instrText>ADDIN CSL_CITATION {"citationItems":[{"id":"ITEM-1","itemData":{"DOI":"10.1007/978-1-4020-4271-3","ISBN":"9781402042706","abstract":"Despite their importance in sustaining livelihoods for many people living along some of the world's most populous coastlines, tropical mangrove forests are disappearing at an alarming rate. Occupying a crucial place between land and sea, these tidal ecosystems provide a valuable ecological and economic resource as important nursery grounds and breeding sites for many organisms, and as a renewable source of wood and traditional foods and medicines. Perhaps most importantly, they are accumulation sites for sediment, contaminants, carbon and nutrients, and offer significant protection against coastal erosion. This book presents a functional overview of mangrove forest ecosystems; how they live and grow at the edge of tropical seas, how they play a critical role along most of the world's tropical coasts, and how their future might look in a world affected by climate change. Such a process-oriented approach is necessary in order to further understand the role of these dynamic forests in ecosystem function, and as a first step towards developing adequate strategies for their conservation and sustainable use and management. The book will provide a valuable resource for researchers in mangrove ecology as well as reference for resource managers. © 2009 Springer Science + Business Media B.V.","author":[{"dropping-particle":"","family":"Alongi","given":"Daniel M.","non-dropping-particle":"","parse-names":false,"suffix":""}],"container-title":"The Energetics of Mangrove Forests","id":"ITEM-1","issued":{"date-parts":[["2009"]]},"number-of-pages":"1-216","publisher":"Springer Science &amp; Business Media","publisher-place":"New York","title":"The energetics of mangrove forests","type":"book"},"uris":["http://www.mendeley.com/documents/?uuid=cbb1df17-e857-4abd-95d9-5dd9e7b78cbc"]}],"mendeley":{"formattedCitation":"(Alongi, 2009)","plainTextFormattedCitation":"(Alongi, 2009)","previouslyFormattedCitation":"(Alongi, 2009)"},"properties":{"noteIndex":0},"schema":"https://github.com/citation-style-language/schema/raw/master/csl-citation.json"}</w:instrText>
      </w:r>
      <w:r>
        <w:rPr>
          <w:lang w:val="en-US"/>
        </w:rPr>
        <w:fldChar w:fldCharType="separate"/>
      </w:r>
      <w:r w:rsidRPr="00EE434D">
        <w:rPr>
          <w:noProof/>
          <w:lang w:val="en-US"/>
        </w:rPr>
        <w:t>(Alongi, 2009)</w:t>
      </w:r>
      <w:r>
        <w:rPr>
          <w:lang w:val="en-US"/>
        </w:rPr>
        <w:fldChar w:fldCharType="end"/>
      </w:r>
      <w:r>
        <w:rPr>
          <w:lang w:val="en-US"/>
        </w:rPr>
        <w:t xml:space="preserve">. Mangrove forests occupy the transition between terrestrial and marine environments and are found along shorelines at intertidal heights between the </w:t>
      </w:r>
      <w:r w:rsidRPr="00602D7C">
        <w:rPr>
          <w:lang w:val="en-US"/>
        </w:rPr>
        <w:t xml:space="preserve">mean sea level to </w:t>
      </w:r>
      <w:r>
        <w:rPr>
          <w:lang w:val="en-US"/>
        </w:rPr>
        <w:t xml:space="preserve">the level of the </w:t>
      </w:r>
      <w:r w:rsidRPr="00602D7C">
        <w:rPr>
          <w:lang w:val="en-US"/>
        </w:rPr>
        <w:t>highest spring tide</w:t>
      </w:r>
      <w:r>
        <w:rPr>
          <w:lang w:val="en-US"/>
        </w:rPr>
        <w:t xml:space="preserve"> </w:t>
      </w:r>
      <w:r>
        <w:rPr>
          <w:lang w:val="en-US"/>
        </w:rPr>
        <w:fldChar w:fldCharType="begin" w:fldLock="1"/>
      </w:r>
      <w:r>
        <w:rPr>
          <w:lang w:val="en-US"/>
        </w:rPr>
        <w:instrText>ADDIN CSL_CITATION {"citationItems":[{"id":"ITEM-1","itemData":{"DOI":"10.1007/978-1-4020-4271-3","ISBN":"9781402042706","abstract":"Despite their importance in sustaining livelihoods for many people living along some of the world's most populous coastlines, tropical mangrove forests are disappearing at an alarming rate. Occupying a crucial place between land and sea, these tidal ecosystems provide a valuable ecological and economic resource as important nursery grounds and breeding sites for many organisms, and as a renewable source of wood and traditional foods and medicines. Perhaps most importantly, they are accumulation sites for sediment, contaminants, carbon and nutrients, and offer significant protection against coastal erosion. This book presents a functional overview of mangrove forest ecosystems; how they live and grow at the edge of tropical seas, how they play a critical role along most of the world's tropical coasts, and how their future might look in a world affected by climate change. Such a process-oriented approach is necessary in order to further understand the role of these dynamic forests in ecosystem function, and as a first step towards developing adequate strategies for their conservation and sustainable use and management. The book will provide a valuable resource for researchers in mangrove ecology as well as reference for resource managers. © 2009 Springer Science + Business Media B.V.","author":[{"dropping-particle":"","family":"Alongi","given":"Daniel M.","non-dropping-particle":"","parse-names":false,"suffix":""}],"container-title":"The Energetics of Mangrove Forests","id":"ITEM-1","issued":{"date-parts":[["2009"]]},"number-of-pages":"1-216","publisher":"Springer Science &amp; Business Media","publisher-place":"New York","title":"The energetics of mangrove forests","type":"book"},"uris":["http://www.mendeley.com/documents/?uuid=cbb1df17-e857-4abd-95d9-5dd9e7b78cbc"]}],"mendeley":{"formattedCitation":"(Alongi, 2009)","plainTextFormattedCitation":"(Alongi, 2009)","previouslyFormattedCitation":"(Alongi, 2009)"},"properties":{"noteIndex":0},"schema":"https://github.com/citation-style-language/schema/raw/master/csl-citation.json"}</w:instrText>
      </w:r>
      <w:r>
        <w:rPr>
          <w:lang w:val="en-US"/>
        </w:rPr>
        <w:fldChar w:fldCharType="separate"/>
      </w:r>
      <w:r w:rsidRPr="003D2C40">
        <w:rPr>
          <w:noProof/>
          <w:lang w:val="en-US"/>
        </w:rPr>
        <w:t>(Alongi, 2009)</w:t>
      </w:r>
      <w:r>
        <w:rPr>
          <w:lang w:val="en-US"/>
        </w:rPr>
        <w:fldChar w:fldCharType="end"/>
      </w:r>
      <w:r>
        <w:rPr>
          <w:lang w:val="en-US"/>
        </w:rPr>
        <w:t>. This intertidal environment is</w:t>
      </w:r>
      <w:r w:rsidRPr="00602D7C">
        <w:rPr>
          <w:lang w:val="en-US"/>
        </w:rPr>
        <w:t xml:space="preserve"> stressful </w:t>
      </w:r>
      <w:r>
        <w:rPr>
          <w:lang w:val="en-US"/>
        </w:rPr>
        <w:t>for plants and forests</w:t>
      </w:r>
      <w:r w:rsidRPr="00602D7C">
        <w:rPr>
          <w:lang w:val="en-US"/>
        </w:rPr>
        <w:t xml:space="preserve"> experience high salinity, tidal oscillations</w:t>
      </w:r>
      <w:r>
        <w:rPr>
          <w:lang w:val="en-US"/>
        </w:rPr>
        <w:t xml:space="preserve"> and </w:t>
      </w:r>
      <w:r w:rsidRPr="00602D7C">
        <w:rPr>
          <w:lang w:val="en-US"/>
        </w:rPr>
        <w:t>high sedimentation</w:t>
      </w:r>
      <w:r>
        <w:rPr>
          <w:lang w:val="en-US"/>
        </w:rPr>
        <w:t xml:space="preserve"> </w:t>
      </w:r>
      <w:r>
        <w:rPr>
          <w:lang w:val="en-US"/>
        </w:rPr>
        <w:fldChar w:fldCharType="begin" w:fldLock="1"/>
      </w:r>
      <w:r>
        <w:rPr>
          <w:lang w:val="en-US"/>
        </w:rPr>
        <w:instrText>ADDIN CSL_CITATION {"citationItems":[{"id":"ITEM-1","itemData":{"DOI":"10.1016/0025-326X(93)90004-4","ISBN":"0025-326X","ISSN":"0025326X","abstract":"The Gulf's biological character is briefly reviewed to provide a background to the main habitats and their condition, for the papers in this Special Issue. The Gulf's marine resources are described in the context of possible environmental consequences of the 1991 Gulf War. While emphasis is given to living resources, in particular ecosystems and fisheries, non-living resources are also briefly considered (e.g. oil and gas), as is availability of clean seawater for production of fresh water. The focus is on the western and Arabian coasts; the eastern (Iranian) coast remains one of the least known in the world in biological terms. Of the subtidal ecosystems, coral reefs are the most diverse. They are highly productive, but cover only a small area and so are of relatively minor importance in a regional sense. Seagrasses are common in shallow areas (&lt;10 m), forming the basis of many food chains. At least four seagrass species are known for the region, but most communities are dominated by Halodule uninervis. Seagrasses are also an important habitat for commercial shrimp (e.g. Penaeus semisulcatus), pearl oysters and many other organisms. Mudflats occupy extensive areas of the intertidal zone. Their productivity is often enhanced by Cyanophya-dominated algal mats. Naturally occurring mangroves are found in association with tidal flats and are represented by a single species, Avicennia marina. Mangroves are much less extensive in the Gulf (125-130 km2) than the Red Sea (400-500 km2). Of major regional and global importance are the Gulf's fisheries, particularly for penaeid shrimp (e.g.P. semisulcatus), but also for groupers, jacks and spanish mackerel. Fauna important to conservation issues include sea birds, green and hawksbill turtles and dugongs. ?? 1993.","author":[{"dropping-particle":"","family":"Price","given":"A. R G","non-dropping-particle":"","parse-names":false,"suffix":""},{"dropping-particle":"","family":"Sheppard","given":"C. R C","non-dropping-particle":"","parse-names":false,"suffix":""},{"dropping-particle":"","family":"Roberts","given":"C. M.","non-dropping-particle":"","parse-names":false,"suffix":""}],"container-title":"Marine Pollution Bulletin","id":"ITEM-1","issue":"C","issued":{"date-parts":[["1993","1"]]},"page":"9-15","title":"The Gulf: Its biological setting","type":"article-journal","volume":"27"},"uris":["http://www.mendeley.com/documents/?uuid=55b3a3d4-8421-45fc-84fa-8de85e3c1b39"]},{"id":"ITEM-2","itemData":{"DOI":"10.1007/s00468-002-0206-2","ISSN":"09311890","abstract":"Mangrove partitioning and storage of macronutrients and trace metals were examined in different arid coastal settings of Western Australia. Total living biomass in three Rhizophora stylosa forests, which ranged from 233 to 289 t DW ha-1, was significantly greater than biomass in three Avicennia marina forests (range: 79-155 t DW ha-1). Although prop roots and stems were the largest single tree components for R. stylosa and A. marina, respectively, most nutrients were stored in leaves and living roots of both species. However, only a small fraction of the total nutrient pool was vested in tree biomass; the vast bulk was in soils. A large belowground pool of dead fine roots was identified at all stands, equivalent to 36-88% DW of total living tree biomass. The amount of Ca, S, Cl, Na, Si, Fe, Mn, Zn, B, Mo and Cu vested in dead roots of both species was greater than in the total living tree biomass. The proportion of Fe and S vested in live and dead roots was exceptionally large, consistent with previous evidence of metal plaques on mangrove roots. Sulphur, iron and zinc in dead roots of both species constituted the bulk of these metals. R. stylosa trees preferentially accumulated more Mg, S, Cl, Na, Si, Fe, Mn, B and Mo than A. marina trees. Proportionally greater storage of P, N, Ca, K, Cu and Zn occurred in two of the three A. marina forests. Foliar concentrations of Mg, S, Mn, B and Mo in mangrove leaves were at the high end of the range reported for other tropical trees, but other elemental concentrations were at the low or mid-range. Nitrogen limitation in these forests is implied by a positive correlation between total tree N and net canopy production and by a lower percentage of ecosystem N in tree biomass as compared with other forests. Unlike terrestrial forests where a large proportion of nutrient capital is vested in floor litter, most elements in these mangrove forests are stored in dead roots. A large reservoir of dead roots below the forest floor may serve as a conservation mechanism, particularly in such arid oligotrophic environments.","author":[{"dropping-particle":"","family":"Alongi","given":"Daniel M.","non-dropping-particle":"","parse-names":false,"suffix":""},{"dropping-particle":"","family":"Clough","given":"Barry F.","non-dropping-particle":"","parse-names":false,"suffix":""},{"dropping-particle":"","family":"Dixon","given":"Paul","non-dropping-particle":"","parse-names":false,"suffix":""},{"dropping-particle":"","family":"Tirendi","given":"Frank","non-dropping-particle":"","parse-names":false,"suffix":""}],"container-title":"Trees - Structure and Function","id":"ITEM-2","issue":"1","issued":{"date-parts":[["2003"]]},"page":"51-60","title":"Nutrient partitioning and storage in arid-zone forests of the mangroves Rhizophora stylosa and Avicennia marina","type":"article-journal","volume":"17"},"uris":["http://www.mendeley.com/documents/?uuid=01e277fc-4013-4f50-b596-6e3984c49671"]},{"id":"ITEM-3","itemData":{"DOI":"10.1002/ecm.1405","ISSN":"15577015","abstract":"Mangroves sequester large quantities of carbon (C) that become significant sources of greenhouse gases when disturbed through land-use change. Thus, they are of great value to incorporate into climate change adaptation and mitigation strategies. In response, a global network of mangrove plots was established to provide policy-relevant ecological data relating to interactions of mangrove C stocks with climatic, tidal, plant community, and geomorphic factors. Mangroves from 190 sites were sampled across five continents encompassing large biological, physical, and climatic gradients using consistent methodologies for the quantification of total ecosystem C stocks (TECS). Carbon stock data were collected along with vegetation, physical, and climatic data to explore potential predictive relationships. There was a 28-fold range in TECS (79–2,208 Mg C/ha) with a mean of 856 ± 32 Mg C/ha. Belowground C comprised an average 85% of the TECS. Mean soil depth was 216 cm, ranging from 22 to &gt;300 cm, with 68 sites (35%) exceeding a depth of 300 cm. TECS were weakly correlated with metrics of forest structure, suggesting that aboveground forest structure alone cannot accurately predict TECS. Similarly, precipitation was not a strong predictor of TECS. Reasonable estimates of TECS were derived via multiple regression analysis using precipitation, soil depth, tree mass, and latitude (R2 = 0.54) as variables. Soil carbon to a 1 m depth averaged 44% of the TECS. Limiting analyses of soil C stocks to the top 1 m of soils result in large underestimates of TECS as well as in the greenhouse gas emissions that would arise from their conversion to other land uses. The current IPCC Tier 1 default TECS value for mangroves is 511 Mg C/ha, which is only 60% of our calculated global mean. This study improves current assessments of mangrove C stocks providing a foundation necessary for C valuation related to climate change mitigation. We estimate mangroves globally store about 11.7 Pg C: an aboveground carbon stock of 1.6 Pg C and a belowground carbon stock of 10.2 Pg C). The differences in the estimates of total ecosystem carbon stocks based on climate, salinity, forest structure, geomorphology, or geopolitical boundaries are not as much of an influence as the choice of soil depth included in the estimate. Choosing to limit soils to a 1 m depth resulted in estimates of &lt;5 Pg whereas those that included the soil profile &gt;1 m depth resulted in global carbon stock estimates that exceed…","author":[{"dropping-particle":"","family":"Kauffman","given":"J. Boone","non-dropping-particle":"","parse-names":false,"suffix":""},{"dropping-particle":"","family":"Adame","given":"Maria Fernanda","non-dropping-particle":"","parse-names":false,"suffix":""},{"dropping-particle":"","family":"Arifanti","given":"Virni Budi","non-dropping-particle":"","parse-names":false,"suffix":""},{"dropping-particle":"","family":"Schile-Beers","given":"Lisa M.","non-dropping-particle":"","parse-names":false,"suffix":""},{"dropping-particle":"","family":"Bernardino","given":"Angelo F.","non-dropping-particle":"","parse-names":false,"suffix":""},{"dropping-particle":"","family":"Bhomia","given":"Rupesh K.","non-dropping-particle":"","parse-names":false,"suffix":""},{"dropping-particle":"","family":"Donato","given":"Daniel C.","non-dropping-particle":"","parse-names":false,"suffix":""},{"dropping-particle":"","family":"Feller","given":"Ilka C.","non-dropping-particle":"","parse-names":false,"suffix":""},{"dropping-particle":"","family":"Ferreira","given":"Tiago O.","non-dropping-particle":"","parse-names":false,"suffix":""},{"dropping-particle":"","family":"Jesus Garcia","given":"Maria del Carmen","non-dropping-particle":"","parse-names":false,"suffix":""},{"dropping-particle":"","family":"MacKenzie","given":"Richard A.","non-dropping-particle":"","parse-names":false,"suffix":""},{"dropping-particle":"","family":"Megonigal","given":"J. Patrick","non-dropping-particle":"","parse-names":false,"suffix":""},{"dropping-particle":"","family":"Murdiyarso","given":"Daniel","non-dropping-particle":"","parse-names":false,"suffix":""},{"dropping-particle":"","family":"Simpson","given":"Lorae","non-dropping-particle":"","parse-names":false,"suffix":""},{"dropping-particle":"","family":"Hernández Trejo","given":"Humberto","non-dropping-particle":"","parse-names":false,"suffix":""}],"container-title":"Ecological Monographs","id":"ITEM-3","issued":{"date-parts":[["2020"]]},"title":"Total ecosystem carbon stocks of mangroves across broad global environmental and physical gradients","type":"article-journal"},"uris":["http://www.mendeley.com/documents/?uuid=2d974c84-8afd-45fd-87e7-4eab61ecc113"]},{"id":"ITEM-4","itemData":{"DOI":"10.1002/eap.1489","ISSN":"19395582","abstract":"Coastal ecosystems produce and sequester significant amounts of carbon (\"blue carbon\"), which has been well documented in humid and semi-humid regions of temperate and tropical climates but less so in arid regions where mangroves, marshes, and seagrasses exist near the limit of their tolerance for extreme temperature and salinity. To better understand these unique systems, we measured whole-ecosystem carbon stocks in 58 sites across the United Arab Emirates (UAE) in natural and planted mangroves, salt marshes, seagrass beds, microbial mats, and coastal sabkha (inter- and supratidal unvegetated salt flats). Natural mangroves held significantly more carbon in above- and belowground biomass than other vegetated ecosystems. Planted mangrove carbon stocks increased with age, but there were large differences for sites of similar age. Soil carbon varied widely across sites (2-367 Mg C/ha), with ecosystem averages that ranged from 49 to 156 Mg C/ha. For the first time, microbial mats were documented to contain soil carbon pools comparable to vascular plant-dominated ecosystems, and could arguably be recognized as a unique blue carbon ecosystem. Total ecosystem carbon stocks ranged widely from 2 to 515 Mg C/ha (seagrass bed and mangrove, respectively). Seagrass beds had the lowest carbon stock per unit area, but the largest stock per total area due to their large spatial coverage. Compared to similar ecosystems globally, mangroves and marshes in the UAE have lower plant and soil carbon stocks; however, the difference in soil stocks is far larger than with plant stocks. This incongruent difference between stocks is likely due to poor carbon preservation under conditions of weakly reduced soils (200-350 mV), coarse-grained sediments, and active shoreline migration. This work represents the first attempt to produce a country-wide coastal ecosystem carbon accounting using a uniform sampling protocol, and was motivated by specific policy goals identified by the Abu Dhabi Global Environmental Data Initiative. These carbon stock data supported two objectives: to quantify carbon stocks and infer sequestration capacity in arid blue carbon ecosystems, and to explore the potential to incorporate blue carbon science into national reporting and planning documents. © 2016 by the Ecological Society of America.","author":[{"dropping-particle":"","family":"Schile","given":"Lisa M.","non-dropping-particle":"","parse-names":false,"suffix":""},{"dropping-particle":"","family":"Kauffman","given":"J. Boone","non-dropping-particle":"","parse-names":false,"suffix":""},{"dropping-particle":"","family":"Crooks","given":"Stephen","non-dropping-particle":"","parse-names":false,"suffix":""},{"dropping-particle":"","family":"Fourqurean","given":"James W.","non-dropping-particle":"","parse-names":false,"suffix":""},{"dropping-particle":"","family":"Glavan","given":"Jane","non-dropping-particle":"","parse-names":false,"suffix":""},{"dropping-particle":"","family":"Megonigal","given":"J. Patrick","non-dropping-particle":"","parse-names":false,"suffix":""}],"container-title":"Ecological Applications","id":"ITEM-4","issue":"3","issued":{"date-parts":[["2017"]]},"page":"859-874","title":"Limits on carbon sequestration in arid blue carbon ecosystems","type":"article-journal","volume":"27"},"uris":["http://www.mendeley.com/documents/?uuid=c37893be-f79d-4cb3-b5d3-f043469db703"]}],"mendeley":{"formattedCitation":"(Alongi et al., 2003; Kauffman et al., 2020; Price et al., 1993; Schile et al., 2017)","plainTextFormattedCitation":"(Alongi et al., 2003; Kauffman et al., 2020; Price et al., 1993; Schile et al., 2017)","previouslyFormattedCitation":"(Alongi et al., 2003; Kauffman et al., 2020; Price et al., 1993; Schile et al., 2017)"},"properties":{"noteIndex":0},"schema":"https://github.com/citation-style-language/schema/raw/master/csl-citation.json"}</w:instrText>
      </w:r>
      <w:r>
        <w:rPr>
          <w:lang w:val="en-US"/>
        </w:rPr>
        <w:fldChar w:fldCharType="separate"/>
      </w:r>
      <w:r w:rsidRPr="007C2191">
        <w:rPr>
          <w:noProof/>
          <w:lang w:val="en-US"/>
        </w:rPr>
        <w:t>(Alongi et al., 2003; Kauffman et al., 2020; Price et al., 1993; Schile et al., 2017)</w:t>
      </w:r>
      <w:r>
        <w:rPr>
          <w:lang w:val="en-US"/>
        </w:rPr>
        <w:fldChar w:fldCharType="end"/>
      </w:r>
      <w:r w:rsidRPr="00DD4A7B">
        <w:rPr>
          <w:lang w:val="en-US"/>
        </w:rPr>
        <w:t>.</w:t>
      </w:r>
      <w:r>
        <w:rPr>
          <w:lang w:val="en-US"/>
        </w:rPr>
        <w:t xml:space="preserve"> Varying tolerances to salinity, aridity and inundation duration drive tree species zonation along environmental gradients ranging from near fully marine to fully terrestrial </w:t>
      </w:r>
      <w:r>
        <w:rPr>
          <w:lang w:val="en-US"/>
        </w:rPr>
        <w:fldChar w:fldCharType="begin" w:fldLock="1"/>
      </w:r>
      <w:r>
        <w:rPr>
          <w:lang w:val="en-US"/>
        </w:rPr>
        <w:instrText>ADDIN CSL_CITATION {"citationItems":[{"id":"ITEM-1","itemData":{"DOI":"10.1007/978-3-319-62206-4","ISBN":"9783319622064","abstract":"This book presents a comprehensive overview and analysis of mangrove ecological processes, structure, and function at the local, biogeographic, and global scales and how these properties interact to provide key ecosystem services to society. The analysis is based on an international collaborative effort that focuses on regions and countries holding the largest mangrove resources and encompasses the major biogeographic and socio-economic settings of mangrove distribution. Given the economic and ecological importance of mangrove wetlands at the global scale, the chapters aim to integrate ecological and socio-economic perspectives on mangrove function and management using a system-level hierarchical analysis framework. The book explores the nexus between mangrove ecology and the capacity for ecosystem services, with an emphasis on thresholds, multiple stressors, and local conditions that determine this capacity. The interdisciplinary approach and illustrative study cases included in the book will provide valuable resources in data, information, and knowledge about the current status of one of the most productive coastal ecosystem in the world.","author":[{"dropping-particle":"","family":"Rivera-Monroy","given":"Victor H.","non-dropping-particle":"","parse-names":false,"suffix":""},{"dropping-particle":"","family":"Kristensen","given":"Erik","non-dropping-particle":"","parse-names":false,"suffix":""},{"dropping-particle":"","family":"Lee","given":"Shing Yip","non-dropping-particle":"","parse-names":false,"suffix":""},{"dropping-particle":"","family":"Twilley","given":"Robert R.","non-dropping-particle":"","parse-names":false,"suffix":""}],"container-title":"Mangrove Ecosystems: A Global Biogeographic Perspective: Structure, Function, and Services","id":"ITEM-1","issued":{"date-parts":[["2017"]]},"number-of-pages":"1-399","title":"Mangrove ecosystems: A global biogeographic perspective: Structure, function, and services","type":"book"},"uris":["http://www.mendeley.com/documents/?uuid=d8d09413-2b9c-4296-af29-23d601faa038"]}],"mendeley":{"formattedCitation":"(Rivera-Monroy et al., 2017)","plainTextFormattedCitation":"(Rivera-Monroy et al., 2017)","previouslyFormattedCitation":"(Rivera-Monroy et al., 2017)"},"properties":{"noteIndex":0},"schema":"https://github.com/citation-style-language/schema/raw/master/csl-citation.json"}</w:instrText>
      </w:r>
      <w:r>
        <w:rPr>
          <w:lang w:val="en-US"/>
        </w:rPr>
        <w:fldChar w:fldCharType="separate"/>
      </w:r>
      <w:r w:rsidRPr="00D04273">
        <w:rPr>
          <w:noProof/>
          <w:lang w:val="en-US"/>
        </w:rPr>
        <w:t>(Rivera-Monroy et al., 2017)</w:t>
      </w:r>
      <w:r>
        <w:rPr>
          <w:lang w:val="en-US"/>
        </w:rPr>
        <w:fldChar w:fldCharType="end"/>
      </w:r>
      <w:r>
        <w:rPr>
          <w:lang w:val="en-US"/>
        </w:rPr>
        <w:t>.</w:t>
      </w:r>
    </w:p>
    <w:p w14:paraId="1667806C" w14:textId="77777777" w:rsidR="00FA0744" w:rsidRDefault="00FA0744" w:rsidP="00FA0744">
      <w:pPr>
        <w:spacing w:line="480" w:lineRule="auto"/>
        <w:rPr>
          <w:lang w:val="en-US"/>
        </w:rPr>
      </w:pPr>
    </w:p>
    <w:p w14:paraId="1BB6652F" w14:textId="77777777" w:rsidR="00FA0744" w:rsidRPr="00685912" w:rsidRDefault="00FA0744" w:rsidP="00FA0744">
      <w:pPr>
        <w:spacing w:line="480" w:lineRule="auto"/>
        <w:rPr>
          <w:lang w:val="en-US"/>
        </w:rPr>
      </w:pPr>
      <w:r>
        <w:rPr>
          <w:lang w:val="en-US"/>
        </w:rPr>
        <w:t xml:space="preserve">Current global mangrove cover estimates range from </w:t>
      </w:r>
      <w:r w:rsidRPr="00DD4A7B">
        <w:rPr>
          <w:lang w:val="en-US"/>
        </w:rPr>
        <w:t>83,000 km</w:t>
      </w:r>
      <w:r w:rsidRPr="00DD4A7B">
        <w:rPr>
          <w:vertAlign w:val="superscript"/>
          <w:lang w:val="en-US"/>
        </w:rPr>
        <w:t>2</w:t>
      </w:r>
      <w:r w:rsidRPr="00DD4A7B">
        <w:rPr>
          <w:lang w:val="en-US"/>
        </w:rPr>
        <w:t xml:space="preserve"> </w:t>
      </w:r>
      <w:r w:rsidRPr="00DD4A7B">
        <w:rPr>
          <w:lang w:val="en-US"/>
        </w:rPr>
        <w:fldChar w:fldCharType="begin" w:fldLock="1"/>
      </w:r>
      <w:r>
        <w:rPr>
          <w:lang w:val="en-US"/>
        </w:rPr>
        <w:instrText>ADDIN CSL_CITATION {"citationItems":[{"id":"ITEM-1","itemData":{"author":[{"dropping-particle":"","family":"Hamilton","given":"Stuart","non-dropping-particle":"","parse-names":false,"suffix":""},{"dropping-particle":"","family":"Casey","given":"Daniel","non-dropping-particle":"","parse-names":false,"suffix":""}],"container-title":"Global Ecology and Biogeography","id":"ITEM-1","issue":"6","issued":{"date-parts":[["2016"]]},"page":"729-738","title":"Creation of a high spatiotemporal resolution global database of continuous mangrove forest cover","type":"article-journal","volume":"25"},"uris":["http://www.mendeley.com/documents/?uuid=893008db-4f62-4c3e-95b0-18b063df5b92"]}],"mendeley":{"formattedCitation":"(Hamilton and Casey, 2016)","plainTextFormattedCitation":"(Hamilton and Casey, 2016)","previouslyFormattedCitation":"(Hamilton and Casey, 2016)"},"properties":{"noteIndex":0},"schema":"https://github.com/citation-style-language/schema/raw/master/csl-citation.json"}</w:instrText>
      </w:r>
      <w:r w:rsidRPr="00DD4A7B">
        <w:rPr>
          <w:lang w:val="en-US"/>
        </w:rPr>
        <w:fldChar w:fldCharType="separate"/>
      </w:r>
      <w:r w:rsidRPr="00DD4A7B">
        <w:rPr>
          <w:noProof/>
          <w:lang w:val="en-US"/>
        </w:rPr>
        <w:t>(Hamilton and Casey, 2016)</w:t>
      </w:r>
      <w:r w:rsidRPr="00DD4A7B">
        <w:rPr>
          <w:lang w:val="en-US"/>
        </w:rPr>
        <w:fldChar w:fldCharType="end"/>
      </w:r>
      <w:r w:rsidRPr="00DD4A7B">
        <w:rPr>
          <w:lang w:val="en-US"/>
        </w:rPr>
        <w:t xml:space="preserve"> </w:t>
      </w:r>
      <w:r>
        <w:rPr>
          <w:lang w:val="en-US"/>
        </w:rPr>
        <w:t>to 137,000km</w:t>
      </w:r>
      <w:r w:rsidRPr="00A914CB">
        <w:rPr>
          <w:vertAlign w:val="superscript"/>
          <w:lang w:val="en-US"/>
        </w:rPr>
        <w:t>2</w:t>
      </w:r>
      <w:r>
        <w:rPr>
          <w:lang w:val="en-US"/>
        </w:rPr>
        <w:t xml:space="preserve"> </w:t>
      </w:r>
      <w:r>
        <w:rPr>
          <w:lang w:val="en-US"/>
        </w:rPr>
        <w:fldChar w:fldCharType="begin" w:fldLock="1"/>
      </w:r>
      <w:r>
        <w:rPr>
          <w:lang w:val="en-US"/>
        </w:rPr>
        <w:instrText>ADDIN CSL_CITATION {"citationItems":[{"id":"ITEM-1","itemData":{"DOI":"10.1111/j.1466-8238.2010.00584.x","ISBN":"1466-822X","ISSN":"1466822X","abstract":"Aim Our scientific understanding of the extent and distribution of mangrove forests of the world is inadequate. The available global mangrove databases, com- piled using disparate geospatial data sources and national statistics, need to be improved.Here,we mapped the status and distributions of global mangroves using recently available Global Land Survey (GLS) data and the Landsat archive. Methods We interpreted approximately 1000 Landsat scenes using hybrid super- vised and unsupervised digital image classification techniques. Each image was normalized for variation in solar angle and earth–sun distance by converting the digital number values to the top-of-the-atmosphere reflectance.Ground truth data and existing maps and databases were used to select training samples and also for iterative labelling. Results were validated using existing GIS data and the published literature to map ‘true mangroves’. Results The total area of mangroves in the year 2000 was 137,760 km2 in 118 countries and territories in the tropical and subtropical regions of the world. Approximately 75% of world’s mangroves are found in just 15 countries, and only 6.9% are protected under the existing protected areas network (IUCN I-IV). Our study confirms earlier findings that the biogeographic distribution of mangroves is generally confined to the tropical and subtropical regions and the largest percentage of mangroves is found between 5° N and 5° S latitude. Main conclusions We report that the remaining area of mangrove forest in the world is less than previously thought. Our estimate is 12.3% smaller than the most recent estimate by the Food and Agriculture Organization (FAO) of the United Nations.We present the most comprehensive, globally consistent and highest resolution (30 m) global mangrove database ever created.We developed and used better mapping techniques and data sources and mapped mangroves with better spatial and thematic details than previous studies.","author":[{"dropping-particle":"","family":"Giri","given":"C.","non-dropping-particle":"","parse-names":false,"suffix":""},{"dropping-particle":"","family":"Ochieng","given":"E.","non-dropping-particle":"","parse-names":false,"suffix":""},{"dropping-particle":"","family":"Tieszen","given":"L. L.","non-dropping-particle":"","parse-names":false,"suffix":""},{"dropping-particle":"","family":"Zhu","given":"Z.","non-dropping-particle":"","parse-names":false,"suffix":""},{"dropping-particle":"","family":"Singh","given":"A.","non-dropping-particle":"","parse-names":false,"suffix":""},{"dropping-particle":"","family":"Loveland","given":"T.","non-dropping-particle":"","parse-names":false,"suffix":""},{"dropping-particle":"","family":"Masek","given":"J.","non-dropping-particle":"","parse-names":false,"suffix":""},{"dropping-particle":"","family":"Duke","given":"N.","non-dropping-particle":"","parse-names":false,"suffix":""}],"container-title":"Global Ecology and Biogeography","id":"ITEM-1","issue":"1","issued":{"date-parts":[["2011","1"]]},"page":"154-159","title":"Status and distribution of mangrove forests of the world using earth observation satellite data","type":"article-journal","volume":"20"},"uris":["http://www.mendeley.com/documents/?uuid=d12166ad-2257-38a1-8725-93fbc824ac73"]}],"mendeley":{"formattedCitation":"(Giri et al., 2011)","plainTextFormattedCitation":"(Giri et al., 2011)","previouslyFormattedCitation":"(Giri et al., 2011)"},"properties":{"noteIndex":0},"schema":"https://github.com/citation-style-language/schema/raw/master/csl-citation.json"}</w:instrText>
      </w:r>
      <w:r>
        <w:rPr>
          <w:lang w:val="en-US"/>
        </w:rPr>
        <w:fldChar w:fldCharType="separate"/>
      </w:r>
      <w:r w:rsidRPr="00F447D9">
        <w:rPr>
          <w:noProof/>
          <w:lang w:val="en-US"/>
        </w:rPr>
        <w:t>(Giri et al., 2011)</w:t>
      </w:r>
      <w:r>
        <w:rPr>
          <w:lang w:val="en-US"/>
        </w:rPr>
        <w:fldChar w:fldCharType="end"/>
      </w:r>
      <w:r>
        <w:rPr>
          <w:lang w:val="en-US"/>
        </w:rPr>
        <w:t xml:space="preserve"> and the majority of global mangroves are situated</w:t>
      </w:r>
      <w:r w:rsidRPr="00DD4A7B">
        <w:rPr>
          <w:lang w:val="en-US"/>
        </w:rPr>
        <w:t xml:space="preserve"> </w:t>
      </w:r>
      <w:r>
        <w:rPr>
          <w:lang w:val="en-US"/>
        </w:rPr>
        <w:t>within relatively few countries and regions. Globally, mangroves are found in 118 countries and a</w:t>
      </w:r>
      <w:r w:rsidRPr="00685912">
        <w:rPr>
          <w:lang w:val="en-US"/>
        </w:rPr>
        <w:t xml:space="preserve">pproximately </w:t>
      </w:r>
      <w:r>
        <w:rPr>
          <w:lang w:val="en-US"/>
        </w:rPr>
        <w:t xml:space="preserve">75% of those are found in the top 15 most mangrove rich countries. Indonesia alone houses over one-fifth of global mangroves </w:t>
      </w:r>
      <w:r>
        <w:rPr>
          <w:lang w:val="en-US"/>
        </w:rPr>
        <w:fldChar w:fldCharType="begin" w:fldLock="1"/>
      </w:r>
      <w:r>
        <w:rPr>
          <w:lang w:val="en-US"/>
        </w:rPr>
        <w:instrText>ADDIN CSL_CITATION {"citationItems":[{"id":"ITEM-1","itemData":{"DOI":"10.1111/j.1466-8238.2010.00584.x","ISBN":"1466-822X","ISSN":"1466822X","abstract":"Aim Our scientific understanding of the extent and distribution of mangrove forests of the world is inadequate. The available global mangrove databases, com- piled using disparate geospatial data sources and national statistics, need to be improved.Here,we mapped the status and distributions of global mangroves using recently available Global Land Survey (GLS) data and the Landsat archive. Methods We interpreted approximately 1000 Landsat scenes using hybrid super- vised and unsupervised digital image classification techniques. Each image was normalized for variation in solar angle and earth–sun distance by converting the digital number values to the top-of-the-atmosphere reflectance.Ground truth data and existing maps and databases were used to select training samples and also for iterative labelling. Results were validated using existing GIS data and the published literature to map ‘true mangroves’. Results The total area of mangroves in the year 2000 was 137,760 km2 in 118 countries and territories in the tropical and subtropical regions of the world. Approximately 75% of world’s mangroves are found in just 15 countries, and only 6.9% are protected under the existing protected areas network (IUCN I-IV). Our study confirms earlier findings that the biogeographic distribution of mangroves is generally confined to the tropical and subtropical regions and the largest percentage of mangroves is found between 5° N and 5° S latitude. Main conclusions We report that the remaining area of mangrove forest in the world is less than previously thought. Our estimate is 12.3% smaller than the most recent estimate by the Food and Agriculture Organization (FAO) of the United Nations.We present the most comprehensive, globally consistent and highest resolution (30 m) global mangrove database ever created.We developed and used better mapping techniques and data sources and mapped mangroves with better spatial and thematic details than previous studies.","author":[{"dropping-particle":"","family":"Giri","given":"C.","non-dropping-particle":"","parse-names":false,"suffix":""},{"dropping-particle":"","family":"Ochieng","given":"E.","non-dropping-particle":"","parse-names":false,"suffix":""},{"dropping-particle":"","family":"Tieszen","given":"L. L.","non-dropping-particle":"","parse-names":false,"suffix":""},{"dropping-particle":"","family":"Zhu","given":"Z.","non-dropping-particle":"","parse-names":false,"suffix":""},{"dropping-particle":"","family":"Singh","given":"A.","non-dropping-particle":"","parse-names":false,"suffix":""},{"dropping-particle":"","family":"Loveland","given":"T.","non-dropping-particle":"","parse-names":false,"suffix":""},{"dropping-particle":"","family":"Masek","given":"J.","non-dropping-particle":"","parse-names":false,"suffix":""},{"dropping-particle":"","family":"Duke","given":"N.","non-dropping-particle":"","parse-names":false,"suffix":""}],"container-title":"Global Ecology and Biogeography","id":"ITEM-1","issue":"1","issued":{"date-parts":[["2011","1"]]},"page":"154-159","title":"Status and distribution of mangrove forests of the world using earth observation satellite data","type":"article-journal","volume":"20"},"uris":["http://www.mendeley.com/documents/?uuid=d12166ad-2257-38a1-8725-93fbc824ac73"]}],"mendeley":{"formattedCitation":"(Giri et al., 2011)","plainTextFormattedCitation":"(Giri et al., 2011)","previouslyFormattedCitation":"(Giri et al., 2011)"},"properties":{"noteIndex":0},"schema":"https://github.com/citation-style-language/schema/raw/master/csl-citation.json"}</w:instrText>
      </w:r>
      <w:r>
        <w:rPr>
          <w:lang w:val="en-US"/>
        </w:rPr>
        <w:fldChar w:fldCharType="separate"/>
      </w:r>
      <w:r w:rsidRPr="00ED719A">
        <w:rPr>
          <w:noProof/>
          <w:lang w:val="en-US"/>
        </w:rPr>
        <w:t>(Giri et al., 2011)</w:t>
      </w:r>
      <w:r>
        <w:rPr>
          <w:lang w:val="en-US"/>
        </w:rPr>
        <w:fldChar w:fldCharType="end"/>
      </w:r>
      <w:r>
        <w:rPr>
          <w:lang w:val="en-US"/>
        </w:rPr>
        <w:t xml:space="preserve">. On a continental scale, &gt;40% of the world’s mangroves are located within Asia, while Africa (20%), North America (15%), Oceania (12%) and South America (11%) contain less than half of that in Asia </w:t>
      </w:r>
      <w:r>
        <w:rPr>
          <w:lang w:val="en-US"/>
        </w:rPr>
        <w:fldChar w:fldCharType="begin" w:fldLock="1"/>
      </w:r>
      <w:r>
        <w:rPr>
          <w:lang w:val="en-US"/>
        </w:rPr>
        <w:instrText>ADDIN CSL_CITATION {"citationItems":[{"id":"ITEM-1","itemData":{"DOI":"10.1111/j.1466-8238.2010.00584.x","ISBN":"1466-822X","ISSN":"1466822X","abstract":"Aim Our scientific understanding of the extent and distribution of mangrove forests of the world is inadequate. The available global mangrove databases, com- piled using disparate geospatial data sources and national statistics, need to be improved.Here,we mapped the status and distributions of global mangroves using recently available Global Land Survey (GLS) data and the Landsat archive. Methods We interpreted approximately 1000 Landsat scenes using hybrid super- vised and unsupervised digital image classification techniques. Each image was normalized for variation in solar angle and earth–sun distance by converting the digital number values to the top-of-the-atmosphere reflectance.Ground truth data and existing maps and databases were used to select training samples and also for iterative labelling. Results were validated using existing GIS data and the published literature to map ‘true mangroves’. Results The total area of mangroves in the year 2000 was 137,760 km2 in 118 countries and territories in the tropical and subtropical regions of the world. Approximately 75% of world’s mangroves are found in just 15 countries, and only 6.9% are protected under the existing protected areas network (IUCN I-IV). Our study confirms earlier findings that the biogeographic distribution of mangroves is generally confined to the tropical and subtropical regions and the largest percentage of mangroves is found between 5° N and 5° S latitude. Main conclusions We report that the remaining area of mangrove forest in the world is less than previously thought. Our estimate is 12.3% smaller than the most recent estimate by the Food and Agriculture Organization (FAO) of the United Nations.We present the most comprehensive, globally consistent and highest resolution (30 m) global mangrove database ever created.We developed and used better mapping techniques and data sources and mapped mangroves with better spatial and thematic details than previous studies.","author":[{"dropping-particle":"","family":"Giri","given":"C.","non-dropping-particle":"","parse-names":false,"suffix":""},{"dropping-particle":"","family":"Ochieng","given":"E.","non-dropping-particle":"","parse-names":false,"suffix":""},{"dropping-particle":"","family":"Tieszen","given":"L. L.","non-dropping-particle":"","parse-names":false,"suffix":""},{"dropping-particle":"","family":"Zhu","given":"Z.","non-dropping-particle":"","parse-names":false,"suffix":""},{"dropping-particle":"","family":"Singh","given":"A.","non-dropping-particle":"","parse-names":false,"suffix":""},{"dropping-particle":"","family":"Loveland","given":"T.","non-dropping-particle":"","parse-names":false,"suffix":""},{"dropping-particle":"","family":"Masek","given":"J.","non-dropping-particle":"","parse-names":false,"suffix":""},{"dropping-particle":"","family":"Duke","given":"N.","non-dropping-particle":"","parse-names":false,"suffix":""}],"container-title":"Global Ecology and Biogeography","id":"ITEM-1","issue":"1","issued":{"date-parts":[["2011","1"]]},"page":"154-159","title":"Status and distribution of mangrove forests of the world using earth observation satellite data","type":"article-journal","volume":"20"},"uris":["http://www.mendeley.com/documents/?uuid=d12166ad-2257-38a1-8725-93fbc824ac73"]}],"mendeley":{"formattedCitation":"(Giri et al., 2011)","plainTextFormattedCitation":"(Giri et al., 2011)","previouslyFormattedCitation":"(Giri et al., 2011)"},"properties":{"noteIndex":0},"schema":"https://github.com/citation-style-language/schema/raw/master/csl-citation.json"}</w:instrText>
      </w:r>
      <w:r>
        <w:rPr>
          <w:lang w:val="en-US"/>
        </w:rPr>
        <w:fldChar w:fldCharType="separate"/>
      </w:r>
      <w:r w:rsidRPr="00BE6930">
        <w:rPr>
          <w:noProof/>
          <w:lang w:val="en-US"/>
        </w:rPr>
        <w:t>(Giri et al., 2011)</w:t>
      </w:r>
      <w:r>
        <w:rPr>
          <w:lang w:val="en-US"/>
        </w:rPr>
        <w:fldChar w:fldCharType="end"/>
      </w:r>
      <w:r>
        <w:rPr>
          <w:lang w:val="en-US"/>
        </w:rPr>
        <w:t>.</w:t>
      </w:r>
    </w:p>
    <w:p w14:paraId="3F548D86" w14:textId="77777777" w:rsidR="00FA0744" w:rsidRDefault="00FA0744" w:rsidP="00FA0744">
      <w:pPr>
        <w:spacing w:line="480" w:lineRule="auto"/>
        <w:rPr>
          <w:lang w:val="en-US"/>
        </w:rPr>
      </w:pPr>
    </w:p>
    <w:p w14:paraId="2EB3AFD9" w14:textId="5DC82A19" w:rsidR="00FA0744" w:rsidRDefault="00196A1F" w:rsidP="00FA0744">
      <w:pPr>
        <w:spacing w:line="480" w:lineRule="auto"/>
        <w:rPr>
          <w:lang w:val="en-US"/>
        </w:rPr>
      </w:pPr>
      <w:r>
        <w:rPr>
          <w:noProof/>
          <w:lang w:val="en-US"/>
        </w:rPr>
        <w:lastRenderedPageBreak/>
        <w:drawing>
          <wp:inline distT="0" distB="0" distL="0" distR="0" wp14:anchorId="1DCD788E" wp14:editId="4EDBF384">
            <wp:extent cx="5933872" cy="209585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021556" cy="2126825"/>
                    </a:xfrm>
                    <a:prstGeom prst="rect">
                      <a:avLst/>
                    </a:prstGeom>
                  </pic:spPr>
                </pic:pic>
              </a:graphicData>
            </a:graphic>
          </wp:inline>
        </w:drawing>
      </w:r>
    </w:p>
    <w:p w14:paraId="3E6DE276" w14:textId="6EC209AC" w:rsidR="00FA0744" w:rsidRPr="00856EEA" w:rsidRDefault="00FA0744" w:rsidP="00FA0744">
      <w:pPr>
        <w:spacing w:line="480" w:lineRule="auto"/>
        <w:rPr>
          <w:b/>
          <w:bCs/>
          <w:sz w:val="20"/>
          <w:szCs w:val="20"/>
          <w:lang w:val="en-US"/>
        </w:rPr>
      </w:pPr>
      <w:r w:rsidRPr="00856EEA">
        <w:rPr>
          <w:b/>
          <w:bCs/>
          <w:sz w:val="20"/>
          <w:szCs w:val="20"/>
          <w:lang w:val="en-US"/>
        </w:rPr>
        <w:t xml:space="preserve">Figure </w:t>
      </w:r>
      <w:r>
        <w:rPr>
          <w:b/>
          <w:bCs/>
          <w:sz w:val="20"/>
          <w:szCs w:val="20"/>
          <w:lang w:val="en-US"/>
        </w:rPr>
        <w:t>1.</w:t>
      </w:r>
      <w:r w:rsidRPr="00856EEA">
        <w:rPr>
          <w:b/>
          <w:bCs/>
          <w:sz w:val="20"/>
          <w:szCs w:val="20"/>
          <w:lang w:val="en-US"/>
        </w:rPr>
        <w:t>1: Global mangrove distribution</w:t>
      </w:r>
      <w:r w:rsidR="003334E5">
        <w:rPr>
          <w:b/>
          <w:bCs/>
          <w:sz w:val="20"/>
          <w:szCs w:val="20"/>
          <w:lang w:val="en-US"/>
        </w:rPr>
        <w:t xml:space="preserve">, </w:t>
      </w:r>
      <w:r w:rsidR="00810C30">
        <w:rPr>
          <w:b/>
          <w:bCs/>
          <w:sz w:val="20"/>
          <w:szCs w:val="20"/>
          <w:lang w:val="en-US"/>
        </w:rPr>
        <w:t xml:space="preserve">mangrove presence </w:t>
      </w:r>
      <w:r w:rsidR="003334E5">
        <w:rPr>
          <w:b/>
          <w:bCs/>
          <w:sz w:val="20"/>
          <w:szCs w:val="20"/>
          <w:lang w:val="en-US"/>
        </w:rPr>
        <w:t xml:space="preserve">data were taken from </w:t>
      </w:r>
      <w:proofErr w:type="spellStart"/>
      <w:r w:rsidR="003334E5">
        <w:rPr>
          <w:b/>
          <w:bCs/>
          <w:sz w:val="20"/>
          <w:szCs w:val="20"/>
          <w:lang w:val="en-US"/>
        </w:rPr>
        <w:t>Giri</w:t>
      </w:r>
      <w:proofErr w:type="spellEnd"/>
      <w:r w:rsidR="003334E5">
        <w:rPr>
          <w:b/>
          <w:bCs/>
          <w:sz w:val="20"/>
          <w:szCs w:val="20"/>
          <w:lang w:val="en-US"/>
        </w:rPr>
        <w:t xml:space="preserve"> et al. (2011).</w:t>
      </w:r>
    </w:p>
    <w:p w14:paraId="18959F69" w14:textId="77777777" w:rsidR="00FA0744" w:rsidRPr="00685912" w:rsidRDefault="00FA0744" w:rsidP="00FA0744">
      <w:pPr>
        <w:spacing w:line="480" w:lineRule="auto"/>
        <w:rPr>
          <w:lang w:val="en-US"/>
        </w:rPr>
      </w:pPr>
    </w:p>
    <w:p w14:paraId="3F11511E" w14:textId="77777777" w:rsidR="00FA0744" w:rsidRPr="00BD6F05" w:rsidRDefault="00FA0744" w:rsidP="00FA0744">
      <w:pPr>
        <w:spacing w:line="480" w:lineRule="auto"/>
        <w:rPr>
          <w:lang w:val="en-US"/>
        </w:rPr>
      </w:pPr>
      <w:r>
        <w:rPr>
          <w:lang w:val="en-US"/>
        </w:rPr>
        <w:t>Variation in m</w:t>
      </w:r>
      <w:r w:rsidRPr="00BD6F05">
        <w:rPr>
          <w:lang w:val="en-US"/>
        </w:rPr>
        <w:t xml:space="preserve">angrove area and biomass </w:t>
      </w:r>
      <w:r>
        <w:rPr>
          <w:lang w:val="en-US"/>
        </w:rPr>
        <w:t xml:space="preserve">follows that of terrestrial forests as </w:t>
      </w:r>
      <w:r w:rsidRPr="00BD6F05">
        <w:rPr>
          <w:lang w:val="en-US"/>
        </w:rPr>
        <w:t xml:space="preserve">both decrease with increasing latitude </w:t>
      </w:r>
      <w:r w:rsidRPr="00BD6F05">
        <w:rPr>
          <w:lang w:val="en-US"/>
        </w:rPr>
        <w:fldChar w:fldCharType="begin" w:fldLock="1"/>
      </w:r>
      <w:r w:rsidRPr="00BD6F05">
        <w:rPr>
          <w:lang w:val="en-US"/>
        </w:rPr>
        <w:instrText>ADDIN CSL_CITATION {"citationItems":[{"id":"ITEM-1","itemData":{"DOI":"10.1111/j.1466-8238.2010.00584.x","ISBN":"1466-822X","ISSN":"1466822X","abstract":"Aim Our scientific understanding of the extent and distribution of mangrove forests of the world is inadequate. The available global mangrove databases, com- piled using disparate geospatial data sources and national statistics, need to be improved.Here,we mapped the status and distributions of global mangroves using recently available Global Land Survey (GLS) data and the Landsat archive. Methods We interpreted approximately 1000 Landsat scenes using hybrid super- vised and unsupervised digital image classification techniques. Each image was normalized for variation in solar angle and earth–sun distance by converting the digital number values to the top-of-the-atmosphere reflectance.Ground truth data and existing maps and databases were used to select training samples and also for iterative labelling. Results were validated using existing GIS data and the published literature to map ‘true mangroves’. Results The total area of mangroves in the year 2000 was 137,760 km2 in 118 countries and territories in the tropical and subtropical regions of the world. Approximately 75% of world’s mangroves are found in just 15 countries, and only 6.9% are protected under the existing protected areas network (IUCN I-IV). Our study confirms earlier findings that the biogeographic distribution of mangroves is generally confined to the tropical and subtropical regions and the largest percentage of mangroves is found between 5° N and 5° S latitude. Main conclusions We report that the remaining area of mangrove forest in the world is less than previously thought. Our estimate is 12.3% smaller than the most recent estimate by the Food and Agriculture Organization (FAO) of the United Nations.We present the most comprehensive, globally consistent and highest resolution (30 m) global mangrove database ever created.We developed and used better mapping techniques and data sources and mapped mangroves with better spatial and thematic details than previous studies.","author":[{"dropping-particle":"","family":"Giri","given":"C.","non-dropping-particle":"","parse-names":false,"suffix":""},{"dropping-particle":"","family":"Ochieng","given":"E.","non-dropping-particle":"","parse-names":false,"suffix":""},{"dropping-particle":"","family":"Tieszen","given":"L. L.","non-dropping-particle":"","parse-names":false,"suffix":""},{"dropping-particle":"","family":"Zhu","given":"Z.","non-dropping-particle":"","parse-names":false,"suffix":""},{"dropping-particle":"","family":"Singh","given":"A.","non-dropping-particle":"","parse-names":false,"suffix":""},{"dropping-particle":"","family":"Loveland","given":"T.","non-dropping-particle":"","parse-names":false,"suffix":""},{"dropping-particle":"","family":"Masek","given":"J.","non-dropping-particle":"","parse-names":false,"suffix":""},{"dropping-particle":"","family":"Duke","given":"N.","non-dropping-particle":"","parse-names":false,"suffix":""}],"container-title":"Global Ecology and Biogeography","id":"ITEM-1","issue":"1","issued":{"date-parts":[["2011","1"]]},"page":"154-159","title":"Status and distribution of mangrove forests of the world using earth observation satellite data","type":"article-journal","volume":"20"},"uris":["http://www.mendeley.com/documents/?uuid=d12166ad-2257-38a1-8725-93fbc824ac73"]},{"id":"ITEM-2","itemData":{"DOI":"10.1111/conl.12060","ISBN":"1755-263X","ISSN":"1755263X","abstract":"Understanding spatial variation in carbon storage in natural habitats is critical for climate change mitigation efforts such as REDD. Terrestrial forests are being mapped with increasing accuracy, but the distribution of ``blue carbon'' in marine ecosystems remains poorly understood. We reviewed the literature to obtain field data on carbon storage and fluxes in mangroves world-wide. Using this material we developed a climate-based model for potential mangrove above-ground biomass (AGB) with almost four times the explanatory power of the only previous published model. From this model, we present the first ever global map of potential mangrove AGB and estimate a total global mangrove AGB of 2.83 Pg, with an average of 184.8 t ha−1. Data on other carbon stocks and fluxes confirm the importance of mangroves in carbon accounting. The map highlights the high variability in mangrove AGB and indicates areas that should be prioritised for mangrove conservation and restoration.","author":[{"dropping-particle":"","family":"Hutchison","given":"James","non-dropping-particle":"","parse-names":false,"suffix":""},{"dropping-particle":"","family":"Manica","given":"Andrea","non-dropping-particle":"","parse-names":false,"suffix":""},{"dropping-particle":"","family":"Swetnam","given":"Ruth","non-dropping-particle":"","parse-names":false,"suffix":""},{"dropping-particle":"","family":"Balmford","given":"Andrew","non-dropping-particle":"","parse-names":false,"suffix":""},{"dropping-particle":"","family":"Spalding","given":"Mark","non-dropping-particle":"","parse-names":false,"suffix":""}],"container-title":"Conservation Letters","id":"ITEM-2","issue":"3","issued":{"date-parts":[["2014","5"]]},"page":"233-240","title":"Predicting global patterns in mangrove forest biomass","type":"article-journal","volume":"7"},"uris":["http://www.mendeley.com/documents/?uuid=c0cc1011-f931-3578-8f2c-56c7f7c458c6"]}],"mendeley":{"formattedCitation":"(Giri et al., 2011; Hutchison et al., 2014)","plainTextFormattedCitation":"(Giri et al., 2011; Hutchison et al., 2014)","previouslyFormattedCitation":"(Giri et al., 2011; Hutchison et al., 2014)"},"properties":{"noteIndex":0},"schema":"https://github.com/citation-style-language/schema/raw/master/csl-citation.json"}</w:instrText>
      </w:r>
      <w:r w:rsidRPr="00BD6F05">
        <w:rPr>
          <w:lang w:val="en-US"/>
        </w:rPr>
        <w:fldChar w:fldCharType="separate"/>
      </w:r>
      <w:r w:rsidRPr="00BD6F05">
        <w:rPr>
          <w:noProof/>
          <w:lang w:val="en-US"/>
        </w:rPr>
        <w:t>(Giri et al., 2011; Hutchison et al., 2014)</w:t>
      </w:r>
      <w:r w:rsidRPr="00BD6F05">
        <w:rPr>
          <w:lang w:val="en-US"/>
        </w:rPr>
        <w:fldChar w:fldCharType="end"/>
      </w:r>
      <w:r w:rsidRPr="00BD6F05">
        <w:rPr>
          <w:lang w:val="en-US"/>
        </w:rPr>
        <w:t>.</w:t>
      </w:r>
      <w:r>
        <w:rPr>
          <w:lang w:val="en-US"/>
        </w:rPr>
        <w:t xml:space="preserve"> Regional scale variations in mangrove biomass and coverage are largely driven by large scale temperature and precipitation regimes </w:t>
      </w:r>
      <w:r>
        <w:rPr>
          <w:lang w:val="en-US"/>
        </w:rPr>
        <w:fldChar w:fldCharType="begin" w:fldLock="1"/>
      </w:r>
      <w:r>
        <w:rPr>
          <w:lang w:val="en-US"/>
        </w:rPr>
        <w:instrText>ADDIN CSL_CITATION {"citationItems":[{"id":"ITEM-1","itemData":{"DOI":"10.1002/2016JG003510","ISBN":"2169-9291","ISSN":"21698961","PMID":"26213675","abstract":"Mangrove forests produce significant amounts of organic carbon and maintain large carbon stocks in tidally inundated, anoxic soils. This work analyses new and published data from 17 regions spanning a latitudinal gradient from 22°N to 38°S to assess some of the global drivers (temperature, tidal range, latitude and rainfall) of mangrove carbon stocks. Mangrove forests from the tropics have larger carbon stocks (895 ± 90 t C ha−1) than the subtropics and temperate regions (547 ± 66 t C ha−1). A multiple regression model showed that 86% of the observed variability is associated with annual rainfall, which is the best predictor of mangrove ecosystem carbon stocks. Therefore a predicted increase in rainfall along the tropical Indo-Pacific may increase mangrove forest carbon stocks. However, there are other potentially important factors that may regulate organic matter diagenesis, such as nutrient availability porewater salinity. Our predictive model shows that if mangrove deforestation is halted, global mangrove forest carbon stocks could increase by almost 10% by 2115 as a result of increased rain in the tropics.","author":[{"dropping-particle":"","family":"Sanders","given":"Christian J.","non-dropping-particle":"","parse-names":false,"suffix":""},{"dropping-particle":"","family":"Maher","given":"Damien T.","non-dropping-particle":"","parse-names":false,"suffix":""},{"dropping-particle":"","family":"Tait","given":"Douglas R.","non-dropping-particle":"","parse-names":false,"suffix":""},{"dropping-particle":"","family":"Williams","given":"Darren","non-dropping-particle":"","parse-names":false,"suffix":""},{"dropping-particle":"","family":"Holloway","given":"Ceylena","non-dropping-particle":"","parse-names":false,"suffix":""},{"dropping-particle":"","family":"Sippo","given":"James Z.","non-dropping-particle":"","parse-names":false,"suffix":""},{"dropping-particle":"","family":"Santos","given":"Isaac R.","non-dropping-particle":"","parse-names":false,"suffix":""}],"container-title":"Journal of Geophysical Research: Biogeosciences","id":"ITEM-1","issue":"10","issued":{"date-parts":[["2016"]]},"page":"2600-2609","title":"Are global mangrove carbon stocks driven by rainfall?","type":"article-journal","volume":"121"},"uris":["http://www.mendeley.com/documents/?uuid=a73b1913-9e67-3871-83dd-83b904763801"]},{"id":"ITEM-2","itemData":{"DOI":"10.1002/ecs2.2841","ISSN":"21508925","abstract":"Mangroves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-2","issue":"8","issued":{"date-parts":[["2019","8","22"]]},"publisher":"John Wiley &amp; Sons, Ltd","title":"Spatial variability of mangrove primary productivity in the neotropics","type":"article-journal","volume":"10"},"uris":["http://www.mendeley.com/documents/?uuid=e62cba23-c956-306d-a48f-a25ddc004d7f"]}],"mendeley":{"formattedCitation":"(Ribeiro et al., 2019; Sanders et al., 2016)","plainTextFormattedCitation":"(Ribeiro et al., 2019; Sanders et al., 2016)","previouslyFormattedCitation":"(Ribeiro et al., 2019; Sanders et al., 2016)"},"properties":{"noteIndex":0},"schema":"https://github.com/citation-style-language/schema/raw/master/csl-citation.json"}</w:instrText>
      </w:r>
      <w:r>
        <w:rPr>
          <w:lang w:val="en-US"/>
        </w:rPr>
        <w:fldChar w:fldCharType="separate"/>
      </w:r>
      <w:r w:rsidRPr="00172465">
        <w:rPr>
          <w:noProof/>
          <w:lang w:val="en-US"/>
        </w:rPr>
        <w:t>(Ribeiro et al., 2019; Sanders et al., 2016)</w:t>
      </w:r>
      <w:r>
        <w:rPr>
          <w:lang w:val="en-US"/>
        </w:rPr>
        <w:fldChar w:fldCharType="end"/>
      </w:r>
      <w:r>
        <w:rPr>
          <w:lang w:val="en-US"/>
        </w:rPr>
        <w:t>. Generally, t</w:t>
      </w:r>
      <w:r w:rsidRPr="009F1791">
        <w:rPr>
          <w:lang w:val="en-US"/>
        </w:rPr>
        <w:t xml:space="preserve">heir global distribution is </w:t>
      </w:r>
      <w:r>
        <w:rPr>
          <w:lang w:val="en-US"/>
        </w:rPr>
        <w:t xml:space="preserve">constrained </w:t>
      </w:r>
      <w:r w:rsidRPr="009F1791">
        <w:rPr>
          <w:lang w:val="en-US"/>
        </w:rPr>
        <w:t>by</w:t>
      </w:r>
      <w:r>
        <w:rPr>
          <w:lang w:val="en-US"/>
        </w:rPr>
        <w:t xml:space="preserve"> </w:t>
      </w:r>
      <w:r w:rsidRPr="009F1791">
        <w:rPr>
          <w:lang w:val="en-US"/>
        </w:rPr>
        <w:t xml:space="preserve">major ocean currents and </w:t>
      </w:r>
      <w:r>
        <w:rPr>
          <w:lang w:val="en-US"/>
        </w:rPr>
        <w:t>colder winter sea surface temperatures below ~</w:t>
      </w:r>
      <w:r w:rsidRPr="009F1791">
        <w:rPr>
          <w:lang w:val="en-US"/>
        </w:rPr>
        <w:t>20°C</w:t>
      </w:r>
      <w:r>
        <w:rPr>
          <w:lang w:val="en-US"/>
        </w:rPr>
        <w:t xml:space="preserve"> </w:t>
      </w:r>
      <w:r>
        <w:rPr>
          <w:lang w:val="en-US"/>
        </w:rPr>
        <w:fldChar w:fldCharType="begin" w:fldLock="1"/>
      </w:r>
      <w:r>
        <w:rPr>
          <w:lang w:val="en-US"/>
        </w:rPr>
        <w:instrText>ADDIN CSL_CITATION {"citationItems":[{"id":"ITEM-1","itemData":{"DOI":"10.1007/978-1-4020-4271-3","ISBN":"9781402042706","abstract":"Despite their importance in sustaining livelihoods for many people living along some of the world's most populous coastlines, tropical mangrove forests are disappearing at an alarming rate. Occupying a crucial place between land and sea, these tidal ecosystems provide a valuable ecological and economic resource as important nursery grounds and breeding sites for many organisms, and as a renewable source of wood and traditional foods and medicines. Perhaps most importantly, they are accumulation sites for sediment, contaminants, carbon and nutrients, and offer significant protection against coastal erosion. This book presents a functional overview of mangrove forest ecosystems; how they live and grow at the edge of tropical seas, how they play a critical role along most of the world's tropical coasts, and how their future might look in a world affected by climate change. Such a process-oriented approach is necessary in order to further understand the role of these dynamic forests in ecosystem function, and as a first step towards developing adequate strategies for their conservation and sustainable use and management. The book will provide a valuable resource for researchers in mangrove ecology as well as reference for resource managers. © 2009 Springer Science + Business Media B.V.","author":[{"dropping-particle":"","family":"Alongi","given":"Daniel M.","non-dropping-particle":"","parse-names":false,"suffix":""}],"container-title":"The Energetics of Mangrove Forests","id":"ITEM-1","issued":{"date-parts":[["2009"]]},"number-of-pages":"1-216","publisher":"Springer Science &amp; Business Media","publisher-place":"New York","title":"The energetics of mangrove forests","type":"book"},"uris":["http://www.mendeley.com/documents/?uuid=cbb1df17-e857-4abd-95d9-5dd9e7b78cbc"]}],"mendeley":{"formattedCitation":"(Alongi, 2009)","plainTextFormattedCitation":"(Alongi, 2009)","previouslyFormattedCitation":"(Alongi, 2009)"},"properties":{"noteIndex":0},"schema":"https://github.com/citation-style-language/schema/raw/master/csl-citation.json"}</w:instrText>
      </w:r>
      <w:r>
        <w:rPr>
          <w:lang w:val="en-US"/>
        </w:rPr>
        <w:fldChar w:fldCharType="separate"/>
      </w:r>
      <w:r w:rsidRPr="00D90395">
        <w:rPr>
          <w:noProof/>
          <w:lang w:val="en-US"/>
        </w:rPr>
        <w:t>(Alongi, 2009)</w:t>
      </w:r>
      <w:r>
        <w:rPr>
          <w:lang w:val="en-US"/>
        </w:rPr>
        <w:fldChar w:fldCharType="end"/>
      </w:r>
      <w:r>
        <w:rPr>
          <w:lang w:val="en-US"/>
        </w:rPr>
        <w:t>. H</w:t>
      </w:r>
      <w:r w:rsidRPr="00F96AAB">
        <w:rPr>
          <w:lang w:val="en-US"/>
        </w:rPr>
        <w:t xml:space="preserve">umid tropical regions are associated with </w:t>
      </w:r>
      <w:r>
        <w:rPr>
          <w:lang w:val="en-US"/>
        </w:rPr>
        <w:t>the highest levels of</w:t>
      </w:r>
      <w:r w:rsidRPr="00F96AAB">
        <w:rPr>
          <w:lang w:val="en-US"/>
        </w:rPr>
        <w:t xml:space="preserve"> mangrove biomass and productivity </w:t>
      </w:r>
      <w:r w:rsidRPr="00F96AAB">
        <w:rPr>
          <w:lang w:val="en-US"/>
        </w:rPr>
        <w:fldChar w:fldCharType="begin" w:fldLock="1"/>
      </w:r>
      <w:r w:rsidRPr="00F96AAB">
        <w:rPr>
          <w:lang w:val="en-US"/>
        </w:rPr>
        <w:instrText>ADDIN CSL_CITATION {"citationItems":[{"id":"ITEM-1","itemData":{"DOI":"10.1007/978-3-319-62206-4_5","ISBN":"9783319622064","abstract":"This chapter focuses on the net primary productivity and carbon (C) dynamics of mangrove wetlands as related to the potential to sequester atmospheric C in above- and belowground biomass and in the soil. We discuss the large variation in ecosystem properties across different coastal environmental settings and pay particular attention to global patterns of these ecosystem processes comparing the Atlantic-East-Pacific and Indo-West-Pacific biogeographic regions. Deltaic coasts have higher aboveground biomass (AGB) compared to other continental settings, but the highest average AGB was found in high oceanic islands. The global average rates of litter fall (NPPL) and (NPPW) wood production are about 6 t ha-1 yr-1 for aboveground net primary productivity (NPPA) of about 12 t ha-1 yr-1. The relative contribution of belowground allocation to soil C storage and wood production to total net primary productivity (NPPT) in mangrove wetlands has significant implications to net C exchange in these coastal forested wetlands. Examples are given to demonstrate that net ecosystem production (NEP) and net ecosystem carbon exchange for mangrove wetlands have implications to the debate on how coastal ecosystems influence the global C budget. Wood production is about 600 g dry mass m yr or about 300 gC m-2 yr-1. The average C sequestration in mangroves soils org(∆Sorg) is about 224 gC m yr. The sum of these two measures (NPPW + ∆Sorg) is an estimate of NEP at about 525 gC m-2 yr-1. A general conclusion based on these different approaches, and reviewing the existing global literature, is that NEP accumulates about 500 gC m-2 yr-1, equally distributed between wood production and soil C accumulation. The importance of above and belowground contributions to global estimates of C sequestration above- and belowground reinforces the need for a better understanding of biomass allocation in these systems. The net tidal exchange of inorganic and organic carbon is about 400 gC m-2 yr-1 with nearly equal distribution in these forms of carbon to coastal waters. It is not clear how the fate of this material may influence net carbon exchange in the coastal zone, which is a very active area of research. We also suggest that more information is needed on how the disturbance of mangrove wetlands, including their recovery, may influence net carbon flux in the coastal zone.","author":[{"dropping-particle":"","family":"Twilley","given":"Robert R.","non-dropping-particle":"","parse-names":false,"suffix":""},{"dropping-particle":"","family":"Castañeda-Moya","given":"Edward","non-dropping-particle":"","parse-names":false,"suffix":""},{"dropping-particle":"","family":"Rivera-Monroy","given":"Victor H.","non-dropping-particle":"","parse-names":false,"suffix":""},{"dropping-particle":"","family":"Rovai","given":"Andre","non-dropping-particle":"","parse-names":false,"suffix":""}],"container-title":"Mangrove Ecosystems: A Global Biogeographic Perspective: Structure, Function, and Services","id":"ITEM-1","issued":{"date-parts":[["2017"]]},"page":"113-162","title":"Productivity and carbon dynamics in mangrove wetlands","type":"chapter"},"uris":["http://www.mendeley.com/documents/?uuid=558d75c5-5721-4921-a5a0-772b73ae4589"]}],"mendeley":{"formattedCitation":"(Twilley et al., 2017)","plainTextFormattedCitation":"(Twilley et al., 2017)","previouslyFormattedCitation":"(Twilley et al., 2017)"},"properties":{"noteIndex":0},"schema":"https://github.com/citation-style-language/schema/raw/master/csl-citation.json"}</w:instrText>
      </w:r>
      <w:r w:rsidRPr="00F96AAB">
        <w:rPr>
          <w:lang w:val="en-US"/>
        </w:rPr>
        <w:fldChar w:fldCharType="separate"/>
      </w:r>
      <w:r w:rsidRPr="00F96AAB">
        <w:rPr>
          <w:noProof/>
          <w:lang w:val="en-US"/>
        </w:rPr>
        <w:t>(Twilley et al., 2017)</w:t>
      </w:r>
      <w:r w:rsidRPr="00F96AAB">
        <w:rPr>
          <w:lang w:val="en-US"/>
        </w:rPr>
        <w:fldChar w:fldCharType="end"/>
      </w:r>
      <w:r w:rsidRPr="00F96AAB">
        <w:rPr>
          <w:lang w:val="en-US"/>
        </w:rPr>
        <w:t>.</w:t>
      </w:r>
      <w:r>
        <w:rPr>
          <w:lang w:val="en-US"/>
        </w:rPr>
        <w:t xml:space="preserve"> Aboveground biomass estimates from the tropics range from 160 to &gt;300 Mg ha</w:t>
      </w:r>
      <w:r w:rsidRPr="00380946">
        <w:rPr>
          <w:vertAlign w:val="superscript"/>
          <w:lang w:val="en-US"/>
        </w:rPr>
        <w:t>-1</w:t>
      </w:r>
      <w:r>
        <w:rPr>
          <w:lang w:val="en-US"/>
        </w:rPr>
        <w:t>, which is in contrast to &lt;100 Mg ha</w:t>
      </w:r>
      <w:r w:rsidRPr="00670448">
        <w:rPr>
          <w:vertAlign w:val="superscript"/>
          <w:lang w:val="en-US"/>
        </w:rPr>
        <w:t>-1</w:t>
      </w:r>
      <w:r>
        <w:rPr>
          <w:lang w:val="en-US"/>
        </w:rPr>
        <w:t xml:space="preserve"> at the arid extremities of global mangrove distribution, such as in western Mexico, the Arabian/Persian Gulf (hereafter referred to as “The Gulf”) and southern Australia </w:t>
      </w:r>
      <w:r>
        <w:rPr>
          <w:lang w:val="en-US"/>
        </w:rPr>
        <w:fldChar w:fldCharType="begin" w:fldLock="1"/>
      </w:r>
      <w:r>
        <w:rPr>
          <w:lang w:val="en-US"/>
        </w:rPr>
        <w:instrText>ADDIN CSL_CITATION {"citationItems":[{"id":"ITEM-1","itemData":{"DOI":"10.1111/conl.12060","ISBN":"1755-263X","ISSN":"1755263X","abstract":"Understanding spatial variation in carbon storage in natural habitats is critical for climate change mitigation efforts such as REDD. Terrestrial forests are being mapped with increasing accuracy, but the distribution of ``blue carbon'' in marine ecosystems remains poorly understood. We reviewed the literature to obtain field data on carbon storage and fluxes in mangroves world-wide. Using this material we developed a climate-based model for potential mangrove above-ground biomass (AGB) with almost four times the explanatory power of the only previous published model. From this model, we present the first ever global map of potential mangrove AGB and estimate a total global mangrove AGB of 2.83 Pg, with an average of 184.8 t ha−1. Data on other carbon stocks and fluxes confirm the importance of mangroves in carbon accounting. The map highlights the high variability in mangrove AGB and indicates areas that should be prioritised for mangrove conservation and restoration.","author":[{"dropping-particle":"","family":"Hutchison","given":"James","non-dropping-particle":"","parse-names":false,"suffix":""},{"dropping-particle":"","family":"Manica","given":"Andrea","non-dropping-particle":"","parse-names":false,"suffix":""},{"dropping-particle":"","family":"Swetnam","given":"Ruth","non-dropping-particle":"","parse-names":false,"suffix":""},{"dropping-particle":"","family":"Balmford","given":"Andrew","non-dropping-particle":"","parse-names":false,"suffix":""},{"dropping-particle":"","family":"Spalding","given":"Mark","non-dropping-particle":"","parse-names":false,"suffix":""}],"container-title":"Conservation Letters","id":"ITEM-1","issue":"3","issued":{"date-parts":[["2014","5"]]},"page":"233-240","title":"Predicting global patterns in mangrove forest biomass","type":"article-journal","volume":"7"},"uris":["http://www.mendeley.com/documents/?uuid=c0cc1011-f931-3578-8f2c-56c7f7c458c6"]}],"mendeley":{"formattedCitation":"(Hutchison et al., 2014)","plainTextFormattedCitation":"(Hutchison et al., 2014)","previouslyFormattedCitation":"(Hutchison et al., 2014)"},"properties":{"noteIndex":0},"schema":"https://github.com/citation-style-language/schema/raw/master/csl-citation.json"}</w:instrText>
      </w:r>
      <w:r>
        <w:rPr>
          <w:lang w:val="en-US"/>
        </w:rPr>
        <w:fldChar w:fldCharType="separate"/>
      </w:r>
      <w:r w:rsidRPr="00BC2F3A">
        <w:rPr>
          <w:noProof/>
          <w:lang w:val="en-US"/>
        </w:rPr>
        <w:t>(Hutchison et al., 2014)</w:t>
      </w:r>
      <w:r>
        <w:rPr>
          <w:lang w:val="en-US"/>
        </w:rPr>
        <w:fldChar w:fldCharType="end"/>
      </w:r>
      <w:r>
        <w:rPr>
          <w:lang w:val="en-US"/>
        </w:rPr>
        <w:t>. Freeze events have been shown to constrain tree biomass</w:t>
      </w:r>
      <w:r w:rsidRPr="00B011F2">
        <w:rPr>
          <w:lang w:val="en-US"/>
        </w:rPr>
        <w:t xml:space="preserve"> </w:t>
      </w:r>
      <w:r>
        <w:rPr>
          <w:lang w:val="en-US"/>
        </w:rPr>
        <w:t xml:space="preserve">and increase mortality </w:t>
      </w:r>
      <w:r w:rsidRPr="00B011F2">
        <w:rPr>
          <w:lang w:val="en-US"/>
        </w:rPr>
        <w:fldChar w:fldCharType="begin" w:fldLock="1"/>
      </w:r>
      <w:r>
        <w:rPr>
          <w:lang w:val="en-US"/>
        </w:rPr>
        <w:instrText>ADDIN CSL_CITATION {"citationItems":[{"id":"ITEM-1","itemData":{"DOI":"10.1111/ddi.13119","author":[{"dropping-particle":"","family":"Osland","given":"MJ","non-dropping-particle":"","parse-names":false,"suffix":""},{"dropping-particle":"","family":"Day","given":"RH","non-dropping-particle":"","parse-names":false,"suffix":""},{"dropping-particle":"","family":"Michot","given":"TC","non-dropping-particle":"","parse-names":false,"suffix":""}],"container-title":"Biodiversity Research","id":"ITEM-1","issued":{"date-parts":[["2020"]]},"page":"1366-1382","title":"Frequency of extreme freeze events controls the distribution and structure of black mangroves (Avicennia germinans) near their northern range limit in coastal Louisiana","type":"article-journal","volume":"26"},"uris":["http://www.mendeley.com/documents/?uuid=43b042a7-5e61-4223-b9c1-46210c53a14c"]},{"id":"ITEM-2","itemData":{"DOI":"10.1371/journal.pone.0099604","ISBN":"1932-6203","ISSN":"19326203","PMID":"24971938","abstract":"Across the globe, species distributions are changing in response to climate change and land use change. In parts of the southeastern United States, climate change is expected to result in the poleward range expansion of black mangroves (Avicennia germinans) at the expense of some salt marsh vegetation. The morphology of A. germinans at its northern range limit is more shrub-like than in tropical climes in part due to the aboveground structural damage and vigorous multi-stem regrowth triggered by extreme winter temperatures. In this study, we developed aboveground allometric equations for freeze-affected black mangroves which can be used to quantify: (1) total aboveground biomass; (2) leaf biomass; (3) stem plus branch biomass; and (4) leaf area. Plant volume (i.e., a combination of crown area and plant height) was selected as the optimal predictor of the four response variables. We expect that our simple measurements and equations can be adapted for use in other mangrove ecosystems located in abiotic settings that result in mangrove individuals with dwarf or shrub-like morphologies including oligotrophic and arid environments. Many important ecological functions and services are affected by changes in coastal wetland plant community structure and productivity including carbon storage, nutrient cycling, coastal protection, recreation, fish and avian habitat, and ecosystem response to sea level rise and extreme climatic events. Coastal scientists in the southeastern United States can use the identified allometric equations, in combination with easily obtained and non-destructive plant volume measurements, to better quantify and monitor ecological change within the dynamic, climate sensitive, and highly-productive mangrove-marsh ecotone.","author":[{"dropping-particle":"","family":"Osland","given":"Michael J.","non-dropping-particle":"","parse-names":false,"suffix":""},{"dropping-particle":"","family":"Day","given":"Richard H.","non-dropping-particle":"","parse-names":false,"suffix":""},{"dropping-particle":"","family":"Larriviere","given":"Jack C.","non-dropping-particle":"","parse-names":false,"suffix":""},{"dropping-particle":"","family":"From","given":"Andrew S.","non-dropping-particle":"","parse-names":false,"suffix":""}],"container-title":"PLoS ONE","id":"ITEM-2","issue":"6","issued":{"date-parts":[["2014"]]},"page":"e99604","title":"Aboveground allometric models for freeze-affected black mangroves (Avicennia germinans): Equations for a climate sensitive mangrove-marsh ecotone","type":"article-journal","volume":"9"},"uris":["http://www.mendeley.com/documents/?uuid=12ed655b-946c-34cb-bb07-5b09f1fbac65"]}],"mendeley":{"formattedCitation":"(Osland et al., 2020, 2014)","plainTextFormattedCitation":"(Osland et al., 2020, 2014)","previouslyFormattedCitation":"(Osland et al., 2020, 2014)"},"properties":{"noteIndex":0},"schema":"https://github.com/citation-style-language/schema/raw/master/csl-citation.json"}</w:instrText>
      </w:r>
      <w:r w:rsidRPr="00B011F2">
        <w:rPr>
          <w:lang w:val="en-US"/>
        </w:rPr>
        <w:fldChar w:fldCharType="separate"/>
      </w:r>
      <w:r w:rsidRPr="002D17C1">
        <w:rPr>
          <w:noProof/>
          <w:lang w:val="en-US"/>
        </w:rPr>
        <w:t>(Osland et al., 2020, 2014)</w:t>
      </w:r>
      <w:r w:rsidRPr="00B011F2">
        <w:rPr>
          <w:lang w:val="en-US"/>
        </w:rPr>
        <w:fldChar w:fldCharType="end"/>
      </w:r>
      <w:r>
        <w:rPr>
          <w:lang w:val="en-US"/>
        </w:rPr>
        <w:t xml:space="preserve">. Thus, </w:t>
      </w:r>
      <w:proofErr w:type="spellStart"/>
      <w:r>
        <w:rPr>
          <w:i/>
          <w:iCs/>
          <w:lang w:val="en-US"/>
        </w:rPr>
        <w:t>Avicennia</w:t>
      </w:r>
      <w:proofErr w:type="spellEnd"/>
      <w:r>
        <w:rPr>
          <w:i/>
          <w:iCs/>
          <w:lang w:val="en-US"/>
        </w:rPr>
        <w:t xml:space="preserve"> </w:t>
      </w:r>
      <w:proofErr w:type="spellStart"/>
      <w:r>
        <w:rPr>
          <w:i/>
          <w:iCs/>
          <w:lang w:val="en-US"/>
        </w:rPr>
        <w:t>germinans</w:t>
      </w:r>
      <w:proofErr w:type="spellEnd"/>
      <w:r>
        <w:rPr>
          <w:i/>
          <w:iCs/>
          <w:lang w:val="en-US"/>
        </w:rPr>
        <w:t xml:space="preserve"> </w:t>
      </w:r>
      <w:r>
        <w:rPr>
          <w:lang w:val="en-US"/>
        </w:rPr>
        <w:t xml:space="preserve">mangroves at the northern limit of their global distribution display a shrub-like morphology, rather than the tall trees &gt;30m in height that are commonplace in tropical mangroves </w:t>
      </w:r>
      <w:r>
        <w:rPr>
          <w:lang w:val="en-US"/>
        </w:rPr>
        <w:fldChar w:fldCharType="begin" w:fldLock="1"/>
      </w:r>
      <w:r>
        <w:rPr>
          <w:lang w:val="en-US"/>
        </w:rPr>
        <w:instrText>ADDIN CSL_CITATION {"citationItems":[{"id":"ITEM-1","itemData":{"DOI":"10.1371/journal.pone.0099604","ISBN":"1932-6203","ISSN":"19326203","PMID":"24971938","abstract":"Across the globe, species distributions are changing in response to climate change and land use change. In parts of the southeastern United States, climate change is expected to result in the poleward range expansion of black mangroves (Avicennia germinans) at the expense of some salt marsh vegetation. The morphology of A. germinans at its northern range limit is more shrub-like than in tropical climes in part due to the aboveground structural damage and vigorous multi-stem regrowth triggered by extreme winter temperatures. In this study, we developed aboveground allometric equations for freeze-affected black mangroves which can be used to quantify: (1) total aboveground biomass; (2) leaf biomass; (3) stem plus branch biomass; and (4) leaf area. Plant volume (i.e., a combination of crown area and plant height) was selected as the optimal predictor of the four response variables. We expect that our simple measurements and equations can be adapted for use in other mangrove ecosystems located in abiotic settings that result in mangrove individuals with dwarf or shrub-like morphologies including oligotrophic and arid environments. Many important ecological functions and services are affected by changes in coastal wetland plant community structure and productivity including carbon storage, nutrient cycling, coastal protection, recreation, fish and avian habitat, and ecosystem response to sea level rise and extreme climatic events. Coastal scientists in the southeastern United States can use the identified allometric equations, in combination with easily obtained and non-destructive plant volume measurements, to better quantify and monitor ecological change within the dynamic, climate sensitive, and highly-productive mangrove-marsh ecotone.","author":[{"dropping-particle":"","family":"Osland","given":"Michael J.","non-dropping-particle":"","parse-names":false,"suffix":""},{"dropping-particle":"","family":"Day","given":"Richard H.","non-dropping-particle":"","parse-names":false,"suffix":""},{"dropping-particle":"","family":"Larriviere","given":"Jack C.","non-dropping-particle":"","parse-names":false,"suffix":""},{"dropping-particle":"","family":"From","given":"Andrew S.","non-dropping-particle":"","parse-names":false,"suffix":""}],"container-title":"PLoS ONE","id":"ITEM-1","issue":"6","issued":{"date-parts":[["2014"]]},"page":"e99604","title":"Aboveground allometric models for freeze-affected black mangroves (Avicennia germinans): Equations for a climate sensitive mangrove-marsh ecotone","type":"article-journal","volume":"9"},"uris":["http://www.mendeley.com/documents/?uuid=12ed655b-946c-34cb-bb07-5b09f1fbac65"]}],"mendeley":{"formattedCitation":"(Osland et al., 2014)","plainTextFormattedCitation":"(Osland et al., 2014)","previouslyFormattedCitation":"(Osland et al., 2014)"},"properties":{"noteIndex":0},"schema":"https://github.com/citation-style-language/schema/raw/master/csl-citation.json"}</w:instrText>
      </w:r>
      <w:r>
        <w:rPr>
          <w:lang w:val="en-US"/>
        </w:rPr>
        <w:fldChar w:fldCharType="separate"/>
      </w:r>
      <w:r w:rsidRPr="007F3D00">
        <w:rPr>
          <w:noProof/>
          <w:lang w:val="en-US"/>
        </w:rPr>
        <w:t>(Osland et al., 2014)</w:t>
      </w:r>
      <w:r>
        <w:rPr>
          <w:lang w:val="en-US"/>
        </w:rPr>
        <w:fldChar w:fldCharType="end"/>
      </w:r>
      <w:r>
        <w:rPr>
          <w:lang w:val="en-US"/>
        </w:rPr>
        <w:t>. Temperatures ranging from -6.3</w:t>
      </w:r>
      <w:r>
        <w:rPr>
          <w:lang w:val="en-US"/>
        </w:rPr>
        <w:sym w:font="Symbol" w:char="F0B0"/>
      </w:r>
      <w:r>
        <w:rPr>
          <w:lang w:val="en-US"/>
        </w:rPr>
        <w:t>C to -8.9</w:t>
      </w:r>
      <w:r>
        <w:rPr>
          <w:lang w:val="en-US"/>
        </w:rPr>
        <w:sym w:font="Symbol" w:char="F0B0"/>
      </w:r>
      <w:r>
        <w:rPr>
          <w:lang w:val="en-US"/>
        </w:rPr>
        <w:t xml:space="preserve">C have been shown to be the lower thermal threshold for </w:t>
      </w:r>
      <w:proofErr w:type="spellStart"/>
      <w:r>
        <w:rPr>
          <w:i/>
          <w:iCs/>
          <w:lang w:val="en-US"/>
        </w:rPr>
        <w:t>Avicennia</w:t>
      </w:r>
      <w:proofErr w:type="spellEnd"/>
      <w:r w:rsidRPr="00AD3D67">
        <w:rPr>
          <w:i/>
          <w:iCs/>
          <w:lang w:val="en-US"/>
        </w:rPr>
        <w:t xml:space="preserve"> </w:t>
      </w:r>
      <w:proofErr w:type="spellStart"/>
      <w:r>
        <w:rPr>
          <w:i/>
          <w:iCs/>
          <w:lang w:val="en-US"/>
        </w:rPr>
        <w:t>germinans</w:t>
      </w:r>
      <w:proofErr w:type="spellEnd"/>
      <w:r>
        <w:rPr>
          <w:lang w:val="en-US"/>
        </w:rPr>
        <w:t xml:space="preserve">, which is a comparatively freeze tolerant </w:t>
      </w:r>
      <w:r>
        <w:rPr>
          <w:lang w:val="en-US"/>
        </w:rPr>
        <w:lastRenderedPageBreak/>
        <w:t xml:space="preserve">mangrove species </w:t>
      </w:r>
      <w:r>
        <w:rPr>
          <w:lang w:val="en-US"/>
        </w:rPr>
        <w:fldChar w:fldCharType="begin" w:fldLock="1"/>
      </w:r>
      <w:r>
        <w:rPr>
          <w:lang w:val="en-US"/>
        </w:rPr>
        <w:instrText>ADDIN CSL_CITATION {"citationItems":[{"id":"ITEM-1","itemData":{"DOI":"10.1002/ecm.1248","ISSN":"15577015","abstract":"Mangrove forests are highly productive tidal saline wetland ecosystems found along sheltered tropical and subtropical coasts. Ecologists have long assumed that climatic drivers (i.e., temperature and rainfall regimes) govern the global distribution, structure, and function of mangrove forests. However, data constraints have hindered the quantification of direct climate–mangrove linkages in many parts of the world. Recently, the quality and availability of global-scale climate and mangrove data have been improving. Here, we used these data to better understand the influence of air temperature and rainfall regimes upon the distribution, abundance, and species richness of mangrove forests. Although our analyses identify global-scale relationships and thresholds, we show that the influence of climatic drivers is best characterized via regional range-limit-specific analyses. We quantified climatic controls across targeted gradients in temperature and/or rainfall within 14 mangrove distributional range limits. Climatic thresholds for mangrove presence, abundance, and species richness differed among the 14 studied range limits. We identified minimum temperature-based thresholds for range limits in eastern North America, eastern Australia, New Zealand, eastern Asia, eastern South America, and southeast Africa. We identified rainfall-based thresholds for range limits in western North America, western Gulf of Mexico, western South America, western Australia, Middle East, northwest Africa, east central Africa, and west-central Africa. Our results show that in certain range limits (e.g., eastern North America, western Gulf of Mexico, eastern Asia), winter air temperature extremes play an especially important role. We conclude that rainfall and temperature regimes are both important in western North America, western Gulf of Mexico, and western Australia. With climate change, alterations in temperature and rainfall regimes will affect the global distribution, abundance, and diversity of mangrove forests. In general, warmer winter temperatures are expected to allow mangroves to expand poleward at the expense of salt marshes. However, dispersal and habitat availability constraints may hinder expansion near certain range limits. Along arid and semiarid coasts, decreases or increases in rainfall are expected to lead to mangrove contraction or expansion, respectively. Collectively, our analyses quantify climate–mangrove linkages and improve our understanding of the expect…","author":[{"dropping-particle":"","family":"Osland","given":"Michael J.","non-dropping-particle":"","parse-names":false,"suffix":""},{"dropping-particle":"","family":"Feher","given":"Laura C.","non-dropping-particle":"","parse-names":false,"suffix":""},{"dropping-particle":"","family":"Griffith","given":"Kereen T.","non-dropping-particle":"","parse-names":false,"suffix":""},{"dropping-particle":"","family":"Cavanaugh","given":"Kyle C.","non-dropping-particle":"","parse-names":false,"suffix":""},{"dropping-particle":"","family":"Enwright","given":"Nicholas M.","non-dropping-particle":"","parse-names":false,"suffix":""},{"dropping-particle":"","family":"Day","given":"Richard H.","non-dropping-particle":"","parse-names":false,"suffix":""},{"dropping-particle":"","family":"Stagg","given":"Camille L.","non-dropping-particle":"","parse-names":false,"suffix":""},{"dropping-particle":"","family":"Krauss","given":"Ken W.","non-dropping-particle":"","parse-names":false,"suffix":""},{"dropping-particle":"","family":"Howard","given":"Rebecca J.","non-dropping-particle":"","parse-names":false,"suffix":""},{"dropping-particle":"","family":"Grace","given":"James B.","non-dropping-particle":"","parse-names":false,"suffix":""},{"dropping-particle":"","family":"Rogers","given":"Kerrylee","non-dropping-particle":"","parse-names":false,"suffix":""}],"container-title":"Ecological Monographs","id":"ITEM-1","issue":"2","issued":{"date-parts":[["2017"]]},"page":"341-359","title":"Climatic controls on the global distribution, abundance, and species richness of mangrove forests","type":"article-journal","volume":"87"},"uris":["http://www.mendeley.com/documents/?uuid=550b02d8-1b48-4bbc-8d4f-87ef91a23f84"]},{"id":"ITEM-2","itemData":{"DOI":"10.1111/gcb.12126","ISSN":"13541013","PMID":"23504931","abstract":"We live in an era of unprecedented ecological change in which ecologists and natural resource managers are increasingly challenged to anticipate and prepare for the ecological effects of future global change. In this study, we investigated the potential effect of winter climate change upon salt marsh and mangrove forest foundation species in the southeastern United States. Our research addresses the following three questions: (1) What is the relationship between winter climate and the presence and abundance of mangrove forests relative to salt marshes; (2) How vulnerable are salt marshes to winter climate change-induced mangrove forest range expansion; and (3) What is the potential future distribution and relative abundance of mangrove forests under alternative winter climate change scenarios? We developed simple winter climate-based models to predict mangrove forest distribution and relative abundance using observed winter temperature data (1970-2000) and mangrove forest and salt marsh habitat data. Our results identify winter climate thresholds for salt marsh-mangrove forest interactions and highlight coastal areas in the southeastern United States (e.g., Texas, Louisiana, and parts of Florida) where relatively small changes in the intensity and frequency of extreme winter events could cause relatively dramatic landscape-scale ecosystem structural and functional change in the form of poleward mangrove forest migration and salt marsh displacement. The ecological implications of these marsh-to-mangrove forest conversions are poorly understood, but would likely include changes for associated fish and wildlife populations and for the supply of some ecosystem goods and services. © 2012 Blackwell Publishing Ltd.","author":[{"dropping-particle":"","family":"Osland","given":"Michael J.","non-dropping-particle":"","parse-names":false,"suffix":""},{"dropping-particle":"","family":"Enwright","given":"Nicholas","non-dropping-particle":"","parse-names":false,"suffix":""},{"dropping-particle":"","family":"Day","given":"Richard H.","non-dropping-particle":"","parse-names":false,"suffix":""},{"dropping-particle":"","family":"Doyle","given":"Thomas W.","non-dropping-particle":"","parse-names":false,"suffix":""}],"container-title":"Global Change Biology","id":"ITEM-2","issue":"5","issued":{"date-parts":[["2013"]]},"page":"1482-1494","title":"Winter climate change and coastal wetland foundation species: Salt marshes vs. mangrove forests in the southeastern United States","type":"article-journal","volume":"19"},"uris":["http://www.mendeley.com/documents/?uuid=b24fe082-10d4-4807-9c7d-1cc54e1dd1fd"]}],"mendeley":{"formattedCitation":"(Osland et al., 2017, 2013)","plainTextFormattedCitation":"(Osland et al., 2017, 2013)","previouslyFormattedCitation":"(Osland et al., 2017, 2013)"},"properties":{"noteIndex":0},"schema":"https://github.com/citation-style-language/schema/raw/master/csl-citation.json"}</w:instrText>
      </w:r>
      <w:r>
        <w:rPr>
          <w:lang w:val="en-US"/>
        </w:rPr>
        <w:fldChar w:fldCharType="separate"/>
      </w:r>
      <w:r w:rsidRPr="007B1D62">
        <w:rPr>
          <w:noProof/>
          <w:lang w:val="en-US"/>
        </w:rPr>
        <w:t>(Osland et al., 2017, 2013)</w:t>
      </w:r>
      <w:r>
        <w:rPr>
          <w:lang w:val="en-US"/>
        </w:rPr>
        <w:fldChar w:fldCharType="end"/>
      </w:r>
      <w:r>
        <w:rPr>
          <w:lang w:val="en-US"/>
        </w:rPr>
        <w:t xml:space="preserve">. In support of this, global modelling efforts that use climatic extremes, such as minimum temperatures, better predict mangrove biomass and productivity than models that use climatic averages </w:t>
      </w:r>
      <w:r>
        <w:rPr>
          <w:lang w:val="en-US"/>
        </w:rPr>
        <w:fldChar w:fldCharType="begin" w:fldLock="1"/>
      </w:r>
      <w:r>
        <w:rPr>
          <w:lang w:val="en-US"/>
        </w:rPr>
        <w:instrText>ADDIN CSL_CITATION {"citationItems":[{"id":"ITEM-1","itemData":{"DOI":"10.1111/conl.12060","ISBN":"1755-263X","ISSN":"1755263X","abstract":"Understanding spatial variation in carbon storage in natural habitats is critical for climate change mitigation efforts such as REDD. Terrestrial forests are being mapped with increasing accuracy, but the distribution of ``blue carbon'' in marine ecosystems remains poorly understood. We reviewed the literature to obtain field data on carbon storage and fluxes in mangroves world-wide. Using this material we developed a climate-based model for potential mangrove above-ground biomass (AGB) with almost four times the explanatory power of the only previous published model. From this model, we present the first ever global map of potential mangrove AGB and estimate a total global mangrove AGB of 2.83 Pg, with an average of 184.8 t ha−1. Data on other carbon stocks and fluxes confirm the importance of mangroves in carbon accounting. The map highlights the high variability in mangrove AGB and indicates areas that should be prioritised for mangrove conservation and restoration.","author":[{"dropping-particle":"","family":"Hutchison","given":"James","non-dropping-particle":"","parse-names":false,"suffix":""},{"dropping-particle":"","family":"Manica","given":"Andrea","non-dropping-particle":"","parse-names":false,"suffix":""},{"dropping-particle":"","family":"Swetnam","given":"Ruth","non-dropping-particle":"","parse-names":false,"suffix":""},{"dropping-particle":"","family":"Balmford","given":"Andrew","non-dropping-particle":"","parse-names":false,"suffix":""},{"dropping-particle":"","family":"Spalding","given":"Mark","non-dropping-particle":"","parse-names":false,"suffix":""}],"container-title":"Conservation Letters","id":"ITEM-1","issue":"3","issued":{"date-parts":[["2014","5"]]},"page":"233-240","title":"Predicting global patterns in mangrove forest biomass","type":"article-journal","volume":"7"},"uris":["http://www.mendeley.com/documents/?uuid=c0cc1011-f931-3578-8f2c-56c7f7c458c6"]},{"id":"ITEM-2","itemData":{"DOI":"10.1002/ecs2.2841","ISSN":"21508925","abstract":"Mangroves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-2","issue":"8","issued":{"date-parts":[["2019","8","22"]]},"publisher":"John Wiley &amp; Sons, Ltd","title":"Spatial variability of mangrove primary productivity in the neotropics","type":"article-journal","volume":"10"},"uris":["http://www.mendeley.com/documents/?uuid=e62cba23-c956-306d-a48f-a25ddc004d7f"]}],"mendeley":{"formattedCitation":"(Hutchison et al., 2014; Ribeiro et al., 2019)","plainTextFormattedCitation":"(Hutchison et al., 2014; Ribeiro et al., 2019)","previouslyFormattedCitation":"(Hutchison et al., 2014; Ribeiro et al., 2019)"},"properties":{"noteIndex":0},"schema":"https://github.com/citation-style-language/schema/raw/master/csl-citation.json"}</w:instrText>
      </w:r>
      <w:r>
        <w:rPr>
          <w:lang w:val="en-US"/>
        </w:rPr>
        <w:fldChar w:fldCharType="separate"/>
      </w:r>
      <w:r w:rsidRPr="005D31C9">
        <w:rPr>
          <w:noProof/>
          <w:lang w:val="en-US"/>
        </w:rPr>
        <w:t>(Hutchison et al., 2014; Ribeiro et al., 2019)</w:t>
      </w:r>
      <w:r>
        <w:rPr>
          <w:lang w:val="en-US"/>
        </w:rPr>
        <w:fldChar w:fldCharType="end"/>
      </w:r>
      <w:r>
        <w:rPr>
          <w:lang w:val="en-US"/>
        </w:rPr>
        <w:t>.</w:t>
      </w:r>
    </w:p>
    <w:p w14:paraId="1661BACD" w14:textId="77777777" w:rsidR="00FA0744" w:rsidRDefault="00FA0744" w:rsidP="00FA0744">
      <w:pPr>
        <w:spacing w:line="480" w:lineRule="auto"/>
        <w:rPr>
          <w:highlight w:val="yellow"/>
          <w:lang w:val="en-US"/>
        </w:rPr>
      </w:pPr>
    </w:p>
    <w:p w14:paraId="3E480837" w14:textId="77777777" w:rsidR="00FA0744" w:rsidRPr="00685912" w:rsidRDefault="00FA0744" w:rsidP="00FA0744">
      <w:pPr>
        <w:spacing w:line="480" w:lineRule="auto"/>
        <w:rPr>
          <w:lang w:val="en-US"/>
        </w:rPr>
      </w:pPr>
      <w:r>
        <w:rPr>
          <w:lang w:val="en-US"/>
        </w:rPr>
        <w:t>On local and sub-regional scales, m</w:t>
      </w:r>
      <w:r w:rsidRPr="00685912">
        <w:rPr>
          <w:lang w:val="en-US"/>
        </w:rPr>
        <w:t xml:space="preserve">angrove </w:t>
      </w:r>
      <w:r>
        <w:rPr>
          <w:lang w:val="en-US"/>
        </w:rPr>
        <w:t xml:space="preserve">ecological </w:t>
      </w:r>
      <w:r w:rsidRPr="00685912">
        <w:rPr>
          <w:lang w:val="en-US"/>
        </w:rPr>
        <w:t xml:space="preserve">functioning </w:t>
      </w:r>
      <w:r>
        <w:rPr>
          <w:lang w:val="en-US"/>
        </w:rPr>
        <w:t>is c</w:t>
      </w:r>
      <w:r w:rsidRPr="00685912">
        <w:rPr>
          <w:lang w:val="en-US"/>
        </w:rPr>
        <w:t xml:space="preserve">losely associated with coastal </w:t>
      </w:r>
      <w:r>
        <w:rPr>
          <w:lang w:val="en-US"/>
        </w:rPr>
        <w:t>geomorphological setting</w:t>
      </w:r>
      <w:r w:rsidRPr="00685912">
        <w:rPr>
          <w:lang w:val="en-US"/>
        </w:rPr>
        <w:t xml:space="preserve"> </w:t>
      </w:r>
      <w:r w:rsidRPr="00685912">
        <w:rPr>
          <w:lang w:val="en-US"/>
        </w:rPr>
        <w:fldChar w:fldCharType="begin" w:fldLock="1"/>
      </w:r>
      <w:r>
        <w:rPr>
          <w:lang w:val="en-US"/>
        </w:rPr>
        <w:instrText>ADDIN CSL_CITATION {"citationItems":[{"id":"ITEM-1","itemData":{"DOI":"10.1002/ecs2.2841","ISSN":"21508925","abstract":"Mangroves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-1","issue":"8","issued":{"date-parts":[["2019","8","22"]]},"publisher":"John Wiley &amp; Sons, Ltd","title":"Spatial variability of mangrove primary productivity in the neotropics","type":"article-journal","volume":"10"},"uris":["http://www.mendeley.com/documents/?uuid=e62cba23-c956-306d-a48f-a25ddc004d7f"]},{"id":"ITEM-2","itemData":{"DOI":"10.1007/978-3-319-62206-4_5","ISBN":"9783319622064","abstract":"This chapter focuses on the net primary productivity and carbon (C) dynamics of mangrove wetlands as related to the potential to sequester atmospheric C in above- and belowground biomass and in the soil. We discuss the large variation in ecosystem properties across different coastal environmental settings and pay particular attention to global patterns of these ecosystem processes comparing the Atlantic-East-Pacific and Indo-West-Pacific biogeographic regions. Deltaic coasts have higher aboveground biomass (AGB) compared to other continental settings, but the highest average AGB was found in high oceanic islands. The global average rates of litter fall (NPPL) and (NPPW) wood production are about 6 t ha-1 yr-1 for aboveground net primary productivity (NPPA) of about 12 t ha-1 yr-1. The relative contribution of belowground allocation to soil C storage and wood production to total net primary productivity (NPPT) in mangrove wetlands has significant implications to net C exchange in these coastal forested wetlands. Examples are given to demonstrate that net ecosystem production (NEP) and net ecosystem carbon exchange for mangrove wetlands have implications to the debate on how coastal ecosystems influence the global C budget. Wood production is about 600 g dry mass m yr or about 300 gC m-2 yr-1. The average C sequestration in mangroves soils org(∆Sorg) is about 224 gC m yr. The sum of these two measures (NPPW + ∆Sorg) is an estimate of NEP at about 525 gC m-2 yr-1. A general conclusion based on these different approaches, and reviewing the existing global literature, is that NEP accumulates about 500 gC m-2 yr-1, equally distributed between wood production and soil C accumulation. The importance of above and belowground contributions to global estimates of C sequestration above- and belowground reinforces the need for a better understanding of biomass allocation in these systems. The net tidal exchange of inorganic and organic carbon is about 400 gC m-2 yr-1 with nearly equal distribution in these forms of carbon to coastal waters. It is not clear how the fate of this material may influence net carbon exchange in the coastal zone, which is a very active area of research. We also suggest that more information is needed on how the disturbance of mangrove wetlands, including their recovery, may influence net carbon flux in the coastal zone.","author":[{"dropping-particle":"","family":"Twilley","given":"Robert R.","non-dropping-particle":"","parse-names":false,"suffix":""},{"dropping-particle":"","family":"Castañeda-Moya","given":"Edward","non-dropping-particle":"","parse-names":false,"suffix":""},{"dropping-particle":"","family":"Rivera-Monroy","given":"Victor H.","non-dropping-particle":"","parse-names":false,"suffix":""},{"dropping-particle":"","family":"Rovai","given":"Andre","non-dropping-particle":"","parse-names":false,"suffix":""}],"container-title":"Mangrove Ecosystems: A Global Biogeographic Perspective: Structure, Function, and Services","id":"ITEM-2","issued":{"date-parts":[["2017"]]},"page":"113-162","title":"Productivity and carbon dynamics in mangrove wetlands","type":"chapter"},"uris":["http://www.mendeley.com/documents/?uuid=558d75c5-5721-4921-a5a0-772b73ae4589"]}],"mendeley":{"formattedCitation":"(Ribeiro et al., 2019; Twilley et al., 2017)","plainTextFormattedCitation":"(Ribeiro et al., 2019; Twilley et al., 2017)","previouslyFormattedCitation":"(Ribeiro et al., 2019; Twilley et al., 2017)"},"properties":{"noteIndex":0},"schema":"https://github.com/citation-style-language/schema/raw/master/csl-citation.json"}</w:instrText>
      </w:r>
      <w:r w:rsidRPr="00685912">
        <w:rPr>
          <w:lang w:val="en-US"/>
        </w:rPr>
        <w:fldChar w:fldCharType="separate"/>
      </w:r>
      <w:r w:rsidRPr="00685912">
        <w:rPr>
          <w:noProof/>
          <w:lang w:val="en-US"/>
        </w:rPr>
        <w:t>(Ribeiro et al., 2019; Twilley et al., 2017)</w:t>
      </w:r>
      <w:r w:rsidRPr="00685912">
        <w:rPr>
          <w:lang w:val="en-US"/>
        </w:rPr>
        <w:fldChar w:fldCharType="end"/>
      </w:r>
      <w:r w:rsidRPr="00685912">
        <w:rPr>
          <w:lang w:val="en-US"/>
        </w:rPr>
        <w:t xml:space="preserve">. </w:t>
      </w:r>
      <w:r w:rsidRPr="009A0D50">
        <w:rPr>
          <w:lang w:val="en-US"/>
        </w:rPr>
        <w:t xml:space="preserve">Mangrove forests occur over coastlines </w:t>
      </w:r>
      <w:r>
        <w:rPr>
          <w:lang w:val="en-US"/>
        </w:rPr>
        <w:t>with</w:t>
      </w:r>
      <w:r w:rsidRPr="009A0D50">
        <w:rPr>
          <w:lang w:val="en-US"/>
        </w:rPr>
        <w:t xml:space="preserve"> variable river, tidal and wave forcings, which affect the rate and source of sediment input, rate of relative sea-level change and </w:t>
      </w:r>
      <w:r>
        <w:rPr>
          <w:lang w:val="en-US"/>
        </w:rPr>
        <w:t xml:space="preserve">the </w:t>
      </w:r>
      <w:r w:rsidRPr="009A0D50">
        <w:rPr>
          <w:lang w:val="en-US"/>
        </w:rPr>
        <w:t>nutrient availability</w:t>
      </w:r>
      <w:r>
        <w:rPr>
          <w:lang w:val="en-US"/>
        </w:rPr>
        <w:t xml:space="preserve"> to trees</w:t>
      </w:r>
      <w:r w:rsidRPr="009A0D50">
        <w:rPr>
          <w:lang w:val="en-US"/>
        </w:rPr>
        <w:t xml:space="preserve"> </w:t>
      </w:r>
      <w:r w:rsidRPr="009A0D50">
        <w:rPr>
          <w:lang w:val="en-US"/>
        </w:rPr>
        <w:fldChar w:fldCharType="begin" w:fldLock="1"/>
      </w:r>
      <w:r>
        <w:rPr>
          <w:lang w:val="en-US"/>
        </w:rPr>
        <w:instrText>ADDIN CSL_CITATION {"citationItems":[{"id":"ITEM-1","itemData":{"DOI":"10.1007/978-1-4020-4271-3","ISBN":"9781402042706","abstract":"Despite their importance in sustaining livelihoods for many people living along some of the world's most populous coastlines, tropical mangrove forests are disappearing at an alarming rate. Occupying a crucial place between land and sea, these tidal ecosystems provide a valuable ecological and economic resource as important nursery grounds and breeding sites for many organisms, and as a renewable source of wood and traditional foods and medicines. Perhaps most importantly, they are accumulation sites for sediment, contaminants, carbon and nutrients, and offer significant protection against coastal erosion. This book presents a functional overview of mangrove forest ecosystems; how they live and grow at the edge of tropical seas, how they play a critical role along most of the world's tropical coasts, and how their future might look in a world affected by climate change. Such a process-oriented approach is necessary in order to further understand the role of these dynamic forests in ecosystem function, and as a first step towards developing adequate strategies for their conservation and sustainable use and management. The book will provide a valuable resource for researchers in mangrove ecology as well as reference for resource managers. © 2009 Springer Science + Business Media B.V.","author":[{"dropping-particle":"","family":"Alongi","given":"Daniel M.","non-dropping-particle":"","parse-names":false,"suffix":""}],"container-title":"The Energetics of Mangrove Forests","id":"ITEM-1","issued":{"date-parts":[["2009"]]},"number-of-pages":"1-216","publisher":"Springer Science &amp; Business Media","publisher-place":"New York","title":"The energetics of mangrove forests","type":"book"},"uris":["http://www.mendeley.com/documents/?uuid=cbb1df17-e857-4abd-95d9-5dd9e7b78cbc"]},{"id":"ITEM-2","itemData":{"DOI":"10.1007/978-3-319-62206-4_5","ISBN":"9783319622064","abstract":"This chapter focuses on the net primary productivity and carbon (C) dynamics of mangrove wetlands as related to the potential to sequester atmospheric C in above- and belowground biomass and in the soil. We discuss the large variation in ecosystem properties across different coastal environmental settings and pay particular attention to global patterns of these ecosystem processes comparing the Atlantic-East-Pacific and Indo-West-Pacific biogeographic regions. Deltaic coasts have higher aboveground biomass (AGB) compared to other continental settings, but the highest average AGB was found in high oceanic islands. The global average rates of litter fall (NPPL) and (NPPW) wood production are about 6 t ha-1 yr-1 for aboveground net primary productivity (NPPA) of about 12 t ha-1 yr-1. The relative contribution of belowground allocation to soil C storage and wood production to total net primary productivity (NPPT) in mangrove wetlands has significant implications to net C exchange in these coastal forested wetlands. Examples are given to demonstrate that net ecosystem production (NEP) and net ecosystem carbon exchange for mangrove wetlands have implications to the debate on how coastal ecosystems influence the global C budget. Wood production is about 600 g dry mass m yr or about 300 gC m-2 yr-1. The average C sequestration in mangroves soils org(∆Sorg) is about 224 gC m yr. The sum of these two measures (NPPW + ∆Sorg) is an estimate of NEP at about 525 gC m-2 yr-1. A general conclusion based on these different approaches, and reviewing the existing global literature, is that NEP accumulates about 500 gC m-2 yr-1, equally distributed between wood production and soil C accumulation. The importance of above and belowground contributions to global estimates of C sequestration above- and belowground reinforces the need for a better understanding of biomass allocation in these systems. The net tidal exchange of inorganic and organic carbon is about 400 gC m-2 yr-1 with nearly equal distribution in these forms of carbon to coastal waters. It is not clear how the fate of this material may influence net carbon exchange in the coastal zone, which is a very active area of research. We also suggest that more information is needed on how the disturbance of mangrove wetlands, including their recovery, may influence net carbon flux in the coastal zone.","author":[{"dropping-particle":"","family":"Twilley","given":"Robert R.","non-dropping-particle":"","parse-names":false,"suffix":""},{"dropping-particle":"","family":"Castañeda-Moya","given":"Edward","non-dropping-particle":"","parse-names":false,"suffix":""},{"dropping-particle":"","family":"Rivera-Monroy","given":"Victor H.","non-dropping-particle":"","parse-names":false,"suffix":""},{"dropping-particle":"","family":"Rovai","given":"Andre","non-dropping-particle":"","parse-names":false,"suffix":""}],"container-title":"Mangrove Ecosystems: A Global Biogeographic Perspective: Structure, Function, and Services","id":"ITEM-2","issued":{"date-parts":[["2017"]]},"page":"113-162","title":"Productivity and carbon dynamics in mangrove wetlands","type":"chapter"},"uris":["http://www.mendeley.com/documents/?uuid=558d75c5-5721-4921-a5a0-772b73ae4589"]}],"mendeley":{"formattedCitation":"(Alongi, 2009; Twilley et al., 2017)","plainTextFormattedCitation":"(Alongi, 2009; Twilley et al., 2017)","previouslyFormattedCitation":"(Alongi, 2009; Twilley et al., 2017)"},"properties":{"noteIndex":0},"schema":"https://github.com/citation-style-language/schema/raw/master/csl-citation.json"}</w:instrText>
      </w:r>
      <w:r w:rsidRPr="009A0D50">
        <w:rPr>
          <w:lang w:val="en-US"/>
        </w:rPr>
        <w:fldChar w:fldCharType="separate"/>
      </w:r>
      <w:r w:rsidRPr="009A0D50">
        <w:rPr>
          <w:noProof/>
          <w:lang w:val="en-US"/>
        </w:rPr>
        <w:t>(Alongi, 2009; Twilley et al., 2017)</w:t>
      </w:r>
      <w:r w:rsidRPr="009A0D50">
        <w:rPr>
          <w:lang w:val="en-US"/>
        </w:rPr>
        <w:fldChar w:fldCharType="end"/>
      </w:r>
      <w:r w:rsidRPr="009A0D50">
        <w:rPr>
          <w:lang w:val="en-US"/>
        </w:rPr>
        <w:t xml:space="preserve">. </w:t>
      </w:r>
      <w:r>
        <w:rPr>
          <w:lang w:val="en-US"/>
        </w:rPr>
        <w:t xml:space="preserve">Heterogeneity of these drivers combine to produce fine-scale variations in mangrove ecosystem functioning. For example, </w:t>
      </w:r>
      <w:r w:rsidRPr="00EA3BF7">
        <w:rPr>
          <w:lang w:val="en-US"/>
        </w:rPr>
        <w:t>deltas, estuaries and lagoons</w:t>
      </w:r>
      <w:r w:rsidRPr="00685912">
        <w:rPr>
          <w:lang w:val="en-US"/>
        </w:rPr>
        <w:t xml:space="preserve"> </w:t>
      </w:r>
      <w:r>
        <w:rPr>
          <w:lang w:val="en-US"/>
        </w:rPr>
        <w:t xml:space="preserve">all contain mangroves with varying productivity rates </w:t>
      </w:r>
      <w:r>
        <w:rPr>
          <w:lang w:val="en-US"/>
        </w:rPr>
        <w:fldChar w:fldCharType="begin" w:fldLock="1"/>
      </w:r>
      <w:r>
        <w:rPr>
          <w:lang w:val="en-US"/>
        </w:rPr>
        <w:instrText>ADDIN CSL_CITATION {"citationItems":[{"id":"ITEM-1","itemData":{"DOI":"10.1002/ecs2.2841","ISSN":"21508925","abstract":"Mangroves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-1","issue":"8","issued":{"date-parts":[["2019","8","22"]]},"publisher":"John Wiley &amp; Sons, Ltd","title":"Spatial variability of mangrove primary productivity in the neotropics","type":"article-journal","volume":"10"},"uris":["http://www.mendeley.com/documents/?uuid=e62cba23-c956-306d-a48f-a25ddc004d7f"]}],"mendeley":{"formattedCitation":"(Ribeiro et al., 2019)","plainTextFormattedCitation":"(Ribeiro et al., 2019)","previouslyFormattedCitation":"(Ribeiro et al., 2019)"},"properties":{"noteIndex":0},"schema":"https://github.com/citation-style-language/schema/raw/master/csl-citation.json"}</w:instrText>
      </w:r>
      <w:r>
        <w:rPr>
          <w:lang w:val="en-US"/>
        </w:rPr>
        <w:fldChar w:fldCharType="separate"/>
      </w:r>
      <w:r w:rsidRPr="00C7720A">
        <w:rPr>
          <w:noProof/>
          <w:lang w:val="en-US"/>
        </w:rPr>
        <w:t>(Ribeiro et al., 2019)</w:t>
      </w:r>
      <w:r>
        <w:rPr>
          <w:lang w:val="en-US"/>
        </w:rPr>
        <w:fldChar w:fldCharType="end"/>
      </w:r>
      <w:r>
        <w:rPr>
          <w:lang w:val="en-US"/>
        </w:rPr>
        <w:t xml:space="preserve">, nutrient profiles </w:t>
      </w:r>
      <w:r>
        <w:rPr>
          <w:lang w:val="en-US"/>
        </w:rPr>
        <w:fldChar w:fldCharType="begin" w:fldLock="1"/>
      </w:r>
      <w:r>
        <w:rPr>
          <w:lang w:val="en-US"/>
        </w:rPr>
        <w:instrText>ADDIN CSL_CITATION {"citationItems":[{"id":"ITEM-1","itemData":{"DOI":"10.1002/2014JG002715","ISBN":"2169-8953","ISSN":"21698961","abstract":"The objective of this research was to measure temporal variability in accretion and mass sedimentation rates (including organic carbon (OC), total nitrogen (TN), and total phosphorous (TP)) from the past century in a mangrove forest on the Shark River in Everglades National Park, USA. The 210Pb Constant Rate of Supply model was applied to six soil cores to calculate annual rates over the most recent 10, 50, and 100 year time spans. Our results show that rates integrated over longer timeframes are lower than those for shorter, recent periods of observation. Additionally, the substantial spatial variability between cores over the 10 year period is diminished over the 100 year record, raising two important implications. First, a multiple-decade assessment of soil accretion and OC burial provides a more conservative estimate and is likely to be most relevant for forecasting these rates relative to long-term processes of sea level rise and climate change mitigation. Second, a small number of sampling locations are better able to account for spatial variability over the longer periods than for the shorter periods. The site average 100 year OC burial rate, 123±19 (standard deviation) g m?2 yr?1, is low compared with global mangrove values. High TN and TP burial rates in recent decades may lead to increased soil carbon remineralization, contributing to the low carbon burial rates. Finally, the strong correlation between OC burial and accretion across this site signals the substantial contribution of OC to soil building in addition to the ecosystemservice of CO2 sequestration.","author":[{"dropping-particle":"","family":"Breithaupt","given":"Joshua L.","non-dropping-particle":"","parse-names":false,"suffix":""},{"dropping-particle":"","family":"Smoak","given":"Joseph M.","non-dropping-particle":"","parse-names":false,"suffix":""},{"dropping-particle":"","family":"Smith","given":"Thomas J.","non-dropping-particle":"","parse-names":false,"suffix":""},{"dropping-particle":"","family":"Sanders","given":"Christian J.","non-dropping-particle":"","parse-names":false,"suffix":""}],"container-title":"Journal of Geophysical Research G: Biogeosciences","id":"ITEM-1","issue":"10","issued":{"date-parts":[["2014","10"]]},"page":"2032-2048","title":"Temporal variability of carbon and nutrient burial, sediment accretion, and mass accumulation over the past century in a carbonate platform mangrove forest of the Florida Everglades","type":"article-journal","volume":"119"},"uris":["http://www.mendeley.com/documents/?uuid=eb9f7bd9-d7af-3ad6-81a8-465835c2fa07"]}],"mendeley":{"formattedCitation":"(Breithaupt et al., 2014)","plainTextFormattedCitation":"(Breithaupt et al., 2014)","previouslyFormattedCitation":"(Breithaupt et al., 2014)"},"properties":{"noteIndex":0},"schema":"https://github.com/citation-style-language/schema/raw/master/csl-citation.json"}</w:instrText>
      </w:r>
      <w:r>
        <w:rPr>
          <w:lang w:val="en-US"/>
        </w:rPr>
        <w:fldChar w:fldCharType="separate"/>
      </w:r>
      <w:r w:rsidRPr="00C7720A">
        <w:rPr>
          <w:noProof/>
          <w:lang w:val="en-US"/>
        </w:rPr>
        <w:t>(Breithaupt et al., 2014)</w:t>
      </w:r>
      <w:r>
        <w:rPr>
          <w:lang w:val="en-US"/>
        </w:rPr>
        <w:fldChar w:fldCharType="end"/>
      </w:r>
      <w:r>
        <w:rPr>
          <w:lang w:val="en-US"/>
        </w:rPr>
        <w:t xml:space="preserve"> and carbon sequestration rates </w:t>
      </w:r>
      <w:r>
        <w:rPr>
          <w:lang w:val="en-US"/>
        </w:rPr>
        <w:fldChar w:fldCharType="begin" w:fldLock="1"/>
      </w:r>
      <w:r>
        <w:rPr>
          <w:lang w:val="en-US"/>
        </w:rPr>
        <w:instrText>ADDIN CSL_CITATION {"citationItems":[{"id":"ITEM-1","itemData":{"DOI":"10.1038/s41558-018-0162-5","ISBN":"4155801801625","ISSN":"17586798","abstract":"Global-scale variation in mangrove ecosystem properties has been explained using a conceptual framework linking geomorphological processes to distinct coastal environmental settings (CES) for nearly 50 years. However, these assumptions have not been empirically tested at the global scale. Here, we show that CES account for global variability in mangrove soil C:N:P stoichiometry and soil organic carbon (SOC) stocks. Using this ecogeomorphology framework, we developed a global model that captures variation in mangrove SOC stocks compatible with distinct CES. We show that mangrove SOC stocks have been underestimated by up to 50% (a difference of roughly 200 Mg ha−1) in carbonate settings and overestimated by up to 86% (around 400 Mg ha−1) in deltaic coastlines. Moreover, we provide information for 57 nations that currently lack SOC data, enabling these and other countries to develop or evaluate their blue carbon inventories.","author":[{"dropping-particle":"","family":"Rovai","given":"André S.","non-dropping-particle":"","parse-names":false,"suffix":""},{"dropping-particle":"","family":"Twilley","given":"Robert R.","non-dropping-particle":"","parse-names":false,"suffix":""},{"dropping-particle":"","family":"Castañeda-Moya","given":"Edward","non-dropping-particle":"","parse-names":false,"suffix":""},{"dropping-particle":"","family":"Riul","given":"Pablo","non-dropping-particle":"","parse-names":false,"suffix":""},{"dropping-particle":"","family":"Cifuentes-Jara","given":"Miguel","non-dropping-particle":"","parse-names":false,"suffix":""},{"dropping-particle":"","family":"Manrow-Villalobos","given":"Marilyn","non-dropping-particle":"","parse-names":false,"suffix":""},{"dropping-particle":"","family":"Horta","given":"Paulo A.","non-dropping-particle":"","parse-names":false,"suffix":""},{"dropping-particle":"","family":"Simonassi","given":"José C.","non-dropping-particle":"","parse-names":false,"suffix":""},{"dropping-particle":"","family":"Fonseca","given":"Alessandra L.","non-dropping-particle":"","parse-names":false,"suffix":""},{"dropping-particle":"","family":"Pagliosa","given":"Paulo R.","non-dropping-particle":"","parse-names":false,"suffix":""}],"container-title":"Nature Climate Change","id":"ITEM-1","issue":"6","issued":{"date-parts":[["2018","6","28"]]},"page":"534-538","publisher":"Nature Publishing Group","title":"Global controls on carbon storage in mangrove soils","type":"article-journal","volume":"8"},"uris":["http://www.mendeley.com/documents/?uuid=e218dcd6-b535-3f7d-a08f-4983ee271d59"]}],"mendeley":{"formattedCitation":"(Rovai et al., 2018)","plainTextFormattedCitation":"(Rovai et al., 2018)","previouslyFormattedCitation":"(Rovai et al., 2018)"},"properties":{"noteIndex":0},"schema":"https://github.com/citation-style-language/schema/raw/master/csl-citation.json"}</w:instrText>
      </w:r>
      <w:r>
        <w:rPr>
          <w:lang w:val="en-US"/>
        </w:rPr>
        <w:fldChar w:fldCharType="separate"/>
      </w:r>
      <w:r w:rsidRPr="00C7720A">
        <w:rPr>
          <w:noProof/>
          <w:lang w:val="en-US"/>
        </w:rPr>
        <w:t>(Rovai et al., 2018)</w:t>
      </w:r>
      <w:r>
        <w:rPr>
          <w:lang w:val="en-US"/>
        </w:rPr>
        <w:fldChar w:fldCharType="end"/>
      </w:r>
      <w:r>
        <w:rPr>
          <w:lang w:val="en-US"/>
        </w:rPr>
        <w:t xml:space="preserve">. </w:t>
      </w:r>
      <w:r w:rsidRPr="00685912">
        <w:rPr>
          <w:lang w:val="en-US"/>
        </w:rPr>
        <w:t>Mangroves occurring where riverine inputs and tidal ranges are increased</w:t>
      </w:r>
      <w:r>
        <w:rPr>
          <w:lang w:val="en-US"/>
        </w:rPr>
        <w:t xml:space="preserve"> tend to be </w:t>
      </w:r>
      <w:r w:rsidRPr="00685912">
        <w:rPr>
          <w:lang w:val="en-US"/>
        </w:rPr>
        <w:t xml:space="preserve">more productive </w:t>
      </w:r>
      <w:r>
        <w:rPr>
          <w:lang w:val="en-US"/>
        </w:rPr>
        <w:t xml:space="preserve">and have greater biomass as these factors drive </w:t>
      </w:r>
      <w:r w:rsidRPr="00685912">
        <w:rPr>
          <w:lang w:val="en-US"/>
        </w:rPr>
        <w:t>greater nutrient availability and reduce soil salinity</w:t>
      </w:r>
      <w:r>
        <w:rPr>
          <w:lang w:val="en-US"/>
        </w:rPr>
        <w:t xml:space="preserve">, thus </w:t>
      </w:r>
      <w:r w:rsidRPr="00685912">
        <w:rPr>
          <w:lang w:val="en-US"/>
        </w:rPr>
        <w:t>promot</w:t>
      </w:r>
      <w:r>
        <w:rPr>
          <w:lang w:val="en-US"/>
        </w:rPr>
        <w:t>ing</w:t>
      </w:r>
      <w:r w:rsidRPr="00685912">
        <w:rPr>
          <w:lang w:val="en-US"/>
        </w:rPr>
        <w:t xml:space="preserve"> greater tree </w:t>
      </w:r>
      <w:r>
        <w:rPr>
          <w:lang w:val="en-US"/>
        </w:rPr>
        <w:t xml:space="preserve">growth and </w:t>
      </w:r>
      <w:r w:rsidRPr="00685912">
        <w:rPr>
          <w:lang w:val="en-US"/>
        </w:rPr>
        <w:t xml:space="preserve">productivity </w:t>
      </w:r>
      <w:r w:rsidRPr="00685912">
        <w:rPr>
          <w:lang w:val="en-US"/>
        </w:rPr>
        <w:fldChar w:fldCharType="begin" w:fldLock="1"/>
      </w:r>
      <w:r w:rsidRPr="00685912">
        <w:rPr>
          <w:lang w:val="en-US"/>
        </w:rPr>
        <w:instrText>ADDIN CSL_CITATION {"citationItems":[{"id":"ITEM-1","itemData":{"DOI":"10.1007/BF02786526","author":[{"dropping-particle":"","family":"Castañeda-Moya","given":"E.","non-dropping-particle":"","parse-names":false,"suffix":""},{"dropping-particle":"","family":"Rivera-Monroy","given":"V.H.","non-dropping-particle":"","parse-names":false,"suffix":""},{"dropping-particle":"","family":"Twilley","given":"R.R.","non-dropping-particle":"","parse-names":false,"suffix":""}],"container-title":"Estuaries &amp; Coasts","id":"ITEM-1","issued":{"date-parts":[["2006"]]},"title":"Mangrove zonation in the dry life zone of the Gulf of Fonseca, Honduras","type":"article-journal"},"uris":["http://www.mendeley.com/documents/?uuid=42d31222-b644-44e3-b757-5447692fabc8"]},{"id":"ITEM-2","itemData":{"DOI":"10.1002/ecs2.2841","ISSN":"21508925","abstract":"Mangroves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-2","issue":"8","issued":{"date-parts":[["2019","8","22"]]},"publisher":"John Wiley &amp; Sons, Ltd","title":"Spatial variability of mangrove primary productivity in the neotropics","type":"article-journal","volume":"10"},"uris":["http://www.mendeley.com/documents/?uuid=e62cba23-c956-306d-a48f-a25ddc004d7f"]}],"mendeley":{"formattedCitation":"(Castañeda-Moya et al., 2006; Ribeiro et al., 2019)","plainTextFormattedCitation":"(Castañeda-Moya et al., 2006; Ribeiro et al., 2019)","previouslyFormattedCitation":"(Castañeda-Moya et al., 2006; Ribeiro et al., 2019)"},"properties":{"noteIndex":0},"schema":"https://github.com/citation-style-language/schema/raw/master/csl-citation.json"}</w:instrText>
      </w:r>
      <w:r w:rsidRPr="00685912">
        <w:rPr>
          <w:lang w:val="en-US"/>
        </w:rPr>
        <w:fldChar w:fldCharType="separate"/>
      </w:r>
      <w:r w:rsidRPr="00685912">
        <w:rPr>
          <w:noProof/>
          <w:lang w:val="en-US"/>
        </w:rPr>
        <w:t>(Castañeda-Moya et al., 2006; Ribeiro et al., 2019)</w:t>
      </w:r>
      <w:r w:rsidRPr="00685912">
        <w:rPr>
          <w:lang w:val="en-US"/>
        </w:rPr>
        <w:fldChar w:fldCharType="end"/>
      </w:r>
      <w:r w:rsidRPr="00685912">
        <w:rPr>
          <w:lang w:val="en-US"/>
        </w:rPr>
        <w:t>.</w:t>
      </w:r>
    </w:p>
    <w:p w14:paraId="6C6FF33B" w14:textId="77777777" w:rsidR="00FA0744" w:rsidRPr="00685912" w:rsidRDefault="00FA0744" w:rsidP="00FA0744">
      <w:pPr>
        <w:spacing w:line="480" w:lineRule="auto"/>
        <w:rPr>
          <w:lang w:val="en-US"/>
        </w:rPr>
      </w:pPr>
    </w:p>
    <w:p w14:paraId="1DD302B1" w14:textId="640680D9" w:rsidR="00FA0744" w:rsidRPr="00016A50" w:rsidRDefault="00FA0744" w:rsidP="00FA0744">
      <w:pPr>
        <w:pStyle w:val="Heading2"/>
        <w:rPr>
          <w:rFonts w:asciiTheme="minorHAnsi" w:hAnsiTheme="minorHAnsi" w:cstheme="minorHAnsi"/>
          <w:b/>
          <w:bCs/>
          <w:color w:val="000000" w:themeColor="text1"/>
        </w:rPr>
      </w:pPr>
      <w:bookmarkStart w:id="6" w:name="_Toc120622095"/>
      <w:r w:rsidRPr="00016A50">
        <w:rPr>
          <w:rFonts w:asciiTheme="minorHAnsi" w:hAnsiTheme="minorHAnsi" w:cstheme="minorHAnsi"/>
          <w:b/>
          <w:bCs/>
          <w:color w:val="000000" w:themeColor="text1"/>
        </w:rPr>
        <w:t>1.2</w:t>
      </w:r>
      <w:r w:rsidRPr="00016A50">
        <w:rPr>
          <w:rFonts w:asciiTheme="minorHAnsi" w:hAnsiTheme="minorHAnsi" w:cstheme="minorHAnsi"/>
          <w:b/>
          <w:bCs/>
          <w:color w:val="000000" w:themeColor="text1"/>
        </w:rPr>
        <w:tab/>
        <w:t>The functional importance of Mangroves</w:t>
      </w:r>
      <w:bookmarkEnd w:id="6"/>
    </w:p>
    <w:p w14:paraId="431AF546" w14:textId="3D182B9E" w:rsidR="00FA0744" w:rsidRPr="003E7C83" w:rsidRDefault="00FA0744" w:rsidP="00FA0744">
      <w:pPr>
        <w:spacing w:line="480" w:lineRule="auto"/>
        <w:rPr>
          <w:lang w:val="en-US"/>
        </w:rPr>
      </w:pPr>
      <w:r>
        <w:rPr>
          <w:lang w:val="en-US"/>
        </w:rPr>
        <w:t xml:space="preserve">Mangrove ecosystems perform important ecological functions and ecosystem services to the global coast. For instance, forests </w:t>
      </w:r>
      <w:r w:rsidR="00463CEB">
        <w:rPr>
          <w:lang w:val="en-US"/>
        </w:rPr>
        <w:t xml:space="preserve">can significantly reduce wave energy and thus </w:t>
      </w:r>
      <w:r>
        <w:rPr>
          <w:lang w:val="en-US"/>
        </w:rPr>
        <w:t xml:space="preserve">are effective at storm and tsunami </w:t>
      </w:r>
      <w:r w:rsidR="00E00A74">
        <w:rPr>
          <w:lang w:val="en-US"/>
        </w:rPr>
        <w:t>buffers</w:t>
      </w:r>
      <w:r>
        <w:rPr>
          <w:lang w:val="en-US"/>
        </w:rPr>
        <w:t xml:space="preserve"> </w:t>
      </w:r>
      <w:r>
        <w:rPr>
          <w:lang w:val="en-US"/>
        </w:rPr>
        <w:fldChar w:fldCharType="begin" w:fldLock="1"/>
      </w:r>
      <w:r>
        <w:rPr>
          <w:lang w:val="en-US"/>
        </w:rPr>
        <w:instrText>ADDIN CSL_CITATION {"citationItems":[{"id":"ITEM-1","itemData":{"abstract":"A study conducted after the 26th of December 2004 tsunami in 18 coastal hamlets along the south-east coast of India reiterates the importance of coastal mangrove vegetations and location characteristics of human inhabitation to protect lives and wealth from the fury of tsunami. The tsunami caused human death and loss of wealth and these decreased with the area of coastal vegetation, distance and elevation of human inhabitation from the sea. Human inhabitation should be encouraged more than 1 km from the shoreline in elevated places, behind dense mangroves and or other coastal vegetation. Some plant species, suitable to grow in between human inhabitation and the sea for coastal protection, are suggested. 2005 Elsevier Ltd. All rights reserved.","author":[{"dropping-particle":"","family":"Kathiresan","given":"K","non-dropping-particle":"","parse-names":false,"suffix":""},{"dropping-particle":"","family":"Rajendran","given":"N","non-dropping-particle":"","parse-names":false,"suffix":""}],"container-title":"Estuarine, Coastal and Shelf Science","id":"ITEM-1","issued":{"date-parts":[["2005"]]},"page":"601-606","title":"Coastal mangrove forests mitigated tsunami","type":"article-journal","volume":"65"},"uris":["http://www.mendeley.com/documents/?uuid=53d0f7e2-8734-4b41-a340-01f6c3427b35"]}],"mendeley":{"formattedCitation":"(Kathiresan and Rajendran, 2005)","plainTextFormattedCitation":"(Kathiresan and Rajendran, 2005)","previouslyFormattedCitation":"(Kathiresan and Rajendran, 2005)"},"properties":{"noteIndex":0},"schema":"https://github.com/citation-style-language/schema/raw/master/csl-citation.json"}</w:instrText>
      </w:r>
      <w:r>
        <w:rPr>
          <w:lang w:val="en-US"/>
        </w:rPr>
        <w:fldChar w:fldCharType="separate"/>
      </w:r>
      <w:r w:rsidRPr="00AF7E85">
        <w:rPr>
          <w:noProof/>
          <w:lang w:val="en-US"/>
        </w:rPr>
        <w:t>(Kathiresan and Rajendran, 2005)</w:t>
      </w:r>
      <w:r>
        <w:rPr>
          <w:lang w:val="en-US"/>
        </w:rPr>
        <w:fldChar w:fldCharType="end"/>
      </w:r>
      <w:r>
        <w:rPr>
          <w:lang w:val="en-US"/>
        </w:rPr>
        <w:t xml:space="preserve">, they provide nursery and feeding grounds for economically valuable juvenile fish species </w:t>
      </w:r>
      <w:r>
        <w:rPr>
          <w:lang w:val="en-US"/>
        </w:rPr>
        <w:fldChar w:fldCharType="begin" w:fldLock="1"/>
      </w:r>
      <w:r>
        <w:rPr>
          <w:lang w:val="en-US"/>
        </w:rPr>
        <w:instrText>ADDIN CSL_CITATION {"citationItems":[{"id":"ITEM-1","itemData":{"DOI":"10.1371/journal.pone.0114715","ISSN":"19326203","PMID":"25551761","abstract":"Identification of critical life-stage habitats is key to successful conservation efforts. Juveniles of some species show great flexibility in habitat use while other species rely heavily on a restricted number of juvenile habitats for protection and food. Considering the rapid degradation of coastal marine habitats worldwide, it is important to evaluate which species are more susceptible to loss of juvenile nursery habitats and how this differs across large biogeographic regions. Here we used a meta-analysis approach to investigate habitat use by juvenile reef fish species in tropical coastal ecosystems across the globe. Densities of juvenile fish species were compared among mangrove, seagrass and coral reef habitats. In the Caribbean, the majority of species showed significantly higher juvenile densities in mangroves as compared to seagrass beds and coral reefs, while for the Indo- Pacific region seagrass beds harbored the highest overall densities. Further analysis indicated that differences in tidal amplitude, irrespective of biogeographic region, appeared to be the major driver for this phenomenon. In addition, juvenile reef fish use of mangroves increased with increasing water salinity. In the Caribbean, species of specific families (e.g. Lutjanidae, Haemulidae) showed a higher reliance on mangroves or seagrass beds as juvenile habitats than other species, whereas in the Indo-Pacific family-specific trends of juvenile habitat utilization were less apparent. The findings of this study highlight the importance of incorporating region-specific tidal inundation regimes into marine spatial conservation planning and ecosystem based management. Furthermore, the significant role of water salinity and tidal access as drivers of mangrove fish habitat use implies that changes in seawater level and rainfall due to climate change may have important effects on how juvenile reef fish use nearshore seascapes in the future.","author":[{"dropping-particle":"","family":"Igulu","given":"Mathias M.","non-dropping-particle":"","parse-names":false,"suffix":""},{"dropping-particle":"","family":"Nagelkerken","given":"Ivan","non-dropping-particle":"","parse-names":false,"suffix":""},{"dropping-particle":"","family":"Dorenbosch","given":"Martijn","non-dropping-particle":"","parse-names":false,"suffix":""},{"dropping-particle":"","family":"Grol","given":"Monique G.G.","non-dropping-particle":"","parse-names":false,"suffix":""},{"dropping-particle":"","family":"Harborne","given":"Alastair R.","non-dropping-particle":"","parse-names":false,"suffix":""},{"dropping-particle":"","family":"Kimirei","given":"Ismael A.","non-dropping-particle":"","parse-names":false,"suffix":""},{"dropping-particle":"","family":"Mumby","given":"Peter J.","non-dropping-particle":"","parse-names":false,"suffix":""},{"dropping-particle":"","family":"Olds","given":"Andrew D.","non-dropping-particle":"","parse-names":false,"suffix":""},{"dropping-particle":"","family":"Mgaya","given":"Yunus D.","non-dropping-particle":"","parse-names":false,"suffix":""}],"container-title":"PLoS ONE","id":"ITEM-1","issue":"12","issued":{"date-parts":[["2014"]]},"title":"Mangrove habitat use by juvenile reef fish: Meta-analysis reveals that tidal regime matters more than biogeographic region","type":"article-journal","volume":"9"},"uris":["http://www.mendeley.com/documents/?uuid=aabb8b3d-9d43-4030-859c-ff7879c97af2"]}],"mendeley":{"formattedCitation":"(Igulu et al., 2014)","plainTextFormattedCitation":"(Igulu et al., 2014)","previouslyFormattedCitation":"(Igulu et al., 2014)"},"properties":{"noteIndex":0},"schema":"https://github.com/citation-style-language/schema/raw/master/csl-citation.json"}</w:instrText>
      </w:r>
      <w:r>
        <w:rPr>
          <w:lang w:val="en-US"/>
        </w:rPr>
        <w:fldChar w:fldCharType="separate"/>
      </w:r>
      <w:r w:rsidRPr="00AF7E85">
        <w:rPr>
          <w:noProof/>
          <w:lang w:val="en-US"/>
        </w:rPr>
        <w:t>(Igulu et al., 2014)</w:t>
      </w:r>
      <w:r>
        <w:rPr>
          <w:lang w:val="en-US"/>
        </w:rPr>
        <w:fldChar w:fldCharType="end"/>
      </w:r>
      <w:r>
        <w:rPr>
          <w:lang w:val="en-US"/>
        </w:rPr>
        <w:t xml:space="preserve">, they supports trophic webs in </w:t>
      </w:r>
      <w:proofErr w:type="spellStart"/>
      <w:r>
        <w:rPr>
          <w:lang w:val="en-US"/>
        </w:rPr>
        <w:t>neighbouring</w:t>
      </w:r>
      <w:proofErr w:type="spellEnd"/>
      <w:r>
        <w:rPr>
          <w:lang w:val="en-US"/>
        </w:rPr>
        <w:t xml:space="preserve"> habitats through </w:t>
      </w:r>
      <w:proofErr w:type="spellStart"/>
      <w:r>
        <w:rPr>
          <w:lang w:val="en-US"/>
        </w:rPr>
        <w:t>outwelling</w:t>
      </w:r>
      <w:proofErr w:type="spellEnd"/>
      <w:r>
        <w:rPr>
          <w:lang w:val="en-US"/>
        </w:rPr>
        <w:t xml:space="preserve"> mechanisms </w:t>
      </w:r>
      <w:r>
        <w:rPr>
          <w:lang w:val="en-US"/>
        </w:rPr>
        <w:lastRenderedPageBreak/>
        <w:fldChar w:fldCharType="begin" w:fldLock="1"/>
      </w:r>
      <w:r>
        <w:rPr>
          <w:lang w:val="en-US"/>
        </w:rPr>
        <w:instrText>ADDIN CSL_CITATION {"citationItems":[{"id":"ITEM-1","itemData":{"abstract":"Fringing the southwest coast of Florida is a mangrove belt which supports large populations of birds, gamefishes, and invertebrate species of commercial importance. A study was conducted between 1967 and 1969 in the North River basin of this mangrove region to determine the energy basis for this large population of animals and to delineate the routes by which energy is transferred through the food web. This is the first of three publications summarizing the results of this study. It consists of summaries of food habits for most of the fish and aquatic invertebrate species which occur in the North River mangrove ecosystem. In addition to our data, which include in excess of 10,000 analyses of stomach contents, information from other publications has been summarized where pertinent. Finally, for most species there is an estimate of relative importance in the North River system in terms of abundance.","author":[{"dropping-particle":"","family":"Odum","given":"William E.","non-dropping-particle":"","parse-names":false,"suffix":""},{"dropping-particle":"","family":"Heald","given":"Eric J.","non-dropping-particle":"","parse-names":false,"suffix":""}],"container-title":"Bulletin of Marine Science","id":"ITEM-1","issue":"3","issued":{"date-parts":[["1972"]]},"page":"671-738","title":"Trophic Analyses of an Estuarine Mangrove Community","type":"article-journal","volume":"22"},"uris":["http://www.mendeley.com/documents/?uuid=54493bdd-29d8-46ff-9075-34622aee5f14"]}],"mendeley":{"formattedCitation":"(Odum and Heald, 1972)","plainTextFormattedCitation":"(Odum and Heald, 1972)","previouslyFormattedCitation":"(Odum and Heald, 1972)"},"properties":{"noteIndex":0},"schema":"https://github.com/citation-style-language/schema/raw/master/csl-citation.json"}</w:instrText>
      </w:r>
      <w:r>
        <w:rPr>
          <w:lang w:val="en-US"/>
        </w:rPr>
        <w:fldChar w:fldCharType="separate"/>
      </w:r>
      <w:r w:rsidRPr="00AF7E85">
        <w:rPr>
          <w:noProof/>
          <w:lang w:val="en-US"/>
        </w:rPr>
        <w:t>(Odum and Heald, 1972)</w:t>
      </w:r>
      <w:r>
        <w:rPr>
          <w:lang w:val="en-US"/>
        </w:rPr>
        <w:fldChar w:fldCharType="end"/>
      </w:r>
      <w:r>
        <w:rPr>
          <w:lang w:val="en-US"/>
        </w:rPr>
        <w:t xml:space="preserve"> and they act as significant carbon sinks </w:t>
      </w:r>
      <w:r>
        <w:rPr>
          <w:lang w:val="en-US"/>
        </w:rPr>
        <w:fldChar w:fldCharType="begin" w:fldLock="1"/>
      </w:r>
      <w:r>
        <w:rPr>
          <w:lang w:val="en-US"/>
        </w:rPr>
        <w:instrText>ADDIN CSL_CITATION {"citationItems":[{"id":"ITEM-1","itemData":{"DOI":"10.1038/ngeo1123","ISBN":"1752-0894","ISSN":"1752-0894","PMID":"17701399","abstract":"Mangrove forests occur along ocean coastlines throughout the tropics, and support numerous ecosystem services, including fisheries production and nutrient cycling. However, the areal extent of mangrove forests has declined by 30–50% over the past half century as a result of coastal development, aqua- culture expansion and over-harvesting1–4. Carbon emissions resulting from mangrove loss are uncertain, owing in part to a lack of broad-scale data on the amount of carbon stored in these ecosystems, particularly below ground5. Here, we quantified whole-ecosystem carbon storage by measuring tree and dead wood biomass, soil carbon content, and soil depth in 25 mangrove forests across a broad area of the Indo-Pacific region—spanning 30◦ of latitude and 73◦ of longitude—where mangrove area and diversity are greatest4,6. These data indi- cate that mangroves are among the most carbon-rich forests in the tropics, containing on average 1,023Mg carbon per hectare. Organic-rich soils ranged from 0.5mto more than 3m in depth and accounted for 49–98% of carbon storage in these systems. Combining our data with other published information, we estimate that mangrove deforestation generates emissions of 0.02–0.12Pg carbon per year—as much as around 10% of emissions from deforestation globally, despite accounting for just 0.7%of tropical forest area.","author":[{"dropping-particle":"","family":"Donato","given":"Daniel C.","non-dropping-particle":"","parse-names":false,"suffix":""},{"dropping-particle":"","family":"Kauffman","given":"J. Boone","non-dropping-particle":"","parse-names":false,"suffix":""},{"dropping-particle":"","family":"Murdiyarso","given":"Daniel","non-dropping-particle":"","parse-names":false,"suffix":""},{"dropping-particle":"","family":"Kurnianto","given":"Sofyan","non-dropping-particle":"","parse-names":false,"suffix":""},{"dropping-particle":"","family":"Stidham","given":"Melanie","non-dropping-particle":"","parse-names":false,"suffix":""},{"dropping-particle":"","family":"Kanninen","given":"Markku","non-dropping-particle":"","parse-names":false,"suffix":""}],"container-title":"Nature Geoscience","id":"ITEM-1","issue":"5","issued":{"date-parts":[["2011"]]},"page":"293-297","title":"Mangroves among the most carbon-rich forests in the tropics","type":"article-journal","volume":"4"},"uris":["http://www.mendeley.com/documents/?uuid=490346f7-5ac8-4ae2-8d0c-30ebcec82312"]}],"mendeley":{"formattedCitation":"(Donato et al., 2011)","plainTextFormattedCitation":"(Donato et al., 2011)","previouslyFormattedCitation":"(Donato et al., 2011)"},"properties":{"noteIndex":0},"schema":"https://github.com/citation-style-language/schema/raw/master/csl-citation.json"}</w:instrText>
      </w:r>
      <w:r>
        <w:rPr>
          <w:lang w:val="en-US"/>
        </w:rPr>
        <w:fldChar w:fldCharType="separate"/>
      </w:r>
      <w:r w:rsidRPr="00AF7E85">
        <w:rPr>
          <w:noProof/>
          <w:lang w:val="en-US"/>
        </w:rPr>
        <w:t>(Donato et al., 2011)</w:t>
      </w:r>
      <w:r>
        <w:rPr>
          <w:lang w:val="en-US"/>
        </w:rPr>
        <w:fldChar w:fldCharType="end"/>
      </w:r>
      <w:r>
        <w:rPr>
          <w:lang w:val="en-US"/>
        </w:rPr>
        <w:t>. The following exemplifies the ecosystem services delivered by mangroves.</w:t>
      </w:r>
    </w:p>
    <w:p w14:paraId="7C406860" w14:textId="77777777" w:rsidR="00FA0744" w:rsidRDefault="00FA0744" w:rsidP="00FA0744">
      <w:pPr>
        <w:spacing w:line="480" w:lineRule="auto"/>
        <w:rPr>
          <w:lang w:val="en-US"/>
        </w:rPr>
      </w:pPr>
    </w:p>
    <w:p w14:paraId="4DF124EF" w14:textId="490F38F8" w:rsidR="00FA0744" w:rsidRPr="00D64058" w:rsidRDefault="00FA0744" w:rsidP="00FA0744">
      <w:pPr>
        <w:spacing w:line="480" w:lineRule="auto"/>
        <w:rPr>
          <w:lang w:val="en-US"/>
        </w:rPr>
      </w:pPr>
      <w:r>
        <w:rPr>
          <w:lang w:val="en-US"/>
        </w:rPr>
        <w:t xml:space="preserve">As mangroves occupy the interface between land and ocean, they are adapted to </w:t>
      </w:r>
      <w:r w:rsidR="00875040">
        <w:rPr>
          <w:lang w:val="en-US"/>
        </w:rPr>
        <w:t>environmental pressures</w:t>
      </w:r>
      <w:r>
        <w:rPr>
          <w:lang w:val="en-US"/>
        </w:rPr>
        <w:t xml:space="preserve"> in </w:t>
      </w:r>
      <w:r w:rsidR="006961D7">
        <w:rPr>
          <w:lang w:val="en-US"/>
        </w:rPr>
        <w:t xml:space="preserve">the settings in </w:t>
      </w:r>
      <w:r>
        <w:rPr>
          <w:lang w:val="en-US"/>
        </w:rPr>
        <w:t>which they are commonly found. Mangroves can act as a storm surge buffer and reduce erosion</w:t>
      </w:r>
      <w:r w:rsidR="00343F6D">
        <w:rPr>
          <w:lang w:val="en-US"/>
        </w:rPr>
        <w:t xml:space="preserve"> </w:t>
      </w:r>
      <w:r>
        <w:rPr>
          <w:lang w:val="en-US"/>
        </w:rPr>
        <w:fldChar w:fldCharType="begin" w:fldLock="1"/>
      </w:r>
      <w:r w:rsidR="008A48C6">
        <w:rPr>
          <w:lang w:val="en-US"/>
        </w:rPr>
        <w:instrText>ADDIN CSL_CITATION {"citationItems":[{"id":"ITEM-1","itemData":{"abstract":"A study conducted after the 26th of December 2004 tsunami in 18 coastal hamlets along the south-east coast of India reiterates the importance of coastal mangrove vegetations and location characteristics of human inhabitation to protect lives and wealth from the fury of tsunami. The tsunami caused human death and loss of wealth and these decreased with the area of coastal vegetation, distance and elevation of human inhabitation from the sea. Human inhabitation should be encouraged more than 1 km from the shoreline in elevated places, behind dense mangroves and or other coastal vegetation. Some plant species, suitable to grow in between human inhabitation and the sea for coastal protection, are suggested. 2005 Elsevier Ltd. All rights reserved.","author":[{"dropping-particle":"","family":"Kathiresan","given":"K","non-dropping-particle":"","parse-names":false,"suffix":""},{"dropping-particle":"","family":"Rajendran","given":"N","non-dropping-particle":"","parse-names":false,"suffix":""}],"container-title":"Estuarine, Coastal and Shelf Science","id":"ITEM-1","issued":{"date-parts":[["2005"]]},"page":"601-606","title":"Coastal mangrove forests mitigated tsunami","type":"article-journal","volume":"65"},"uris":["http://www.mendeley.com/documents/?uuid=53d0f7e2-8734-4b41-a340-01f6c3427b35"]}],"mendeley":{"formattedCitation":"(Kathiresan and Rajendran, 2005)","plainTextFormattedCitation":"(Kathiresan and Rajendran, 2005)","previouslyFormattedCitation":"(Kathiresan and Rajendran, 2005)"},"properties":{"noteIndex":0},"schema":"https://github.com/citation-style-language/schema/raw/master/csl-citation.json"}</w:instrText>
      </w:r>
      <w:r>
        <w:rPr>
          <w:lang w:val="en-US"/>
        </w:rPr>
        <w:fldChar w:fldCharType="separate"/>
      </w:r>
      <w:r w:rsidRPr="003D2C40">
        <w:rPr>
          <w:noProof/>
          <w:lang w:val="en-US"/>
        </w:rPr>
        <w:t>(Kathiresan and Rajendran, 2005)</w:t>
      </w:r>
      <w:r>
        <w:rPr>
          <w:lang w:val="en-US"/>
        </w:rPr>
        <w:fldChar w:fldCharType="end"/>
      </w:r>
      <w:r>
        <w:rPr>
          <w:lang w:val="en-US"/>
        </w:rPr>
        <w:t xml:space="preserve">. After the 2004 Southeast Asian Tsunami, studies found that human mortality and property damage were reduced in areas where mangroves were present, compared to areas where mangroves were not present or had been degraded </w:t>
      </w:r>
      <w:r>
        <w:rPr>
          <w:lang w:val="en-US"/>
        </w:rPr>
        <w:fldChar w:fldCharType="begin" w:fldLock="1"/>
      </w:r>
      <w:r>
        <w:rPr>
          <w:lang w:val="en-US"/>
        </w:rPr>
        <w:instrText>ADDIN CSL_CITATION {"citationItems":[{"id":"ITEM-1","itemData":{"abstract":"A study conducted after the 26th of December 2004 tsunami in 18 coastal hamlets along the south-east coast of India reiterates the importance of coastal mangrove vegetations and location characteristics of human inhabitation to protect lives and wealth from the fury of tsunami. The tsunami caused human death and loss of wealth and these decreased with the area of coastal vegetation, distance and elevation of human inhabitation from the sea. Human inhabitation should be encouraged more than 1 km from the shoreline in elevated places, behind dense mangroves and or other coastal vegetation. Some plant species, suitable to grow in between human inhabitation and the sea for coastal protection, are suggested. 2005 Elsevier Ltd. All rights reserved.","author":[{"dropping-particle":"","family":"Kathiresan","given":"K","non-dropping-particle":"","parse-names":false,"suffix":""},{"dropping-particle":"","family":"Rajendran","given":"N","non-dropping-particle":"","parse-names":false,"suffix":""}],"container-title":"Estuarine, Coastal and Shelf Science","id":"ITEM-1","issued":{"date-parts":[["2005"]]},"page":"601-606","title":"Coastal mangrove forests mitigated tsunami","type":"article-journal","volume":"65"},"uris":["http://www.mendeley.com/documents/?uuid=53d0f7e2-8734-4b41-a340-01f6c3427b35"]},{"id":"ITEM-2","itemData":{"DOI":"10.1016/j.ecss.2006.04.019","ISSN":"02727714","abstract":"This is a contribution to the discussion on the potential mitigating effect of mangroves to tsunami damage. Kathiresan and Rajendran (2005) were criticised by Kerr et al. (2006). We re-analysed of the original data with an ANOVA-model with covariates. We conclude: (a) the original conclusion of Kathiresan and Rajendran (2005) holds, mortality and property loss were less behind mangroves, and literature suggests that this can be generalised beyond the investigated area; (b) relocation of human settlements 1 km inland is not practical, instead a combination of societal preparedness with early warning and disaster response systems is to be preferred. Furthermore, we deduce that mortality was most strongly, and significantly reduced with increasing elevation above mean sea level, whereas property loss was governed by distance to the shore. This could improve coastal risk assessments. © 2006 Elsevier Ltd. All rights reserved.","author":[{"dropping-particle":"","family":"Vermaat","given":"Jan E.","non-dropping-particle":"","parse-names":false,"suffix":""},{"dropping-particle":"","family":"Thampanya","given":"Udomluck","non-dropping-particle":"","parse-names":false,"suffix":""}],"container-title":"Estuarine, Coastal and Shelf Science","id":"ITEM-2","issue":"1-2","issued":{"date-parts":[["2006"]]},"page":"1-3","title":"Mangroves mitigate tsunami damage: A further response","type":"article-journal","volume":"69"},"uris":["http://www.mendeley.com/documents/?uuid=ea1e1914-ff0d-4383-bde7-ef7e881b884e"]}],"mendeley":{"formattedCitation":"(Kathiresan and Rajendran, 2005; Vermaat and Thampanya, 2006)","plainTextFormattedCitation":"(Kathiresan and Rajendran, 2005; Vermaat and Thampanya, 2006)","previouslyFormattedCitation":"(Kathiresan and Rajendran, 2005; Vermaat and Thampanya, 2006)"},"properties":{"noteIndex":0},"schema":"https://github.com/citation-style-language/schema/raw/master/csl-citation.json"}</w:instrText>
      </w:r>
      <w:r>
        <w:rPr>
          <w:lang w:val="en-US"/>
        </w:rPr>
        <w:fldChar w:fldCharType="separate"/>
      </w:r>
      <w:r w:rsidRPr="00923EF5">
        <w:rPr>
          <w:noProof/>
          <w:lang w:val="en-US"/>
        </w:rPr>
        <w:t>(Kathiresan and Rajendran, 2005; Vermaat and Thampanya, 2006)</w:t>
      </w:r>
      <w:r>
        <w:rPr>
          <w:lang w:val="en-US"/>
        </w:rPr>
        <w:fldChar w:fldCharType="end"/>
      </w:r>
      <w:r>
        <w:rPr>
          <w:lang w:val="en-US"/>
        </w:rPr>
        <w:t xml:space="preserve">. High tree density and complex root matrices act to dissipate wave energy and maintain structural integrity </w:t>
      </w:r>
      <w:r>
        <w:rPr>
          <w:lang w:val="en-US"/>
        </w:rPr>
        <w:fldChar w:fldCharType="begin" w:fldLock="1"/>
      </w:r>
      <w:r>
        <w:rPr>
          <w:lang w:val="en-US"/>
        </w:rPr>
        <w:instrText>ADDIN CSL_CITATION {"citationItems":[{"id":"ITEM-1","itemData":{"ISBN":"103340","abstract":"This guidance note provides review and recommendations for how the protective services of mangroves and coral reefs can be measured and valued in a manner consistent with national economic accounts and included in other decision-making processes to support planning for development, disaster risk, and coastal zone management.","author":[{"dropping-particle":"","family":"McIvor","given":"A","non-dropping-particle":"","parse-names":false,"suffix":""},{"dropping-particle":"","family":"Spencer","given":"Tom","non-dropping-particle":"","parse-names":false,"suffix":""},{"dropping-particle":"","family":"Möller","given":"Iris","non-dropping-particle":"","parse-names":false,"suffix":""},{"dropping-particle":"","family":"Spalding","given":"Mark","non-dropping-particle":"","parse-names":false,"suffix":""}],"container-title":"WAVES Technical Report","id":"ITEM-1","issue":"January","issued":{"date-parts":[["2016"]]},"page":"167","title":"Coastal Defense Services Provided by Mangroves","type":"article-journal"},"uris":["http://www.mendeley.com/documents/?uuid=52d4696f-a17e-449d-868d-81448db2a3a5"]}],"mendeley":{"formattedCitation":"(McIvor et al., 2016)","plainTextFormattedCitation":"(McIvor et al., 2016)","previouslyFormattedCitation":"(McIvor et al., 2016)"},"properties":{"noteIndex":0},"schema":"https://github.com/citation-style-language/schema/raw/master/csl-citation.json"}</w:instrText>
      </w:r>
      <w:r>
        <w:rPr>
          <w:lang w:val="en-US"/>
        </w:rPr>
        <w:fldChar w:fldCharType="separate"/>
      </w:r>
      <w:r w:rsidRPr="00843E52">
        <w:rPr>
          <w:noProof/>
          <w:lang w:val="en-US"/>
        </w:rPr>
        <w:t>(McIvor et al., 2016)</w:t>
      </w:r>
      <w:r>
        <w:rPr>
          <w:lang w:val="en-US"/>
        </w:rPr>
        <w:fldChar w:fldCharType="end"/>
      </w:r>
      <w:r>
        <w:rPr>
          <w:lang w:val="en-US"/>
        </w:rPr>
        <w:t xml:space="preserve">. Across only 100m of mangrove forest, wave energy can be reduced by 66% </w:t>
      </w:r>
      <w:r>
        <w:rPr>
          <w:lang w:val="en-US"/>
        </w:rPr>
        <w:fldChar w:fldCharType="begin" w:fldLock="1"/>
      </w:r>
      <w:r>
        <w:rPr>
          <w:lang w:val="en-US"/>
        </w:rPr>
        <w:instrText>ADDIN CSL_CITATION {"citationItems":[{"id":"ITEM-1","itemData":{"abstract":"Coastal populations are particularly vulnerable to the impacts of extreme events such as storms and hurricanes, and these pressures may be exacerbated through the influence of climate change and sea level rise. Coastal ecosystems such as mangrove forests are increasingly being promoted and used as a tool in coastal defence strategies. There remains, however, a pressing need to better understand the roles that ecosystems can play in defending coasts. This report focuses on mangrove forests and the role they can play in reducing wind and swell waves. While mangrove forests are usually found on shores with little incoming wave energy, they may receive larger waves during storms, hurricanes and periods of high winds. Large wind and swell waves can cause flooding and damage to coastal infrastructure. By reducing wave energy and height, mangroves can potentially reduce associated damage. All evidence suggests that mangroves can reduce the height of wind and swell waves over relatively short distances: wave height can be reduced by between 13 and 66% over 100 m of mangroves. The highest rate of wave height reduction per unit distance occurs near the mangrove edge, as waves begin their passage through the mangroves. A number of characteristics of mangroves affect the rate of reduction of wave height with distance, most notably the physical structure of the trees. Waves are most rapidly reduced when they pass through a greater density of obstacles. Mangroves with aerial roots will attenuate waves in shallow water more rapidly than those without. At greater water depths, waves may pass above aerial roots, but the lower branches can perform a similar function. The slope of the shore and the height of the waves also affect wave reduction rates through mangroves. To understand the level of protection provided by mangroves, and to plan how to increase it, the passage of waves through mangroves has been modelled numerically using both a standard wave model used by coastal engineers called SWAN (Simulating WAves Nearshore) (Suzuki et al., 2011), as well as a model developed specifically for waves in mangroves called WAPROMAN (WAve PROpagation in MANgrove Forest) (Vo-Luong and Massel, 2008). These models are able to predict typical levels of wave attenuation given a knowledge of the mangrove characteristics, the wave parameters and the local bathymetry and topography. A statistical model has also been developed to explore the relationship between some standard forest me…","author":[{"dropping-particle":"","family":"McIvor","given":"Anna","non-dropping-particle":"","parse-names":false,"suffix":""},{"dropping-particle":"","family":"Möller","given":"Iris","non-dropping-particle":"","parse-names":false,"suffix":""},{"dropping-particle":"","family":"Spencer","given":"Tom","non-dropping-particle":"","parse-names":false,"suffix":""}],"container-title":"Natural Coastal Protection Series","id":"ITEM-1","issued":{"date-parts":[["2012"]]},"page":"1-27","title":"Reduction of Wind and Swell Waves by Mangroves","type":"article-journal"},"uris":["http://www.mendeley.com/documents/?uuid=55b9dfd5-c0bd-4b62-9bbd-bda96669ad2a"]},{"id":"ITEM-2","itemData":{"ISBN":"103340","abstract":"This guidance note provides review and recommendations for how the protective services of mangroves and coral reefs can be measured and valued in a manner consistent with national economic accounts and included in other decision-making processes to support planning for development, disaster risk, and coastal zone management.","author":[{"dropping-particle":"","family":"McIvor","given":"A","non-dropping-particle":"","parse-names":false,"suffix":""},{"dropping-particle":"","family":"Spencer","given":"Tom","non-dropping-particle":"","parse-names":false,"suffix":""},{"dropping-particle":"","family":"Möller","given":"Iris","non-dropping-particle":"","parse-names":false,"suffix":""},{"dropping-particle":"","family":"Spalding","given":"Mark","non-dropping-particle":"","parse-names":false,"suffix":""}],"container-title":"WAVES Technical Report","id":"ITEM-2","issue":"January","issued":{"date-parts":[["2016"]]},"page":"167","title":"Coastal Defense Services Provided by Mangroves","type":"article-journal"},"uris":["http://www.mendeley.com/documents/?uuid=52d4696f-a17e-449d-868d-81448db2a3a5"]}],"mendeley":{"formattedCitation":"(McIvor et al., 2016, 2012)","plainTextFormattedCitation":"(McIvor et al., 2016, 2012)","previouslyFormattedCitation":"(McIvor et al., 2016, 2012)"},"properties":{"noteIndex":0},"schema":"https://github.com/citation-style-language/schema/raw/master/csl-citation.json"}</w:instrText>
      </w:r>
      <w:r>
        <w:rPr>
          <w:lang w:val="en-US"/>
        </w:rPr>
        <w:fldChar w:fldCharType="separate"/>
      </w:r>
      <w:r w:rsidRPr="00843E52">
        <w:rPr>
          <w:noProof/>
          <w:lang w:val="en-US"/>
        </w:rPr>
        <w:t>(McIvor et al., 2016, 2012)</w:t>
      </w:r>
      <w:r>
        <w:rPr>
          <w:lang w:val="en-US"/>
        </w:rPr>
        <w:fldChar w:fldCharType="end"/>
      </w:r>
      <w:r>
        <w:rPr>
          <w:lang w:val="en-US"/>
        </w:rPr>
        <w:t xml:space="preserve">. Globally, it has been estimated that the world’s mangroves provide &gt;$US 65 billion annually in flood protection benefits alone </w:t>
      </w:r>
      <w:r>
        <w:rPr>
          <w:lang w:val="en-US"/>
        </w:rPr>
        <w:fldChar w:fldCharType="begin" w:fldLock="1"/>
      </w:r>
      <w:r>
        <w:rPr>
          <w:lang w:val="en-US"/>
        </w:rPr>
        <w:instrText>ADDIN CSL_CITATION {"citationItems":[{"id":"ITEM-1","itemData":{"DOI":"10.1038/s41598-020-61136-6","ISSN":"20452322","PMID":"32157114","abstract":"Coastal flood risks are rising rapidly. We provide high resolution estimates of the economic value of mangroves forests for flood risk reduction every 20 km worldwide. We develop a probabilistic, process-based valuation of the effects of mangroves on averting damages to people and property. We couple spatially-explicit 2-D hydrodynamic analyses with economic models, and find that mangroves provide flood protection benefits exceeding $US 65 billion per year. If mangroves were lost, 15 million more people would be flooded annually across the world. Some of the nations that receive the greatest economic benefits include the USA, China, India and Mexico. Vietnam, India and Bangladesh receive the greatest benefits in terms of people protected. Many (&gt;45) 20-km coastal stretches particularly those near cities receive more than $US 250 million annually in flood protection benefits from mangroves. These results demonstrate the value of mangroves as natural coastal defenses at global, national and local scales, which can inform incentives for mangrove conservation and restoration in development, climate adaptation, disaster risk reduction and insurance.","author":[{"dropping-particle":"","family":"Menéndez","given":"Pelayo","non-dropping-particle":"","parse-names":false,"suffix":""},{"dropping-particle":"","family":"Losada","given":"Iñigo J.","non-dropping-particle":"","parse-names":false,"suffix":""},{"dropping-particle":"","family":"Torres-Ortega","given":"Saul","non-dropping-particle":"","parse-names":false,"suffix":""},{"dropping-particle":"","family":"Narayan","given":"Siddharth","non-dropping-particle":"","parse-names":false,"suffix":""},{"dropping-particle":"","family":"Beck","given":"Michael W.","non-dropping-particle":"","parse-names":false,"suffix":""}],"container-title":"Scientific Reports","id":"ITEM-1","issue":"1","issued":{"date-parts":[["2020"]]},"title":"The Global Flood Protection Benefits of Mangroves","type":"article-journal","volume":"10"},"uris":["http://www.mendeley.com/documents/?uuid=cb960fd1-e704-4812-958f-1b284fd9086a"]}],"mendeley":{"formattedCitation":"(Menéndez et al., 2020)","plainTextFormattedCitation":"(Menéndez et al., 2020)","previouslyFormattedCitation":"(Menéndez et al., 2020)"},"properties":{"noteIndex":0},"schema":"https://github.com/citation-style-language/schema/raw/master/csl-citation.json"}</w:instrText>
      </w:r>
      <w:r>
        <w:rPr>
          <w:lang w:val="en-US"/>
        </w:rPr>
        <w:fldChar w:fldCharType="separate"/>
      </w:r>
      <w:r w:rsidRPr="0064796E">
        <w:rPr>
          <w:noProof/>
          <w:lang w:val="en-US"/>
        </w:rPr>
        <w:t>(Menéndez et al., 2020)</w:t>
      </w:r>
      <w:r>
        <w:rPr>
          <w:lang w:val="en-US"/>
        </w:rPr>
        <w:fldChar w:fldCharType="end"/>
      </w:r>
      <w:r>
        <w:rPr>
          <w:lang w:val="en-US"/>
        </w:rPr>
        <w:t xml:space="preserve">. In addition, mangrove root systems trap and accrete sediment over soil profiles that are largely comprised of dead root material and which can reach up to 10 m depth </w:t>
      </w:r>
      <w:r>
        <w:rPr>
          <w:lang w:val="en-US"/>
        </w:rPr>
        <w:fldChar w:fldCharType="begin" w:fldLock="1"/>
      </w:r>
      <w:r>
        <w:rPr>
          <w:lang w:val="en-US"/>
        </w:rPr>
        <w:instrText>ADDIN CSL_CITATION {"citationItems":[{"id":"ITEM-1","itemData":{"DOI":"10.1111/j.1466-8238.2007.00317.x","ISSN":"1466822X","abstract":"Aim: The long-term stability of coastal ecosystems such as mangroves and salt marshes depends upon the maintenance of soil elevations within the intertidal habitat as sea level changes. We examined the rates and processes of peat formation by mangroves of the Caribbean Region to better understand biological controls on habitat stability. Location: Mangrove-dominated islands on the Caribbean coasts of Belize, Honduras and Panama were selected as study sites. Methods: Biological processes controlling mangrove peat formation were manipulated (in Belize) by the addition of nutrients (nitrogen or phosphorus) to Rhizophora mangle (red mangrove), and the effects on the dynamics of soil elevation were determined over a 3-year period using rod surface elevation tables (RSET) and marker horizons. Peat composition and geological accretion rates were determined at all sites using radiocarbon-dated cores. Results: The addition of nutrients to mangroves caused significant changes in rates of mangrove root accumulation, which influenced both the rate and direction of change in elevation. Areas with low root input lost elevation and those with high rates gained elevation. These findings were consistent with peat analyses at multiple Caribbean sites showing that deposits (up to 10 m in depth) were composed primarily of mangrove root matter. Comparison of radiocarbon-dated cores at the study sites with a sea-level curve for the western Atlantic indicated a tight coupling between peat building in Caribbean mangroves and sea-level rise over the Holocene. Main conclusions: Mangroves common to the Caribbean region have adjusted to changing sea level mainly through subsurface accumulation of refractory mangrove roots. Without root and other organic inputs, submergence of these tidal forests is inevitable due to peat decomposition, physical compaction and eustatic sea-level rise. These findings have relevance for predicting the effects of sea-level rise and biophysical processes on tropical mangrove ecosystems. © 2007 The AuthorsJournal compilation © 2007 Blackwell Publishing Ltd.","author":[{"dropping-particle":"","family":"McKee","given":"Karen L.","non-dropping-particle":"","parse-names":false,"suffix":""},{"dropping-particle":"","family":"Cahoon","given":"Donald R.","non-dropping-particle":"","parse-names":false,"suffix":""},{"dropping-particle":"","family":"Feller","given":"Ilka C.","non-dropping-particle":"","parse-names":false,"suffix":""}],"container-title":"Global Ecology and Biogeography","id":"ITEM-1","issue":"5","issued":{"date-parts":[["2007"]]},"page":"545-556","title":"Caribbean mangroves adjust to rising sea level through biotic controls on change in soil elevation","type":"article-journal","volume":"16"},"uris":["http://www.mendeley.com/documents/?uuid=7562476d-5b53-4775-956f-205d4ce65347"]}],"mendeley":{"formattedCitation":"(McKee et al., 2007)","plainTextFormattedCitation":"(McKee et al., 2007)","previouslyFormattedCitation":"(McKee et al., 2007)"},"properties":{"noteIndex":0},"schema":"https://github.com/citation-style-language/schema/raw/master/csl-citation.json"}</w:instrText>
      </w:r>
      <w:r>
        <w:rPr>
          <w:lang w:val="en-US"/>
        </w:rPr>
        <w:fldChar w:fldCharType="separate"/>
      </w:r>
      <w:r w:rsidRPr="00DD4882">
        <w:rPr>
          <w:noProof/>
          <w:lang w:val="en-US"/>
        </w:rPr>
        <w:t>(McKee et al., 2007)</w:t>
      </w:r>
      <w:r>
        <w:rPr>
          <w:lang w:val="en-US"/>
        </w:rPr>
        <w:fldChar w:fldCharType="end"/>
      </w:r>
      <w:r>
        <w:rPr>
          <w:lang w:val="en-US"/>
        </w:rPr>
        <w:t>. Thus, to a point, mangroves have the ability to keep pace with and protect shorelines against Sea Level Rise (SLR).</w:t>
      </w:r>
    </w:p>
    <w:p w14:paraId="3722BA9E" w14:textId="77777777" w:rsidR="00FA0744" w:rsidRDefault="00FA0744" w:rsidP="00FA0744">
      <w:pPr>
        <w:spacing w:line="480" w:lineRule="auto"/>
        <w:rPr>
          <w:lang w:val="en-US"/>
        </w:rPr>
      </w:pPr>
    </w:p>
    <w:p w14:paraId="4A5E186A" w14:textId="6CCE1B9E" w:rsidR="00FA0744" w:rsidRPr="00BD5127" w:rsidRDefault="00FA0744" w:rsidP="00FA0744">
      <w:pPr>
        <w:spacing w:line="480" w:lineRule="auto"/>
        <w:rPr>
          <w:lang w:val="en-US"/>
        </w:rPr>
      </w:pPr>
      <w:r>
        <w:rPr>
          <w:lang w:val="en-US"/>
        </w:rPr>
        <w:t xml:space="preserve">Coastal wetland habitats, including mangroves, contain dense aggregations of reef fish </w:t>
      </w:r>
      <w:r>
        <w:rPr>
          <w:lang w:val="en-US"/>
        </w:rPr>
        <w:fldChar w:fldCharType="begin" w:fldLock="1"/>
      </w:r>
      <w:r>
        <w:rPr>
          <w:lang w:val="en-US"/>
        </w:rPr>
        <w:instrText>ADDIN CSL_CITATION {"citationItems":[{"id":"ITEM-1","itemData":{"DOI":"10.1016/j.ecss.2008.08.002","ISSN":"02727714","abstract":"Shallow soft-bottom habitats including mangroves and mudflats provide important nursery functions for juvenile fishes, but little information exists concerning the relative nursery value of these habitats for juvenile fishes. We compared the potential of a mangrove and a mudflat in a semi-enclosed bay in Hong Kong to serve as fish nurseries by measuring species composition, dietary composition, gut fullness and diet breadth of juvenile fishes. Fish abundance was higher in mangrove than mudflat, but species richness was almost similar between the two habitats. After excluding Ambassis gymnocephalus, which was found mainly in the mangrove, difference in fish abundance between the two habitats was small. The gut fullness and diet breath of most species did not differ between mangrove and mudflat, suggesting that the two habitats were very similar in terms of providing feeding opportunity for juvenile fishes. While the importance of mangrove as nursery of fishes has been repeatedly emphasized, our data suggest that other soft-bottom habitats, such as mudflats, are also important and need to be protected. © 2008 Elsevier Ltd. All rights reserved.","author":[{"dropping-particle":"","family":"Tse","given":"P.","non-dropping-particle":"","parse-names":false,"suffix":""},{"dropping-particle":"","family":"Nip","given":"T. H.M.","non-dropping-particle":"","parse-names":false,"suffix":""},{"dropping-particle":"","family":"Wong","given":"C. K.","non-dropping-particle":"","parse-names":false,"suffix":""}],"container-title":"Estuarine, Coastal and Shelf Science","id":"ITEM-1","issue":"2","issued":{"date-parts":[["2008"]]},"page":"235-242","title":"Nursery function of mangrove: A comparison with mudflat in terms of fish species composition and fish diet","type":"article-journal","volume":"80"},"uris":["http://www.mendeley.com/documents/?uuid=93d14312-0f24-4826-904d-33ff58c80265"]},{"id":"ITEM-2","itemData":{"abstract":"There has been much controversy over the degree to which mangroves and seagrass beds function as nursery habitats for the juveniles of fish species that live on coral reefs as adults. In previous studies we have shown that the juveniles of at least 17 Caribbean reef-fish species are highly associated with bays containing mangroves and sea- grass beds as nurseries, and that juveniles of these species are absent in bays lacking such habitats. In this study we there- fore hypothesised that on islands lacking these bay nursery habitats, adults of these fish species will be absent or show low densities on the coral reef. Densities of the 17 species were compared between the reefs of Caribbean islands with and without mangroves and seagrass beds. On reefs of islands lacking these habitats, complete absence or low den- sities were observed for 11 of the 17 species, several of which are of commercial importance to fisheries. This finding sug- gests a very important nursery function of such habitats and implies that the densities of several fish species on coral reefs are a function of the presence of nearby bays containing man- groves and seagrass beds as nurseries. The results indicate that degradation or loss of these habitats could have signifi- cant impacts on reef-fish stocks in the Caribbean.","author":[{"dropping-particle":"","family":"Nagelkerken","given":"I.","non-dropping-particle":"","parse-names":false,"suffix":""},{"dropping-particle":"","family":"Veldet","given":"G.","non-dropping-particle":"van der","parse-names":false,"suffix":""},{"dropping-particle":"","family":"Dorenboschr","given":"M.","non-dropping-particle":"","parse-names":false,"suffix":""},{"dropping-particle":"","family":"Rielr","given":"M. C.","non-dropping-particle":"van","parse-names":false,"suffix":""},{"dropping-particle":"","family":"Cocheret de la Morinière","given":"E.","non-dropping-particle":"","parse-names":false,"suffix":""},{"dropping-particle":"","family":"Nienhuis","given":"P. H.","non-dropping-particle":"","parse-names":false,"suffix":""}],"container-title":"Marine Ecology Progress Series","id":"ITEM-2","issue":"2002","issued":{"date-parts":[["2002"]]},"page":"299-305","title":"How important are mangroves and seagrass beds for coral-reef fish? The nursery hypothesis tested on an island scale","type":"article-journal","volume":"244"},"uris":["http://www.mendeley.com/documents/?uuid=c8ea95c4-0d20-47f9-b38d-8cca76d2f717"]}],"mendeley":{"formattedCitation":"(Nagelkerken et al., 2002; Tse et al., 2008)","plainTextFormattedCitation":"(Nagelkerken et al., 2002; Tse et al., 2008)","previouslyFormattedCitation":"(Nagelkerken et al., 2002; Tse et al., 2008)"},"properties":{"noteIndex":0},"schema":"https://github.com/citation-style-language/schema/raw/master/csl-citation.json"}</w:instrText>
      </w:r>
      <w:r>
        <w:rPr>
          <w:lang w:val="en-US"/>
        </w:rPr>
        <w:fldChar w:fldCharType="separate"/>
      </w:r>
      <w:r w:rsidRPr="004D73E4">
        <w:rPr>
          <w:noProof/>
          <w:lang w:val="en-US"/>
        </w:rPr>
        <w:t>(Nagelkerken et al., 2002; Tse et al., 2008)</w:t>
      </w:r>
      <w:r>
        <w:rPr>
          <w:lang w:val="en-US"/>
        </w:rPr>
        <w:fldChar w:fldCharType="end"/>
      </w:r>
      <w:r>
        <w:rPr>
          <w:lang w:val="en-US"/>
        </w:rPr>
        <w:t>. S</w:t>
      </w:r>
      <w:r w:rsidRPr="00313543">
        <w:rPr>
          <w:lang w:val="en-US"/>
        </w:rPr>
        <w:t xml:space="preserve">eagrass </w:t>
      </w:r>
      <w:r>
        <w:rPr>
          <w:lang w:val="en-US"/>
        </w:rPr>
        <w:t>beds</w:t>
      </w:r>
      <w:r w:rsidR="00F830AC">
        <w:rPr>
          <w:lang w:val="en-US"/>
        </w:rPr>
        <w:t xml:space="preserve"> and </w:t>
      </w:r>
      <w:r>
        <w:rPr>
          <w:lang w:val="en-US"/>
        </w:rPr>
        <w:t>mangroves can support increased fish biomass of 4000</w:t>
      </w:r>
      <w:r w:rsidR="00F830AC">
        <w:rPr>
          <w:lang w:val="en-US"/>
        </w:rPr>
        <w:t xml:space="preserve"> and </w:t>
      </w:r>
      <w:r>
        <w:rPr>
          <w:lang w:val="en-US"/>
        </w:rPr>
        <w:t>265 kg ha</w:t>
      </w:r>
      <w:r w:rsidRPr="00A10D25">
        <w:rPr>
          <w:vertAlign w:val="superscript"/>
          <w:lang w:val="en-US"/>
        </w:rPr>
        <w:t>-1</w:t>
      </w:r>
      <w:r>
        <w:rPr>
          <w:lang w:val="en-US"/>
        </w:rPr>
        <w:t xml:space="preserve"> yr</w:t>
      </w:r>
      <w:r w:rsidRPr="00A10D25">
        <w:rPr>
          <w:vertAlign w:val="superscript"/>
          <w:lang w:val="en-US"/>
        </w:rPr>
        <w:t>-1</w:t>
      </w:r>
      <w:r>
        <w:rPr>
          <w:lang w:val="en-US"/>
        </w:rPr>
        <w:t xml:space="preserve"> </w:t>
      </w:r>
      <w:r w:rsidRPr="00313543">
        <w:rPr>
          <w:lang w:val="en-US"/>
        </w:rPr>
        <w:t>compared to unvegetated seabed</w:t>
      </w:r>
      <w:r>
        <w:rPr>
          <w:lang w:val="en-US"/>
        </w:rPr>
        <w:t xml:space="preserve">, respectively </w:t>
      </w:r>
      <w:r>
        <w:rPr>
          <w:lang w:val="en-US"/>
        </w:rPr>
        <w:fldChar w:fldCharType="begin" w:fldLock="1"/>
      </w:r>
      <w:r>
        <w:rPr>
          <w:lang w:val="en-US"/>
        </w:rPr>
        <w:instrText>ADDIN CSL_CITATION {"citationItems":[{"id":"ITEM-1","itemData":{"DOI":"10.1016/j.ecoser.2020.101105","ISSN":"22120416","abstract":"Coastal ecosystems are estimated to support 95% of the world's commercially-important fish, owing largely to their provision of nursery habitat for juveniles; however, systematic databases with such data are scarce. By systematically reviewing the literature across Australia, we quantified fisheries enhancement from three key coastal vegetated habitats: seagrass meadows, mangrove forests, and tidal marshes. From juvenile densities, we modelled adult fish biomass enhancement resulting from these structured habitats and linked fish of economic importance with market values. We found that seagrass displayed higher per hectare abundance, biomass and economic enhancement compared to mangroves and tidal marshes. On average, one hectare of seagrass supported 55,000 more fish annually compared to unvegetated seabed, resulting in an additional biomass of 4000 kg and a value increase of AUD 21,200 annually. Mangroves supported 19,000 more fish, equivalent to 265 kg−1 ha−1 y−1, and tidal marshes provided a modest 1700 more fish, equivalent to 64 kg−1 ha−1 y−1. The most abundant fish across all ecosystems were small, non-commercial species (e.g. gobies and glassfish), but the highest biomass and economic value originated from larger, longer-lived fish that are regularly targeted by fisheries (e.g. breams and mullets). By quantifying enhancement value across Australia, our findings provide further evidence for, the benefit these critical habitats provide in supporting coastal fisheries and human well-being.","author":[{"dropping-particle":"","family":"Jänes","given":"Holger","non-dropping-particle":"","parse-names":false,"suffix":""},{"dropping-particle":"","family":"Macreadie","given":"Peter I.","non-dropping-particle":"","parse-names":false,"suffix":""},{"dropping-particle":"","family":"Zu Ermgassen","given":"Philine S.E.","non-dropping-particle":"","parse-names":false,"suffix":""},{"dropping-particle":"","family":"Gair","given":"Jonathan R.","non-dropping-particle":"","parse-names":false,"suffix":""},{"dropping-particle":"","family":"Treby","given":"Sarah","non-dropping-particle":"","parse-names":false,"suffix":""},{"dropping-particle":"","family":"Reeves","given":"Simon","non-dropping-particle":"","parse-names":false,"suffix":""},{"dropping-particle":"","family":"Nicholson","given":"Emily","non-dropping-particle":"","parse-names":false,"suffix":""},{"dropping-particle":"","family":"Ierodiaconou","given":"Daniel","non-dropping-particle":"","parse-names":false,"suffix":""},{"dropping-particle":"","family":"Carnell","given":"Paul","non-dropping-particle":"","parse-names":false,"suffix":""}],"container-title":"Ecosystem Services","id":"ITEM-1","issued":{"date-parts":[["2020"]]},"title":"Quantifying fisheries enhancement from coastal vegetated ecosystems","type":"article-journal","volume":"43"},"uris":["http://www.mendeley.com/documents/?uuid=5ef05d3e-5d4c-46b1-b3e8-850db71efce2"]}],"mendeley":{"formattedCitation":"(Jänes et al., 2020)","plainTextFormattedCitation":"(Jänes et al., 2020)","previouslyFormattedCitation":"(Jänes et al., 2020)"},"properties":{"noteIndex":0},"schema":"https://github.com/citation-style-language/schema/raw/master/csl-citation.json"}</w:instrText>
      </w:r>
      <w:r>
        <w:rPr>
          <w:lang w:val="en-US"/>
        </w:rPr>
        <w:fldChar w:fldCharType="separate"/>
      </w:r>
      <w:r w:rsidRPr="00F428B9">
        <w:rPr>
          <w:noProof/>
          <w:lang w:val="en-US"/>
        </w:rPr>
        <w:t>(Jänes et al., 2020)</w:t>
      </w:r>
      <w:r>
        <w:rPr>
          <w:lang w:val="en-US"/>
        </w:rPr>
        <w:fldChar w:fldCharType="end"/>
      </w:r>
      <w:r w:rsidRPr="00313543">
        <w:rPr>
          <w:lang w:val="en-US"/>
        </w:rPr>
        <w:t xml:space="preserve">. </w:t>
      </w:r>
      <w:r>
        <w:rPr>
          <w:lang w:val="en-US"/>
        </w:rPr>
        <w:t>C</w:t>
      </w:r>
      <w:r w:rsidRPr="004F3D9A">
        <w:rPr>
          <w:lang w:val="en-US"/>
        </w:rPr>
        <w:t xml:space="preserve">oastal </w:t>
      </w:r>
      <w:r>
        <w:rPr>
          <w:lang w:val="en-US"/>
        </w:rPr>
        <w:t xml:space="preserve">wetlands like these act as important habitats </w:t>
      </w:r>
      <w:r w:rsidRPr="004F3D9A">
        <w:rPr>
          <w:lang w:val="en-US"/>
        </w:rPr>
        <w:t xml:space="preserve">in the early life </w:t>
      </w:r>
      <w:r>
        <w:rPr>
          <w:lang w:val="en-US"/>
        </w:rPr>
        <w:t xml:space="preserve">stages </w:t>
      </w:r>
      <w:r w:rsidRPr="004F3D9A">
        <w:rPr>
          <w:lang w:val="en-US"/>
        </w:rPr>
        <w:t>of</w:t>
      </w:r>
      <w:r>
        <w:rPr>
          <w:lang w:val="en-US"/>
        </w:rPr>
        <w:t xml:space="preserve"> </w:t>
      </w:r>
      <w:r w:rsidRPr="004F3D9A">
        <w:rPr>
          <w:lang w:val="en-US"/>
        </w:rPr>
        <w:t>many marine fish species</w:t>
      </w:r>
      <w:r>
        <w:rPr>
          <w:lang w:val="en-US"/>
        </w:rPr>
        <w:t xml:space="preserve"> </w:t>
      </w:r>
      <w:r>
        <w:rPr>
          <w:lang w:val="en-US"/>
        </w:rPr>
        <w:fldChar w:fldCharType="begin" w:fldLock="1"/>
      </w:r>
      <w:r>
        <w:rPr>
          <w:lang w:val="en-US"/>
        </w:rPr>
        <w:instrText>ADDIN CSL_CITATION {"citationItems":[{"id":"ITEM-1","itemData":{"DOI":"10.1371/journal.pone.0114715","ISSN":"19326203","PMID":"25551761","abstract":"Identification of critical life-stage habitats is key to successful conservation efforts. Juveniles of some species show great flexibility in habitat use while other species rely heavily on a restricted number of juvenile habitats for protection and food. Considering the rapid degradation of coastal marine habitats worldwide, it is important to evaluate which species are more susceptible to loss of juvenile nursery habitats and how this differs across large biogeographic regions. Here we used a meta-analysis approach to investigate habitat use by juvenile reef fish species in tropical coastal ecosystems across the globe. Densities of juvenile fish species were compared among mangrove, seagrass and coral reef habitats. In the Caribbean, the majority of species showed significantly higher juvenile densities in mangroves as compared to seagrass beds and coral reefs, while for the Indo- Pacific region seagrass beds harbored the highest overall densities. Further analysis indicated that differences in tidal amplitude, irrespective of biogeographic region, appeared to be the major driver for this phenomenon. In addition, juvenile reef fish use of mangroves increased with increasing water salinity. In the Caribbean, species of specific families (e.g. Lutjanidae, Haemulidae) showed a higher reliance on mangroves or seagrass beds as juvenile habitats than other species, whereas in the Indo-Pacific family-specific trends of juvenile habitat utilization were less apparent. The findings of this study highlight the importance of incorporating region-specific tidal inundation regimes into marine spatial conservation planning and ecosystem based management. Furthermore, the significant role of water salinity and tidal access as drivers of mangrove fish habitat use implies that changes in seawater level and rainfall due to climate change may have important effects on how juvenile reef fish use nearshore seascapes in the future.","author":[{"dropping-particle":"","family":"Igulu","given":"Mathias M.","non-dropping-particle":"","parse-names":false,"suffix":""},{"dropping-particle":"","family":"Nagelkerken","given":"Ivan","non-dropping-particle":"","parse-names":false,"suffix":""},{"dropping-particle":"","family":"Dorenbosch","given":"Martijn","non-dropping-particle":"","parse-names":false,"suffix":""},{"dropping-particle":"","family":"Grol","given":"Monique G.G.","non-dropping-particle":"","parse-names":false,"suffix":""},{"dropping-particle":"","family":"Harborne","given":"Alastair R.","non-dropping-particle":"","parse-names":false,"suffix":""},{"dropping-particle":"","family":"Kimirei","given":"Ismael A.","non-dropping-particle":"","parse-names":false,"suffix":""},{"dropping-particle":"","family":"Mumby","given":"Peter J.","non-dropping-particle":"","parse-names":false,"suffix":""},{"dropping-particle":"","family":"Olds","given":"Andrew D.","non-dropping-particle":"","parse-names":false,"suffix":""},{"dropping-particle":"","family":"Mgaya","given":"Yunus D.","non-dropping-particle":"","parse-names":false,"suffix":""}],"container-title":"PLoS ONE","id":"ITEM-1","issue":"12","issued":{"date-parts":[["2014"]]},"title":"Mangrove habitat use by juvenile reef fish: Meta-analysis reveals that tidal regime matters more than biogeographic region","type":"article-journal","volume":"9"},"uris":["http://www.mendeley.com/documents/?uuid=aabb8b3d-9d43-4030-859c-ff7879c97af2"]},{"id":"ITEM-2","itemData":{"abstract":"There has been much controversy over the degree to which mangroves and seagrass beds function as nursery habitats for the juveniles of fish species that live on coral reefs as adults. In previous studies we have shown that the juveniles of at least 17 Caribbean reef-fish species are highly associated with bays containing mangroves and sea- grass beds as nurseries, and that juveniles of these species are absent in bays lacking such habitats. In this study we there- fore hypothesised that on islands lacking these bay nursery habitats, adults of these fish species will be absent or show low densities on the coral reef. Densities of the 17 species were compared between the reefs of Caribbean islands with and without mangroves and seagrass beds. On reefs of islands lacking these habitats, complete absence or low den- sities were observed for 11 of the 17 species, several of which are of commercial importance to fisheries. This finding sug- gests a very important nursery function of such habitats and implies that the densities of several fish species on coral reefs are a function of the presence of nearby bays containing man- groves and seagrass beds as nurseries. The results indicate that degradation or loss of these habitats could have signifi- cant impacts on reef-fish stocks in the Caribbean.","author":[{"dropping-particle":"","family":"Nagelkerken","given":"I.","non-dropping-particle":"","parse-names":false,"suffix":""},{"dropping-particle":"","family":"Veldet","given":"G.","non-dropping-particle":"van der","parse-names":false,"suffix":""},{"dropping-particle":"","family":"Dorenboschr","given":"M.","non-dropping-particle":"","parse-names":false,"suffix":""},{"dropping-particle":"","family":"Rielr","given":"M. C.","non-dropping-particle":"van","parse-names":false,"suffix":""},{"dropping-particle":"","family":"Cocheret de la Morinière","given":"E.","non-dropping-particle":"","parse-names":false,"suffix":""},{"dropping-particle":"","family":"Nienhuis","given":"P. H.","non-dropping-particle":"","parse-names":false,"suffix":""}],"container-title":"Marine Ecology Progress Series","id":"ITEM-2","issue":"2002","issued":{"date-parts":[["2002"]]},"page":"299-305","title":"How important are mangroves and seagrass beds for coral-reef fish? The nursery hypothesis tested on an island scale","type":"article-journal","volume":"244"},"uris":["http://www.mendeley.com/documents/?uuid=c8ea95c4-0d20-47f9-b38d-8cca76d2f717"]},{"id":"ITEM-3","itemData":{"DOI":"10.1016/j.ecss.2008.08.002","ISSN":"02727714","abstract":"Shallow soft-bottom habitats including mangroves and mudflats provide important nursery functions for juvenile fishes, but little information exists concerning the relative nursery value of these habitats for juvenile fishes. We compared the potential of a mangrove and a mudflat in a semi-enclosed bay in Hong Kong to serve as fish nurseries by measuring species composition, dietary composition, gut fullness and diet breadth of juvenile fishes. Fish abundance was higher in mangrove than mudflat, but species richness was almost similar between the two habitats. After excluding Ambassis gymnocephalus, which was found mainly in the mangrove, difference in fish abundance between the two habitats was small. The gut fullness and diet breath of most species did not differ between mangrove and mudflat, suggesting that the two habitats were very similar in terms of providing feeding opportunity for juvenile fishes. While the importance of mangrove as nursery of fishes has been repeatedly emphasized, our data suggest that other soft-bottom habitats, such as mudflats, are also important and need to be protected. © 2008 Elsevier Ltd. All rights reserved.","author":[{"dropping-particle":"","family":"Tse","given":"P.","non-dropping-particle":"","parse-names":false,"suffix":""},{"dropping-particle":"","family":"Nip","given":"T. H.M.","non-dropping-particle":"","parse-names":false,"suffix":""},{"dropping-particle":"","family":"Wong","given":"C. K.","non-dropping-particle":"","parse-names":false,"suffix":""}],"container-title":"Estuarine, Coastal and Shelf Science","id":"ITEM-3","issue":"2","issued":{"date-parts":[["2008"]]},"page":"235-242","title":"Nursery function of mangrove: A comparison with mudflat in terms of fish species composition and fish diet","type":"article-journal","volume":"80"},"uris":["http://www.mendeley.com/documents/?uuid=93d14312-0f24-4826-904d-33ff58c80265"]}],"mendeley":{"formattedCitation":"(Igulu et al., 2014; Nagelkerken et al., 2002; Tse et al., 2008)","plainTextFormattedCitation":"(Igulu et al., 2014; Nagelkerken et al., 2002; Tse et al., 2008)","previouslyFormattedCitation":"(Igulu et al., 2014; Nagelkerken et al., 2002; Tse et al., 2008)"},"properties":{"noteIndex":0},"schema":"https://github.com/citation-style-language/schema/raw/master/csl-citation.json"}</w:instrText>
      </w:r>
      <w:r>
        <w:rPr>
          <w:lang w:val="en-US"/>
        </w:rPr>
        <w:fldChar w:fldCharType="separate"/>
      </w:r>
      <w:r w:rsidRPr="003A7C10">
        <w:rPr>
          <w:noProof/>
          <w:lang w:val="en-US"/>
        </w:rPr>
        <w:t xml:space="preserve">(Igulu et al., 2014; Nagelkerken et al., 2002; Tse </w:t>
      </w:r>
      <w:r w:rsidRPr="003A7C10">
        <w:rPr>
          <w:noProof/>
          <w:lang w:val="en-US"/>
        </w:rPr>
        <w:lastRenderedPageBreak/>
        <w:t>et al., 2008)</w:t>
      </w:r>
      <w:r>
        <w:rPr>
          <w:lang w:val="en-US"/>
        </w:rPr>
        <w:fldChar w:fldCharType="end"/>
      </w:r>
      <w:r>
        <w:rPr>
          <w:lang w:val="en-US"/>
        </w:rPr>
        <w:t xml:space="preserve"> and their structural complexity and high productivity provide ample feeding grounds and protection from predators to juveniles </w:t>
      </w:r>
      <w:r>
        <w:rPr>
          <w:lang w:val="en-US"/>
        </w:rPr>
        <w:fldChar w:fldCharType="begin" w:fldLock="1"/>
      </w:r>
      <w:r>
        <w:rPr>
          <w:lang w:val="en-US"/>
        </w:rPr>
        <w:instrText>ADDIN CSL_CITATION {"citationItems":[{"id":"ITEM-1","itemData":{"DOI":"10.1371/journal.pone.0114715","ISSN":"19326203","PMID":"25551761","abstract":"Identification of critical life-stage habitats is key to successful conservation efforts. Juveniles of some species show great flexibility in habitat use while other species rely heavily on a restricted number of juvenile habitats for protection and food. Considering the rapid degradation of coastal marine habitats worldwide, it is important to evaluate which species are more susceptible to loss of juvenile nursery habitats and how this differs across large biogeographic regions. Here we used a meta-analysis approach to investigate habitat use by juvenile reef fish species in tropical coastal ecosystems across the globe. Densities of juvenile fish species were compared among mangrove, seagrass and coral reef habitats. In the Caribbean, the majority of species showed significantly higher juvenile densities in mangroves as compared to seagrass beds and coral reefs, while for the Indo- Pacific region seagrass beds harbored the highest overall densities. Further analysis indicated that differences in tidal amplitude, irrespective of biogeographic region, appeared to be the major driver for this phenomenon. In addition, juvenile reef fish use of mangroves increased with increasing water salinity. In the Caribbean, species of specific families (e.g. Lutjanidae, Haemulidae) showed a higher reliance on mangroves or seagrass beds as juvenile habitats than other species, whereas in the Indo-Pacific family-specific trends of juvenile habitat utilization were less apparent. The findings of this study highlight the importance of incorporating region-specific tidal inundation regimes into marine spatial conservation planning and ecosystem based management. Furthermore, the significant role of water salinity and tidal access as drivers of mangrove fish habitat use implies that changes in seawater level and rainfall due to climate change may have important effects on how juvenile reef fish use nearshore seascapes in the future.","author":[{"dropping-particle":"","family":"Igulu","given":"Mathias M.","non-dropping-particle":"","parse-names":false,"suffix":""},{"dropping-particle":"","family":"Nagelkerken","given":"Ivan","non-dropping-particle":"","parse-names":false,"suffix":""},{"dropping-particle":"","family":"Dorenbosch","given":"Martijn","non-dropping-particle":"","parse-names":false,"suffix":""},{"dropping-particle":"","family":"Grol","given":"Monique G.G.","non-dropping-particle":"","parse-names":false,"suffix":""},{"dropping-particle":"","family":"Harborne","given":"Alastair R.","non-dropping-particle":"","parse-names":false,"suffix":""},{"dropping-particle":"","family":"Kimirei","given":"Ismael A.","non-dropping-particle":"","parse-names":false,"suffix":""},{"dropping-particle":"","family":"Mumby","given":"Peter J.","non-dropping-particle":"","parse-names":false,"suffix":""},{"dropping-particle":"","family":"Olds","given":"Andrew D.","non-dropping-particle":"","parse-names":false,"suffix":""},{"dropping-particle":"","family":"Mgaya","given":"Yunus D.","non-dropping-particle":"","parse-names":false,"suffix":""}],"container-title":"PLoS ONE","id":"ITEM-1","issue":"12","issued":{"date-parts":[["2014"]]},"title":"Mangrove habitat use by juvenile reef fish: Meta-analysis reveals that tidal regime matters more than biogeographic region","type":"article-journal","volume":"9"},"uris":["http://www.mendeley.com/documents/?uuid=aabb8b3d-9d43-4030-859c-ff7879c97af2"]}],"mendeley":{"formattedCitation":"(Igulu et al., 2014)","plainTextFormattedCitation":"(Igulu et al., 2014)","previouslyFormattedCitation":"(Igulu et al., 2014)"},"properties":{"noteIndex":0},"schema":"https://github.com/citation-style-language/schema/raw/master/csl-citation.json"}</w:instrText>
      </w:r>
      <w:r>
        <w:rPr>
          <w:lang w:val="en-US"/>
        </w:rPr>
        <w:fldChar w:fldCharType="separate"/>
      </w:r>
      <w:r w:rsidRPr="004D73E4">
        <w:rPr>
          <w:noProof/>
          <w:lang w:val="en-US"/>
        </w:rPr>
        <w:t>(Igulu et al., 2014)</w:t>
      </w:r>
      <w:r>
        <w:rPr>
          <w:lang w:val="en-US"/>
        </w:rPr>
        <w:fldChar w:fldCharType="end"/>
      </w:r>
      <w:r>
        <w:rPr>
          <w:lang w:val="en-US"/>
        </w:rPr>
        <w:t xml:space="preserve">. Mangroves in particular </w:t>
      </w:r>
      <w:proofErr w:type="spellStart"/>
      <w:r>
        <w:rPr>
          <w:lang w:val="en-US"/>
        </w:rPr>
        <w:t>harbour</w:t>
      </w:r>
      <w:proofErr w:type="spellEnd"/>
      <w:r>
        <w:rPr>
          <w:lang w:val="en-US"/>
        </w:rPr>
        <w:t xml:space="preserve"> high densities of juvenile reef fish </w:t>
      </w:r>
      <w:r>
        <w:rPr>
          <w:lang w:val="en-US"/>
        </w:rPr>
        <w:fldChar w:fldCharType="begin" w:fldLock="1"/>
      </w:r>
      <w:r>
        <w:rPr>
          <w:lang w:val="en-US"/>
        </w:rPr>
        <w:instrText>ADDIN CSL_CITATION {"citationItems":[{"id":"ITEM-1","itemData":{"DOI":"10.1371/journal.pone.0114715","ISSN":"19326203","PMID":"25551761","abstract":"Identification of critical life-stage habitats is key to successful conservation efforts. Juveniles of some species show great flexibility in habitat use while other species rely heavily on a restricted number of juvenile habitats for protection and food. Considering the rapid degradation of coastal marine habitats worldwide, it is important to evaluate which species are more susceptible to loss of juvenile nursery habitats and how this differs across large biogeographic regions. Here we used a meta-analysis approach to investigate habitat use by juvenile reef fish species in tropical coastal ecosystems across the globe. Densities of juvenile fish species were compared among mangrove, seagrass and coral reef habitats. In the Caribbean, the majority of species showed significantly higher juvenile densities in mangroves as compared to seagrass beds and coral reefs, while for the Indo- Pacific region seagrass beds harbored the highest overall densities. Further analysis indicated that differences in tidal amplitude, irrespective of biogeographic region, appeared to be the major driver for this phenomenon. In addition, juvenile reef fish use of mangroves increased with increasing water salinity. In the Caribbean, species of specific families (e.g. Lutjanidae, Haemulidae) showed a higher reliance on mangroves or seagrass beds as juvenile habitats than other species, whereas in the Indo-Pacific family-specific trends of juvenile habitat utilization were less apparent. The findings of this study highlight the importance of incorporating region-specific tidal inundation regimes into marine spatial conservation planning and ecosystem based management. Furthermore, the significant role of water salinity and tidal access as drivers of mangrove fish habitat use implies that changes in seawater level and rainfall due to climate change may have important effects on how juvenile reef fish use nearshore seascapes in the future.","author":[{"dropping-particle":"","family":"Igulu","given":"Mathias M.","non-dropping-particle":"","parse-names":false,"suffix":""},{"dropping-particle":"","family":"Nagelkerken","given":"Ivan","non-dropping-particle":"","parse-names":false,"suffix":""},{"dropping-particle":"","family":"Dorenbosch","given":"Martijn","non-dropping-particle":"","parse-names":false,"suffix":""},{"dropping-particle":"","family":"Grol","given":"Monique G.G.","non-dropping-particle":"","parse-names":false,"suffix":""},{"dropping-particle":"","family":"Harborne","given":"Alastair R.","non-dropping-particle":"","parse-names":false,"suffix":""},{"dropping-particle":"","family":"Kimirei","given":"Ismael A.","non-dropping-particle":"","parse-names":false,"suffix":""},{"dropping-particle":"","family":"Mumby","given":"Peter J.","non-dropping-particle":"","parse-names":false,"suffix":""},{"dropping-particle":"","family":"Olds","given":"Andrew D.","non-dropping-particle":"","parse-names":false,"suffix":""},{"dropping-particle":"","family":"Mgaya","given":"Yunus D.","non-dropping-particle":"","parse-names":false,"suffix":""}],"container-title":"PLoS ONE","id":"ITEM-1","issue":"12","issued":{"date-parts":[["2014"]]},"title":"Mangrove habitat use by juvenile reef fish: Meta-analysis reveals that tidal regime matters more than biogeographic region","type":"article-journal","volume":"9"},"uris":["http://www.mendeley.com/documents/?uuid=aabb8b3d-9d43-4030-859c-ff7879c97af2"]}],"mendeley":{"formattedCitation":"(Igulu et al., 2014)","plainTextFormattedCitation":"(Igulu et al., 2014)","previouslyFormattedCitation":"(Igulu et al., 2014)"},"properties":{"noteIndex":0},"schema":"https://github.com/citation-style-language/schema/raw/master/csl-citation.json"}</w:instrText>
      </w:r>
      <w:r>
        <w:rPr>
          <w:lang w:val="en-US"/>
        </w:rPr>
        <w:fldChar w:fldCharType="separate"/>
      </w:r>
      <w:r w:rsidRPr="00583CD1">
        <w:rPr>
          <w:noProof/>
          <w:lang w:val="en-US"/>
        </w:rPr>
        <w:t>(Igulu et al., 2014)</w:t>
      </w:r>
      <w:r>
        <w:rPr>
          <w:lang w:val="en-US"/>
        </w:rPr>
        <w:fldChar w:fldCharType="end"/>
      </w:r>
      <w:r>
        <w:rPr>
          <w:lang w:val="en-US"/>
        </w:rPr>
        <w:t xml:space="preserve">. For example in the Caribbean, reefs adjacent to mangroves contained significantly higher densities of common reef fish species when compared to reefs lacking mangroves </w:t>
      </w:r>
      <w:r>
        <w:rPr>
          <w:lang w:val="en-US"/>
        </w:rPr>
        <w:fldChar w:fldCharType="begin" w:fldLock="1"/>
      </w:r>
      <w:r>
        <w:rPr>
          <w:lang w:val="en-US"/>
        </w:rPr>
        <w:instrText>ADDIN CSL_CITATION {"citationItems":[{"id":"ITEM-1","itemData":{"abstract":"There has been much controversy over the degree to which mangroves and seagrass beds function as nursery habitats for the juveniles of fish species that live on coral reefs as adults. In previous studies we have shown that the juveniles of at least 17 Caribbean reef-fish species are highly associated with bays containing mangroves and sea- grass beds as nurseries, and that juveniles of these species are absent in bays lacking such habitats. In this study we there- fore hypothesised that on islands lacking these bay nursery habitats, adults of these fish species will be absent or show low densities on the coral reef. Densities of the 17 species were compared between the reefs of Caribbean islands with and without mangroves and seagrass beds. On reefs of islands lacking these habitats, complete absence or low den- sities were observed for 11 of the 17 species, several of which are of commercial importance to fisheries. This finding sug- gests a very important nursery function of such habitats and implies that the densities of several fish species on coral reefs are a function of the presence of nearby bays containing man- groves and seagrass beds as nurseries. The results indicate that degradation or loss of these habitats could have signifi- cant impacts on reef-fish stocks in the Caribbean.","author":[{"dropping-particle":"","family":"Nagelkerken","given":"I.","non-dropping-particle":"","parse-names":false,"suffix":""},{"dropping-particle":"","family":"Veldet","given":"G.","non-dropping-particle":"van der","parse-names":false,"suffix":""},{"dropping-particle":"","family":"Dorenboschr","given":"M.","non-dropping-particle":"","parse-names":false,"suffix":""},{"dropping-particle":"","family":"Rielr","given":"M. C.","non-dropping-particle":"van","parse-names":false,"suffix":""},{"dropping-particle":"","family":"Cocheret de la Morinière","given":"E.","non-dropping-particle":"","parse-names":false,"suffix":""},{"dropping-particle":"","family":"Nienhuis","given":"P. H.","non-dropping-particle":"","parse-names":false,"suffix":""}],"container-title":"Marine Ecology Progress Series","id":"ITEM-1","issue":"2002","issued":{"date-parts":[["2002"]]},"page":"299-305","title":"How important are mangroves and seagrass beds for coral-reef fish? The nursery hypothesis tested on an island scale","type":"article-journal","volume":"244"},"uris":["http://www.mendeley.com/documents/?uuid=c8ea95c4-0d20-47f9-b38d-8cca76d2f717"]}],"mendeley":{"formattedCitation":"(Nagelkerken et al., 2002)","plainTextFormattedCitation":"(Nagelkerken et al., 2002)","previouslyFormattedCitation":"(Nagelkerken et al., 2002)"},"properties":{"noteIndex":0},"schema":"https://github.com/citation-style-language/schema/raw/master/csl-citation.json"}</w:instrText>
      </w:r>
      <w:r>
        <w:rPr>
          <w:lang w:val="en-US"/>
        </w:rPr>
        <w:fldChar w:fldCharType="separate"/>
      </w:r>
      <w:r w:rsidRPr="00484EC9">
        <w:rPr>
          <w:noProof/>
          <w:lang w:val="en-US"/>
        </w:rPr>
        <w:t>(Nagelkerken et al., 2002)</w:t>
      </w:r>
      <w:r>
        <w:rPr>
          <w:lang w:val="en-US"/>
        </w:rPr>
        <w:fldChar w:fldCharType="end"/>
      </w:r>
      <w:r>
        <w:rPr>
          <w:lang w:val="en-US"/>
        </w:rPr>
        <w:t xml:space="preserve">. Moreover, in degraded coral reef habitats where nearby mangrove nurseries are available, the reef can support similar fish densities as in non-degraded reefs </w:t>
      </w:r>
      <w:r>
        <w:rPr>
          <w:lang w:val="en-US"/>
        </w:rPr>
        <w:fldChar w:fldCharType="begin" w:fldLock="1"/>
      </w:r>
      <w:r>
        <w:rPr>
          <w:lang w:val="en-US"/>
        </w:rPr>
        <w:instrText>ADDIN CSL_CITATION {"citationItems":[{"id":"ITEM-1","itemData":{"DOI":"10.1371/journal.pbio.3000510","ISSN":"15457885","PMID":"31714938","abstract":"Despite general and wide-ranging negative effects of coral reef degradation on reef communities, hope might exist for reef-associated predators that use nursery habitats. When reef structural complexity is lost, refuge density declines and prey vulnerability increases. Here, we explore whether the presence of nursery habitats can promote high predator productivity on degraded reefs by mitigating the costs of increased vulnerability in early life, whilst allowing for the benefits of increased food availability in adulthood. We apply size-based ecosystem models of coral reefs with high and low structural complexity to predict fish biomass and productivity in the presence and absence of mangrove nurseries. Our scenarios allow us to elucidate the interacting effects of refuge availability and ontogenetic habitat shifts for fisheries productivity. We find that low complexity, degraded reefs with nurseries can support fisheries productivity that is equal to or greater than that in complex reefs that lack nurseries. We compare and validate model predictions with field data from Belize. Our results should inform reef fisheries management strategies and protected areas now and into the future.","author":[{"dropping-particle":"","family":"Rogers","given":"Alice","non-dropping-particle":"","parse-names":false,"suffix":""},{"dropping-particle":"","family":"Mumby","given":"Peter J.","non-dropping-particle":"","parse-names":false,"suffix":""}],"container-title":"PLoS Biology","id":"ITEM-1","issue":"11","issued":{"date-parts":[["2019"]]},"title":"Mangroves reduce the vulnerability of coral reef fisheries to habitat degradation","type":"article-journal","volume":"17"},"uris":["http://www.mendeley.com/documents/?uuid=cb6762e7-3d33-41b6-a026-6641f76ddb80"]}],"mendeley":{"formattedCitation":"(Rogers and Mumby, 2019)","plainTextFormattedCitation":"(Rogers and Mumby, 2019)","previouslyFormattedCitation":"(Rogers and Mumby, 2019)"},"properties":{"noteIndex":0},"schema":"https://github.com/citation-style-language/schema/raw/master/csl-citation.json"}</w:instrText>
      </w:r>
      <w:r>
        <w:rPr>
          <w:lang w:val="en-US"/>
        </w:rPr>
        <w:fldChar w:fldCharType="separate"/>
      </w:r>
      <w:r w:rsidRPr="00370794">
        <w:rPr>
          <w:noProof/>
          <w:lang w:val="en-US"/>
        </w:rPr>
        <w:t>(Rogers and Mumby, 2019)</w:t>
      </w:r>
      <w:r>
        <w:rPr>
          <w:lang w:val="en-US"/>
        </w:rPr>
        <w:fldChar w:fldCharType="end"/>
      </w:r>
      <w:r>
        <w:rPr>
          <w:lang w:val="en-US"/>
        </w:rPr>
        <w:t>.</w:t>
      </w:r>
    </w:p>
    <w:p w14:paraId="16DB6C42" w14:textId="77777777" w:rsidR="00FA0744" w:rsidRDefault="00FA0744" w:rsidP="00FA0744">
      <w:pPr>
        <w:spacing w:line="480" w:lineRule="auto"/>
        <w:rPr>
          <w:lang w:val="en-US"/>
        </w:rPr>
      </w:pPr>
    </w:p>
    <w:p w14:paraId="7AD4D9F8" w14:textId="77777777" w:rsidR="00FA0744" w:rsidRDefault="00FA0744" w:rsidP="00FA0744">
      <w:pPr>
        <w:spacing w:line="480" w:lineRule="auto"/>
        <w:rPr>
          <w:lang w:val="en-US"/>
        </w:rPr>
      </w:pPr>
      <w:r w:rsidRPr="00DA0AE2">
        <w:rPr>
          <w:lang w:val="en-US"/>
        </w:rPr>
        <w:t>It</w:t>
      </w:r>
      <w:r>
        <w:rPr>
          <w:lang w:val="en-US"/>
        </w:rPr>
        <w:t xml:space="preserve"> has long been argued that mangroves export locally derived carbon, which contributes to trophic webs in adjacent coastal ecosystems </w:t>
      </w:r>
      <w:r>
        <w:rPr>
          <w:lang w:val="en-US"/>
        </w:rPr>
        <w:fldChar w:fldCharType="begin" w:fldLock="1"/>
      </w:r>
      <w:r>
        <w:rPr>
          <w:lang w:val="en-US"/>
        </w:rPr>
        <w:instrText>ADDIN CSL_CITATION {"citationItems":[{"id":"ITEM-1","itemData":{"abstract":"Fringing the southwest coast of Florida is a mangrove belt which supports large populations of birds, gamefishes, and invertebrate species of commercial importance. A study was conducted between 1967 and 1969 in the North River basin of this mangrove region to determine the energy basis for this large population of animals and to delineate the routes by which energy is transferred through the food web. This is the first of three publications summarizing the results of this study. It consists of summaries of food habits for most of the fish and aquatic invertebrate species which occur in the North River mangrove ecosystem. In addition to our data, which include in excess of 10,000 analyses of stomach contents, information from other publications has been summarized where pertinent. Finally, for most species there is an estimate of relative importance in the North River system in terms of abundance.","author":[{"dropping-particle":"","family":"Odum","given":"William E.","non-dropping-particle":"","parse-names":false,"suffix":""},{"dropping-particle":"","family":"Heald","given":"Eric J.","non-dropping-particle":"","parse-names":false,"suffix":""}],"container-title":"Bulletin of Marine Science","id":"ITEM-1","issue":"3","issued":{"date-parts":[["1972"]]},"page":"671-738","title":"Trophic Analyses of an Estuarine Mangrove Community","type":"article-journal","volume":"22"},"uris":["http://www.mendeley.com/documents/?uuid=54493bdd-29d8-46ff-9075-34622aee5f14"]}],"mendeley":{"formattedCitation":"(Odum and Heald, 1972)","plainTextFormattedCitation":"(Odum and Heald, 1972)","previouslyFormattedCitation":"(Odum and Heald, 1972)"},"properties":{"noteIndex":0},"schema":"https://github.com/citation-style-language/schema/raw/master/csl-citation.json"}</w:instrText>
      </w:r>
      <w:r>
        <w:rPr>
          <w:lang w:val="en-US"/>
        </w:rPr>
        <w:fldChar w:fldCharType="separate"/>
      </w:r>
      <w:r w:rsidRPr="001452BC">
        <w:rPr>
          <w:noProof/>
          <w:lang w:val="en-US"/>
        </w:rPr>
        <w:t>(Odum and Heald, 1972)</w:t>
      </w:r>
      <w:r>
        <w:rPr>
          <w:lang w:val="en-US"/>
        </w:rPr>
        <w:fldChar w:fldCharType="end"/>
      </w:r>
      <w:r>
        <w:rPr>
          <w:lang w:val="en-US"/>
        </w:rPr>
        <w:t>. This principle, termed ‘</w:t>
      </w:r>
      <w:proofErr w:type="spellStart"/>
      <w:r>
        <w:rPr>
          <w:lang w:val="en-US"/>
        </w:rPr>
        <w:t>outwelling</w:t>
      </w:r>
      <w:proofErr w:type="spellEnd"/>
      <w:r>
        <w:rPr>
          <w:lang w:val="en-US"/>
        </w:rPr>
        <w:t xml:space="preserve">’, is often cited as a reason for mangrove conservation. However, there is still considerable debate as to the significance of exported carbon to </w:t>
      </w:r>
      <w:proofErr w:type="spellStart"/>
      <w:r>
        <w:rPr>
          <w:lang w:val="en-US"/>
        </w:rPr>
        <w:t>neighbouring</w:t>
      </w:r>
      <w:proofErr w:type="spellEnd"/>
      <w:r>
        <w:rPr>
          <w:lang w:val="en-US"/>
        </w:rPr>
        <w:t xml:space="preserve"> habitats </w:t>
      </w:r>
      <w:r>
        <w:rPr>
          <w:lang w:val="en-US"/>
        </w:rPr>
        <w:fldChar w:fldCharType="begin" w:fldLock="1"/>
      </w:r>
      <w:r>
        <w:rPr>
          <w:lang w:val="en-US"/>
        </w:rPr>
        <w:instrText>ADDIN CSL_CITATION {"citationItems":[{"id":"ITEM-1","itemData":{"DOI":"10.1029/2007GB003052","ISBN":"0886-6236","ISSN":"08866236","PMID":"208059789","abstract":"Mangrove forests are highly productive but globally threatened coastal ecosystems, whose role in the carbon budget of the coastal zone has long been debated. Here we provide a comprehensive synthesis of the available data on carbon fluxes in mangrove ecosystems. A reassessment of global mangrove primary production from the literature results in a conservative estimate of similar to 218 +/- 72 Tg C a(-1). When using the best available estimates of various carbon sinks (organic carbon export, sediment burial, and mineralization), it appears that &gt; 50% of the carbon fixed by mangrove vegetation is unaccounted for. This unaccounted carbon sink is conservatively estimated at similar to 112 +/- 85 Tg C a(-1), equivalent in magnitude to similar to 30-40% of the global riverine organic carbon input to the coastal zone. Our analysis suggests that mineralization is severely underestimated, and that the majority of carbon export from mangroves to adjacent waters occurs as dissolved inorganic carbon (DIC). CO(2) efflux from sediments and creek waters and tidal export of DIC appear to be the major sinks. These processes are quantitatively comparable in magnitude to the unaccounted carbon sink in current budgets, but are not yet adequately constrained with the limited published data available so far.","author":[{"dropping-particle":"","family":"Bouillon","given":"Steven","non-dropping-particle":"","parse-names":false,"suffix":""},{"dropping-particle":"V.","family":"Borges","given":"Alberto","non-dropping-particle":"","parse-names":false,"suffix":""},{"dropping-particle":"","family":"Castañeda-Moya","given":"Edward","non-dropping-particle":"","parse-names":false,"suffix":""},{"dropping-particle":"","family":"Diele","given":"Karen","non-dropping-particle":"","parse-names":false,"suffix":""},{"dropping-particle":"","family":"Dittmar","given":"Thorsten","non-dropping-particle":"","parse-names":false,"suffix":""},{"dropping-particle":"","family":"Duke","given":"Norman C.","non-dropping-particle":"","parse-names":false,"suffix":""},{"dropping-particle":"","family":"Kristensen","given":"Erik","non-dropping-particle":"","parse-names":false,"suffix":""},{"dropping-particle":"","family":"Lee","given":"Shing Y.","non-dropping-particle":"","parse-names":false,"suffix":""},{"dropping-particle":"","family":"Marchand","given":"Cyril","non-dropping-particle":"","parse-names":false,"suffix":""},{"dropping-particle":"","family":"Middelburg","given":"Jack J.","non-dropping-particle":"","parse-names":false,"suffix":""},{"dropping-particle":"","family":"Rivera-Monroy","given":"Victor H.","non-dropping-particle":"","parse-names":false,"suffix":""},{"dropping-particle":"","family":"Smith","given":"Thomas J.","non-dropping-particle":"","parse-names":false,"suffix":""},{"dropping-particle":"","family":"Twilley","given":"Robert R.","non-dropping-particle":"","parse-names":false,"suffix":""}],"container-title":"Global Biogeochemical Cycles","id":"ITEM-1","issue":"2","issued":{"date-parts":[["2008","6","9"]]},"title":"Mangrove production and carbon sinks: A revision of global budget estimates","type":"article-journal","volume":"22"},"uris":["http://www.mendeley.com/documents/?uuid=4c6861df-7364-4b1c-b518-f90c03ee1c54"]}],"mendeley":{"formattedCitation":"(Bouillon et al., 2008)","plainTextFormattedCitation":"(Bouillon et al., 2008)","previouslyFormattedCitation":"(Bouillon et al., 2008)"},"properties":{"noteIndex":0},"schema":"https://github.com/citation-style-language/schema/raw/master/csl-citation.json"}</w:instrText>
      </w:r>
      <w:r>
        <w:rPr>
          <w:lang w:val="en-US"/>
        </w:rPr>
        <w:fldChar w:fldCharType="separate"/>
      </w:r>
      <w:r w:rsidRPr="00274694">
        <w:rPr>
          <w:noProof/>
          <w:lang w:val="en-US"/>
        </w:rPr>
        <w:t>(Bouillon et al., 2008)</w:t>
      </w:r>
      <w:r>
        <w:rPr>
          <w:lang w:val="en-US"/>
        </w:rPr>
        <w:fldChar w:fldCharType="end"/>
      </w:r>
      <w:r>
        <w:rPr>
          <w:lang w:val="en-US"/>
        </w:rPr>
        <w:t xml:space="preserve">. Mass balance calculations show that, of total mangrove primary production, ~21% is exported as a combination of Particulate Organic Carbon (POC) and Dissolved Organic Carbon (DOC) </w:t>
      </w:r>
      <w:r>
        <w:rPr>
          <w:lang w:val="en-US"/>
        </w:rPr>
        <w:fldChar w:fldCharType="begin" w:fldLock="1"/>
      </w:r>
      <w:r>
        <w:rPr>
          <w:lang w:val="en-US"/>
        </w:rPr>
        <w:instrText>ADDIN CSL_CITATION {"citationItems":[{"id":"ITEM-1","itemData":{"DOI":"10.1029/2007GB003052","ISBN":"0886-6236","ISSN":"08866236","PMID":"208059789","abstract":"Mangrove forests are highly productive but globally threatened coastal ecosystems, whose role in the carbon budget of the coastal zone has long been debated. Here we provide a comprehensive synthesis of the available data on carbon fluxes in mangrove ecosystems. A reassessment of global mangrove primary production from the literature results in a conservative estimate of similar to 218 +/- 72 Tg C a(-1). When using the best available estimates of various carbon sinks (organic carbon export, sediment burial, and mineralization), it appears that &gt; 50% of the carbon fixed by mangrove vegetation is unaccounted for. This unaccounted carbon sink is conservatively estimated at similar to 112 +/- 85 Tg C a(-1), equivalent in magnitude to similar to 30-40% of the global riverine organic carbon input to the coastal zone. Our analysis suggests that mineralization is severely underestimated, and that the majority of carbon export from mangroves to adjacent waters occurs as dissolved inorganic carbon (DIC). CO(2) efflux from sediments and creek waters and tidal export of DIC appear to be the major sinks. These processes are quantitatively comparable in magnitude to the unaccounted carbon sink in current budgets, but are not yet adequately constrained with the limited published data available so far.","author":[{"dropping-particle":"","family":"Bouillon","given":"Steven","non-dropping-particle":"","parse-names":false,"suffix":""},{"dropping-particle":"V.","family":"Borges","given":"Alberto","non-dropping-particle":"","parse-names":false,"suffix":""},{"dropping-particle":"","family":"Castañeda-Moya","given":"Edward","non-dropping-particle":"","parse-names":false,"suffix":""},{"dropping-particle":"","family":"Diele","given":"Karen","non-dropping-particle":"","parse-names":false,"suffix":""},{"dropping-particle":"","family":"Dittmar","given":"Thorsten","non-dropping-particle":"","parse-names":false,"suffix":""},{"dropping-particle":"","family":"Duke","given":"Norman C.","non-dropping-particle":"","parse-names":false,"suffix":""},{"dropping-particle":"","family":"Kristensen","given":"Erik","non-dropping-particle":"","parse-names":false,"suffix":""},{"dropping-particle":"","family":"Lee","given":"Shing Y.","non-dropping-particle":"","parse-names":false,"suffix":""},{"dropping-particle":"","family":"Marchand","given":"Cyril","non-dropping-particle":"","parse-names":false,"suffix":""},{"dropping-particle":"","family":"Middelburg","given":"Jack J.","non-dropping-particle":"","parse-names":false,"suffix":""},{"dropping-particle":"","family":"Rivera-Monroy","given":"Victor H.","non-dropping-particle":"","parse-names":false,"suffix":""},{"dropping-particle":"","family":"Smith","given":"Thomas J.","non-dropping-particle":"","parse-names":false,"suffix":""},{"dropping-particle":"","family":"Twilley","given":"Robert R.","non-dropping-particle":"","parse-names":false,"suffix":""}],"container-title":"Global Biogeochemical Cycles","id":"ITEM-1","issue":"2","issued":{"date-parts":[["2008","6","9"]]},"title":"Mangrove production and carbon sinks: A revision of global budget estimates","type":"article-journal","volume":"22"},"uris":["http://www.mendeley.com/documents/?uuid=4c6861df-7364-4b1c-b518-f90c03ee1c54"]}],"mendeley":{"formattedCitation":"(Bouillon et al., 2008)","plainTextFormattedCitation":"(Bouillon et al., 2008)","previouslyFormattedCitation":"(Bouillon et al., 2008)"},"properties":{"noteIndex":0},"schema":"https://github.com/citation-style-language/schema/raw/master/csl-citation.json"}</w:instrText>
      </w:r>
      <w:r>
        <w:rPr>
          <w:lang w:val="en-US"/>
        </w:rPr>
        <w:fldChar w:fldCharType="separate"/>
      </w:r>
      <w:r w:rsidRPr="0037089B">
        <w:rPr>
          <w:noProof/>
          <w:lang w:val="en-US"/>
        </w:rPr>
        <w:t>(Bouillon et al., 2008)</w:t>
      </w:r>
      <w:r>
        <w:rPr>
          <w:lang w:val="en-US"/>
        </w:rPr>
        <w:fldChar w:fldCharType="end"/>
      </w:r>
      <w:r>
        <w:rPr>
          <w:lang w:val="en-US"/>
        </w:rPr>
        <w:t>. As much as 52</w:t>
      </w:r>
      <w:r w:rsidRPr="004C290B">
        <w:rPr>
          <w:lang w:val="en-US"/>
        </w:rPr>
        <w:t>%</w:t>
      </w:r>
      <w:r>
        <w:rPr>
          <w:lang w:val="en-US"/>
        </w:rPr>
        <w:t xml:space="preserve"> of carbon fixed in mangroves is unaccounted for and is potentially exported to </w:t>
      </w:r>
      <w:proofErr w:type="spellStart"/>
      <w:r>
        <w:rPr>
          <w:lang w:val="en-US"/>
        </w:rPr>
        <w:t>neighbouring</w:t>
      </w:r>
      <w:proofErr w:type="spellEnd"/>
      <w:r>
        <w:rPr>
          <w:lang w:val="en-US"/>
        </w:rPr>
        <w:t xml:space="preserve"> habitats as Dissolved Inorganic Carbon (DIC) </w:t>
      </w:r>
      <w:r>
        <w:rPr>
          <w:lang w:val="en-US"/>
        </w:rPr>
        <w:fldChar w:fldCharType="begin" w:fldLock="1"/>
      </w:r>
      <w:r>
        <w:rPr>
          <w:lang w:val="en-US"/>
        </w:rPr>
        <w:instrText>ADDIN CSL_CITATION {"citationItems":[{"id":"ITEM-1","itemData":{"DOI":"10.1029/2007GB003052","ISBN":"0886-6236","ISSN":"08866236","PMID":"208059789","abstract":"Mangrove forests are highly productive but globally threatened coastal ecosystems, whose role in the carbon budget of the coastal zone has long been debated. Here we provide a comprehensive synthesis of the available data on carbon fluxes in mangrove ecosystems. A reassessment of global mangrove primary production from the literature results in a conservative estimate of similar to 218 +/- 72 Tg C a(-1). When using the best available estimates of various carbon sinks (organic carbon export, sediment burial, and mineralization), it appears that &gt; 50% of the carbon fixed by mangrove vegetation is unaccounted for. This unaccounted carbon sink is conservatively estimated at similar to 112 +/- 85 Tg C a(-1), equivalent in magnitude to similar to 30-40% of the global riverine organic carbon input to the coastal zone. Our analysis suggests that mineralization is severely underestimated, and that the majority of carbon export from mangroves to adjacent waters occurs as dissolved inorganic carbon (DIC). CO(2) efflux from sediments and creek waters and tidal export of DIC appear to be the major sinks. These processes are quantitatively comparable in magnitude to the unaccounted carbon sink in current budgets, but are not yet adequately constrained with the limited published data available so far.","author":[{"dropping-particle":"","family":"Bouillon","given":"Steven","non-dropping-particle":"","parse-names":false,"suffix":""},{"dropping-particle":"V.","family":"Borges","given":"Alberto","non-dropping-particle":"","parse-names":false,"suffix":""},{"dropping-particle":"","family":"Castañeda-Moya","given":"Edward","non-dropping-particle":"","parse-names":false,"suffix":""},{"dropping-particle":"","family":"Diele","given":"Karen","non-dropping-particle":"","parse-names":false,"suffix":""},{"dropping-particle":"","family":"Dittmar","given":"Thorsten","non-dropping-particle":"","parse-names":false,"suffix":""},{"dropping-particle":"","family":"Duke","given":"Norman C.","non-dropping-particle":"","parse-names":false,"suffix":""},{"dropping-particle":"","family":"Kristensen","given":"Erik","non-dropping-particle":"","parse-names":false,"suffix":""},{"dropping-particle":"","family":"Lee","given":"Shing Y.","non-dropping-particle":"","parse-names":false,"suffix":""},{"dropping-particle":"","family":"Marchand","given":"Cyril","non-dropping-particle":"","parse-names":false,"suffix":""},{"dropping-particle":"","family":"Middelburg","given":"Jack J.","non-dropping-particle":"","parse-names":false,"suffix":""},{"dropping-particle":"","family":"Rivera-Monroy","given":"Victor H.","non-dropping-particle":"","parse-names":false,"suffix":""},{"dropping-particle":"","family":"Smith","given":"Thomas J.","non-dropping-particle":"","parse-names":false,"suffix":""},{"dropping-particle":"","family":"Twilley","given":"Robert R.","non-dropping-particle":"","parse-names":false,"suffix":""}],"container-title":"Global Biogeochemical Cycles","id":"ITEM-1","issue":"2","issued":{"date-parts":[["2008","6","9"]]},"title":"Mangrove production and carbon sinks: A revision of global budget estimates","type":"article-journal","volume":"22"},"uris":["http://www.mendeley.com/documents/?uuid=4c6861df-7364-4b1c-b518-f90c03ee1c54"]},{"id":"ITEM-2","itemData":{"DOI":"10.1007/BF00029127","ISBN":"0018-8158","ISSN":"0018-8158","PMID":"2563507","abstract":"The export of detritus and faunal biomass from mangroves has long been considered as an important support for offshore biological production and has been widely used as an argument for mangrove conservation. This functional role of the mangroves, like many other paradigms in mangrove ecology, has seldom been put to rigorous test since the hypothesis was postulated about 25 years ago. Past studies on which the hypothesis was based were mostly carried out in mangrove or other wetland environments, little is known about the fate and effects of outwelled detritus on oceanic, offshore, communities. Mass balance studies carried out in the last 15 years tend to suggest that export is common from tidal mangroves, the direction of flow depends, however, on the identity of the chemical species in question. Pore water and groundwater flow can affect tidal material exchange but are poorly studied. Generally, tracer methods using stable isotope ratios or other signatures have suggested that outwelling may be much less significant than expected. Further, most past studies have focussed on particulate matter while it is increasingly apparent that dissolved organics may play a more important role in matter exchange between offshore and mangrove communities. There is also evidence that benthic biomass and richness may not bear any positive or significant relationship with detritus availability.","author":[{"dropping-particle":"","family":"Lee","given":"S. Y.","non-dropping-particle":"","parse-names":false,"suffix":""}],"container-title":"Hydrobiologia","id":"ITEM-2","issue":"1-3","issued":{"date-parts":[["1995","1"]]},"page":"203-212","publisher":"Kluwer Academic Publishers","title":"Mangrove outwelling: a review","type":"article-journal","volume":"295"},"uris":["http://www.mendeley.com/documents/?uuid=af279fb2-f1ad-489f-a870-899457f4526c"]}],"mendeley":{"formattedCitation":"(Bouillon et al., 2008; Lee, 1995)","plainTextFormattedCitation":"(Bouillon et al., 2008; Lee, 1995)","previouslyFormattedCitation":"(Bouillon et al., 2008; Lee, 1995)"},"properties":{"noteIndex":0},"schema":"https://github.com/citation-style-language/schema/raw/master/csl-citation.json"}</w:instrText>
      </w:r>
      <w:r>
        <w:rPr>
          <w:lang w:val="en-US"/>
        </w:rPr>
        <w:fldChar w:fldCharType="separate"/>
      </w:r>
      <w:r w:rsidRPr="00274694">
        <w:rPr>
          <w:noProof/>
          <w:lang w:val="en-US"/>
        </w:rPr>
        <w:t>(Bouillon et al., 2008; Lee, 1995)</w:t>
      </w:r>
      <w:r>
        <w:rPr>
          <w:lang w:val="en-US"/>
        </w:rPr>
        <w:fldChar w:fldCharType="end"/>
      </w:r>
      <w:r>
        <w:rPr>
          <w:lang w:val="en-US"/>
        </w:rPr>
        <w:t xml:space="preserve">. In support of this, direct field measurements found DIC </w:t>
      </w:r>
      <w:proofErr w:type="spellStart"/>
      <w:r>
        <w:rPr>
          <w:lang w:val="en-US"/>
        </w:rPr>
        <w:t>outwelling</w:t>
      </w:r>
      <w:proofErr w:type="spellEnd"/>
      <w:r>
        <w:rPr>
          <w:lang w:val="en-US"/>
        </w:rPr>
        <w:t xml:space="preserve"> to be between 4 and 5 times greater than that of POC and DOC </w:t>
      </w:r>
      <w:r>
        <w:rPr>
          <w:lang w:val="en-US"/>
        </w:rPr>
        <w:fldChar w:fldCharType="begin" w:fldLock="1"/>
      </w:r>
      <w:r>
        <w:rPr>
          <w:lang w:val="en-US"/>
        </w:rPr>
        <w:instrText>ADDIN CSL_CITATION {"citationItems":[{"id":"ITEM-1","itemData":{"DOI":"10.1002/lno.11090","author":[{"dropping-particle":"","family":"Santos","given":"IR","non-dropping-particle":"","parse-names":false,"suffix":""},{"dropping-particle":"","family":"Maher","given":"DT","non-dropping-particle":"","parse-names":false,"suffix":""},{"dropping-particle":"","family":"Larkin","given":"R","non-dropping-particle":"","parse-names":false,"suffix":""},{"dropping-particle":"","family":"Webb","given":"JR","non-dropping-particle":"","parse-names":false,"suffix":""},{"dropping-particle":"","family":"Sanders","given":"CJ","non-dropping-particle":"","parse-names":false,"suffix":""}],"container-title":"Limnology &amp; Oceanography","id":"ITEM-1","issued":{"date-parts":[["2019"]]},"page":"996-1013","title":"Carbon outwelling and outgassing vs. burial in an estuarine tidal creek surrounded by mangrove and saltmarsh wetlands","type":"article-journal","volume":"64"},"uris":["http://www.mendeley.com/documents/?uuid=982fda62-3837-424d-851f-dd367dd86bd7"]}],"mendeley":{"formattedCitation":"(Santos et al., 2019)","plainTextFormattedCitation":"(Santos et al., 2019)","previouslyFormattedCitation":"(Santos et al., 2019)"},"properties":{"noteIndex":0},"schema":"https://github.com/citation-style-language/schema/raw/master/csl-citation.json"}</w:instrText>
      </w:r>
      <w:r>
        <w:rPr>
          <w:lang w:val="en-US"/>
        </w:rPr>
        <w:fldChar w:fldCharType="separate"/>
      </w:r>
      <w:r w:rsidRPr="00AB1879">
        <w:rPr>
          <w:noProof/>
          <w:lang w:val="en-US"/>
        </w:rPr>
        <w:t>(Santos et al., 2019)</w:t>
      </w:r>
      <w:r>
        <w:rPr>
          <w:lang w:val="en-US"/>
        </w:rPr>
        <w:fldChar w:fldCharType="end"/>
      </w:r>
      <w:r>
        <w:rPr>
          <w:lang w:val="en-US"/>
        </w:rPr>
        <w:t>. T</w:t>
      </w:r>
      <w:r w:rsidRPr="00305A66">
        <w:rPr>
          <w:lang w:val="en-US"/>
        </w:rPr>
        <w:t xml:space="preserve">he scale of </w:t>
      </w:r>
      <w:proofErr w:type="spellStart"/>
      <w:r w:rsidRPr="00305A66">
        <w:rPr>
          <w:lang w:val="en-US"/>
        </w:rPr>
        <w:t>outwelling</w:t>
      </w:r>
      <w:proofErr w:type="spellEnd"/>
      <w:r w:rsidRPr="00305A66">
        <w:rPr>
          <w:lang w:val="en-US"/>
        </w:rPr>
        <w:t xml:space="preserve"> varies considerably between forests</w:t>
      </w:r>
      <w:r>
        <w:rPr>
          <w:lang w:val="en-US"/>
        </w:rPr>
        <w:t xml:space="preserve"> and is largely driven by heterogeneity in coastal geomorphology</w:t>
      </w:r>
      <w:r w:rsidRPr="00305A66">
        <w:rPr>
          <w:lang w:val="en-US"/>
        </w:rPr>
        <w:t xml:space="preserve">, tidal regimes, freshwater flow and productivity </w:t>
      </w:r>
      <w:r>
        <w:rPr>
          <w:lang w:val="en-US"/>
        </w:rPr>
        <w:fldChar w:fldCharType="begin" w:fldLock="1"/>
      </w:r>
      <w:r>
        <w:rPr>
          <w:lang w:val="en-US"/>
        </w:rPr>
        <w:instrText>ADDIN CSL_CITATION {"citationItems":[{"id":"ITEM-1","itemData":{"DOI":"10.3354/meps10827","ISBN":"0171-8630","ISSN":"01718630","abstract":"Mangrove forest productivity is normally sustained by nutrients from terrestrial runoff, with freshwater inputs driving the resulting outwelling of production, but arid mangroves lack this input. The movement of material between seagrass beds and mangroves was examined using the stable C and N isotopic composition of organisms, sediments and suspended matter in 3 seagrass−mangrove transects in the Arabian Gulf. The isotopic signal of suspended particulate material indicated a mixed origin that did not differ over a spring tide. Filter feeders showed significant 13C enrichment along transects from mangrove forests into seagrass beds, indicating that location within a habitat had a significant effect on isotopic composition. Similarly, δ13C of both sediments and grazers increased sharply outside the mangrove forest, suggesting retention of mangrove carbon, although some outwelling was detected, the strength of which was site specific. The lack of freshwater-mediated nutrient inputs suggests any outwelling of mangrove ecosystem productivity must be balanced by inwelling, and isotopic signatures of both sediment grazers and filter feeders found within the mangrove forest confirmed the inwelling of seagrass production. Significant mangrove isotope signals in the tissue of juveniles of fishes commercially harvested offshore indicate ontogenetic movement of carbon. Additional biological movement of mangrove carbon through ontogenetic migration and ‘trophic relay’ is evidenced by the isotopic signature of juvenile and mature fish captured in waters exiting the mangrove forest, which indicated they fed on mangrove-sustained food webs. This study demonstrates tight coupling between arid man- groves and subtidal seagrass areas and implies that arid mangroves cannot be managed or replanted without consideration of connectivity to downstream systems such as seagrasses.","author":[{"dropping-particle":"","family":"Walton","given":"M. E M","non-dropping-particle":"","parse-names":false,"suffix":""},{"dropping-particle":"","family":"Al-Maslamani","given":"I.","non-dropping-particle":"","parse-names":false,"suffix":""},{"dropping-particle":"","family":"Skov","given":"M. W.","non-dropping-particle":"","parse-names":false,"suffix":""},{"dropping-particle":"","family":"Al-Shaikh","given":"I.","non-dropping-particle":"","parse-names":false,"suffix":""},{"dropping-particle":"","family":"Al-Ansari","given":"I. S.","non-dropping-particle":"","parse-names":false,"suffix":""},{"dropping-particle":"","family":"Kennedy","given":"H. A.","non-dropping-particle":"","parse-names":false,"suffix":""},{"dropping-particle":"","family":"Vay","given":"L.","non-dropping-particle":"Le","parse-names":false,"suffix":""}],"container-title":"Marine Ecology Progress Series","id":"ITEM-1","issued":{"date-parts":[["2014"]]},"note":"10.3354/meps10827","page":"125-137","title":"Outwelling from arid mangrove systems is sustained by inwelling of seagrass productivity","type":"article-journal","volume":"507"},"uris":["http://www.mendeley.com/documents/?uuid=1be237ee-c9f5-41ff-9a20-862c3afc4ba3"]},{"id":"ITEM-2","itemData":{"DOI":"10.1007/BF00029127","ISBN":"0018-8158","ISSN":"0018-8158","PMID":"2563507","abstract":"The export of detritus and faunal biomass from mangroves has long been considered as an important support for offshore biological production and has been widely used as an argument for mangrove conservation. This functional role of the mangroves, like many other paradigms in mangrove ecology, has seldom been put to rigorous test since the hypothesis was postulated about 25 years ago. Past studies on which the hypothesis was based were mostly carried out in mangrove or other wetland environments, little is known about the fate and effects of outwelled detritus on oceanic, offshore, communities. Mass balance studies carried out in the last 15 years tend to suggest that export is common from tidal mangroves, the direction of flow depends, however, on the identity of the chemical species in question. Pore water and groundwater flow can affect tidal material exchange but are poorly studied. Generally, tracer methods using stable isotope ratios or other signatures have suggested that outwelling may be much less significant than expected. Further, most past studies have focussed on particulate matter while it is increasingly apparent that dissolved organics may play a more important role in matter exchange between offshore and mangrove communities. There is also evidence that benthic biomass and richness may not bear any positive or significant relationship with detritus availability.","author":[{"dropping-particle":"","family":"Lee","given":"S. Y.","non-dropping-particle":"","parse-names":false,"suffix":""}],"container-title":"Hydrobiologia","id":"ITEM-2","issue":"1-3","issued":{"date-parts":[["1995","1"]]},"page":"203-212","publisher":"Kluwer Academic Publishers","title":"Mangrove outwelling: a review","type":"article-journal","volume":"295"},"uris":["http://www.mendeley.com/documents/?uuid=af279fb2-f1ad-489f-a870-899457f4526c"]}],"mendeley":{"formattedCitation":"(Lee, 1995; Walton et al., 2014)","plainTextFormattedCitation":"(Lee, 1995; Walton et al., 2014)","previouslyFormattedCitation":"(Lee, 1995; Walton et al., 2014)"},"properties":{"noteIndex":0},"schema":"https://github.com/citation-style-language/schema/raw/master/csl-citation.json"}</w:instrText>
      </w:r>
      <w:r>
        <w:rPr>
          <w:lang w:val="en-US"/>
        </w:rPr>
        <w:fldChar w:fldCharType="separate"/>
      </w:r>
      <w:r w:rsidRPr="00222DF5">
        <w:rPr>
          <w:noProof/>
          <w:lang w:val="en-US"/>
        </w:rPr>
        <w:t>(Lee, 1995; Walton et al., 2014)</w:t>
      </w:r>
      <w:r>
        <w:rPr>
          <w:lang w:val="en-US"/>
        </w:rPr>
        <w:fldChar w:fldCharType="end"/>
      </w:r>
      <w:r>
        <w:rPr>
          <w:lang w:val="en-US"/>
        </w:rPr>
        <w:t xml:space="preserve">. For example, in an arid bay setting, a significant amount of mangrove carbon can be retained within the mangrove forest, likely due to the lack of freshwater inputs that would otherwise help drive export of </w:t>
      </w:r>
      <w:r>
        <w:rPr>
          <w:lang w:val="en-US"/>
        </w:rPr>
        <w:lastRenderedPageBreak/>
        <w:t xml:space="preserve">primary production to downstream habitats </w:t>
      </w:r>
      <w:r>
        <w:rPr>
          <w:lang w:val="en-US"/>
        </w:rPr>
        <w:fldChar w:fldCharType="begin" w:fldLock="1"/>
      </w:r>
      <w:r>
        <w:rPr>
          <w:lang w:val="en-US"/>
        </w:rPr>
        <w:instrText>ADDIN CSL_CITATION {"citationItems":[{"id":"ITEM-1","itemData":{"DOI":"10.3354/meps10827","ISBN":"0171-8630","ISSN":"01718630","abstract":"Mangrove forest productivity is normally sustained by nutrients from terrestrial runoff, with freshwater inputs driving the resulting outwelling of production, but arid mangroves lack this input. The movement of material between seagrass beds and mangroves was examined using the stable C and N isotopic composition of organisms, sediments and suspended matter in 3 seagrass−mangrove transects in the Arabian Gulf. The isotopic signal of suspended particulate material indicated a mixed origin that did not differ over a spring tide. Filter feeders showed significant 13C enrichment along transects from mangrove forests into seagrass beds, indicating that location within a habitat had a significant effect on isotopic composition. Similarly, δ13C of both sediments and grazers increased sharply outside the mangrove forest, suggesting retention of mangrove carbon, although some outwelling was detected, the strength of which was site specific. The lack of freshwater-mediated nutrient inputs suggests any outwelling of mangrove ecosystem productivity must be balanced by inwelling, and isotopic signatures of both sediment grazers and filter feeders found within the mangrove forest confirmed the inwelling of seagrass production. Significant mangrove isotope signals in the tissue of juveniles of fishes commercially harvested offshore indicate ontogenetic movement of carbon. Additional biological movement of mangrove carbon through ontogenetic migration and ‘trophic relay’ is evidenced by the isotopic signature of juvenile and mature fish captured in waters exiting the mangrove forest, which indicated they fed on mangrove-sustained food webs. This study demonstrates tight coupling between arid man- groves and subtidal seagrass areas and implies that arid mangroves cannot be managed or replanted without consideration of connectivity to downstream systems such as seagrasses.","author":[{"dropping-particle":"","family":"Walton","given":"M. E M","non-dropping-particle":"","parse-names":false,"suffix":""},{"dropping-particle":"","family":"Al-Maslamani","given":"I.","non-dropping-particle":"","parse-names":false,"suffix":""},{"dropping-particle":"","family":"Skov","given":"M. W.","non-dropping-particle":"","parse-names":false,"suffix":""},{"dropping-particle":"","family":"Al-Shaikh","given":"I.","non-dropping-particle":"","parse-names":false,"suffix":""},{"dropping-particle":"","family":"Al-Ansari","given":"I. S.","non-dropping-particle":"","parse-names":false,"suffix":""},{"dropping-particle":"","family":"Kennedy","given":"H. A.","non-dropping-particle":"","parse-names":false,"suffix":""},{"dropping-particle":"","family":"Vay","given":"L.","non-dropping-particle":"Le","parse-names":false,"suffix":""}],"container-title":"Marine Ecology Progress Series","id":"ITEM-1","issued":{"date-parts":[["2014"]]},"note":"10.3354/meps10827","page":"125-137","title":"Outwelling from arid mangrove systems is sustained by inwelling of seagrass productivity","type":"article-journal","volume":"507"},"uris":["http://www.mendeley.com/documents/?uuid=1be237ee-c9f5-41ff-9a20-862c3afc4ba3"]}],"mendeley":{"formattedCitation":"(Walton et al., 2014)","plainTextFormattedCitation":"(Walton et al., 2014)","previouslyFormattedCitation":"(Walton et al., 2014)"},"properties":{"noteIndex":0},"schema":"https://github.com/citation-style-language/schema/raw/master/csl-citation.json"}</w:instrText>
      </w:r>
      <w:r>
        <w:rPr>
          <w:lang w:val="en-US"/>
        </w:rPr>
        <w:fldChar w:fldCharType="separate"/>
      </w:r>
      <w:r w:rsidRPr="00BF4033">
        <w:rPr>
          <w:noProof/>
          <w:lang w:val="en-US"/>
        </w:rPr>
        <w:t>(Walton et al., 2014)</w:t>
      </w:r>
      <w:r>
        <w:rPr>
          <w:lang w:val="en-US"/>
        </w:rPr>
        <w:fldChar w:fldCharType="end"/>
      </w:r>
      <w:r>
        <w:rPr>
          <w:lang w:val="en-US"/>
        </w:rPr>
        <w:t>. There is, therefore, reason to suspect that the fate of mangrove productivity and the land-sea connect in the flow of marine and terrestrial material might be different in arid settings than in high-rainfall parts of the world.</w:t>
      </w:r>
    </w:p>
    <w:p w14:paraId="52BAEF8F" w14:textId="77777777" w:rsidR="00FA0744" w:rsidRPr="00305A66" w:rsidRDefault="00FA0744" w:rsidP="00FA0744">
      <w:pPr>
        <w:spacing w:line="480" w:lineRule="auto"/>
        <w:rPr>
          <w:lang w:val="en-US"/>
        </w:rPr>
      </w:pPr>
    </w:p>
    <w:p w14:paraId="68853383" w14:textId="365E29E3" w:rsidR="00FA0744" w:rsidRPr="008214E6" w:rsidRDefault="00FA0744" w:rsidP="00FA0744">
      <w:pPr>
        <w:pStyle w:val="Heading2"/>
        <w:rPr>
          <w:rFonts w:asciiTheme="minorHAnsi" w:hAnsiTheme="minorHAnsi" w:cstheme="minorHAnsi"/>
          <w:b/>
          <w:bCs/>
          <w:color w:val="000000" w:themeColor="text1"/>
        </w:rPr>
      </w:pPr>
      <w:bookmarkStart w:id="7" w:name="_Toc120622096"/>
      <w:r w:rsidRPr="008214E6">
        <w:rPr>
          <w:rFonts w:asciiTheme="minorHAnsi" w:hAnsiTheme="minorHAnsi" w:cstheme="minorHAnsi"/>
          <w:b/>
          <w:bCs/>
          <w:color w:val="000000" w:themeColor="text1"/>
        </w:rPr>
        <w:t>1.3</w:t>
      </w:r>
      <w:r w:rsidRPr="008214E6">
        <w:rPr>
          <w:rFonts w:asciiTheme="minorHAnsi" w:hAnsiTheme="minorHAnsi" w:cstheme="minorHAnsi"/>
          <w:b/>
          <w:bCs/>
          <w:color w:val="000000" w:themeColor="text1"/>
        </w:rPr>
        <w:tab/>
        <w:t>Importance of Mangroves in the context of carbon cycling</w:t>
      </w:r>
      <w:bookmarkEnd w:id="7"/>
    </w:p>
    <w:p w14:paraId="59161E60" w14:textId="77777777" w:rsidR="00FA0744" w:rsidRPr="008556CF" w:rsidRDefault="00FA0744" w:rsidP="00FA0744">
      <w:pPr>
        <w:spacing w:line="480" w:lineRule="auto"/>
        <w:rPr>
          <w:rFonts w:cstheme="minorHAnsi"/>
          <w:lang w:val="en-US"/>
        </w:rPr>
      </w:pPr>
      <w:r w:rsidRPr="008556CF">
        <w:rPr>
          <w:rFonts w:cstheme="minorHAnsi"/>
          <w:lang w:val="en-US"/>
        </w:rPr>
        <w:t xml:space="preserve">Mangroves play a significant role in the global carbon cycle and as a result have received much scientific and political interest as natural systems to mitigate climate change </w:t>
      </w:r>
      <w:r w:rsidRPr="008556CF">
        <w:rPr>
          <w:rFonts w:cstheme="minorHAnsi"/>
          <w:lang w:val="en-US"/>
        </w:rPr>
        <w:fldChar w:fldCharType="begin" w:fldLock="1"/>
      </w:r>
      <w:r w:rsidRPr="008556CF">
        <w:rPr>
          <w:rFonts w:cstheme="minorHAnsi"/>
          <w:lang w:val="en-US"/>
        </w:rPr>
        <w:instrText xml:space="preserve">ADDIN CSL_CITATION {"citationItems":[{"id":"ITEM-1","itemData":{"DOI":"10.1007/978-1-4020-4271-3","ISBN":"9781402042706","abstract":"Despite their importance in sustaining livelihoods for many people living along some of the world's most populous coastlines, tropical mangrove forests are disappearing at an alarming rate. Occupying a crucial place between land and sea, these tidal ecosystems provide a valuable ecological and economic resource as important nursery grounds and breeding sites for many organisms, and as a renewable source of wood and traditional foods and medicines. Perhaps most importantly, they are accumulation sites for sediment, contaminants, carbon and nutrients, and offer significant protection against coastal erosion. This book presents a functional overview of mangrove forest ecosystems; how they live and grow at the edge of tropical seas, how they play a critical role along most of the world's tropical coasts, and how their future might look in a world affected by climate change. Such a process-oriented approach is necessary in order to further understand the role of these dynamic forests in ecosystem function, and as a first step towards developing adequate strategies for their conservation and sustainable use and management. The book will provide a valuable resource for researchers in mangrove ecology as well as reference for resource managers. © 2009 Springer Science + Business Media B.V.","author":[{"dropping-particle":"","family":"Alongi","given":"Daniel M.","non-dropping-particle":"","parse-names":false,"suffix":""}],"container-title":"The Energetics of Mangrove Forests","id":"ITEM-1","issued":{"date-parts":[["2009"]]},"number-of-pages":"1-216","publisher":"Springer Science &amp; Business Media","publisher-place":"New York","title":"The energetics of mangrove forests","type":"book"},"uris":["http://www.mendeley.com/documents/?uuid=cbb1df17-e857-4abd-95d9-5dd9e7b78cbc"]},{"id":"ITEM-2","itemData":{"DOI":"10.1029/2007GB003052","ISBN":"0886-6236","ISSN":"08866236","PMID":"208059789","abstract":"Mangrove forests are highly productive but globally threatened coastal ecosystems, whose role in the carbon budget of the coastal zone has long been debated. Here we provide a comprehensive synthesis of the available data on carbon fluxes in mangrove ecosystems. A reassessment of global mangrove primary production from the literature results in a conservative estimate of similar to 218 +/- 72 Tg C a(-1). When using the best available estimates of various carbon sinks (organic carbon export, sediment burial, and mineralization), it appears that &gt; 50% of the carbon fixed by mangrove vegetation is unaccounted for. This unaccounted carbon sink is conservatively estimated at similar to 112 +/- 85 Tg C a(-1), equivalent in magnitude to similar to 30-40% of the global riverine organic carbon input to the coastal zone. Our analysis suggests that mineralization is severely underestimated, and that the majority of carbon export from mangroves to adjacent waters occurs as dissolved inorganic carbon (DIC). CO(2) efflux from sediments and creek waters and tidal export of DIC appear to be the major sinks. These processes are quantitatively comparable in magnitude to the unaccounted carbon sink in current budgets, but are not yet adequately constrained with the limited published data available so far.","author":[{"dropping-particle":"","family":"Bouillon","given":"Steven","non-dropping-particle":"","parse-names":false,"suffix":""},{"dropping-particle":"V.","family":"Borges","given":"Alberto","non-dropping-particle":"","parse-names":false,"suffix":""},{"dropping-particle":"","family":"Castañeda-Moya","given":"Edward","non-dropping-particle":"","parse-names":false,"suffix":""},{"dropping-particle":"","family":"Diele","given":"Karen","non-dropping-particle":"","parse-names":false,"suffix":""},{"dropping-particle":"","family":"Dittmar","given":"Thorsten","non-dropping-particle":"","parse-names":false,"suffix":""},{"dropping-particle":"","family":"Duke","given":"Norman C.","non-dropping-particle":"","parse-names":false,"suffix":""},{"dropping-particle":"","family":"Kristensen","given":"Erik","non-dropping-particle":"","parse-names":false,"suffix":""},{"dropping-particle":"","family":"Lee","given":"Shing Y.","non-dropping-particle":"","parse-names":false,"suffix":""},{"dropping-particle":"","family":"Marchand","given":"Cyril","non-dropping-particle":"","parse-names":false,"suffix":""},{"dropping-particle":"","family":"Middelburg","given":"Jack J.","non-dropping-particle":"","parse-names":false,"suffix":""},{"dropping-particle":"","family":"Rivera-Monroy","given":"Victor H.","non-dropping-particle":"","parse-names":false,"suffix":""},{"dropping-particle":"","family":"Smith","given":"Thomas J.","non-dropping-particle":"","parse-names":false,"suffix":""},{"dropping-particle":"","family":"Twilley","given":"Robert R.","non-dropping-particle":"","parse-names":false,"suffix":""}],"container-title":"Global Biogeochemical Cycles","id":"ITEM-2","issue":"2","issued":{"date-parts":[["2008","6","9"]]},"title":"Mangrove production and carbon sinks: A revision of global budget estimates","type":"article-journal","volume":"22"},"uris":["http://www.mendeley.com/documents/?uuid=4c6861df-7364-4b1c-b518-f90c03ee1c54"]},{"id":"ITEM-3","itemData":{"DOI":"10.5194/bg-14-301-2017","ISSN":"17264189","abstract":"Vegetated coastal habitats, including seagrass and macroalgal beds, mangrove forests and salt marshes, form highly productive ecosystems, but their contribution to the global carbon budget remains overlooked, and these forests remain \"hidden\" in representations of the global carbon budget. Despite being confined to a narrow belt around the shoreline of the world's oceans, where they cover less than 7 million km2, vegetated coastal habitats support about 1 to 10 % of the global marine net primary production and generate a large organic carbon surplus of about 40 % of their net primary production (NPP), which is either buried in sediments within these habitats or exported away. Large, 10-fold uncertainties in the area covered by vegetated coastal habitats, along with variability about carbon flux estimates, result in a 10-fold bracket around the estimates of their contribution to organic carbon sequestration in sediments and the deep sea from 73 to 866 Tg C yr-1, representing between 3 % and 1/3 of oceanic CO2 uptake. Up to 1/2 of this carbon sequestration occurs in sink reservoirs (sediments or the deep sea) beyond these habitats. The organic carbon exported that does not reach depositional sites subsidizes the metabolism of heterotrophic organisms. In addition to a significant contribution to organic carbon production and sequestration, vegetated coastal habitats contribute as much to carbonate accumulation as coral reefs do. While globally relevant, the magnitude of global carbon fluxes supported by salt-marsh, mangrove, seagrass and macroalgal habitats is declining due to rapid habitat loss, contributing to loss of CO2 sequestration, storage capacity and carbon subsidies. Incorporating the carbon fluxes' vegetated coastal habitats' support into depictions of the carbon budget of the global ocean and its perturbations will improve current representations of the carbon budget of the global ocean.","author":[{"dropping-particle":"","family":"Duarte","given":"Carlos M.","non-dropping-particle":"","parse-names":false,"suffix":""}],"container-title":"Biogeosciences","id":"ITEM-3","issue":"2","issued":{"date-parts":[["2017"]]},"page":"301-310","title":"Reviews and syntheses: Hidden forests, the role of vegetated coastal habitats in the ocean carbon budget","type":"article-journal","volume":"14"},"uris":["http://www.mendeley.com/documents/?uuid=02f4563e-197e-4450-8148-45cc05c006d4"]},{"id":"ITEM-4","itemData":{"DOI":"10.1016/j.ecoser.2019.101035","ISSN":"22120416","abstract":"Mangroves have generated considerable interest in forest carbon discourse given their disproportionately high carbon storage and sequestration potential compared to terrestrial habitats. Capitalising on this potential, however, remains largely unrealised due in part to an incomplete understanding of the full greenhouse gas mitigation benefits provided, particularly through changes in landuse where aquaculture ponds are converted back to mangroves. Here we address such uncertainties by estimating the overall net greenhouse offset potential from rehabilitating mangroves in Tiwoho, North Sulawesi (Indonesia). Estimates of both baseline emissions and sequestration as mangrove forests regrow after rehabilitation were assessed, with results contrasted against published data on established mangroves and terrestrial forest carbon projects registered with the Verified Carbon Standard. Additionally, net emissions removals and reductions from Tiwoho is scaled-up to the national level in order to estimate the contribution rehabilitation of disused ponds can make to climate change mitigation. We also monetarise potential returns generated to date and frame this against project implementation and opportunity costs. Our data indicates that, on average, Tiwoho's rehabilitating sites could potentially mitigate upwards of −27.6 ± 1.7 Mg CO2-e per hectare per year. This is upwards of 3 times that of other terrestrial forestry carbon projects and, assuming a voluntary carbon market price of USD $8.1 per Mg CO2-e per hectare for afforestation/reforestation projects, equates to recuperation of 76.2% of initial project implementation costs over approximately 10 years with an annual return of 7.6%. This return rate rivals that of most asset classes targeted by private sector investors. Scaling results to encompass the net emissions removals and reduction potential from rehabilitating the </w:instrText>
      </w:r>
      <w:r w:rsidRPr="008556CF">
        <w:rPr>
          <w:rFonts w:ascii="Cambria Math" w:hAnsi="Cambria Math" w:cs="Cambria Math"/>
          <w:lang w:val="en-US"/>
        </w:rPr>
        <w:instrText>∼</w:instrText>
      </w:r>
      <w:r w:rsidRPr="008556CF">
        <w:rPr>
          <w:rFonts w:cstheme="minorHAnsi"/>
          <w:lang w:val="en-US"/>
        </w:rPr>
        <w:instrText>600, 000 hectares of disused ponds in Indonesia may offset upwards of −16.56 ± 1.02 million Mg CO2-e per hectare per year. Additionally, mitigation benefits from rehabilitation may equate to 6 times that of terrestrial projects if situated in ponds displaying both high baseline emissions and high rates of re-growth whilst accounting for sequestration from benthic algae and the oceanic burial of dissolved inorganic carbon. These findings strengthen the evidence base needed for public and private sector support for mangrove rehabilitation within the forest carbon sector.","author":[{"dropping-particle":"","family":"Cameron","given":"Clint","non-dropping-particle":"","parse-names":false,"suffix":""},{"dropping-particle":"","family":"Hutley","given":"Lindsay B.","non-dropping-particle":"","parse-names":false,"suffix":""},{"dropping-particle":"","family":"Friess","given":"Daniel A.","non-dropping-particle":"","parse-names":false,"suffix":""},{"dropping-particle":"","family":"Brown","given":"Ben","non-dropping-particle":"","parse-names":false,"suffix":""}],"container-title":"Ecosystem Services","id":"ITEM-4","issued":{"date-parts":[["2019"]]},"title":"High greenhouse gas emissions mitigation benefits from mangrove rehabilitation in Sulawesi, Indonesia","type":"article-journal","volume":"40"},"uris":["http://www.mendeley.com/documents/?uuid=37df7189-2c91-473f-9386-68fa3bfc0954"]},{"id":"ITEM-5","itemData":{"DOI":"10.1038/nclimate2734","ISBN":"1758-678X","ISSN":"1758-678X","abstract":"Mangroves provide a wide range of ecosystem services, including nutrient cycling, soil formation, wood production, fish spawning grounds, ecotourism and carbon (C) storage 1 . High rates of tree and plant growth, coupled with anaerobic, water-logged soils that slow decomposition, result in large long-term C storage. Given their global significance as large sinks of C, preventing mangrove loss would be an eeective climate change adaptation and mitigation strategy. It has been reported that C stocks in the Indo-Pacific region contain on average 1,023 MgC ha −1 (ref. 2). Here, we estimate that In-donesian mangrove C stocks are 1,083 ± 378 MgC ha −1 . Scaled up to the country-level mangrove extent of 2.9 Mha (ref. 3), Indonesia's mangroves contained on average 3.14 PgC. In three decades Indonesia has lost 40% of its mangroves 4 , mainly as a result of aquaculture development 5 . This has resulted in annual emissions of 0.07–0.21 Pg CO 2 e. Annual mangrove deforesta-tion in Indonesia is only 6% of its total forest loss 6 ; however, if this were halted, total emissions would be reduced by an amount equal to 10–31% of estimated annual emissions from land-use sectors at present. Conservation of carbon-rich man-groves in the Indonesian archipelago should be a high-priority component of strategies to mitigate climate change. Globally, deforestation and conversion of mangroves has been shown to contribute 0.08–0.48 Pg CO 2 e yr −1 , or 10% of the total global emissions from tropical deforestation, even though man-groves account for only about 0.7% of the world's tropical forest area 2 . C losses from mangrove conversion can be high not only because of losses from aboveground C pools but also belowground pools. Potential C losses from mangroves converted to shrimp ponds in the Dominican Republic were 661–1,135 MgC ha −1 (ref. 7). In 1980, there were 4.2 Mha of mangrove forests along Indonesia's 95,000 km of coastline 3 . Over just 20 years mangrove forest cover had declined about 26%, to an estimated 3.1 Mha (ref. 8). In 2005, mangrove forest cover had further decreased to 2.9 Mha (ref. 3). On the basis of FAO data, cumulatively Indonesia has lost 30% of its mangrove forests between 1980 and 2005; this is equivalent to an annual deforestation rate of 1.24%. Recent estimates of Indonesia's mangrove cover suggest a total loss of 40% in the past three decades 4 . Aquaculture development was the main cause 5 , after it expanded rapidly in 1997–2005 and resulted in an o…","author":[{"dropping-particle":"","family":"Murdiyarso","given":"Daniel","non-dropping-particle":"","parse-names":false,"suffix":""},{"dropping-particle":"","family":"Purbopuspito","given":"Joko","non-dropping-particle":"","parse-names":false,"suffix":""},{"dropping-particle":"","family":"Kauffman","given":"J. Boone","non-dropping-particle":"","parse-names":false,"suffix":""},{"dropping-particle":"","family":"Warren","given":"Matthew W.","non-dropping-particle":"","parse-names":false,"suffix":""},{"dropping-particle":"","family":"Sasmito","given":"Sigit D.","non-dropping-particle":"","parse-names":false,"suffix":""},{"dropping-particle":"","family":"Donato","given":"Daniel C.","non-dropping-particle":"","parse-names":false,"suffix":""},{"dropping-particle":"","family":"Manuri","given":"Solichin","non-dropping-particle":"","parse-names":false,"suffix":""},{"dropping-particle":"","family":"Krisnawati","given":"Haruni","non-dropping-particle":"","parse-names":false,"suffix":""},{"dropping-particle":"","family":"Taberima","given":"Sartji","non-dropping-particle":"","parse-names":false,"suffix":""},{"dropping-particle":"","family":"Kurnianto","given":"Sofyan","non-dropping-particle":"","parse-names":false,"suffix":""}],"container-title":"Nature Climate Change","id":"ITEM-5","issue":"12","issued":{"date-parts":[["2015","7","27"]]},"page":"1089-1092","publisher":"Nature Research","title":"The potential of Indonesian mangrove forests for global climate change mitigation","type":"article-journal","volume":"5"},"uris":["http://www.mendeley.com/documents/?uuid=417e17a9-a027-38cc-a856-d90c8fb50285"]}],"mendeley":{"formattedCitation":"(Alongi, 2009; Bouillon et al., 2008; Cameron et al., 2019; Duarte, 2017; Murdiyarso et al., 2015)","plainTextFormattedCitation":"(Alongi, 2009; Bouillon et al., 2008; Cameron et al., 2019; Duarte, 2017; Murdiyarso et al., 2015)","previouslyFormattedCitation":"(Alongi, 2009; Bouillon et al., 2008; Cameron et al., 2019; Duarte, 2017; Murdiyarso et al., 2015)"},"properties":{"noteIndex":0},"schema":"https://github.com/citation-style-language/schema/raw/master/csl-citation.json"}</w:instrText>
      </w:r>
      <w:r w:rsidRPr="008556CF">
        <w:rPr>
          <w:rFonts w:cstheme="minorHAnsi"/>
          <w:lang w:val="en-US"/>
        </w:rPr>
        <w:fldChar w:fldCharType="separate"/>
      </w:r>
      <w:r w:rsidRPr="008556CF">
        <w:rPr>
          <w:rFonts w:cstheme="minorHAnsi"/>
          <w:noProof/>
          <w:lang w:val="en-US"/>
        </w:rPr>
        <w:t>(Alongi, 2009; Bouillon et al., 2008; Cameron et al., 2019; Duarte, 2017; Murdiyarso et al., 2015)</w:t>
      </w:r>
      <w:r w:rsidRPr="008556CF">
        <w:rPr>
          <w:rFonts w:cstheme="minorHAnsi"/>
          <w:lang w:val="en-US"/>
        </w:rPr>
        <w:fldChar w:fldCharType="end"/>
      </w:r>
      <w:r w:rsidRPr="008556CF">
        <w:rPr>
          <w:rFonts w:cstheme="minorHAnsi"/>
          <w:lang w:val="en-US"/>
        </w:rPr>
        <w:t xml:space="preserve">. Mangroves comprise &lt;1% of global tropical forests </w:t>
      </w:r>
      <w:r w:rsidRPr="008556CF">
        <w:rPr>
          <w:rFonts w:cstheme="minorHAnsi"/>
          <w:lang w:val="en-US"/>
        </w:rPr>
        <w:fldChar w:fldCharType="begin" w:fldLock="1"/>
      </w:r>
      <w:r w:rsidRPr="008556CF">
        <w:rPr>
          <w:rFonts w:cstheme="minorHAnsi"/>
          <w:lang w:val="en-US"/>
        </w:rPr>
        <w:instrText>ADDIN CSL_CITATION {"citationItems":[{"id":"ITEM-1","itemData":{"DOI":"10.1111/j.1466-8238.2010.00584.x","ISBN":"1466-822X","ISSN":"1466822X","abstract":"Aim Our scientific understanding of the extent and distribution of mangrove forests of the world is inadequate. The available global mangrove databases, com- piled using disparate geospatial data sources and national statistics, need to be improved.Here,we mapped the status and distributions of global mangroves using recently available Global Land Survey (GLS) data and the Landsat archive. Methods We interpreted approximately 1000 Landsat scenes using hybrid super- vised and unsupervised digital image classification techniques. Each image was normalized for variation in solar angle and earth–sun distance by converting the digital number values to the top-of-the-atmosphere reflectance.Ground truth data and existing maps and databases were used to select training samples and also for iterative labelling. Results were validated using existing GIS data and the published literature to map ‘true mangroves’. Results The total area of mangroves in the year 2000 was 137,760 km2 in 118 countries and territories in the tropical and subtropical regions of the world. Approximately 75% of world’s mangroves are found in just 15 countries, and only 6.9% are protected under the existing protected areas network (IUCN I-IV). Our study confirms earlier findings that the biogeographic distribution of mangroves is generally confined to the tropical and subtropical regions and the largest percentage of mangroves is found between 5° N and 5° S latitude. Main conclusions We report that the remaining area of mangrove forest in the world is less than previously thought. Our estimate is 12.3% smaller than the most recent estimate by the Food and Agriculture Organization (FAO) of the United Nations.We present the most comprehensive, globally consistent and highest resolution (30 m) global mangrove database ever created.We developed and used better mapping techniques and data sources and mapped mangroves with better spatial and thematic details than previous studies.","author":[{"dropping-particle":"","family":"Giri","given":"C.","non-dropping-particle":"","parse-names":false,"suffix":""},{"dropping-particle":"","family":"Ochieng","given":"E.","non-dropping-particle":"","parse-names":false,"suffix":""},{"dropping-particle":"","family":"Tieszen","given":"L. L.","non-dropping-particle":"","parse-names":false,"suffix":""},{"dropping-particle":"","family":"Zhu","given":"Z.","non-dropping-particle":"","parse-names":false,"suffix":""},{"dropping-particle":"","family":"Singh","given":"A.","non-dropping-particle":"","parse-names":false,"suffix":""},{"dropping-particle":"","family":"Loveland","given":"T.","non-dropping-particle":"","parse-names":false,"suffix":""},{"dropping-particle":"","family":"Masek","given":"J.","non-dropping-particle":"","parse-names":false,"suffix":""},{"dropping-particle":"","family":"Duke","given":"N.","non-dropping-particle":"","parse-names":false,"suffix":""}],"container-title":"Global Ecology and Biogeography","id":"ITEM-1","issue":"1","issued":{"date-parts":[["2011","1"]]},"page":"154-159","title":"Status and distribution of mangrove forests of the world using earth observation satellite data","type":"article-journal","volume":"20"},"uris":["http://www.mendeley.com/documents/?uuid=d12166ad-2257-38a1-8725-93fbc824ac73"]}],"mendeley":{"formattedCitation":"(Giri et al., 2011)","plainTextFormattedCitation":"(Giri et al., 2011)","previouslyFormattedCitation":"(Giri et al., 2011)"},"properties":{"noteIndex":0},"schema":"https://github.com/citation-style-language/schema/raw/master/csl-citation.json"}</w:instrText>
      </w:r>
      <w:r w:rsidRPr="008556CF">
        <w:rPr>
          <w:rFonts w:cstheme="minorHAnsi"/>
          <w:lang w:val="en-US"/>
        </w:rPr>
        <w:fldChar w:fldCharType="separate"/>
      </w:r>
      <w:r w:rsidRPr="008556CF">
        <w:rPr>
          <w:rFonts w:cstheme="minorHAnsi"/>
          <w:noProof/>
          <w:lang w:val="en-US"/>
        </w:rPr>
        <w:t>(Giri et al., 2011)</w:t>
      </w:r>
      <w:r w:rsidRPr="008556CF">
        <w:rPr>
          <w:rFonts w:cstheme="minorHAnsi"/>
          <w:lang w:val="en-US"/>
        </w:rPr>
        <w:fldChar w:fldCharType="end"/>
      </w:r>
      <w:r w:rsidRPr="008556CF">
        <w:rPr>
          <w:rFonts w:cstheme="minorHAnsi"/>
          <w:lang w:val="en-US"/>
        </w:rPr>
        <w:t xml:space="preserve">, yet they contribute between 10 and 15% to marine organic carbon </w:t>
      </w:r>
      <w:r w:rsidRPr="00ED1C77">
        <w:rPr>
          <w:rFonts w:cstheme="minorHAnsi"/>
          <w:lang w:val="en-US"/>
        </w:rPr>
        <w:t>burial</w:t>
      </w:r>
      <w:r w:rsidRPr="008556CF">
        <w:rPr>
          <w:rFonts w:cstheme="minorHAnsi"/>
          <w:lang w:val="en-US"/>
        </w:rPr>
        <w:t xml:space="preserve"> </w:t>
      </w:r>
      <w:r w:rsidRPr="008556CF">
        <w:rPr>
          <w:rFonts w:cstheme="minorHAnsi"/>
          <w:lang w:val="en-US"/>
        </w:rPr>
        <w:fldChar w:fldCharType="begin" w:fldLock="1"/>
      </w:r>
      <w:r w:rsidRPr="008556CF">
        <w:rPr>
          <w:rFonts w:cstheme="minorHAnsi"/>
          <w:lang w:val="en-US"/>
        </w:rPr>
        <w:instrText>ADDIN CSL_CITATION {"citationItems":[{"id":"ITEM-1","itemData":{"DOI":"10.1016/j.jembe.2004.11.010","ISBN":"0022-0981","ISSN":"00220981","abstract":"The photosynthetic productivity of the intertidal communities dominated by the seagrass Zostera noltii and the cordgrass Spartina maritima was assessed in two contrasting situations during a tidal cycle, i.e., air exposure and water immersion. Two complementary methods were used: infra red gas analysis of CO2 flux measurements in whole communities and chlorophyll a fluorescence measurements of individual plants photosynthetic activity. Higher photosynthetic rates of Z. noltii in air were observed both at the individual plants response level determined by chlorophyll fluorescence and at the community level measured as gas exchange (CO2 uptake). S. maritima plants consistently showed low photosynthetic response when immersed. Gross community production (GCP) measured as carbon dioxide uptake was always higher in air than in water for both communities. When immersed, the GCP of both communities was similar. However, when exposed to the air, the GCP of the S. maritima community was higher than the one of Z. noltii's. The key factor in CO2 assimilation by air-exposed Z. noltii was the retention of water in sediment microdepressions. During low tide, depressions in the sediment retain a considerable amount of water, enough to maintain leaf hydration. In these conditions, rapid air-water CO2 diffusion occurs, making it readily available to plants. The community gas exchange measurements compared well with the fluorescence indications. Both Z. noltii and S. maritima were shown to be responsible for the overall pattern of photosynthetic carbon fixation within their respective communities, both during submersion and emersion periods. The short-term incubations method described in this report proved to be a valuable tool for field measurements of intertidal lagoon productivity. It provides fast and precise values of carbon dioxide fixation, both in submerged and air-exposed communities. © 2004 Elsevier B.V. All rights reserved.","author":[{"dropping-particle":"","family":"Silva","given":"João","non-dropping-particle":"","parse-names":false,"suffix":""},{"dropping-particle":"","family":"Santos","given":"Rui","non-dropping-particle":"","parse-names":false,"suffix":""},{"dropping-particle":"","family":"Calleja","given":"Maria Ll","non-dropping-particle":"","parse-names":false,"suffix":""},{"dropping-particle":"","family":"Duarte","given":"Carlos M.","non-dropping-particle":"","parse-names":false,"suffix":""}],"container-title":"Journal of Experimental Marine Biology and Ecology","id":"ITEM-1","issue":"1","issued":{"date-parts":[["2005"]]},"page":"87-95","title":"Submerged versus air-exposed intertidal macrophyte productivity: From physiological to community-level assessments","type":"article-journal","volume":"317"},"uris":["http://www.mendeley.com/documents/?uuid=d4924b29-9c27-4981-b193-205fdf11b501"]}],"mendeley":{"formattedCitation":"(Silva et al., 2005)","plainTextFormattedCitation":"(Silva et al., 2005)","previouslyFormattedCitation":"(Silva et al., 2005)"},"properties":{"noteIndex":0},"schema":"https://github.com/citation-style-language/schema/raw/master/csl-citation.json"}</w:instrText>
      </w:r>
      <w:r w:rsidRPr="008556CF">
        <w:rPr>
          <w:rFonts w:cstheme="minorHAnsi"/>
          <w:lang w:val="en-US"/>
        </w:rPr>
        <w:fldChar w:fldCharType="separate"/>
      </w:r>
      <w:r w:rsidRPr="008556CF">
        <w:rPr>
          <w:rFonts w:cstheme="minorHAnsi"/>
          <w:noProof/>
          <w:lang w:val="en-US"/>
        </w:rPr>
        <w:t>(Silva et al., 2005)</w:t>
      </w:r>
      <w:r w:rsidRPr="008556CF">
        <w:rPr>
          <w:rFonts w:cstheme="minorHAnsi"/>
          <w:lang w:val="en-US"/>
        </w:rPr>
        <w:fldChar w:fldCharType="end"/>
      </w:r>
      <w:r w:rsidRPr="008556CF">
        <w:rPr>
          <w:rFonts w:cstheme="minorHAnsi"/>
          <w:lang w:val="en-US"/>
        </w:rPr>
        <w:t xml:space="preserve">. These wetland ecosystems generate significant above and below-ground ‘blue carbon’ stores with greater per-area carbon stocks than tropical upland forests </w:t>
      </w:r>
      <w:r w:rsidRPr="008556CF">
        <w:rPr>
          <w:rFonts w:cstheme="minorHAnsi"/>
          <w:lang w:val="en-US"/>
        </w:rPr>
        <w:fldChar w:fldCharType="begin" w:fldLock="1"/>
      </w:r>
      <w:r w:rsidRPr="008556CF">
        <w:rPr>
          <w:rFonts w:cstheme="minorHAnsi"/>
          <w:lang w:val="en-US"/>
        </w:rPr>
        <w:instrText>ADDIN CSL_CITATION {"citationItems":[{"id":"ITEM-1","itemData":{"DOI":"10.4155/cmt.12.20","ISBN":"1758-3004","ISSN":"1758-3004","abstract":"Mangrove forests are highly productive, with carbon production rates\\nequivalent to tropical humid forests. Mangroves allocate proportionally\\nmore carbon belowground, and have higher below- to above-ground carbon\\nmass ratios than terrestrial trees. Most mangrove carbon is stored as\\nlarge pools in soil and dead roots. Mangroves are among the most\\ncarbon-rich biomes, containing an average of 937 tC ha(-1), facilitating\\nthe accumulation of fine particles, and fostering rapid rates of\\nsediment accretion (similar to 5 mm year(-1)) and carbon burial (174 gC\\nm(-2) year(-1)). Mangroves account for only approximately 1% (13.5 Gt\\nyear(-1)) of carbon sequestration by the world's forests, but as coastal\\nhabitats they account for 14% of carbon sequestration by the global\\nocean. If mangrove carbon stocks are disturbed, resultant gas emissions\\nmay be very high. Irrespective of uncertainties and the unique nature of\\nimplementing REDD+ and Blue Carbon projects, mangroves are prime\\necosystems for reforestation and restoration.","author":[{"dropping-particle":"","family":"Alongi","given":"Daniel M","non-dropping-particle":"","parse-names":false,"suffix":""}],"container-title":"Carbon Management","id":"ITEM-1","issue":"3","issued":{"date-parts":[["2012"]]},"page":"313-322","title":"Carbon sequestration in mangrove forests","type":"article-journal","volume":"3"},"uris":["http://www.mendeley.com/documents/?uuid=3241c1b5-0ca9-3fd5-b2e4-34aa00c78452"]}],"mendeley":{"formattedCitation":"(Alongi, 2012)","plainTextFormattedCitation":"(Alongi, 2012)","previouslyFormattedCitation":"(Alongi, 2012)"},"properties":{"noteIndex":0},"schema":"https://github.com/citation-style-language/schema/raw/master/csl-citation.json"}</w:instrText>
      </w:r>
      <w:r w:rsidRPr="008556CF">
        <w:rPr>
          <w:rFonts w:cstheme="minorHAnsi"/>
          <w:lang w:val="en-US"/>
        </w:rPr>
        <w:fldChar w:fldCharType="separate"/>
      </w:r>
      <w:r w:rsidRPr="008556CF">
        <w:rPr>
          <w:rFonts w:cstheme="minorHAnsi"/>
          <w:noProof/>
          <w:lang w:val="en-US"/>
        </w:rPr>
        <w:t>(Alongi, 2012)</w:t>
      </w:r>
      <w:r w:rsidRPr="008556CF">
        <w:rPr>
          <w:rFonts w:cstheme="minorHAnsi"/>
          <w:lang w:val="en-US"/>
        </w:rPr>
        <w:fldChar w:fldCharType="end"/>
      </w:r>
      <w:r w:rsidRPr="008556CF">
        <w:rPr>
          <w:rFonts w:cstheme="minorHAnsi"/>
          <w:lang w:val="en-US"/>
        </w:rPr>
        <w:t xml:space="preserve"> (</w:t>
      </w:r>
      <w:r>
        <w:rPr>
          <w:rFonts w:cstheme="minorHAnsi"/>
          <w:lang w:val="en-US"/>
        </w:rPr>
        <w:t>Figure 1.</w:t>
      </w:r>
      <w:r w:rsidRPr="008556CF">
        <w:rPr>
          <w:rFonts w:cstheme="minorHAnsi"/>
          <w:lang w:val="en-US"/>
        </w:rPr>
        <w:t>2). Total mangrove ecosystem carbon stocks average 1023 Mg C ha</w:t>
      </w:r>
      <w:r w:rsidRPr="008556CF">
        <w:rPr>
          <w:rFonts w:cstheme="minorHAnsi"/>
          <w:vertAlign w:val="superscript"/>
          <w:lang w:val="en-US"/>
        </w:rPr>
        <w:t>-1</w:t>
      </w:r>
      <w:r w:rsidRPr="008556CF">
        <w:rPr>
          <w:rFonts w:cstheme="minorHAnsi"/>
          <w:lang w:val="en-US"/>
        </w:rPr>
        <w:t>, which is more than triple that of boreal (326 Mg C ha</w:t>
      </w:r>
      <w:r w:rsidRPr="008556CF">
        <w:rPr>
          <w:rFonts w:cstheme="minorHAnsi"/>
          <w:vertAlign w:val="superscript"/>
          <w:lang w:val="en-US"/>
        </w:rPr>
        <w:t>-1</w:t>
      </w:r>
      <w:r w:rsidRPr="008556CF">
        <w:rPr>
          <w:rFonts w:cstheme="minorHAnsi"/>
          <w:lang w:val="en-US"/>
        </w:rPr>
        <w:t>) and temperate (315 Mg C ha</w:t>
      </w:r>
      <w:r w:rsidRPr="008556CF">
        <w:rPr>
          <w:rFonts w:cstheme="minorHAnsi"/>
          <w:vertAlign w:val="superscript"/>
          <w:lang w:val="en-US"/>
        </w:rPr>
        <w:t>-1</w:t>
      </w:r>
      <w:r w:rsidRPr="008556CF">
        <w:rPr>
          <w:rFonts w:cstheme="minorHAnsi"/>
          <w:lang w:val="en-US"/>
        </w:rPr>
        <w:t>) forests, while being over four times that of tropical (251 Mg C ha</w:t>
      </w:r>
      <w:r w:rsidRPr="008556CF">
        <w:rPr>
          <w:rFonts w:cstheme="minorHAnsi"/>
          <w:vertAlign w:val="superscript"/>
          <w:lang w:val="en-US"/>
        </w:rPr>
        <w:t>-1</w:t>
      </w:r>
      <w:r w:rsidRPr="008556CF">
        <w:rPr>
          <w:rFonts w:cstheme="minorHAnsi"/>
          <w:lang w:val="en-US"/>
        </w:rPr>
        <w:t xml:space="preserve">) upland forests </w:t>
      </w:r>
      <w:r w:rsidRPr="008556CF">
        <w:rPr>
          <w:rFonts w:cstheme="minorHAnsi"/>
          <w:lang w:val="en-US"/>
        </w:rPr>
        <w:fldChar w:fldCharType="begin" w:fldLock="1"/>
      </w:r>
      <w:r w:rsidRPr="008556CF">
        <w:rPr>
          <w:rFonts w:cstheme="minorHAnsi"/>
          <w:lang w:val="en-US"/>
        </w:rPr>
        <w:instrText>ADDIN CSL_CITATION {"citationItems":[{"id":"ITEM-1","itemData":{"DOI":"10.4155/cmt.12.20","ISBN":"1758-3004","ISSN":"1758-3004","abstract":"Mangrove forests are highly productive, with carbon production rates\\nequivalent to tropical humid forests. Mangroves allocate proportionally\\nmore carbon belowground, and have higher below- to above-ground carbon\\nmass ratios than terrestrial trees. Most mangrove carbon is stored as\\nlarge pools in soil and dead roots. Mangroves are among the most\\ncarbon-rich biomes, containing an average of 937 tC ha(-1), facilitating\\nthe accumulation of fine particles, and fostering rapid rates of\\nsediment accretion (similar to 5 mm year(-1)) and carbon burial (174 gC\\nm(-2) year(-1)). Mangroves account for only approximately 1% (13.5 Gt\\nyear(-1)) of carbon sequestration by the world's forests, but as coastal\\nhabitats they account for 14% of carbon sequestration by the global\\nocean. If mangrove carbon stocks are disturbed, resultant gas emissions\\nmay be very high. Irrespective of uncertainties and the unique nature of\\nimplementing REDD+ and Blue Carbon projects, mangroves are prime\\necosystems for reforestation and restoration.","author":[{"dropping-particle":"","family":"Alongi","given":"Daniel M","non-dropping-particle":"","parse-names":false,"suffix":""}],"container-title":"Carbon Management","id":"ITEM-1","issue":"3","issued":{"date-parts":[["2012"]]},"page":"313-322","title":"Carbon sequestration in mangrove forests","type":"article-journal","volume":"3"},"uris":["http://www.mendeley.com/documents/?uuid=3241c1b5-0ca9-3fd5-b2e4-34aa00c78452"]},{"id":"ITEM-2","itemData":{"DOI":"10.1038/ngeo1123","ISBN":"1752-0894","ISSN":"1752-0894","PMID":"17701399","abstract":"Mangrove forests occur along ocean coastlines throughout the tropics, and support numerous ecosystem services, including fisheries production and nutrient cycling. However, the areal extent of mangrove forests has declined by 30–50% over the past half century as a result of coastal development, aqua- culture expansion and over-harvesting1–4. Carbon emissions resulting from mangrove loss are uncertain, owing in part to a lack of broad-scale data on the amount of carbon stored in these ecosystems, particularly below ground5. Here, we quantified whole-ecosystem carbon storage by measuring tree and dead wood biomass, soil carbon content, and soil depth in 25 mangrove forests across a broad area of the Indo-Pacific region—spanning 30◦ of latitude and 73◦ of longitude—where mangrove area and diversity are greatest4,6. These data indi- cate that mangroves are among the most carbon-rich forests in the tropics, containing on average 1,023Mg carbon per hectare. Organic-rich soils ranged from 0.5mto more than 3m in depth and accounted for 49–98% of carbon storage in these systems. Combining our data with other published information, we estimate that mangrove deforestation generates emissions of 0.02–0.12Pg carbon per year—as much as around 10% of emissions from deforestation globally, despite accounting for just 0.7%of tropical forest area.","author":[{"dropping-particle":"","family":"Donato","given":"Daniel C.","non-dropping-particle":"","parse-names":false,"suffix":""},{"dropping-particle":"","family":"Kauffman","given":"J. Boone","non-dropping-particle":"","parse-names":false,"suffix":""},{"dropping-particle":"","family":"Murdiyarso","given":"Daniel","non-dropping-particle":"","parse-names":false,"suffix":""},{"dropping-particle":"","family":"Kurnianto","given":"Sofyan","non-dropping-particle":"","parse-names":false,"suffix":""},{"dropping-particle":"","family":"Stidham","given":"Melanie","non-dropping-particle":"","parse-names":false,"suffix":""},{"dropping-particle":"","family":"Kanninen","given":"Markku","non-dropping-particle":"","parse-names":false,"suffix":""}],"container-title":"Nature Geoscience","id":"ITEM-2","issue":"5","issued":{"date-parts":[["2011"]]},"page":"293-297","title":"Mangroves among the most carbon-rich forests in the tropics","type":"article-journal","volume":"4"},"uris":["http://www.mendeley.com/documents/?uuid=490346f7-5ac8-4ae2-8d0c-30ebcec82312"]}],"mendeley":{"formattedCitation":"(Alongi, 2012; Donato et al., 2011)","plainTextFormattedCitation":"(Alongi, 2012; Donato et al., 2011)","previouslyFormattedCitation":"(Alongi, 2012; Donato et al., 2011)"},"properties":{"noteIndex":0},"schema":"https://github.com/citation-style-language/schema/raw/master/csl-citation.json"}</w:instrText>
      </w:r>
      <w:r w:rsidRPr="008556CF">
        <w:rPr>
          <w:rFonts w:cstheme="minorHAnsi"/>
          <w:lang w:val="en-US"/>
        </w:rPr>
        <w:fldChar w:fldCharType="separate"/>
      </w:r>
      <w:r w:rsidRPr="008556CF">
        <w:rPr>
          <w:rFonts w:cstheme="minorHAnsi"/>
          <w:noProof/>
          <w:lang w:val="en-US"/>
        </w:rPr>
        <w:t>(Alongi, 2012; Donato et al., 2011)</w:t>
      </w:r>
      <w:r w:rsidRPr="008556CF">
        <w:rPr>
          <w:rFonts w:cstheme="minorHAnsi"/>
          <w:lang w:val="en-US"/>
        </w:rPr>
        <w:fldChar w:fldCharType="end"/>
      </w:r>
      <w:r w:rsidRPr="008556CF">
        <w:rPr>
          <w:rFonts w:cstheme="minorHAnsi"/>
          <w:lang w:val="en-US"/>
        </w:rPr>
        <w:t>.</w:t>
      </w:r>
    </w:p>
    <w:p w14:paraId="40983765" w14:textId="77777777" w:rsidR="00FA0744" w:rsidRDefault="00FA0744" w:rsidP="00FA0744">
      <w:pPr>
        <w:spacing w:line="480" w:lineRule="auto"/>
        <w:rPr>
          <w:lang w:val="en-US"/>
        </w:rPr>
      </w:pPr>
    </w:p>
    <w:p w14:paraId="2A91F476" w14:textId="77777777" w:rsidR="00FA0744" w:rsidRDefault="00FA0744" w:rsidP="00FA0744">
      <w:pPr>
        <w:spacing w:line="480" w:lineRule="auto"/>
        <w:jc w:val="center"/>
        <w:rPr>
          <w:lang w:val="en-US"/>
        </w:rPr>
      </w:pPr>
      <w:r>
        <w:rPr>
          <w:noProof/>
          <w:lang w:eastAsia="en-GB"/>
        </w:rPr>
        <w:lastRenderedPageBreak/>
        <w:drawing>
          <wp:inline distT="0" distB="0" distL="0" distR="0" wp14:anchorId="585E05A7" wp14:editId="2A0BB70E">
            <wp:extent cx="5731510" cy="3438781"/>
            <wp:effectExtent l="0" t="0" r="8890" b="1587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C5C1362" w14:textId="77777777" w:rsidR="00FA0744" w:rsidRDefault="00FA0744" w:rsidP="00FA0744">
      <w:pPr>
        <w:spacing w:line="480" w:lineRule="auto"/>
        <w:jc w:val="center"/>
        <w:rPr>
          <w:b/>
          <w:bCs/>
          <w:sz w:val="20"/>
          <w:szCs w:val="20"/>
          <w:lang w:val="en-US"/>
        </w:rPr>
      </w:pPr>
      <w:r w:rsidRPr="00FA13DB">
        <w:rPr>
          <w:b/>
          <w:bCs/>
          <w:sz w:val="20"/>
          <w:szCs w:val="20"/>
          <w:lang w:val="en-US"/>
        </w:rPr>
        <w:t xml:space="preserve">Figure </w:t>
      </w:r>
      <w:r>
        <w:rPr>
          <w:b/>
          <w:bCs/>
          <w:sz w:val="20"/>
          <w:szCs w:val="20"/>
          <w:lang w:val="en-US"/>
        </w:rPr>
        <w:t>1.2</w:t>
      </w:r>
      <w:r w:rsidRPr="00FA13DB">
        <w:rPr>
          <w:b/>
          <w:bCs/>
          <w:sz w:val="20"/>
          <w:szCs w:val="20"/>
          <w:lang w:val="en-US"/>
        </w:rPr>
        <w:t xml:space="preserve">: </w:t>
      </w:r>
      <w:r>
        <w:rPr>
          <w:b/>
          <w:bCs/>
          <w:sz w:val="20"/>
          <w:szCs w:val="20"/>
          <w:lang w:val="en-US"/>
        </w:rPr>
        <w:t>Above and below ground carbon stocks in different forest types</w:t>
      </w:r>
      <w:r w:rsidRPr="00FA13DB">
        <w:rPr>
          <w:b/>
          <w:bCs/>
          <w:sz w:val="20"/>
          <w:szCs w:val="20"/>
          <w:lang w:val="en-US"/>
        </w:rPr>
        <w:t xml:space="preserve">. Adapted from </w:t>
      </w:r>
      <w:proofErr w:type="spellStart"/>
      <w:r>
        <w:rPr>
          <w:b/>
          <w:bCs/>
          <w:sz w:val="20"/>
          <w:szCs w:val="20"/>
          <w:lang w:val="en-US"/>
        </w:rPr>
        <w:t>Alongi</w:t>
      </w:r>
      <w:proofErr w:type="spellEnd"/>
      <w:r w:rsidRPr="00FA13DB">
        <w:rPr>
          <w:b/>
          <w:bCs/>
          <w:sz w:val="20"/>
          <w:szCs w:val="20"/>
          <w:lang w:val="en-US"/>
        </w:rPr>
        <w:t xml:space="preserve"> (</w:t>
      </w:r>
      <w:r>
        <w:rPr>
          <w:b/>
          <w:bCs/>
          <w:sz w:val="20"/>
          <w:szCs w:val="20"/>
          <w:lang w:val="en-US"/>
        </w:rPr>
        <w:t>2012</w:t>
      </w:r>
      <w:r w:rsidRPr="00FA13DB">
        <w:rPr>
          <w:b/>
          <w:bCs/>
          <w:sz w:val="20"/>
          <w:szCs w:val="20"/>
          <w:lang w:val="en-US"/>
        </w:rPr>
        <w:t>).</w:t>
      </w:r>
    </w:p>
    <w:p w14:paraId="33605924" w14:textId="77777777" w:rsidR="00FA0744" w:rsidRPr="00685912" w:rsidRDefault="00FA0744" w:rsidP="00FA0744">
      <w:pPr>
        <w:spacing w:line="480" w:lineRule="auto"/>
        <w:rPr>
          <w:lang w:val="en-US"/>
        </w:rPr>
      </w:pPr>
    </w:p>
    <w:p w14:paraId="124878F2" w14:textId="77777777" w:rsidR="00FA0744" w:rsidRPr="00685912" w:rsidRDefault="00FA0744" w:rsidP="00FA0744">
      <w:pPr>
        <w:spacing w:line="480" w:lineRule="auto"/>
        <w:rPr>
          <w:lang w:val="en-US"/>
        </w:rPr>
      </w:pPr>
      <w:r w:rsidRPr="00685912">
        <w:rPr>
          <w:lang w:val="en-US"/>
        </w:rPr>
        <w:t>A significant proportion of mangrove carbon stocks are plant-derived</w:t>
      </w:r>
      <w:r>
        <w:rPr>
          <w:lang w:val="en-US"/>
        </w:rPr>
        <w:t xml:space="preserve"> and </w:t>
      </w:r>
      <w:r w:rsidRPr="00685912">
        <w:rPr>
          <w:lang w:val="en-US"/>
        </w:rPr>
        <w:t xml:space="preserve">thus their comparatively high carbon stocks are, in part, due to their high primary productivity rates </w:t>
      </w:r>
      <w:r w:rsidRPr="00685912">
        <w:rPr>
          <w:lang w:val="en-US"/>
        </w:rPr>
        <w:fldChar w:fldCharType="begin" w:fldLock="1"/>
      </w:r>
      <w:r w:rsidRPr="00685912">
        <w:rPr>
          <w:lang w:val="en-US"/>
        </w:rPr>
        <w:instrText>ADDIN CSL_CITATION {"citationItems":[{"id":"ITEM-1","itemData":{"DOI":"10.4155/cmt.12.20","ISBN":"1758-3004","ISSN":"1758-3004","abstract":"Mangrove forests are highly productive, with carbon production rates\\nequivalent to tropical humid forests. Mangroves allocate proportionally\\nmore carbon belowground, and have higher below- to above-ground carbon\\nmass ratios than terrestrial trees. Most mangrove carbon is stored as\\nlarge pools in soil and dead roots. Mangroves are among the most\\ncarbon-rich biomes, containing an average of 937 tC ha(-1), facilitating\\nthe accumulation of fine particles, and fostering rapid rates of\\nsediment accretion (similar to 5 mm year(-1)) and carbon burial (174 gC\\nm(-2) year(-1)). Mangroves account for only approximately 1% (13.5 Gt\\nyear(-1)) of carbon sequestration by the world's forests, but as coastal\\nhabitats they account for 14% of carbon sequestration by the global\\nocean. If mangrove carbon stocks are disturbed, resultant gas emissions\\nmay be very high. Irrespective of uncertainties and the unique nature of\\nimplementing REDD+ and Blue Carbon projects, mangroves are prime\\necosystems for reforestation and restoration.","author":[{"dropping-particle":"","family":"Alongi","given":"Daniel M","non-dropping-particle":"","parse-names":false,"suffix":""}],"container-title":"Carbon Management","id":"ITEM-1","issue":"3","issued":{"date-parts":[["2012"]]},"page":"313-322","title":"Carbon sequestration in mangrove forests","type":"article-journal","volume":"3"},"uris":["http://www.mendeley.com/documents/?uuid=3241c1b5-0ca9-3fd5-b2e4-34aa00c78452"]},{"id":"ITEM-2","itemData":{"DOI":"10.1029/2007GB003052","ISBN":"0886-6236","ISSN":"08866236","PMID":"208059789","abstract":"Mangrove forests are highly productive but globally threatened coastal ecosystems, whose role in the carbon budget of the coastal zone has long been debated. Here we provide a comprehensive synthesis of the available data on carbon fluxes in mangrove ecosystems. A reassessment of global mangrove primary production from the literature results in a conservative estimate of similar to 218 +/- 72 Tg C a(-1). When using the best available estimates of various carbon sinks (organic carbon export, sediment burial, and mineralization), it appears that &gt; 50% of the carbon fixed by mangrove vegetation is unaccounted for. This unaccounted carbon sink is conservatively estimated at similar to 112 +/- 85 Tg C a(-1), equivalent in magnitude to similar to 30-40% of the global riverine organic carbon input to the coastal zone. Our analysis suggests that mineralization is severely underestimated, and that the majority of carbon export from mangroves to adjacent waters occurs as dissolved inorganic carbon (DIC). CO(2) efflux from sediments and creek waters and tidal export of DIC appear to be the major sinks. These processes are quantitatively comparable in magnitude to the unaccounted carbon sink in current budgets, but are not yet adequately constrained with the limited published data available so far.","author":[{"dropping-particle":"","family":"Bouillon","given":"Steven","non-dropping-particle":"","parse-names":false,"suffix":""},{"dropping-particle":"V.","family":"Borges","given":"Alberto","non-dropping-particle":"","parse-names":false,"suffix":""},{"dropping-particle":"","family":"Castañeda-Moya","given":"Edward","non-dropping-particle":"","parse-names":false,"suffix":""},{"dropping-particle":"","family":"Diele","given":"Karen","non-dropping-particle":"","parse-names":false,"suffix":""},{"dropping-particle":"","family":"Dittmar","given":"Thorsten","non-dropping-particle":"","parse-names":false,"suffix":""},{"dropping-particle":"","family":"Duke","given":"Norman C.","non-dropping-particle":"","parse-names":false,"suffix":""},{"dropping-particle":"","family":"Kristensen","given":"Erik","non-dropping-particle":"","parse-names":false,"suffix":""},{"dropping-particle":"","family":"Lee","given":"Shing Y.","non-dropping-particle":"","parse-names":false,"suffix":""},{"dropping-particle":"","family":"Marchand","given":"Cyril","non-dropping-particle":"","parse-names":false,"suffix":""},{"dropping-particle":"","family":"Middelburg","given":"Jack J.","non-dropping-particle":"","parse-names":false,"suffix":""},{"dropping-particle":"","family":"Rivera-Monroy","given":"Victor H.","non-dropping-particle":"","parse-names":false,"suffix":""},{"dropping-particle":"","family":"Smith","given":"Thomas J.","non-dropping-particle":"","parse-names":false,"suffix":""},{"dropping-particle":"","family":"Twilley","given":"Robert R.","non-dropping-particle":"","parse-names":false,"suffix":""}],"container-title":"Global Biogeochemical Cycles","id":"ITEM-2","issue":"2","issued":{"date-parts":[["2008","6","9"]]},"title":"Mangrove production and carbon sinks: A revision of global budget estimates","type":"article-journal","volume":"22"},"uris":["http://www.mendeley.com/documents/?uuid=4c6861df-7364-4b1c-b518-f90c03ee1c54"]}],"mendeley":{"formattedCitation":"(Alongi, 2012; Bouillon et al., 2008)","plainTextFormattedCitation":"(Alongi, 2012; Bouillon et al., 2008)","previouslyFormattedCitation":"(Alongi, 2012; Bouillon et al., 2008)"},"properties":{"noteIndex":0},"schema":"https://github.com/citation-style-language/schema/raw/master/csl-citation.json"}</w:instrText>
      </w:r>
      <w:r w:rsidRPr="00685912">
        <w:rPr>
          <w:lang w:val="en-US"/>
        </w:rPr>
        <w:fldChar w:fldCharType="separate"/>
      </w:r>
      <w:r w:rsidRPr="00685912">
        <w:rPr>
          <w:noProof/>
          <w:lang w:val="en-US"/>
        </w:rPr>
        <w:t>(Alongi, 2012; Bouillon et al., 2008)</w:t>
      </w:r>
      <w:r w:rsidRPr="00685912">
        <w:rPr>
          <w:lang w:val="en-US"/>
        </w:rPr>
        <w:fldChar w:fldCharType="end"/>
      </w:r>
      <w:r w:rsidRPr="00685912">
        <w:rPr>
          <w:lang w:val="en-US"/>
        </w:rPr>
        <w:t xml:space="preserve">. Mangrove aboveground productivity rates and biomass can rival those of highly productive tropical terrestrial forests </w:t>
      </w:r>
      <w:r w:rsidRPr="00685912">
        <w:rPr>
          <w:lang w:val="en-US"/>
        </w:rPr>
        <w:fldChar w:fldCharType="begin" w:fldLock="1"/>
      </w:r>
      <w:r w:rsidRPr="00685912">
        <w:rPr>
          <w:lang w:val="en-US"/>
        </w:rPr>
        <w:instrText>ADDIN CSL_CITATION {"citationItems":[{"id":"ITEM-1","itemData":{"DOI":"10.1007/978-1-4020-4271-3","ISBN":"9781402042706","abstract":"Despite their importance in sustaining livelihoods for many people living along some of the world's most populous coastlines, tropical mangrove forests are disappearing at an alarming rate. Occupying a crucial place between land and sea, these tidal ecosystems provide a valuable ecological and economic resource as important nursery grounds and breeding sites for many organisms, and as a renewable source of wood and traditional foods and medicines. Perhaps most importantly, they are accumulation sites for sediment, contaminants, carbon and nutrients, and offer significant protection against coastal erosion. This book presents a functional overview of mangrove forest ecosystems; how they live and grow at the edge of tropical seas, how they play a critical role along most of the world's tropical coasts, and how their future might look in a world affected by climate change. Such a process-oriented approach is necessary in order to further understand the role of these dynamic forests in ecosystem function, and as a first step towards developing adequate strategies for their conservation and sustainable use and management. The book will provide a valuable resource for researchers in mangrove ecology as well as reference for resource managers. © 2009 Springer Science + Business Media B.V.","author":[{"dropping-particle":"","family":"Alongi","given":"Daniel M.","non-dropping-particle":"","parse-names":false,"suffix":""}],"container-title":"The Energetics of Mangrove Forests","id":"ITEM-1","issued":{"date-parts":[["2009"]]},"number-of-pages":"1-216","publisher":"Springer Science &amp; Business Media","publisher-place":"New York","title":"The energetics of mangrove forests","type":"book"},"uris":["http://www.mendeley.com/documents/?uuid=cbb1df17-e857-4abd-95d9-5dd9e7b78cbc"]},{"id":"ITEM-2","itemData":{"DOI":"10.4155/cmt.12.20","ISBN":"1758-3004","ISSN":"1758-3004","abstract":"Mangrove forests are highly productive, with carbon production rates\\nequivalent to tropical humid forests. Mangroves allocate proportionally\\nmore carbon belowground, and have higher below- to above-ground carbon\\nmass ratios than terrestrial trees. Most mangrove carbon is stored as\\nlarge pools in soil and dead roots. Mangroves are among the most\\ncarbon-rich biomes, containing an average of 937 tC ha(-1), facilitating\\nthe accumulation of fine particles, and fostering rapid rates of\\nsediment accretion (similar to 5 mm year(-1)) and carbon burial (174 gC\\nm(-2) year(-1)). Mangroves account for only approximately 1% (13.5 Gt\\nyear(-1)) of carbon sequestration by the world's forests, but as coastal\\nhabitats they account for 14% of carbon sequestration by the global\\nocean. If mangrove carbon stocks are disturbed, resultant gas emissions\\nmay be very high. Irrespective of uncertainties and the unique nature of\\nimplementing REDD+ and Blue Carbon projects, mangroves are prime\\necosystems for reforestation and restoration.","author":[{"dropping-particle":"","family":"Alongi","given":"Daniel M","non-dropping-particle":"","parse-names":false,"suffix":""}],"container-title":"Carbon Management","id":"ITEM-2","issue":"3","issued":{"date-parts":[["2012"]]},"page":"313-322","title":"Carbon sequestration in mangrove forests","type":"article-journal","volume":"3"},"uris":["http://www.mendeley.com/documents/?uuid=3241c1b5-0ca9-3fd5-b2e4-34aa00c78452"]}],"mendeley":{"formattedCitation":"(Alongi, 2012, 2009)","plainTextFormattedCitation":"(Alongi, 2012, 2009)","previouslyFormattedCitation":"(Alongi, 2012, 2009)"},"properties":{"noteIndex":0},"schema":"https://github.com/citation-style-language/schema/raw/master/csl-citation.json"}</w:instrText>
      </w:r>
      <w:r w:rsidRPr="00685912">
        <w:rPr>
          <w:lang w:val="en-US"/>
        </w:rPr>
        <w:fldChar w:fldCharType="separate"/>
      </w:r>
      <w:r w:rsidRPr="00685912">
        <w:rPr>
          <w:noProof/>
          <w:lang w:val="en-US"/>
        </w:rPr>
        <w:t>(Alongi, 2012, 2009)</w:t>
      </w:r>
      <w:r w:rsidRPr="00685912">
        <w:rPr>
          <w:lang w:val="en-US"/>
        </w:rPr>
        <w:fldChar w:fldCharType="end"/>
      </w:r>
      <w:r w:rsidRPr="00685912">
        <w:rPr>
          <w:lang w:val="en-US"/>
        </w:rPr>
        <w:t>. Extrapolated leaf litter measurements from both mangrove and terrestrial forests show comparable aboveground Net Primary Productivity (NPP) rates. Mean and median mangrove NPP (mean: 11.1 t DW ha</w:t>
      </w:r>
      <w:r w:rsidRPr="00685912">
        <w:rPr>
          <w:vertAlign w:val="superscript"/>
          <w:lang w:val="en-US"/>
        </w:rPr>
        <w:t>-1</w:t>
      </w:r>
      <w:r w:rsidRPr="00685912">
        <w:rPr>
          <w:lang w:val="en-US"/>
        </w:rPr>
        <w:t xml:space="preserve"> yr</w:t>
      </w:r>
      <w:r w:rsidRPr="00685912">
        <w:rPr>
          <w:vertAlign w:val="superscript"/>
          <w:lang w:val="en-US"/>
        </w:rPr>
        <w:t>-1</w:t>
      </w:r>
      <w:r w:rsidRPr="00685912">
        <w:rPr>
          <w:lang w:val="en-US"/>
        </w:rPr>
        <w:t>; median: 8.1 t DW ha</w:t>
      </w:r>
      <w:r w:rsidRPr="00685912">
        <w:rPr>
          <w:vertAlign w:val="superscript"/>
          <w:lang w:val="en-US"/>
        </w:rPr>
        <w:t>-1</w:t>
      </w:r>
      <w:r w:rsidRPr="00685912">
        <w:rPr>
          <w:lang w:val="en-US"/>
        </w:rPr>
        <w:t xml:space="preserve"> yr</w:t>
      </w:r>
      <w:r w:rsidRPr="00685912">
        <w:rPr>
          <w:vertAlign w:val="superscript"/>
          <w:lang w:val="en-US"/>
        </w:rPr>
        <w:t>-1</w:t>
      </w:r>
      <w:r w:rsidRPr="00685912">
        <w:rPr>
          <w:lang w:val="en-US"/>
        </w:rPr>
        <w:t>) are comparable to those in terrestrial forests (mean: 11.9 t DW ha</w:t>
      </w:r>
      <w:r w:rsidRPr="00685912">
        <w:rPr>
          <w:vertAlign w:val="superscript"/>
          <w:lang w:val="en-US"/>
        </w:rPr>
        <w:t>-1</w:t>
      </w:r>
      <w:r w:rsidRPr="00685912">
        <w:rPr>
          <w:lang w:val="en-US"/>
        </w:rPr>
        <w:t xml:space="preserve"> yr</w:t>
      </w:r>
      <w:r w:rsidRPr="00685912">
        <w:rPr>
          <w:vertAlign w:val="superscript"/>
          <w:lang w:val="en-US"/>
        </w:rPr>
        <w:t>-1</w:t>
      </w:r>
      <w:r w:rsidRPr="00685912">
        <w:rPr>
          <w:lang w:val="en-US"/>
        </w:rPr>
        <w:t>; median: 11.4 t DW ha</w:t>
      </w:r>
      <w:r w:rsidRPr="00685912">
        <w:rPr>
          <w:vertAlign w:val="superscript"/>
          <w:lang w:val="en-US"/>
        </w:rPr>
        <w:t>-1</w:t>
      </w:r>
      <w:r w:rsidRPr="00685912">
        <w:rPr>
          <w:lang w:val="en-US"/>
        </w:rPr>
        <w:t xml:space="preserve"> yr</w:t>
      </w:r>
      <w:r w:rsidRPr="00685912">
        <w:rPr>
          <w:vertAlign w:val="superscript"/>
          <w:lang w:val="en-US"/>
        </w:rPr>
        <w:t>-1</w:t>
      </w:r>
      <w:r w:rsidRPr="00685912">
        <w:rPr>
          <w:lang w:val="en-US"/>
        </w:rPr>
        <w:t xml:space="preserve">) </w:t>
      </w:r>
      <w:r w:rsidRPr="00685912">
        <w:rPr>
          <w:lang w:val="en-US"/>
        </w:rPr>
        <w:fldChar w:fldCharType="begin" w:fldLock="1"/>
      </w:r>
      <w:r w:rsidRPr="00685912">
        <w:rPr>
          <w:lang w:val="en-US"/>
        </w:rPr>
        <w:instrText>ADDIN CSL_CITATION {"citationItems":[{"id":"ITEM-1","itemData":{"DOI":"10.1007/978-1-4020-4271-3","ISBN":"9781402042706","abstract":"Despite their importance in sustaining livelihoods for many people living along some of the world's most populous coastlines, tropical mangrove forests are disappearing at an alarming rate. Occupying a crucial place between land and sea, these tidal ecosystems provide a valuable ecological and economic resource as important nursery grounds and breeding sites for many organisms, and as a renewable source of wood and traditional foods and medicines. Perhaps most importantly, they are accumulation sites for sediment, contaminants, carbon and nutrients, and offer significant protection against coastal erosion. This book presents a functional overview of mangrove forest ecosystems; how they live and grow at the edge of tropical seas, how they play a critical role along most of the world's tropical coasts, and how their future might look in a world affected by climate change. Such a process-oriented approach is necessary in order to further understand the role of these dynamic forests in ecosystem function, and as a first step towards developing adequate strategies for their conservation and sustainable use and management. The book will provide a valuable resource for researchers in mangrove ecology as well as reference for resource managers. © 2009 Springer Science + Business Media B.V.","author":[{"dropping-particle":"","family":"Alongi","given":"Daniel M.","non-dropping-particle":"","parse-names":false,"suffix":""}],"container-title":"The Energetics of Mangrove Forests","id":"ITEM-1","issued":{"date-parts":[["2009"]]},"number-of-pages":"1-216","publisher":"Springer Science &amp; Business Media","publisher-place":"New York","title":"The energetics of mangrove forests","type":"book"},"uris":["http://www.mendeley.com/documents/?uuid=cbb1df17-e857-4abd-95d9-5dd9e7b78cbc"]}],"mendeley":{"formattedCitation":"(Alongi, 2009)","plainTextFormattedCitation":"(Alongi, 2009)","previouslyFormattedCitation":"(Alongi, 2009)"},"properties":{"noteIndex":0},"schema":"https://github.com/citation-style-language/schema/raw/master/csl-citation.json"}</w:instrText>
      </w:r>
      <w:r w:rsidRPr="00685912">
        <w:rPr>
          <w:lang w:val="en-US"/>
        </w:rPr>
        <w:fldChar w:fldCharType="separate"/>
      </w:r>
      <w:r w:rsidRPr="00685912">
        <w:rPr>
          <w:noProof/>
          <w:lang w:val="en-US"/>
        </w:rPr>
        <w:t>(Alongi, 2009)</w:t>
      </w:r>
      <w:r w:rsidRPr="00685912">
        <w:rPr>
          <w:lang w:val="en-US"/>
        </w:rPr>
        <w:fldChar w:fldCharType="end"/>
      </w:r>
      <w:r w:rsidRPr="00685912">
        <w:rPr>
          <w:lang w:val="en-US"/>
        </w:rPr>
        <w:t xml:space="preserve">. Maximum mangrove tree height (60 m) is also comparable to terrestrial forests </w:t>
      </w:r>
      <w:r w:rsidRPr="00685912">
        <w:rPr>
          <w:lang w:val="en-US"/>
        </w:rPr>
        <w:fldChar w:fldCharType="begin" w:fldLock="1"/>
      </w:r>
      <w:r>
        <w:rPr>
          <w:lang w:val="en-US"/>
        </w:rPr>
        <w:instrText>ADDIN CSL_CITATION {"citationItems":[{"id":"ITEM-1","itemData":{"DOI":"10.1038/s41561-018-0279-1","ISSN":"1752-0894","author":[{"dropping-particle":"","family":"Simard","given":"M","non-dropping-particle":"","parse-names":false,"suffix":""},{"dropping-particle":"","family":"Fatoyinbo","given":"T","non-dropping-particle":"","parse-names":false,"suffix":""},{"dropping-particle":"","family":"Smetanka","given":"C","non-dropping-particle":"","parse-names":false,"suffix":""},{"dropping-particle":"","family":"Rivera-Monroy","given":"V","non-dropping-particle":"","parse-names":false,"suffix":""},{"dropping-particle":"","family":"Castaneda-Moya","given":"E","non-dropping-particle":"","parse-names":false,"suffix":""},{"dropping-particle":"","family":"Thomas","given":"N","non-dropping-particle":"","parse-names":false,"suffix":""},{"dropping-particle":"","family":"Stocken","given":"T","non-dropping-particle":"Van der","parse-names":false,"suffix":""}],"container-title":"Nature Geoscience","id":"ITEM-1","issued":{"date-parts":[["2019"]]},"page":"40-45","title":"Mangrove canopy height globally related to precipitation, temperature and cyclone frequency","type":"article-journal","volume":"12"},"uris":["http://www.mendeley.com/documents/?uuid=c193cdd2-1a70-43c9-a844-79490daf0667"]},{"id":"ITEM-2","itemData":{"DOI":"10.1029/2011JG001708","ISSN":"01480227","abstract":"Data from spaceborne light detection and ranging (lidar) opens the possibility to map forest vertical structure globally. We present a wall-to-wall, global map of canopy height at 1-km spatial resolution, using 2005 data from the Geoscience Laser Altimeter System (GLAS) aboard ICESat (Ice, Cloud, and land Elevation Satellite). A challenge in the use of GLAS data for global vegetation studies is the sparse coverage of lidar shots (mean = 121 data points/degree&lt;sup&gt;2&lt;/sup&gt; for the L3C campaign). However, GLAS-derived canopy height (RH100) values were highly correlated with other, more spatially dense, ancillary variables available globally, which allowed us to model global RH100 from forest type, tree cover, elevation, and climatology maps. The difference between the model predicted RH100 and footprint level lidar-derived RH100 values showed that error increased in closed broadleaved forests such as the Amazon, underscoring the challenges in mapping tall (&gt;40 m) canopies. The resulting map was validated with field measurements from 66 FLUXNET sites. The modeled RH100 versus in situ canopy height error (RMSE = 6.1 m, R&lt;sup&gt;2&lt;/sup&gt; = 0.5; or, RMSE = 4.4 m, R&lt;sup&gt;2&lt;/sup&gt; = 0.7 without 7 outliers) is conservative as it also includes measurement uncertainty and sub pixel variability within the 1-km pixels. Our results were compared against a recently published canopy height map. We found our values to be in general taller and more strongly correlated with FLUXNET data. Our map reveals a global latitudinal gradient in canopy height, increasing towards the equator, as well as coarse forest disturbance patterns. Copyright 2011 by the American Geophysical Union.","author":[{"dropping-particle":"","family":"Simard","given":"Marc","non-dropping-particle":"","parse-names":false,"suffix":""},{"dropping-particle":"","family":"Pinto","given":"Naiara","non-dropping-particle":"","parse-names":false,"suffix":""},{"dropping-particle":"","family":"Fisher","given":"Joshua B.","non-dropping-particle":"","parse-names":false,"suffix":""},{"dropping-particle":"","family":"Baccini","given":"Alessandro","non-dropping-particle":"","parse-names":false,"suffix":""}],"container-title":"Journal of Geophysical Research: Biogeosciences","id":"ITEM-2","issue":"4","issued":{"date-parts":[["2011"]]},"title":"Mapping forest canopy height globally with spaceborne lidar","type":"article-journal","volume":"116"},"uris":["http://www.mendeley.com/documents/?uuid=c7541f64-4410-482f-9e94-e2bb1a37c008","http://www.mendeley.com/documents/?uuid=7503cb75-e7a5-451d-a2d8-62fe026606ea"]}],"mendeley":{"formattedCitation":"(Simard et al., 2019, 2011)","plainTextFormattedCitation":"(Simard et al., 2019, 2011)","previouslyFormattedCitation":"(Simard et al., 2019, 2011)"},"properties":{"noteIndex":0},"schema":"https://github.com/citation-style-language/schema/raw/master/csl-citation.json"}</w:instrText>
      </w:r>
      <w:r w:rsidRPr="00685912">
        <w:rPr>
          <w:lang w:val="en-US"/>
        </w:rPr>
        <w:fldChar w:fldCharType="separate"/>
      </w:r>
      <w:r w:rsidRPr="00685912">
        <w:rPr>
          <w:noProof/>
          <w:lang w:val="en-US"/>
        </w:rPr>
        <w:t>(Simard et al., 2019, 2011)</w:t>
      </w:r>
      <w:r w:rsidRPr="00685912">
        <w:rPr>
          <w:lang w:val="en-US"/>
        </w:rPr>
        <w:fldChar w:fldCharType="end"/>
      </w:r>
      <w:r w:rsidRPr="00685912">
        <w:rPr>
          <w:lang w:val="en-US"/>
        </w:rPr>
        <w:t xml:space="preserve">. However, similar aboveground biomass and primary productivity rates do not explain why mangroves can have significantly greater organic carbon stored per unit of area, when compared to terrestrial forests. Evidence has shown mangroves allocate </w:t>
      </w:r>
      <w:r w:rsidRPr="00685912">
        <w:rPr>
          <w:lang w:val="en-US"/>
        </w:rPr>
        <w:lastRenderedPageBreak/>
        <w:t xml:space="preserve">proportionally more biomass to root production than those in terrestrial forests </w:t>
      </w:r>
      <w:r w:rsidRPr="00685912">
        <w:rPr>
          <w:lang w:val="en-US"/>
        </w:rPr>
        <w:fldChar w:fldCharType="begin" w:fldLock="1"/>
      </w:r>
      <w:r w:rsidRPr="00685912">
        <w:rPr>
          <w:lang w:val="en-US"/>
        </w:rPr>
        <w:instrText>ADDIN CSL_CITATION {"citationItems":[{"id":"ITEM-1","itemData":{"DOI":"10.1007/s10021-008-9125-4","ISBN":"1432-9840","ISSN":"14329840","PMID":"210419909","abstract":"Mangrove forests cover large areas of tropical and subtropical coastlines. They provide a wide range of ecosystem services that includes carbon storage in above- and below ground biomass and in soils. Carbon dioxide (CO2) emissions from soil, or soil respiration is important in the global carbon budget and is sensitive to increasing global temperature. To understand the magnitude of mangrove soil respi- ration and the influence of forest structure and temperature on the variation in mangrove soil respiration I assessed soil respiration at eleven mangrove sites, ranging from latitude 27?Nto 37?S. Mangrove soil respiration was similar to those ob- served for terrestrial forest soils. Soil respiration was correlated with leaf area index (LAI) and aboveground net primary production (litterfall), which should aid scaling up to regional and global estimates of soil respiration. Using a carbon balance model, total belowground carbon allocation (TBCA) per unit litterfall was similar in tall man- grove forests as observed in terrestrial forests, but in scrub mangrove forests TBCA per unit litter fall was greater than in terrestrial forests, suggesting man- groves allocate a large proportion of their fixed carbon below ground under unfavorable environ- mental conditions. The response of soil respiration to soil temperature was not a linear function of temperature. At temperatures below 26?C Q10 of mangrove soil respiration was 2.6, similar to that reported for terrestrial forest soils. However in scrub forests soil respiration declined with increasing soil temperature, largely because of reduced canopy cover and enhanced activity of photosynthetic benthic microbial communities.","author":[{"dropping-particle":"","family":"Lovelock","given":"Catherine E.","non-dropping-particle":"","parse-names":false,"suffix":""}],"container-title":"Ecosystems","id":"ITEM-1","issue":"2","issued":{"date-parts":[["2008"]]},"page":"342-354","title":"Soil respiration and belowground carbon allocation in mangrove forests","type":"article-journal","volume":"11"},"uris":["http://www.mendeley.com/documents/?uuid=d86c2059-d4c1-43e5-9afe-2eb68bf8ab4a"]}],"mendeley":{"formattedCitation":"(Lovelock, 2008)","plainTextFormattedCitation":"(Lovelock, 2008)","previouslyFormattedCitation":"(Lovelock, 2008)"},"properties":{"noteIndex":0},"schema":"https://github.com/citation-style-language/schema/raw/master/csl-citation.json"}</w:instrText>
      </w:r>
      <w:r w:rsidRPr="00685912">
        <w:rPr>
          <w:lang w:val="en-US"/>
        </w:rPr>
        <w:fldChar w:fldCharType="separate"/>
      </w:r>
      <w:r w:rsidRPr="00685912">
        <w:rPr>
          <w:noProof/>
          <w:lang w:val="en-US"/>
        </w:rPr>
        <w:t>(Lovelock, 2008)</w:t>
      </w:r>
      <w:r w:rsidRPr="00685912">
        <w:rPr>
          <w:lang w:val="en-US"/>
        </w:rPr>
        <w:fldChar w:fldCharType="end"/>
      </w:r>
      <w:r w:rsidRPr="00685912">
        <w:rPr>
          <w:lang w:val="en-US"/>
        </w:rPr>
        <w:t xml:space="preserve">. Mangrove above to below ground ratio estimates range from 1.1 to 4.4, compared to that of terrestrial forests that range from 3.96 to 4.52 </w:t>
      </w:r>
      <w:r w:rsidRPr="00685912">
        <w:rPr>
          <w:lang w:val="en-US"/>
        </w:rPr>
        <w:fldChar w:fldCharType="begin" w:fldLock="1"/>
      </w:r>
      <w:r w:rsidRPr="00685912">
        <w:rPr>
          <w:lang w:val="en-US"/>
        </w:rPr>
        <w:instrText>ADDIN CSL_CITATION {"citationItems":[{"id":"ITEM-1","itemData":{"DOI":"http://dx.doi.org/10.1016/j.aquabot.2007.12.006","ISBN":"0304-3770","abstract":"We review 72 published articles to elucidate characteristics of biomass allocation and productivity of mangrove forests and also introduce recent progress on the study of mangrove allometry to solve the site- and species-specific problems. This includes the testing of a common allometric equation, which may be applicable to mangroves worldwide. The biomass of mangrove forests varies with age, dominant species, and locality. In primary mangrove forests, the above-ground biomass tends to be relatively low near the sea and increases inland. On a global scale, mangrove forests in the tropics have much higher above-ground biomass than those in temperate areas. Mangroves often accumulate large amounts of biomass in their roots, and the above-ground biomass to below-ground biomass ratio of mangrove forests is significantly low compared to that of upland forests (ANCOVA, PP","author":[{"dropping-particle":"","family":"Komiyama","given":"A","non-dropping-particle":"","parse-names":false,"suffix":""},{"dropping-particle":"","family":"Ong","given":"JinEong","non-dropping-particle":"","parse-names":false,"suffix":""},{"dropping-particle":"","family":"Poungparn","given":"S","non-dropping-particle":"","parse-names":false,"suffix":""}],"container-title":"Aquatic Botany","id":"ITEM-1","issue":"2","issued":{"date-parts":[["2008"]]},"page":"128-137","title":"Allometry, biomass, and productivity of mangrove forests: a review. (Special Issue: Mangrove ecology - applications in forestry and coastal zone management.)","type":"article-journal","volume":"89"},"uris":["http://www.mendeley.com/documents/?uuid=54fb0cea-dac1-34bc-bc8a-04908838b429"]}],"mendeley":{"formattedCitation":"(Komiyama et al., 2008)","plainTextFormattedCitation":"(Komiyama et al., 2008)","previouslyFormattedCitation":"(Komiyama et al., 2008)"},"properties":{"noteIndex":0},"schema":"https://github.com/citation-style-language/schema/raw/master/csl-citation.json"}</w:instrText>
      </w:r>
      <w:r w:rsidRPr="00685912">
        <w:rPr>
          <w:lang w:val="en-US"/>
        </w:rPr>
        <w:fldChar w:fldCharType="separate"/>
      </w:r>
      <w:r w:rsidRPr="00685912">
        <w:rPr>
          <w:noProof/>
          <w:lang w:val="en-US"/>
        </w:rPr>
        <w:t>(Komiyama et al., 2008)</w:t>
      </w:r>
      <w:r w:rsidRPr="00685912">
        <w:rPr>
          <w:lang w:val="en-US"/>
        </w:rPr>
        <w:fldChar w:fldCharType="end"/>
      </w:r>
      <w:r w:rsidRPr="00685912">
        <w:rPr>
          <w:lang w:val="en-US"/>
        </w:rPr>
        <w:t xml:space="preserve">. However, </w:t>
      </w:r>
      <w:r>
        <w:rPr>
          <w:lang w:val="en-US"/>
        </w:rPr>
        <w:t xml:space="preserve">due to the logistical difficulties associated with sampling mangrove roots, </w:t>
      </w:r>
      <w:r w:rsidRPr="00685912">
        <w:rPr>
          <w:lang w:val="en-US"/>
        </w:rPr>
        <w:t xml:space="preserve">robust estimates of below ground </w:t>
      </w:r>
      <w:r>
        <w:rPr>
          <w:lang w:val="en-US"/>
        </w:rPr>
        <w:t xml:space="preserve">biomass </w:t>
      </w:r>
      <w:r w:rsidRPr="00685912">
        <w:rPr>
          <w:lang w:val="en-US"/>
        </w:rPr>
        <w:t xml:space="preserve">are </w:t>
      </w:r>
      <w:r>
        <w:rPr>
          <w:lang w:val="en-US"/>
        </w:rPr>
        <w:t xml:space="preserve">limited </w:t>
      </w:r>
      <w:r w:rsidRPr="00685912">
        <w:rPr>
          <w:lang w:val="en-US"/>
        </w:rPr>
        <w:fldChar w:fldCharType="begin" w:fldLock="1"/>
      </w:r>
      <w:r w:rsidRPr="00685912">
        <w:rPr>
          <w:lang w:val="en-US"/>
        </w:rPr>
        <w:instrText>ADDIN CSL_CITATION {"citationItems":[{"id":"ITEM-1","itemData":{"DOI":"10.1017/S0266467405002476","ISBN":"1469-7831","ISSN":"0266-4674","abstract":"Inventory data on tree weights of 104 individual trees representing 10 mangrove species were collected from mangrove forests in South-East Asia to establish common allometric equations for the trunk, leaf, above-ground and root weight. We used the measurable tree dimensions, such as dbh (trunk diameter at breast height), DR0.3 (trunk diameter at 30 cm above the highest prop root of Rhizophora species), DB (trunk diameter at lowest living branch), and H (tree height) for the independent variable of equations. Among the mangrove species studied, the trunk shape was statistically identical regardless of site and species. However, ρ (wood density of tree trunk) differed significantly among the species. A common allometric equation for trunk weight was derived, when dbh2H or DR0.32H was selected as the independent variable and wood density was taken into account. The common allometric equations for the leaf and the above-ground weight were also derived according to Shinozaki&amp;apos;s pipe model and its extended theory. The common allometric relationships for these weights were attained with given ρ of each species, when DB2 or dbh2 or DR0.32 was selected as the independent variable. For the root weight, the common equation was derived from the allometric relationship between root weight and above-ground weight, since these two partial weights significantly correlated with each other. Based on these physical and biological parameters, we have proposed four common allometric equations for estimating the mangrove tree weight of trunk, leaf, above-ground part and root.","author":[{"dropping-particle":"","family":"Komiyama","given":"Akira","non-dropping-particle":"","parse-names":false,"suffix":""},{"dropping-particle":"","family":"Poungparn","given":"Sasitorn","non-dropping-particle":"","parse-names":false,"suffix":""},{"dropping-particle":"","family":"Kato","given":"Shogo","non-dropping-particle":"","parse-names":false,"suffix":""}],"container-title":"Journal of Tropical Ecology","id":"ITEM-1","issue":"04","issued":{"date-parts":[["2005"]]},"page":"471-477","title":"Common allometric equations for estimating the tree weight of mangroves","type":"article-journal","volume":"21"},"uris":["http://www.mendeley.com/documents/?uuid=8a8feb51-d5ac-4dd4-be4b-16cd692434c1"]}],"mendeley":{"formattedCitation":"(Komiyama et al., 2005)","plainTextFormattedCitation":"(Komiyama et al., 2005)","previouslyFormattedCitation":"(Komiyama et al., 2005)"},"properties":{"noteIndex":0},"schema":"https://github.com/citation-style-language/schema/raw/master/csl-citation.json"}</w:instrText>
      </w:r>
      <w:r w:rsidRPr="00685912">
        <w:rPr>
          <w:lang w:val="en-US"/>
        </w:rPr>
        <w:fldChar w:fldCharType="separate"/>
      </w:r>
      <w:r w:rsidRPr="00685912">
        <w:rPr>
          <w:noProof/>
          <w:lang w:val="en-US"/>
        </w:rPr>
        <w:t>(Komiyama et al., 2005)</w:t>
      </w:r>
      <w:r w:rsidRPr="00685912">
        <w:rPr>
          <w:lang w:val="en-US"/>
        </w:rPr>
        <w:fldChar w:fldCharType="end"/>
      </w:r>
      <w:r w:rsidRPr="00685912">
        <w:rPr>
          <w:lang w:val="en-US"/>
        </w:rPr>
        <w:t xml:space="preserve">. For example, previous </w:t>
      </w:r>
      <w:r>
        <w:rPr>
          <w:lang w:val="en-US"/>
        </w:rPr>
        <w:t xml:space="preserve">sampling efforts have </w:t>
      </w:r>
      <w:r w:rsidRPr="00685912">
        <w:rPr>
          <w:lang w:val="en-US"/>
        </w:rPr>
        <w:t>only directly measure</w:t>
      </w:r>
      <w:r>
        <w:rPr>
          <w:lang w:val="en-US"/>
        </w:rPr>
        <w:t>d</w:t>
      </w:r>
      <w:r w:rsidRPr="00685912">
        <w:rPr>
          <w:lang w:val="en-US"/>
        </w:rPr>
        <w:t xml:space="preserve"> mangrove root biomass within a 2 m radius of the main stem and then extrapolate</w:t>
      </w:r>
      <w:r>
        <w:rPr>
          <w:lang w:val="en-US"/>
        </w:rPr>
        <w:t>d</w:t>
      </w:r>
      <w:r w:rsidRPr="00685912">
        <w:rPr>
          <w:lang w:val="en-US"/>
        </w:rPr>
        <w:t xml:space="preserve"> below ground biomass outside of that </w:t>
      </w:r>
      <w:r w:rsidRPr="00685912">
        <w:rPr>
          <w:lang w:val="en-US"/>
        </w:rPr>
        <w:fldChar w:fldCharType="begin" w:fldLock="1"/>
      </w:r>
      <w:r w:rsidRPr="00685912">
        <w:rPr>
          <w:lang w:val="en-US"/>
        </w:rPr>
        <w:instrText>ADDIN CSL_CITATION {"citationItems":[{"id":"ITEM-1","itemData":{"DOI":"10.1071/BT04162","ISBN":"0067-1924","ISSN":"00671924","abstract":"Mangrove forests are an integral part of tropical coastal ecosystems, particularly in northern Australia. In the Northern Territory, studies have determined the extent and species diversity of these associations but little is known of biomass or productivity. We sampled the above- and below-ground biomass of the four most abundant species, Avicennia marina, Bruguiera exaristata, Ceriops australis and Rhizophora stylosa, developed allometric relationships and examined partitioning. Unlike many other studies, we sampled below-ground biomass, which constituted a substantial proportion (0.29–0.57) of the total dry weight. Our results should be valuable in modelling potential changes in carbon allocation resulting from small- and large-scale ecosystem changes.","author":[{"dropping-particle":"","family":"Comley","given":"B. W T","non-dropping-particle":"","parse-names":false,"suffix":""},{"dropping-particle":"","family":"McGuinness","given":"K. A.","non-dropping-particle":"","parse-names":false,"suffix":""}],"container-title":"Australian Journal of Botany","id":"ITEM-1","issue":"5","issued":{"date-parts":[["2005"]]},"page":"431-436","title":"Above- and below-ground biomass, and allometry, of four common northern Australian mangroves","type":"article-journal","volume":"53"},"uris":["http://www.mendeley.com/documents/?uuid=d9846ebf-2311-34c8-bdd3-4f6e17651f49"]}],"mendeley":{"formattedCitation":"(Comley and McGuinness, 2005)","plainTextFormattedCitation":"(Comley and McGuinness, 2005)","previouslyFormattedCitation":"(Comley and McGuinness, 2005)"},"properties":{"noteIndex":0},"schema":"https://github.com/citation-style-language/schema/raw/master/csl-citation.json"}</w:instrText>
      </w:r>
      <w:r w:rsidRPr="00685912">
        <w:rPr>
          <w:lang w:val="en-US"/>
        </w:rPr>
        <w:fldChar w:fldCharType="separate"/>
      </w:r>
      <w:r w:rsidRPr="00685912">
        <w:rPr>
          <w:noProof/>
          <w:lang w:val="en-US"/>
        </w:rPr>
        <w:t>(Comley and McGuinness, 2005)</w:t>
      </w:r>
      <w:r w:rsidRPr="00685912">
        <w:rPr>
          <w:lang w:val="en-US"/>
        </w:rPr>
        <w:fldChar w:fldCharType="end"/>
      </w:r>
      <w:r w:rsidRPr="00685912">
        <w:rPr>
          <w:lang w:val="en-US"/>
        </w:rPr>
        <w:t xml:space="preserve">. Consequently, many estimates of below ground root biomass are likely to be underestimates and the proportion of mangrove biomass stored below ground is likely to be higher than what has previously been reported. </w:t>
      </w:r>
    </w:p>
    <w:p w14:paraId="01549E9B" w14:textId="77777777" w:rsidR="00FA0744" w:rsidRPr="00685912" w:rsidRDefault="00FA0744" w:rsidP="00FA0744">
      <w:pPr>
        <w:spacing w:line="480" w:lineRule="auto"/>
        <w:rPr>
          <w:lang w:val="en-US"/>
        </w:rPr>
      </w:pPr>
    </w:p>
    <w:p w14:paraId="265546C0" w14:textId="77777777" w:rsidR="00FA0744" w:rsidRDefault="00FA0744" w:rsidP="00FA0744">
      <w:pPr>
        <w:spacing w:line="480" w:lineRule="auto"/>
        <w:rPr>
          <w:lang w:val="en-US"/>
        </w:rPr>
      </w:pPr>
      <w:r w:rsidRPr="00685912">
        <w:rPr>
          <w:lang w:val="en-US"/>
        </w:rPr>
        <w:t xml:space="preserve">Regardless of tree biomass, the majority of mangrove carbon, approximately 75%, is stored in its soils </w:t>
      </w:r>
      <w:r w:rsidRPr="00685912">
        <w:rPr>
          <w:lang w:val="en-US"/>
        </w:rPr>
        <w:fldChar w:fldCharType="begin" w:fldLock="1"/>
      </w:r>
      <w:r w:rsidRPr="00685912">
        <w:rPr>
          <w:lang w:val="en-US"/>
        </w:rPr>
        <w:instrText>ADDIN CSL_CITATION {"citationItems":[{"id":"ITEM-1","itemData":{"DOI":"10.1146/annurev-marine-010213-135020","ISBN":"1941-1405\\r1941-0611","ISSN":"1941-1405","PMID":"24405426","abstract":"Mangroves are ecologically and economically important forests of the trop-ics. They are highly productive ecosystems with rates of primary production equal to those of tropical humid evergreen forests and coral reefs. Although mangroves occupy only 0.5% of the global coastal area, they contribute 10– 15% (24 Tg C y −1) to coastal sediment carbon storage and export 10–11% of the particulate terrestrial carbon to the ocean. Their disproportionate contri-bution to carbon sequestration is now perceived as a means for conservation and restoration and a way to help ameliorate greenhouse gas emissions. Of immediate concern are potential carbon losses to deforestation (90–970 Tg C y −1) that are greater than these ecosystems' rates of carbon storage. Large reservoirs of dissolved inorganic carbon in deep soils, pumped via subsurface pathways to adjacent waterways, are a large loss of carbon, at a potential rate up to 40% of annual primary production. Patterns of carbon allocation and rates of carbon flux in mangrove forests are nearly identical to those of other tropical forests.","author":[{"dropping-particle":"","family":"Alongi","given":"Daniel M.","non-dropping-particle":"","parse-names":false,"suffix":""}],"container-title":"Annual Review of Marine Science","id":"ITEM-1","issue":"1","issued":{"date-parts":[["2014","1","3"]]},"page":"195-219","title":"Carbon Cycling and Storage in Mangrove Forests","type":"article-journal","volume":"6"},"uris":["http://www.mendeley.com/documents/?uuid=a161dc53-c151-4439-84f4-beba0eb3b1dc"]}],"mendeley":{"formattedCitation":"(Alongi, 2014)","plainTextFormattedCitation":"(Alongi, 2014)","previouslyFormattedCitation":"(Alongi, 2014)"},"properties":{"noteIndex":0},"schema":"https://github.com/citation-style-language/schema/raw/master/csl-citation.json"}</w:instrText>
      </w:r>
      <w:r w:rsidRPr="00685912">
        <w:rPr>
          <w:lang w:val="en-US"/>
        </w:rPr>
        <w:fldChar w:fldCharType="separate"/>
      </w:r>
      <w:r w:rsidRPr="00685912">
        <w:rPr>
          <w:noProof/>
          <w:lang w:val="en-US"/>
        </w:rPr>
        <w:t>(Alongi, 2014)</w:t>
      </w:r>
      <w:r w:rsidRPr="00685912">
        <w:rPr>
          <w:lang w:val="en-US"/>
        </w:rPr>
        <w:fldChar w:fldCharType="end"/>
      </w:r>
      <w:r w:rsidRPr="00685912">
        <w:rPr>
          <w:lang w:val="en-US"/>
        </w:rPr>
        <w:t xml:space="preserve">. Accumulated organic carbon is stored in slowly decomposing, anoxic, waterlogged soils over long time-scales </w:t>
      </w:r>
      <w:r w:rsidRPr="00685912">
        <w:rPr>
          <w:lang w:val="en-US"/>
        </w:rPr>
        <w:fldChar w:fldCharType="begin" w:fldLock="1"/>
      </w:r>
      <w:r w:rsidRPr="00685912">
        <w:rPr>
          <w:lang w:val="en-US"/>
        </w:rPr>
        <w:instrText>ADDIN CSL_CITATION {"citationItems":[{"id":"ITEM-1","itemData":{"DOI":"10.1146/annurev-marine-010213-135020","ISBN":"1941-1405\\r1941-0611","ISSN":"1941-1405","PMID":"24405426","abstract":"Mangroves are ecologically and economically important forests of the trop-ics. They are highly productive ecosystems with rates of primary production equal to those of tropical humid evergreen forests and coral reefs. Although mangroves occupy only 0.5% of the global coastal area, they contribute 10– 15% (24 Tg C y −1) to coastal sediment carbon storage and export 10–11% of the particulate terrestrial carbon to the ocean. Their disproportionate contri-bution to carbon sequestration is now perceived as a means for conservation and restoration and a way to help ameliorate greenhouse gas emissions. Of immediate concern are potential carbon losses to deforestation (90–970 Tg C y −1) that are greater than these ecosystems' rates of carbon storage. Large reservoirs of dissolved inorganic carbon in deep soils, pumped via subsurface pathways to adjacent waterways, are a large loss of carbon, at a potential rate up to 40% of annual primary production. Patterns of carbon allocation and rates of carbon flux in mangrove forests are nearly identical to those of other tropical forests.","author":[{"dropping-particle":"","family":"Alongi","given":"Daniel M.","non-dropping-particle":"","parse-names":false,"suffix":""}],"container-title":"Annual Review of Marine Science","id":"ITEM-1","issue":"1","issued":{"date-parts":[["2014","1","3"]]},"page":"195-219","title":"Carbon Cycling and Storage in Mangrove Forests","type":"article-journal","volume":"6"},"uris":["http://www.mendeley.com/documents/?uuid=a161dc53-c151-4439-84f4-beba0eb3b1dc"]}],"mendeley":{"formattedCitation":"(Alongi, 2014)","plainTextFormattedCitation":"(Alongi, 2014)","previouslyFormattedCitation":"(Alongi, 2014)"},"properties":{"noteIndex":0},"schema":"https://github.com/citation-style-language/schema/raw/master/csl-citation.json"}</w:instrText>
      </w:r>
      <w:r w:rsidRPr="00685912">
        <w:rPr>
          <w:lang w:val="en-US"/>
        </w:rPr>
        <w:fldChar w:fldCharType="separate"/>
      </w:r>
      <w:r w:rsidRPr="00685912">
        <w:rPr>
          <w:noProof/>
          <w:lang w:val="en-US"/>
        </w:rPr>
        <w:t>(Alongi, 2014)</w:t>
      </w:r>
      <w:r w:rsidRPr="00685912">
        <w:rPr>
          <w:lang w:val="en-US"/>
        </w:rPr>
        <w:fldChar w:fldCharType="end"/>
      </w:r>
      <w:r w:rsidRPr="00685912">
        <w:rPr>
          <w:lang w:val="en-US"/>
        </w:rPr>
        <w:t>. Inventories show that mangrove soil carbon is fixed within mangrove forests</w:t>
      </w:r>
      <w:r>
        <w:rPr>
          <w:lang w:val="en-US"/>
        </w:rPr>
        <w:t>,</w:t>
      </w:r>
      <w:r w:rsidRPr="00685912">
        <w:rPr>
          <w:lang w:val="en-US"/>
        </w:rPr>
        <w:t xml:space="preserve"> as well as being imported from adjacent ecosystems. Tidal amplitude and river discharge, which are lacking or reduced in terrestrial forests, increase transportation of allochthonous material into mangrove forests, which are then trapped and become deposited in complex root structures and increase carbon burial in mangrove forests </w:t>
      </w:r>
      <w:r w:rsidRPr="00685912">
        <w:rPr>
          <w:lang w:val="en-US"/>
        </w:rPr>
        <w:fldChar w:fldCharType="begin" w:fldLock="1"/>
      </w:r>
      <w:r w:rsidRPr="00685912">
        <w:rPr>
          <w:lang w:val="en-US"/>
        </w:rPr>
        <w:instrText>ADDIN CSL_CITATION {"citationItems":[{"id":"ITEM-1","itemData":{"DOI":"10.1038/s41558-018-0162-5","ISBN":"4155801801625","ISSN":"17586798","abstract":"Global-scale variation in mangrove ecosystem properties has been explained using a conceptual framework linking geomorphological processes to distinct coastal environmental settings (CES) for nearly 50 years. However, these assumptions have not been empirically tested at the global scale. Here, we show that CES account for global variability in mangrove soil C:N:P stoichiometry and soil organic carbon (SOC) stocks. Using this ecogeomorphology framework, we developed a global model that captures variation in mangrove SOC stocks compatible with distinct CES. We show that mangrove SOC stocks have been underestimated by up to 50% (a difference of roughly 200 Mg ha−1) in carbonate settings and overestimated by up to 86% (around 400 Mg ha−1) in deltaic coastlines. Moreover, we provide information for 57 nations that currently lack SOC data, enabling these and other countries to develop or evaluate their blue carbon inventories.","author":[{"dropping-particle":"","family":"Rovai","given":"André S.","non-dropping-particle":"","parse-names":false,"suffix":""},{"dropping-particle":"","family":"Twilley","given":"Robert R.","non-dropping-particle":"","parse-names":false,"suffix":""},{"dropping-particle":"","family":"Castañeda-Moya","given":"Edward","non-dropping-particle":"","parse-names":false,"suffix":""},{"dropping-particle":"","family":"Riul","given":"Pablo","non-dropping-particle":"","parse-names":false,"suffix":""},{"dropping-particle":"","family":"Cifuentes-Jara","given":"Miguel","non-dropping-particle":"","parse-names":false,"suffix":""},{"dropping-particle":"","family":"Manrow-Villalobos","given":"Marilyn","non-dropping-particle":"","parse-names":false,"suffix":""},{"dropping-particle":"","family":"Horta","given":"Paulo A.","non-dropping-particle":"","parse-names":false,"suffix":""},{"dropping-particle":"","family":"Simonassi","given":"José C.","non-dropping-particle":"","parse-names":false,"suffix":""},{"dropping-particle":"","family":"Fonseca","given":"Alessandra L.","non-dropping-particle":"","parse-names":false,"suffix":""},{"dropping-particle":"","family":"Pagliosa","given":"Paulo R.","non-dropping-particle":"","parse-names":false,"suffix":""}],"container-title":"Nature Climate Change","id":"ITEM-1","issue":"6","issued":{"date-parts":[["2018","6","28"]]},"page":"534-538","publisher":"Nature Publishing Group","title":"Global controls on carbon storage in mangrove soils","type":"article-journal","volume":"8"},"uris":["http://www.mendeley.com/documents/?uuid=e218dcd6-b535-3f7d-a08f-4983ee271d59"]}],"mendeley":{"formattedCitation":"(Rovai et al., 2018)","plainTextFormattedCitation":"(Rovai et al., 2018)","previouslyFormattedCitation":"(Rovai et al., 2018)"},"properties":{"noteIndex":0},"schema":"https://github.com/citation-style-language/schema/raw/master/csl-citation.json"}</w:instrText>
      </w:r>
      <w:r w:rsidRPr="00685912">
        <w:rPr>
          <w:lang w:val="en-US"/>
        </w:rPr>
        <w:fldChar w:fldCharType="separate"/>
      </w:r>
      <w:r w:rsidRPr="00685912">
        <w:rPr>
          <w:noProof/>
          <w:lang w:val="en-US"/>
        </w:rPr>
        <w:t>(Rovai et al., 2018)</w:t>
      </w:r>
      <w:r w:rsidRPr="00685912">
        <w:rPr>
          <w:lang w:val="en-US"/>
        </w:rPr>
        <w:fldChar w:fldCharType="end"/>
      </w:r>
      <w:r w:rsidRPr="00685912">
        <w:rPr>
          <w:lang w:val="en-US"/>
        </w:rPr>
        <w:t>. However, mangrove derived carbon still comprises the majority</w:t>
      </w:r>
      <w:r>
        <w:rPr>
          <w:lang w:val="en-US"/>
        </w:rPr>
        <w:t xml:space="preserve"> of carbon material in mangrove soils</w:t>
      </w:r>
      <w:r w:rsidRPr="00685912">
        <w:rPr>
          <w:lang w:val="en-US"/>
        </w:rPr>
        <w:t xml:space="preserve">. Recent work has shown mangrove derived carbon accounted for up to 97% of top </w:t>
      </w:r>
      <w:proofErr w:type="spellStart"/>
      <w:r w:rsidRPr="00685912">
        <w:rPr>
          <w:lang w:val="en-US"/>
        </w:rPr>
        <w:t>metre</w:t>
      </w:r>
      <w:proofErr w:type="spellEnd"/>
      <w:r w:rsidRPr="00685912">
        <w:rPr>
          <w:lang w:val="en-US"/>
        </w:rPr>
        <w:t xml:space="preserve"> soil carbon stocks </w:t>
      </w:r>
      <w:r w:rsidRPr="00685912">
        <w:rPr>
          <w:lang w:val="en-US"/>
        </w:rPr>
        <w:fldChar w:fldCharType="begin" w:fldLock="1"/>
      </w:r>
      <w:r w:rsidRPr="00685912">
        <w:rPr>
          <w:lang w:val="en-US"/>
        </w:rPr>
        <w:instrText>ADDIN CSL_CITATION {"citationItems":[{"id":"ITEM-1","itemData":{"DOI":"10.1016/j.marpolbul.2018.04.043","ISSN":"18793363","abstract":"The role of soil carbon (C) in coastal wetlands as a net sink is related to the relative abundance of autochthonous versus allochthonous C. We aimed to investigate soil C sources and the pathways by which mangrove vegetation enhances soil C accumulation. We sampled soil to 1 m depth in seven oceanic mangrove forests and an adjacent un-vegetated mudflat at Dongzhai Bay, China. Stable C isotope technique was used to separate autochthonous and allochthonous C sources. Autochthonous C accounted for 27–97% of soil C stock in the top meter. Soil C density was 1.1–3.6 times higher in mangroves than in the mudflat. Among the increased soil C in mangroves relative to mudflat, autochthonous C accounted for 65–100% of the increments. The results suggest that mangrove vegetation enhances soil C storage primarily through in situ inputs, therefore the substantial soil C stocks commonly found in mangroves play an important role in sequestering atmospheric CO2.","author":[{"dropping-particle":"","family":"Xiong","given":"Yanmei","non-dropping-particle":"","parse-names":false,"suffix":""},{"dropping-particle":"","family":"Liao","given":"Baowen","non-dropping-particle":"","parse-names":false,"suffix":""},{"dropping-particle":"","family":"Wang","given":"Faming","non-dropping-particle":"","parse-names":false,"suffix":""}],"container-title":"Marine Pollution Bulletin","id":"ITEM-1","issued":{"date-parts":[["2018"]]},"page":"378-385","title":"Mangrove vegetation enhances soil carbon storage primarily through in situ inputs rather than increasing allochthonous sediments","type":"article-journal","volume":"131"},"uris":["http://www.mendeley.com/documents/?uuid=8382bbd6-f5cd-3eb5-9d74-c05432dad66d"]}],"mendeley":{"formattedCitation":"(Xiong et al., 2018)","plainTextFormattedCitation":"(Xiong et al., 2018)","previouslyFormattedCitation":"(Xiong et al., 2018)"},"properties":{"noteIndex":0},"schema":"https://github.com/citation-style-language/schema/raw/master/csl-citation.json"}</w:instrText>
      </w:r>
      <w:r w:rsidRPr="00685912">
        <w:rPr>
          <w:lang w:val="en-US"/>
        </w:rPr>
        <w:fldChar w:fldCharType="separate"/>
      </w:r>
      <w:r w:rsidRPr="00685912">
        <w:rPr>
          <w:noProof/>
          <w:lang w:val="en-US"/>
        </w:rPr>
        <w:t>(Xiong et al., 2018)</w:t>
      </w:r>
      <w:r w:rsidRPr="00685912">
        <w:rPr>
          <w:lang w:val="en-US"/>
        </w:rPr>
        <w:fldChar w:fldCharType="end"/>
      </w:r>
      <w:r w:rsidRPr="00685912">
        <w:rPr>
          <w:lang w:val="en-US"/>
        </w:rPr>
        <w:t xml:space="preserve">. Additionally, organic carbon originating from within mangrove ecosystems (autochthonous origin) has been shown to be largely comprised of dead roots </w:t>
      </w:r>
      <w:r w:rsidRPr="00685912">
        <w:rPr>
          <w:lang w:val="en-US"/>
        </w:rPr>
        <w:fldChar w:fldCharType="begin" w:fldLock="1"/>
      </w:r>
      <w:r w:rsidRPr="00685912">
        <w:rPr>
          <w:lang w:val="en-US"/>
        </w:rPr>
        <w:instrText>ADDIN CSL_CITATION {"citationItems":[{"id":"ITEM-1","itemData":{"DOI":"10.1146/annurev-marine-010213-135020","ISBN":"1941-1405\\r1941-0611","ISSN":"1941-1405","PMID":"24405426","abstract":"Mangroves are ecologically and economically important forests of the trop-ics. They are highly productive ecosystems with rates of primary production equal to those of tropical humid evergreen forests and coral reefs. Although mangroves occupy only 0.5% of the global coastal area, they contribute 10– 15% (24 Tg C y −1) to coastal sediment carbon storage and export 10–11% of the particulate terrestrial carbon to the ocean. Their disproportionate contri-bution to carbon sequestration is now perceived as a means for conservation and restoration and a way to help ameliorate greenhouse gas emissions. Of immediate concern are potential carbon losses to deforestation (90–970 Tg C y −1) that are greater than these ecosystems' rates of carbon storage. Large reservoirs of dissolved inorganic carbon in deep soils, pumped via subsurface pathways to adjacent waterways, are a large loss of carbon, at a potential rate up to 40% of annual primary production. Patterns of carbon allocation and rates of carbon flux in mangrove forests are nearly identical to those of other tropical forests.","author":[{"dropping-particle":"","family":"Alongi","given":"Daniel M.","non-dropping-particle":"","parse-names":false,"suffix":""}],"container-title":"Annual Review of Marine Science","id":"ITEM-1","issue":"1","issued":{"date-parts":[["2014","1","3"]]},"page":"195-219","title":"Carbon Cycling and Storage in Mangrove Forests","type":"article-journal","volume":"6"},"uris":["http://www.mendeley.com/documents/?uuid=a161dc53-c151-4439-84f4-beba0eb3b1dc"]}],"mendeley":{"formattedCitation":"(Alongi, 2014)","plainTextFormattedCitation":"(Alongi, 2014)","previouslyFormattedCitation":"(Alongi, 2014)"},"properties":{"noteIndex":0},"schema":"https://github.com/citation-style-language/schema/raw/master/csl-citation.json"}</w:instrText>
      </w:r>
      <w:r w:rsidRPr="00685912">
        <w:rPr>
          <w:lang w:val="en-US"/>
        </w:rPr>
        <w:fldChar w:fldCharType="separate"/>
      </w:r>
      <w:r w:rsidRPr="00685912">
        <w:rPr>
          <w:noProof/>
          <w:lang w:val="en-US"/>
        </w:rPr>
        <w:t>(Alongi, 2014)</w:t>
      </w:r>
      <w:r w:rsidRPr="00685912">
        <w:rPr>
          <w:lang w:val="en-US"/>
        </w:rPr>
        <w:fldChar w:fldCharType="end"/>
      </w:r>
      <w:r w:rsidRPr="00685912">
        <w:rPr>
          <w:lang w:val="en-US"/>
        </w:rPr>
        <w:t xml:space="preserve">. Between 75 and 95% of below ground tree carbon is stored in dead roots, which </w:t>
      </w:r>
      <w:r w:rsidRPr="00685912">
        <w:rPr>
          <w:lang w:val="en-US"/>
        </w:rPr>
        <w:lastRenderedPageBreak/>
        <w:t xml:space="preserve">increases in size with stand age </w:t>
      </w:r>
      <w:r w:rsidRPr="00685912">
        <w:rPr>
          <w:lang w:val="en-US"/>
        </w:rPr>
        <w:fldChar w:fldCharType="begin" w:fldLock="1"/>
      </w:r>
      <w:r w:rsidRPr="00685912">
        <w:rPr>
          <w:lang w:val="en-US"/>
        </w:rPr>
        <w:instrText>ADDIN CSL_CITATION {"citationItems":[{"id":"ITEM-1","itemData":{"DOI":"10.1515/BOT.2004.011","ISSN":"00068055","abstract":"Partitioning and storage of mineral nutrients and trace elements were examined in tree components and soils of differently aged (3-, 5- and 25-year-old) forests of the mangrove Rhizophora apiculata in southern Thailand. Despite lack of replication of forests, three patterns of element partitioning and forest nutrient capital emerged: (1) concentrations of most (but not all) elements in various tree parts declined with increasing tree age; (2) the soil pool size of most elements decreased with increasing stand age; and (3) the proportion of C, N, Na, Mn, Zn and Mo in total living biomass increased with increasing forest age. Most elements were stored in soils and dead roots, supporting the concept that wet tropical forests do not store proportionally more nutrients in their biomass than in soils, as compared to temperate and boreal forests. The large element pools stored in dead roots may serve as a conservation mechanism. Our data suggest that the proportion of element capital stored in forest biomass increases, but decreases in soils as forests age, suggesting net accumulation with forest maturity. Mean residence time for total forest N increased from 0.3 years for the 3-year-old forest to 0.5 years for the 5-year-old forest to 0.6 years for the 25-year-old forest. Compared with other forests, N turnover is very rapid, mirroring the tight coupling between production and decomposition processes in these wet tropical ecosystems.","author":[{"dropping-particle":"","family":"Alongi","given":"Daniel M.","non-dropping-particle":"","parse-names":false,"suffix":""},{"dropping-particle":"","family":"Wattayakorn","given":"Gullaya","non-dropping-particle":"","parse-names":false,"suffix":""},{"dropping-particle":"","family":"Tirendi","given":"Frank","non-dropping-particle":"","parse-names":false,"suffix":""},{"dropping-particle":"","family":"Dixon","given":"Paul","non-dropping-particle":"","parse-names":false,"suffix":""}],"container-title":"Botanica Marina","id":"ITEM-1","issue":"2","issued":{"date-parts":[["2004"]]},"page":"116-124","title":"Nutrient capital in different aged forests of the mangrove Rhizophora apiculata","type":"article-journal","volume":"47"},"uris":["http://www.mendeley.com/documents/?uuid=8fe52d2a-4a64-4dcf-9400-3b59d989959a"]},{"id":"ITEM-2","itemData":{"DOI":"10.1007/s00468-002-0206-2","ISSN":"09311890","abstract":"Mangrove partitioning and storage of macronutrients and trace metals were examined in different arid coastal settings of Western Australia. Total living biomass in three Rhizophora stylosa forests, which ranged from 233 to 289 t DW ha-1, was significantly greater than biomass in three Avicennia marina forests (range: 79-155 t DW ha-1). Although prop roots and stems were the largest single tree components for R. stylosa and A. marina, respectively, most nutrients were stored in leaves and living roots of both species. However, only a small fraction of the total nutrient pool was vested in tree biomass; the vast bulk was in soils. A large belowground pool of dead fine roots was identified at all stands, equivalent to 36-88% DW of total living tree biomass. The amount of Ca, S, Cl, Na, Si, Fe, Mn, Zn, B, Mo and Cu vested in dead roots of both species was greater than in the total living tree biomass. The proportion of Fe and S vested in live and dead roots was exceptionally large, consistent with previous evidence of metal plaques on mangrove roots. Sulphur, iron and zinc in dead roots of both species constituted the bulk of these metals. R. stylosa trees preferentially accumulated more Mg, S, Cl, Na, Si, Fe, Mn, B and Mo than A. marina trees. Proportionally greater storage of P, N, Ca, K, Cu and Zn occurred in two of the three A. marina forests. Foliar concentrations of Mg, S, Mn, B and Mo in mangrove leaves were at the high end of the range reported for other tropical trees, but other elemental concentrations were at the low or mid-range. Nitrogen limitation in these forests is implied by a positive correlation between total tree N and net canopy production and by a lower percentage of ecosystem N in tree biomass as compared with other forests. Unlike terrestrial forests where a large proportion of nutrient capital is vested in floor litter, most elements in these mangrove forests are stored in dead roots. A large reservoir of dead roots below the forest floor may serve as a conservation mechanism, particularly in such arid oligotrophic environments.","author":[{"dropping-particle":"","family":"Alongi","given":"Daniel M.","non-dropping-particle":"","parse-names":false,"suffix":""},{"dropping-particle":"","family":"Clough","given":"Barry F.","non-dropping-particle":"","parse-names":false,"suffix":""},{"dropping-particle":"","family":"Dixon","given":"Paul","non-dropping-particle":"","parse-names":false,"suffix":""},{"dropping-particle":"","family":"Tirendi","given":"Frank","non-dropping-particle":"","parse-names":false,"suffix":""}],"container-title":"Trees - Structure and Function","id":"ITEM-2","issue":"1","issued":{"date-parts":[["2003"]]},"page":"51-60","title":"Nutrient partitioning and storage in arid-zone forests of the mangroves Rhizophora stylosa and Avicennia marina","type":"article-journal","volume":"17"},"uris":["http://www.mendeley.com/documents/?uuid=01e277fc-4013-4f50-b596-6e3984c49671"]}],"mendeley":{"formattedCitation":"(Alongi et al., 2004, 2003)","plainTextFormattedCitation":"(Alongi et al., 2004, 2003)","previouslyFormattedCitation":"(Alongi et al., 2004, 2003)"},"properties":{"noteIndex":0},"schema":"https://github.com/citation-style-language/schema/raw/master/csl-citation.json"}</w:instrText>
      </w:r>
      <w:r w:rsidRPr="00685912">
        <w:rPr>
          <w:lang w:val="en-US"/>
        </w:rPr>
        <w:fldChar w:fldCharType="separate"/>
      </w:r>
      <w:r w:rsidRPr="00685912">
        <w:rPr>
          <w:noProof/>
          <w:lang w:val="en-US"/>
        </w:rPr>
        <w:t>(Alongi et al., 2004, 2003)</w:t>
      </w:r>
      <w:r w:rsidRPr="00685912">
        <w:rPr>
          <w:lang w:val="en-US"/>
        </w:rPr>
        <w:fldChar w:fldCharType="end"/>
      </w:r>
      <w:r w:rsidRPr="00685912">
        <w:rPr>
          <w:lang w:val="en-US"/>
        </w:rPr>
        <w:t xml:space="preserve">. Similarly, mangrove accretion over dead root material can form soil profiles in excess of 10m depth </w:t>
      </w:r>
      <w:r w:rsidRPr="00685912">
        <w:rPr>
          <w:lang w:val="en-US"/>
        </w:rPr>
        <w:fldChar w:fldCharType="begin" w:fldLock="1"/>
      </w:r>
      <w:r w:rsidRPr="00685912">
        <w:rPr>
          <w:lang w:val="en-US"/>
        </w:rPr>
        <w:instrText>ADDIN CSL_CITATION {"citationItems":[{"id":"ITEM-1","itemData":{"DOI":"10.1111/j.1466-8238.2007.00317.x","ISSN":"1466822X","abstract":"Aim: The long-term stability of coastal ecosystems such as mangroves and salt marshes depends upon the maintenance of soil elevations within the intertidal habitat as sea level changes. We examined the rates and processes of peat formation by mangroves of the Caribbean Region to better understand biological controls on habitat stability. Location: Mangrove-dominated islands on the Caribbean coasts of Belize, Honduras and Panama were selected as study sites. Methods: Biological processes controlling mangrove peat formation were manipulated (in Belize) by the addition of nutrients (nitrogen or phosphorus) to Rhizophora mangle (red mangrove), and the effects on the dynamics of soil elevation were determined over a 3-year period using rod surface elevation tables (RSET) and marker horizons. Peat composition and geological accretion rates were determined at all sites using radiocarbon-dated cores. Results: The addition of nutrients to mangroves caused significant changes in rates of mangrove root accumulation, which influenced both the rate and direction of change in elevation. Areas with low root input lost elevation and those with high rates gained elevation. These findings were consistent with peat analyses at multiple Caribbean sites showing that deposits (up to 10 m in depth) were composed primarily of mangrove root matter. Comparison of radiocarbon-dated cores at the study sites with a sea-level curve for the western Atlantic indicated a tight coupling between peat building in Caribbean mangroves and sea-level rise over the Holocene. Main conclusions: Mangroves common to the Caribbean region have adjusted to changing sea level mainly through subsurface accumulation of refractory mangrove roots. Without root and other organic inputs, submergence of these tidal forests is inevitable due to peat decomposition, physical compaction and eustatic sea-level rise. These findings have relevance for predicting the effects of sea-level rise and biophysical processes on tropical mangrove ecosystems. © 2007 The AuthorsJournal compilation © 2007 Blackwell Publishing Ltd.","author":[{"dropping-particle":"","family":"McKee","given":"Karen L.","non-dropping-particle":"","parse-names":false,"suffix":""},{"dropping-particle":"","family":"Cahoon","given":"Donald R.","non-dropping-particle":"","parse-names":false,"suffix":""},{"dropping-particle":"","family":"Feller","given":"Ilka C.","non-dropping-particle":"","parse-names":false,"suffix":""}],"container-title":"Global Ecology and Biogeography","id":"ITEM-1","issue":"5","issued":{"date-parts":[["2007"]]},"page":"545-556","title":"Caribbean mangroves adjust to rising sea level through biotic controls on change in soil elevation","type":"article-journal","volume":"16"},"uris":["http://www.mendeley.com/documents/?uuid=7562476d-5b53-4775-956f-205d4ce65347"]}],"mendeley":{"formattedCitation":"(McKee et al., 2007)","plainTextFormattedCitation":"(McKee et al., 2007)","previouslyFormattedCitation":"(McKee et al., 2007)"},"properties":{"noteIndex":0},"schema":"https://github.com/citation-style-language/schema/raw/master/csl-citation.json"}</w:instrText>
      </w:r>
      <w:r w:rsidRPr="00685912">
        <w:rPr>
          <w:lang w:val="en-US"/>
        </w:rPr>
        <w:fldChar w:fldCharType="separate"/>
      </w:r>
      <w:r w:rsidRPr="00685912">
        <w:rPr>
          <w:noProof/>
          <w:lang w:val="en-US"/>
        </w:rPr>
        <w:t>(McKee et al., 2007)</w:t>
      </w:r>
      <w:r w:rsidRPr="00685912">
        <w:rPr>
          <w:lang w:val="en-US"/>
        </w:rPr>
        <w:fldChar w:fldCharType="end"/>
      </w:r>
      <w:r w:rsidRPr="00685912">
        <w:rPr>
          <w:lang w:val="en-US"/>
        </w:rPr>
        <w:t>. The presence of a large pool of dead roots is thought to serve as a mechanism for conserving nutrients</w:t>
      </w:r>
      <w:r>
        <w:rPr>
          <w:lang w:val="en-US"/>
        </w:rPr>
        <w:t>,</w:t>
      </w:r>
      <w:r w:rsidRPr="00685912">
        <w:rPr>
          <w:lang w:val="en-US"/>
        </w:rPr>
        <w:t xml:space="preserve"> whereby new root growth actively recovers organic particles from old decaying roots </w:t>
      </w:r>
      <w:r w:rsidRPr="00685912">
        <w:rPr>
          <w:lang w:val="en-US"/>
        </w:rPr>
        <w:fldChar w:fldCharType="begin" w:fldLock="1"/>
      </w:r>
      <w:r>
        <w:rPr>
          <w:lang w:val="en-US"/>
        </w:rPr>
        <w:instrText>ADDIN CSL_CITATION {"citationItems":[{"id":"ITEM-1","itemData":{"DOI":"10.1046/j.0022-0477.2001.00606.x","ISSN":"00220477","abstract":"1. In oligotrophic habitats, proliferation of roots in nutrient-rich microsites may contribute to overall nutrient conservation by plants. Peat-based soils on mangrove islands in Belize are characterized by the presence of decaying roots and numerous old root channels (0.1-3.5 cm diameter) that become filled with living and highly branched roots of Rhizophora mangle and Avicennia germinans. The objectives of this study were to quantify the proliferation of roots in these microsites and to determine what causes this response. 2. Channels formed by the refractory remains of mangrove roots accounted for only 1-2% of total soil volume, but the proportion of roots found within channels varied from 9 to 24% of total live mass. Successive generations of roots growing inside increasingly smaller root channels were also found. 3. When artificial channels constructed of PVC pipe were buried in the peat for 2 years, those filled with nutrient-rich organic matter had six times more roots than empty or sand-filled channels, indicating a response to greater nutrient availability rather than to greater space or less impedance to root growth. 4. Root proliferation inside decaying roots may improve recovery of nutrients released from decomposing tissues before they can be leached or immobilized in this intertidal environment. Greatest root proliferation in channels occurred in interior forest zones characterized by greater soil waterlogging, which suggests that this may be a strategy for nutrient capture that minimizes oxygen losses from the whole root system. 5. Improved efficiency of nutrient acquisition at the individual plant level has implications for nutrient economy at the ecosystem level and may explain, in part, how mangroves persist and grow in nutrient-poor environments.","author":[{"dropping-particle":"","family":"McKee","given":"K. L.","non-dropping-particle":"","parse-names":false,"suffix":""}],"container-title":"Journal of Ecology","id":"ITEM-1","issue":"5","issued":{"date-parts":[["2001"]]},"page":"876-887","title":"Root proliferation in decaying roots and old root channels: A nutrient conservation mechanism in oligotrophic mangrove forests?","type":"article-journal","volume":"89"},"uris":["http://www.mendeley.com/documents/?uuid=751cf997-ab96-424a-bce5-d04cefad1947","http://www.mendeley.com/documents/?uuid=154942d7-0888-4b8f-9bf2-334680be3824"]}],"mendeley":{"formattedCitation":"(McKee, 2001)","plainTextFormattedCitation":"(McKee, 2001)","previouslyFormattedCitation":"(McKee, 2001)"},"properties":{"noteIndex":0},"schema":"https://github.com/citation-style-language/schema/raw/master/csl-citation.json"}</w:instrText>
      </w:r>
      <w:r w:rsidRPr="00685912">
        <w:rPr>
          <w:lang w:val="en-US"/>
        </w:rPr>
        <w:fldChar w:fldCharType="separate"/>
      </w:r>
      <w:r w:rsidRPr="00685912">
        <w:rPr>
          <w:noProof/>
          <w:lang w:val="en-US"/>
        </w:rPr>
        <w:t>(McKee, 2001)</w:t>
      </w:r>
      <w:r w:rsidRPr="00685912">
        <w:rPr>
          <w:lang w:val="en-US"/>
        </w:rPr>
        <w:fldChar w:fldCharType="end"/>
      </w:r>
      <w:r w:rsidRPr="00685912">
        <w:rPr>
          <w:lang w:val="en-US"/>
        </w:rPr>
        <w:t xml:space="preserve">. For example, growth of new roots have been found in old root channels </w:t>
      </w:r>
      <w:r w:rsidRPr="00685912">
        <w:rPr>
          <w:lang w:val="en-US"/>
        </w:rPr>
        <w:fldChar w:fldCharType="begin" w:fldLock="1"/>
      </w:r>
      <w:r>
        <w:rPr>
          <w:lang w:val="en-US"/>
        </w:rPr>
        <w:instrText>ADDIN CSL_CITATION {"citationItems":[{"id":"ITEM-1","itemData":{"DOI":"10.1046/j.0022-0477.2001.00606.x","ISSN":"00220477","abstract":"1. In oligotrophic habitats, proliferation of roots in nutrient-rich microsites may contribute to overall nutrient conservation by plants. Peat-based soils on mangrove islands in Belize are characterized by the presence of decaying roots and numerous old root channels (0.1-3.5 cm diameter) that become filled with living and highly branched roots of Rhizophora mangle and Avicennia germinans. The objectives of this study were to quantify the proliferation of roots in these microsites and to determine what causes this response. 2. Channels formed by the refractory remains of mangrove roots accounted for only 1-2% of total soil volume, but the proportion of roots found within channels varied from 9 to 24% of total live mass. Successive generations of roots growing inside increasingly smaller root channels were also found. 3. When artificial channels constructed of PVC pipe were buried in the peat for 2 years, those filled with nutrient-rich organic matter had six times more roots than empty or sand-filled channels, indicating a response to greater nutrient availability rather than to greater space or less impedance to root growth. 4. Root proliferation inside decaying roots may improve recovery of nutrients released from decomposing tissues before they can be leached or immobilized in this intertidal environment. Greatest root proliferation in channels occurred in interior forest zones characterized by greater soil waterlogging, which suggests that this may be a strategy for nutrient capture that minimizes oxygen losses from the whole root system. 5. Improved efficiency of nutrient acquisition at the individual plant level has implications for nutrient economy at the ecosystem level and may explain, in part, how mangroves persist and grow in nutrient-poor environments.","author":[{"dropping-particle":"","family":"McKee","given":"K. L.","non-dropping-particle":"","parse-names":false,"suffix":""}],"container-title":"Journal of Ecology","id":"ITEM-1","issue":"5","issued":{"date-parts":[["2001"]]},"page":"876-887","title":"Root proliferation in decaying roots and old root channels: A nutrient conservation mechanism in oligotrophic mangrove forests?","type":"article-journal","volume":"89"},"uris":["http://www.mendeley.com/documents/?uuid=154942d7-0888-4b8f-9bf2-334680be3824","http://www.mendeley.com/documents/?uuid=751cf997-ab96-424a-bce5-d04cefad1947"]}],"mendeley":{"formattedCitation":"(McKee, 2001)","plainTextFormattedCitation":"(McKee, 2001)","previouslyFormattedCitation":"(McKee, 2001)"},"properties":{"noteIndex":0},"schema":"https://github.com/citation-style-language/schema/raw/master/csl-citation.json"}</w:instrText>
      </w:r>
      <w:r w:rsidRPr="00685912">
        <w:rPr>
          <w:lang w:val="en-US"/>
        </w:rPr>
        <w:fldChar w:fldCharType="separate"/>
      </w:r>
      <w:r w:rsidRPr="00685912">
        <w:rPr>
          <w:noProof/>
          <w:lang w:val="en-US"/>
        </w:rPr>
        <w:t>(McKee, 2001)</w:t>
      </w:r>
      <w:r w:rsidRPr="00685912">
        <w:rPr>
          <w:lang w:val="en-US"/>
        </w:rPr>
        <w:fldChar w:fldCharType="end"/>
      </w:r>
      <w:r w:rsidRPr="00685912">
        <w:rPr>
          <w:lang w:val="en-US"/>
        </w:rPr>
        <w:t>.</w:t>
      </w:r>
    </w:p>
    <w:p w14:paraId="3087EE32" w14:textId="77777777" w:rsidR="00FA0744" w:rsidRDefault="00FA0744" w:rsidP="00FA0744">
      <w:pPr>
        <w:spacing w:line="480" w:lineRule="auto"/>
        <w:rPr>
          <w:lang w:val="en-US"/>
        </w:rPr>
      </w:pPr>
    </w:p>
    <w:p w14:paraId="69C9CD37" w14:textId="77777777" w:rsidR="00FA0744" w:rsidRPr="00685912" w:rsidRDefault="00FA0744" w:rsidP="00FA0744">
      <w:pPr>
        <w:spacing w:line="480" w:lineRule="auto"/>
        <w:rPr>
          <w:highlight w:val="yellow"/>
          <w:lang w:val="en-US"/>
        </w:rPr>
      </w:pPr>
      <w:r>
        <w:rPr>
          <w:lang w:val="en-US"/>
        </w:rPr>
        <w:t xml:space="preserve">Recently, the theory of mangrove </w:t>
      </w:r>
      <w:proofErr w:type="spellStart"/>
      <w:r>
        <w:rPr>
          <w:lang w:val="en-US"/>
        </w:rPr>
        <w:t>outwelling</w:t>
      </w:r>
      <w:proofErr w:type="spellEnd"/>
      <w:r>
        <w:rPr>
          <w:lang w:val="en-US"/>
        </w:rPr>
        <w:t xml:space="preserve"> has received attention from the perspective of carbon sequestration </w:t>
      </w:r>
      <w:r>
        <w:rPr>
          <w:lang w:val="en-US"/>
        </w:rPr>
        <w:fldChar w:fldCharType="begin" w:fldLock="1"/>
      </w:r>
      <w:r>
        <w:rPr>
          <w:lang w:val="en-US"/>
        </w:rPr>
        <w:instrText>ADDIN CSL_CITATION {"citationItems":[{"id":"ITEM-1","itemData":{"DOI":"10.1016/j.ecss.2021.107361","author":[{"dropping-particle":"","family":"Santos","given":"IR","non-dropping-particle":"","parse-names":false,"suffix":""},{"dropping-particle":"","family":"Buridge","given":"DJ","non-dropping-particle":"","parse-names":false,"suffix":""},{"dropping-particle":"","family":"Jennerjahn","given":"TC","non-dropping-particle":"","parse-names":false,"suffix":""},{"dropping-particle":"","family":"Bouillon","given":"S","non-dropping-particle":"","parse-names":false,"suffix":""},{"dropping-particle":"","family":"Cabral","given":"A","non-dropping-particle":"","parse-names":false,"suffix":""},{"dropping-particle":"","family":"Serrano","given":"O","non-dropping-particle":"","parse-names":false,"suffix":""},{"dropping-particle":"","family":"Wernberg","given":"T","non-dropping-particle":"","parse-names":false,"suffix":""},{"dropping-particle":"","family":"Filbee-Dexter","given":"K","non-dropping-particle":"","parse-names":false,"suffix":""},{"dropping-particle":"","family":"Guimond","given":"JA","non-dropping-particle":"","parse-names":false,"suffix":""},{"dropping-particle":"","family":"Tamborski","given":"JJ","non-dropping-particle":"","parse-names":false,"suffix":""}],"container-title":"Estuarine, Coastal and Shelf Science","id":"ITEM-1","issued":{"date-parts":[["2021"]]},"page":"107361","title":"The renaissance of Odum’s outwelling hypothesis in ’Blue Carbon’ science","type":"article-journal","volume":"255"},"uris":["http://www.mendeley.com/documents/?uuid=48fce29c-93f5-4f5d-82e0-57f86d098b64"]}],"mendeley":{"formattedCitation":"(Santos et al., 2021)","plainTextFormattedCitation":"(Santos et al., 2021)","previouslyFormattedCitation":"(Santos et al., 2021)"},"properties":{"noteIndex":0},"schema":"https://github.com/citation-style-language/schema/raw/master/csl-citation.json"}</w:instrText>
      </w:r>
      <w:r>
        <w:rPr>
          <w:lang w:val="en-US"/>
        </w:rPr>
        <w:fldChar w:fldCharType="separate"/>
      </w:r>
      <w:r w:rsidRPr="00BC5EC3">
        <w:rPr>
          <w:noProof/>
          <w:lang w:val="en-US"/>
        </w:rPr>
        <w:t>(Santos et al., 2021)</w:t>
      </w:r>
      <w:r>
        <w:rPr>
          <w:lang w:val="en-US"/>
        </w:rPr>
        <w:fldChar w:fldCharType="end"/>
      </w:r>
      <w:r>
        <w:rPr>
          <w:lang w:val="en-US"/>
        </w:rPr>
        <w:t xml:space="preserve">. The majority of work quantifying mangrove carbon capture and storage has focused on standing biomass stock and burial rates within soils </w:t>
      </w:r>
      <w:r>
        <w:rPr>
          <w:lang w:val="en-US"/>
        </w:rPr>
        <w:fldChar w:fldCharType="begin" w:fldLock="1"/>
      </w:r>
      <w:r>
        <w:rPr>
          <w:lang w:val="en-US"/>
        </w:rPr>
        <w:instrText>ADDIN CSL_CITATION {"citationItems":[{"id":"ITEM-1","itemData":{"DOI":"10.1371/journal.pone.0187749","ISBN":"1111111111","ISSN":"19326203","abstract":"Globally, it is recognized that blue carbon ecosystems, especially mangroves, often sequester large quantities of carbon and are of interest for inclusion in climate change mitigation strategies. While 19% of the world’s mangroves are in Africa, they are among the least investigated of all blue carbon ecosystems. We quantified total ecosystem carbon stocks in 33 different mangrove stands along the Atlantic coast of West-Central Africa from Senegal to Southern Gabon spanning large gradients of latitude, soil properties, porewater salinity, and precipitation. Mangrove structure ranged from low and dense stands that were &lt;1m in height and &gt;35,000 trees ha-1 to tall and open stands &gt;40m in height and &lt;100 ha-1. Tremendous variation in ecosystem carbon (C) stocks was measured ranging from 154 to 1,484 Mg C ha-1. The mean total ecosystem carbon stock for all mangroves of West-Central Africa was 799 Mg C ha-1. Soils comprised an average of 86% of the total carbon stock. The greatest carbon stocks were found in the tall mangroves of Liberia and Gabon North with a mean &gt;1,000 Mg C ha-1. The lowest carbon stocks were found in the low mangroves of the semiarid region of Senegal (463 Mg C ha-1) and in mangroves on coarse-textured soils in Gabon South (541 Mg C ha-1). At the scale of the entirety of West-Central Africa, total ecosystem carbon stocks were poorly correlated to aboveground ecosystem carbon pools, precipitation, latitude and soil salinity (r2 = ≤0.07 for all parameters). Based upon a sample of 158 sites from Africa, Asia and Latin America that were sampled in a similar manner to this study, the global mean of carbon stocks for mangroves is 885 Mg C ha-1. The ecosystem carbon stocks of mangroves for West-Central Africa are slightly lower than those of Latin America (940 Mg C ha-1) and Asia (1049 Mg C ha-1) but substantially higher than the default Intergovernmental Panel on Climate Change (IPCC) values for mangroves (511 Mg C ha-1). This study provides an improved estimation of default estimates (Tier 1 values) of mangroves for Asia, Latin America, and West Central Africa.","author":[{"dropping-particle":"","family":"Kauffman","given":"J. B.","non-dropping-particle":"","parse-names":false,"suffix":""},{"dropping-particle":"","family":"Bhomia","given":"Rupesh K.","non-dropping-particle":"","parse-names":false,"suffix":""}],"container-title":"PLoS ONE","editor":[{"dropping-particle":"","family":"Cebrian","given":"Just","non-dropping-particle":"","parse-names":false,"suffix":""}],"id":"ITEM-1","issue":"11","issued":{"date-parts":[["2017","11","13"]]},"page":"e0187749","publisher":"Public Library of Science","title":"Ecosystem carbon stocks of mangroves across broad environmental gradients in West-Central Africa: Global and regional comparisons","type":"article-journal","volume":"12"},"uris":["http://www.mendeley.com/documents/?uuid=0dda3e35-6690-3ef2-afb9-36bcc53c835b"]},{"id":"ITEM-2","itemData":{"DOI":"10.1002/eap.1489","ISSN":"19395582","abstract":"Coastal ecosystems produce and sequester significant amounts of carbon (\"blue carbon\"), which has been well documented in humid and semi-humid regions of temperate and tropical climates but less so in arid regions where mangroves, marshes, and seagrasses exist near the limit of their tolerance for extreme temperature and salinity. To better understand these unique systems, we measured whole-ecosystem carbon stocks in 58 sites across the United Arab Emirates (UAE) in natural and planted mangroves, salt marshes, seagrass beds, microbial mats, and coastal sabkha (inter- and supratidal unvegetated salt flats). Natural mangroves held significantly more carbon in above- and belowground biomass than other vegetated ecosystems. Planted mangrove carbon stocks increased with age, but there were large differences for sites of similar age. Soil carbon varied widely across sites (2-367 Mg C/ha), with ecosystem averages that ranged from 49 to 156 Mg C/ha. For the first time, microbial mats were documented to contain soil carbon pools comparable to vascular plant-dominated ecosystems, and could arguably be recognized as a unique blue carbon ecosystem. Total ecosystem carbon stocks ranged widely from 2 to 515 Mg C/ha (seagrass bed and mangrove, respectively). Seagrass beds had the lowest carbon stock per unit area, but the largest stock per total area due to their large spatial coverage. Compared to similar ecosystems globally, mangroves and marshes in the UAE have lower plant and soil carbon stocks; however, the difference in soil stocks is far larger than with plant stocks. This incongruent difference between stocks is likely due to poor carbon preservation under conditions of weakly reduced soils (200-350 mV), coarse-grained sediments, and active shoreline migration. This work represents the first attempt to produce a country-wide coastal ecosystem carbon accounting using a uniform sampling protocol, and was motivated by specific policy goals identified by the Abu Dhabi Global Environmental Data Initiative. These carbon stock data supported two objectives: to quantify carbon stocks and infer sequestration capacity in arid blue carbon ecosystems, and to explore the potential to incorporate blue carbon science into national reporting and planning documents. © 2016 by the Ecological Society of America.","author":[{"dropping-particle":"","family":"Schile","given":"Lisa M.","non-dropping-particle":"","parse-names":false,"suffix":""},{"dropping-particle":"","family":"Kauffman","given":"J. Boone","non-dropping-particle":"","parse-names":false,"suffix":""},{"dropping-particle":"","family":"Crooks","given":"Stephen","non-dropping-particle":"","parse-names":false,"suffix":""},{"dropping-particle":"","family":"Fourqurean","given":"James W.","non-dropping-particle":"","parse-names":false,"suffix":""},{"dropping-particle":"","family":"Glavan","given":"Jane","non-dropping-particle":"","parse-names":false,"suffix":""},{"dropping-particle":"","family":"Megonigal","given":"J. Patrick","non-dropping-particle":"","parse-names":false,"suffix":""}],"container-title":"Ecological Applications","id":"ITEM-2","issue":"3","issued":{"date-parts":[["2017"]]},"page":"859-874","title":"Limits on carbon sequestration in arid blue carbon ecosystems","type":"article-journal","volume":"27"},"uris":["http://www.mendeley.com/documents/?uuid=c37893be-f79d-4cb3-b5d3-f043469db703"]}],"mendeley":{"formattedCitation":"(Kauffman and Bhomia, 2017; Schile et al., 2017)","plainTextFormattedCitation":"(Kauffman and Bhomia, 2017; Schile et al., 2017)","previouslyFormattedCitation":"(Kauffman and Bhomia, 2017; Schile et al., 2017)"},"properties":{"noteIndex":0},"schema":"https://github.com/citation-style-language/schema/raw/master/csl-citation.json"}</w:instrText>
      </w:r>
      <w:r>
        <w:rPr>
          <w:lang w:val="en-US"/>
        </w:rPr>
        <w:fldChar w:fldCharType="separate"/>
      </w:r>
      <w:r w:rsidRPr="002318F4">
        <w:rPr>
          <w:noProof/>
          <w:lang w:val="en-US"/>
        </w:rPr>
        <w:t>(Kauffman and Bhomia, 2017; Schile et al., 2017)</w:t>
      </w:r>
      <w:r>
        <w:rPr>
          <w:lang w:val="en-US"/>
        </w:rPr>
        <w:fldChar w:fldCharType="end"/>
      </w:r>
      <w:r>
        <w:rPr>
          <w:lang w:val="en-US"/>
        </w:rPr>
        <w:t xml:space="preserve">. However, only focusing on these components of mangrove carbon capture does not take into account the mobile fraction of mangrove carbon that is outwelled. Ignoring the outwelled component of mangrove carbon capture may significantly underestimate the full extent of mangrove carbon sequestration: the combined export of POC and DOC account for almost double that of carbon buried within mangrove soils </w:t>
      </w:r>
      <w:r>
        <w:rPr>
          <w:lang w:val="en-US"/>
        </w:rPr>
        <w:fldChar w:fldCharType="begin" w:fldLock="1"/>
      </w:r>
      <w:r>
        <w:rPr>
          <w:lang w:val="en-US"/>
        </w:rPr>
        <w:instrText>ADDIN CSL_CITATION {"citationItems":[{"id":"ITEM-1","itemData":{"DOI":"10.1029/2007GB003052","ISBN":"0886-6236","ISSN":"08866236","PMID":"208059789","abstract":"Mangrove forests are highly productive but globally threatened coastal ecosystems, whose role in the carbon budget of the coastal zone has long been debated. Here we provide a comprehensive synthesis of the available data on carbon fluxes in mangrove ecosystems. A reassessment of global mangrove primary production from the literature results in a conservative estimate of similar to 218 +/- 72 Tg C a(-1). When using the best available estimates of various carbon sinks (organic carbon export, sediment burial, and mineralization), it appears that &gt; 50% of the carbon fixed by mangrove vegetation is unaccounted for. This unaccounted carbon sink is conservatively estimated at similar to 112 +/- 85 Tg C a(-1), equivalent in magnitude to similar to 30-40% of the global riverine organic carbon input to the coastal zone. Our analysis suggests that mineralization is severely underestimated, and that the majority of carbon export from mangroves to adjacent waters occurs as dissolved inorganic carbon (DIC). CO(2) efflux from sediments and creek waters and tidal export of DIC appear to be the major sinks. These processes are quantitatively comparable in magnitude to the unaccounted carbon sink in current budgets, but are not yet adequately constrained with the limited published data available so far.","author":[{"dropping-particle":"","family":"Bouillon","given":"Steven","non-dropping-particle":"","parse-names":false,"suffix":""},{"dropping-particle":"V.","family":"Borges","given":"Alberto","non-dropping-particle":"","parse-names":false,"suffix":""},{"dropping-particle":"","family":"Castañeda-Moya","given":"Edward","non-dropping-particle":"","parse-names":false,"suffix":""},{"dropping-particle":"","family":"Diele","given":"Karen","non-dropping-particle":"","parse-names":false,"suffix":""},{"dropping-particle":"","family":"Dittmar","given":"Thorsten","non-dropping-particle":"","parse-names":false,"suffix":""},{"dropping-particle":"","family":"Duke","given":"Norman C.","non-dropping-particle":"","parse-names":false,"suffix":""},{"dropping-particle":"","family":"Kristensen","given":"Erik","non-dropping-particle":"","parse-names":false,"suffix":""},{"dropping-particle":"","family":"Lee","given":"Shing Y.","non-dropping-particle":"","parse-names":false,"suffix":""},{"dropping-particle":"","family":"Marchand","given":"Cyril","non-dropping-particle":"","parse-names":false,"suffix":""},{"dropping-particle":"","family":"Middelburg","given":"Jack J.","non-dropping-particle":"","parse-names":false,"suffix":""},{"dropping-particle":"","family":"Rivera-Monroy","given":"Victor H.","non-dropping-particle":"","parse-names":false,"suffix":""},{"dropping-particle":"","family":"Smith","given":"Thomas J.","non-dropping-particle":"","parse-names":false,"suffix":""},{"dropping-particle":"","family":"Twilley","given":"Robert R.","non-dropping-particle":"","parse-names":false,"suffix":""}],"container-title":"Global Biogeochemical Cycles","id":"ITEM-1","issue":"2","issued":{"date-parts":[["2008","6","9"]]},"title":"Mangrove production and carbon sinks: A revision of global budget estimates","type":"article-journal","volume":"22"},"uris":["http://www.mendeley.com/documents/?uuid=4c6861df-7364-4b1c-b518-f90c03ee1c54"]}],"mendeley":{"formattedCitation":"(Bouillon et al., 2008)","plainTextFormattedCitation":"(Bouillon et al., 2008)","previouslyFormattedCitation":"(Bouillon et al., 2008)"},"properties":{"noteIndex":0},"schema":"https://github.com/citation-style-language/schema/raw/master/csl-citation.json"}</w:instrText>
      </w:r>
      <w:r>
        <w:rPr>
          <w:lang w:val="en-US"/>
        </w:rPr>
        <w:fldChar w:fldCharType="separate"/>
      </w:r>
      <w:r w:rsidRPr="009D4992">
        <w:rPr>
          <w:noProof/>
          <w:lang w:val="en-US"/>
        </w:rPr>
        <w:t>(Bouillon et al., 2008)</w:t>
      </w:r>
      <w:r>
        <w:rPr>
          <w:lang w:val="en-US"/>
        </w:rPr>
        <w:fldChar w:fldCharType="end"/>
      </w:r>
      <w:r>
        <w:rPr>
          <w:lang w:val="en-US"/>
        </w:rPr>
        <w:t xml:space="preserve">. In addition, DIC is likely to comprise a significant portion of unaccounted for mangrove primary productivity, which is currently estimated to be ~52% </w:t>
      </w:r>
      <w:r>
        <w:rPr>
          <w:lang w:val="en-US"/>
        </w:rPr>
        <w:fldChar w:fldCharType="begin" w:fldLock="1"/>
      </w:r>
      <w:r>
        <w:rPr>
          <w:lang w:val="en-US"/>
        </w:rPr>
        <w:instrText>ADDIN CSL_CITATION {"citationItems":[{"id":"ITEM-1","itemData":{"DOI":"10.1029/2007GB003052","ISBN":"0886-6236","ISSN":"08866236","PMID":"208059789","abstract":"Mangrove forests are highly productive but globally threatened coastal ecosystems, whose role in the carbon budget of the coastal zone has long been debated. Here we provide a comprehensive synthesis of the available data on carbon fluxes in mangrove ecosystems. A reassessment of global mangrove primary production from the literature results in a conservative estimate of similar to 218 +/- 72 Tg C a(-1). When using the best available estimates of various carbon sinks (organic carbon export, sediment burial, and mineralization), it appears that &gt; 50% of the carbon fixed by mangrove vegetation is unaccounted for. This unaccounted carbon sink is conservatively estimated at similar to 112 +/- 85 Tg C a(-1), equivalent in magnitude to similar to 30-40% of the global riverine organic carbon input to the coastal zone. Our analysis suggests that mineralization is severely underestimated, and that the majority of carbon export from mangroves to adjacent waters occurs as dissolved inorganic carbon (DIC). CO(2) efflux from sediments and creek waters and tidal export of DIC appear to be the major sinks. These processes are quantitatively comparable in magnitude to the unaccounted carbon sink in current budgets, but are not yet adequately constrained with the limited published data available so far.","author":[{"dropping-particle":"","family":"Bouillon","given":"Steven","non-dropping-particle":"","parse-names":false,"suffix":""},{"dropping-particle":"V.","family":"Borges","given":"Alberto","non-dropping-particle":"","parse-names":false,"suffix":""},{"dropping-particle":"","family":"Castañeda-Moya","given":"Edward","non-dropping-particle":"","parse-names":false,"suffix":""},{"dropping-particle":"","family":"Diele","given":"Karen","non-dropping-particle":"","parse-names":false,"suffix":""},{"dropping-particle":"","family":"Dittmar","given":"Thorsten","non-dropping-particle":"","parse-names":false,"suffix":""},{"dropping-particle":"","family":"Duke","given":"Norman C.","non-dropping-particle":"","parse-names":false,"suffix":""},{"dropping-particle":"","family":"Kristensen","given":"Erik","non-dropping-particle":"","parse-names":false,"suffix":""},{"dropping-particle":"","family":"Lee","given":"Shing Y.","non-dropping-particle":"","parse-names":false,"suffix":""},{"dropping-particle":"","family":"Marchand","given":"Cyril","non-dropping-particle":"","parse-names":false,"suffix":""},{"dropping-particle":"","family":"Middelburg","given":"Jack J.","non-dropping-particle":"","parse-names":false,"suffix":""},{"dropping-particle":"","family":"Rivera-Monroy","given":"Victor H.","non-dropping-particle":"","parse-names":false,"suffix":""},{"dropping-particle":"","family":"Smith","given":"Thomas J.","non-dropping-particle":"","parse-names":false,"suffix":""},{"dropping-particle":"","family":"Twilley","given":"Robert R.","non-dropping-particle":"","parse-names":false,"suffix":""}],"container-title":"Global Biogeochemical Cycles","id":"ITEM-1","issue":"2","issued":{"date-parts":[["2008","6","9"]]},"title":"Mangrove production and carbon sinks: A revision of global budget estimates","type":"article-journal","volume":"22"},"uris":["http://www.mendeley.com/documents/?uuid=4c6861df-7364-4b1c-b518-f90c03ee1c54"]}],"mendeley":{"formattedCitation":"(Bouillon et al., 2008)","plainTextFormattedCitation":"(Bouillon et al., 2008)","previouslyFormattedCitation":"(Bouillon et al., 2008)"},"properties":{"noteIndex":0},"schema":"https://github.com/citation-style-language/schema/raw/master/csl-citation.json"}</w:instrText>
      </w:r>
      <w:r>
        <w:rPr>
          <w:lang w:val="en-US"/>
        </w:rPr>
        <w:fldChar w:fldCharType="separate"/>
      </w:r>
      <w:r w:rsidRPr="0069590D">
        <w:rPr>
          <w:noProof/>
          <w:lang w:val="en-US"/>
        </w:rPr>
        <w:t>(Bouillon et al., 2008)</w:t>
      </w:r>
      <w:r>
        <w:rPr>
          <w:lang w:val="en-US"/>
        </w:rPr>
        <w:fldChar w:fldCharType="end"/>
      </w:r>
      <w:r>
        <w:rPr>
          <w:lang w:val="en-US"/>
        </w:rPr>
        <w:t xml:space="preserve">. Research has shown DIC can be up to five-fold that of carbon buried in sediment </w:t>
      </w:r>
      <w:r>
        <w:rPr>
          <w:lang w:val="en-US"/>
        </w:rPr>
        <w:fldChar w:fldCharType="begin" w:fldLock="1"/>
      </w:r>
      <w:r>
        <w:rPr>
          <w:lang w:val="en-US"/>
        </w:rPr>
        <w:instrText>ADDIN CSL_CITATION {"citationItems":[{"id":"ITEM-1","itemData":{"DOI":"10.1029/2007GB003052","ISBN":"0886-6236","ISSN":"08866236","PMID":"208059789","abstract":"Mangrove forests are highly productive but globally threatened coastal ecosystems, whose role in the carbon budget of the coastal zone has long been debated. Here we provide a comprehensive synthesis of the available data on carbon fluxes in mangrove ecosystems. A reassessment of global mangrove primary production from the literature results in a conservative estimate of similar to 218 +/- 72 Tg C a(-1). When using the best available estimates of various carbon sinks (organic carbon export, sediment burial, and mineralization), it appears that &gt; 50% of the carbon fixed by mangrove vegetation is unaccounted for. This unaccounted carbon sink is conservatively estimated at similar to 112 +/- 85 Tg C a(-1), equivalent in magnitude to similar to 30-40% of the global riverine organic carbon input to the coastal zone. Our analysis suggests that mineralization is severely underestimated, and that the majority of carbon export from mangroves to adjacent waters occurs as dissolved inorganic carbon (DIC). CO(2) efflux from sediments and creek waters and tidal export of DIC appear to be the major sinks. These processes are quantitatively comparable in magnitude to the unaccounted carbon sink in current budgets, but are not yet adequately constrained with the limited published data available so far.","author":[{"dropping-particle":"","family":"Bouillon","given":"Steven","non-dropping-particle":"","parse-names":false,"suffix":""},{"dropping-particle":"V.","family":"Borges","given":"Alberto","non-dropping-particle":"","parse-names":false,"suffix":""},{"dropping-particle":"","family":"Castañeda-Moya","given":"Edward","non-dropping-particle":"","parse-names":false,"suffix":""},{"dropping-particle":"","family":"Diele","given":"Karen","non-dropping-particle":"","parse-names":false,"suffix":""},{"dropping-particle":"","family":"Dittmar","given":"Thorsten","non-dropping-particle":"","parse-names":false,"suffix":""},{"dropping-particle":"","family":"Duke","given":"Norman C.","non-dropping-particle":"","parse-names":false,"suffix":""},{"dropping-particle":"","family":"Kristensen","given":"Erik","non-dropping-particle":"","parse-names":false,"suffix":""},{"dropping-particle":"","family":"Lee","given":"Shing Y.","non-dropping-particle":"","parse-names":false,"suffix":""},{"dropping-particle":"","family":"Marchand","given":"Cyril","non-dropping-particle":"","parse-names":false,"suffix":""},{"dropping-particle":"","family":"Middelburg","given":"Jack J.","non-dropping-particle":"","parse-names":false,"suffix":""},{"dropping-particle":"","family":"Rivera-Monroy","given":"Victor H.","non-dropping-particle":"","parse-names":false,"suffix":""},{"dropping-particle":"","family":"Smith","given":"Thomas J.","non-dropping-particle":"","parse-names":false,"suffix":""},{"dropping-particle":"","family":"Twilley","given":"Robert R.","non-dropping-particle":"","parse-names":false,"suffix":""}],"container-title":"Global Biogeochemical Cycles","id":"ITEM-1","issue":"2","issued":{"date-parts":[["2008","6","9"]]},"title":"Mangrove production and carbon sinks: A revision of global budget estimates","type":"article-journal","volume":"22"},"uris":["http://www.mendeley.com/documents/?uuid=4c6861df-7364-4b1c-b518-f90c03ee1c54"]},{"id":"ITEM-2","itemData":{"DOI":"10.1002/lno.11090","author":[{"dropping-particle":"","family":"Santos","given":"IR","non-dropping-particle":"","parse-names":false,"suffix":""},{"dropping-particle":"","family":"Maher","given":"DT","non-dropping-particle":"","parse-names":false,"suffix":""},{"dropping-particle":"","family":"Larkin","given":"R","non-dropping-particle":"","parse-names":false,"suffix":""},{"dropping-particle":"","family":"Webb","given":"JR","non-dropping-particle":"","parse-names":false,"suffix":""},{"dropping-particle":"","family":"Sanders","given":"CJ","non-dropping-particle":"","parse-names":false,"suffix":""}],"container-title":"Limnology &amp; Oceanography","id":"ITEM-2","issued":{"date-parts":[["2019"]]},"page":"996-1013","title":"Carbon outwelling and outgassing vs. burial in an estuarine tidal creek surrounded by mangrove and saltmarsh wetlands","type":"article-journal","volume":"64"},"uris":["http://www.mendeley.com/documents/?uuid=982fda62-3837-424d-851f-dd367dd86bd7"]}],"mendeley":{"formattedCitation":"(Bouillon et al., 2008; Santos et al., 2019)","plainTextFormattedCitation":"(Bouillon et al., 2008; Santos et al., 2019)","previouslyFormattedCitation":"(Bouillon et al., 2008; Santos et al., 2019)"},"properties":{"noteIndex":0},"schema":"https://github.com/citation-style-language/schema/raw/master/csl-citation.json"}</w:instrText>
      </w:r>
      <w:r>
        <w:rPr>
          <w:lang w:val="en-US"/>
        </w:rPr>
        <w:fldChar w:fldCharType="separate"/>
      </w:r>
      <w:r w:rsidRPr="009035DC">
        <w:rPr>
          <w:noProof/>
          <w:lang w:val="en-US"/>
        </w:rPr>
        <w:t>(Bouillon et al., 2008; Santos et al., 2019)</w:t>
      </w:r>
      <w:r>
        <w:rPr>
          <w:lang w:val="en-US"/>
        </w:rPr>
        <w:fldChar w:fldCharType="end"/>
      </w:r>
      <w:r>
        <w:rPr>
          <w:lang w:val="en-US"/>
        </w:rPr>
        <w:t xml:space="preserve"> (Figure 1.3). Thus, it stands to reason that a significantly greater amount of carbon that is captured in mangrove forests is outwelled and, more importantly not accounted for in carbon accounting studies.</w:t>
      </w:r>
    </w:p>
    <w:p w14:paraId="7DD29F64" w14:textId="77777777" w:rsidR="00FA0744" w:rsidRDefault="00FA0744" w:rsidP="00FA0744">
      <w:pPr>
        <w:spacing w:line="480" w:lineRule="auto"/>
        <w:rPr>
          <w:lang w:val="en-US"/>
        </w:rPr>
      </w:pPr>
    </w:p>
    <w:p w14:paraId="1439B0C6" w14:textId="77777777" w:rsidR="00FA0744" w:rsidRDefault="00FA0744" w:rsidP="00FA0744">
      <w:pPr>
        <w:spacing w:line="480" w:lineRule="auto"/>
        <w:jc w:val="center"/>
        <w:rPr>
          <w:lang w:val="en-US"/>
        </w:rPr>
      </w:pPr>
      <w:r>
        <w:rPr>
          <w:noProof/>
          <w:lang w:eastAsia="en-GB"/>
        </w:rPr>
        <w:lastRenderedPageBreak/>
        <w:drawing>
          <wp:inline distT="0" distB="0" distL="0" distR="0" wp14:anchorId="1E7A5055" wp14:editId="556881DA">
            <wp:extent cx="5156791" cy="4314797"/>
            <wp:effectExtent l="0" t="0" r="6350" b="0"/>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58758" cy="4316443"/>
                    </a:xfrm>
                    <a:prstGeom prst="rect">
                      <a:avLst/>
                    </a:prstGeom>
                  </pic:spPr>
                </pic:pic>
              </a:graphicData>
            </a:graphic>
          </wp:inline>
        </w:drawing>
      </w:r>
    </w:p>
    <w:p w14:paraId="043F4FB6" w14:textId="77777777" w:rsidR="00FA0744" w:rsidRDefault="00FA0744" w:rsidP="00FA0744">
      <w:pPr>
        <w:rPr>
          <w:b/>
          <w:bCs/>
          <w:sz w:val="20"/>
          <w:szCs w:val="20"/>
          <w:lang w:val="en-US"/>
        </w:rPr>
      </w:pPr>
      <w:r w:rsidRPr="00FA13DB">
        <w:rPr>
          <w:b/>
          <w:bCs/>
          <w:sz w:val="20"/>
          <w:szCs w:val="20"/>
          <w:lang w:val="en-US"/>
        </w:rPr>
        <w:t xml:space="preserve">Figure </w:t>
      </w:r>
      <w:r>
        <w:rPr>
          <w:b/>
          <w:bCs/>
          <w:sz w:val="20"/>
          <w:szCs w:val="20"/>
          <w:lang w:val="en-US"/>
        </w:rPr>
        <w:t>1.3</w:t>
      </w:r>
      <w:r w:rsidRPr="00FA13DB">
        <w:rPr>
          <w:b/>
          <w:bCs/>
          <w:sz w:val="20"/>
          <w:szCs w:val="20"/>
          <w:lang w:val="en-US"/>
        </w:rPr>
        <w:t xml:space="preserve">: Comparison of carbon buried within mangrove sediment with Particulate Organic Carbon (POC), Dissolved Organic Carbon (DOC) and Dissolved Inorganic Carbon (DIC). </w:t>
      </w:r>
      <w:r>
        <w:rPr>
          <w:b/>
          <w:bCs/>
          <w:sz w:val="20"/>
          <w:szCs w:val="20"/>
          <w:lang w:val="en-US"/>
        </w:rPr>
        <w:t xml:space="preserve">Values are global scale estimates of carbon flux in </w:t>
      </w:r>
      <w:proofErr w:type="spellStart"/>
      <w:r>
        <w:rPr>
          <w:b/>
          <w:bCs/>
          <w:sz w:val="20"/>
          <w:szCs w:val="20"/>
          <w:lang w:val="en-US"/>
        </w:rPr>
        <w:t>Tg</w:t>
      </w:r>
      <w:proofErr w:type="spellEnd"/>
      <w:r>
        <w:rPr>
          <w:b/>
          <w:bCs/>
          <w:sz w:val="20"/>
          <w:szCs w:val="20"/>
          <w:lang w:val="en-US"/>
        </w:rPr>
        <w:t xml:space="preserve"> C yr</w:t>
      </w:r>
      <w:r w:rsidRPr="00E72D5E">
        <w:rPr>
          <w:b/>
          <w:bCs/>
          <w:sz w:val="20"/>
          <w:szCs w:val="20"/>
          <w:vertAlign w:val="superscript"/>
          <w:lang w:val="en-US"/>
        </w:rPr>
        <w:t>-1</w:t>
      </w:r>
      <w:r>
        <w:rPr>
          <w:b/>
          <w:bCs/>
          <w:sz w:val="20"/>
          <w:szCs w:val="20"/>
          <w:lang w:val="en-US"/>
        </w:rPr>
        <w:t xml:space="preserve">. </w:t>
      </w:r>
      <w:r w:rsidRPr="00FA13DB">
        <w:rPr>
          <w:b/>
          <w:bCs/>
          <w:sz w:val="20"/>
          <w:szCs w:val="20"/>
          <w:lang w:val="en-US"/>
        </w:rPr>
        <w:t>Adapted from Santos et al. (2021).</w:t>
      </w:r>
    </w:p>
    <w:p w14:paraId="0BE199F0" w14:textId="77777777" w:rsidR="00FA0744" w:rsidRPr="00FA13DB" w:rsidRDefault="00FA0744" w:rsidP="00FA0744">
      <w:pPr>
        <w:spacing w:line="480" w:lineRule="auto"/>
        <w:rPr>
          <w:b/>
          <w:bCs/>
          <w:sz w:val="20"/>
          <w:szCs w:val="20"/>
          <w:lang w:val="en-US"/>
        </w:rPr>
      </w:pPr>
    </w:p>
    <w:p w14:paraId="68DB5517" w14:textId="515D80A2" w:rsidR="00FA0744" w:rsidRPr="00810BDB" w:rsidRDefault="00FA0744" w:rsidP="00FA0744">
      <w:pPr>
        <w:pStyle w:val="Heading2"/>
        <w:rPr>
          <w:rFonts w:asciiTheme="minorHAnsi" w:hAnsiTheme="minorHAnsi" w:cstheme="minorHAnsi"/>
          <w:b/>
          <w:bCs/>
          <w:color w:val="000000" w:themeColor="text1"/>
        </w:rPr>
      </w:pPr>
      <w:bookmarkStart w:id="8" w:name="_Toc120622097"/>
      <w:r w:rsidRPr="00810BDB">
        <w:rPr>
          <w:rFonts w:asciiTheme="minorHAnsi" w:hAnsiTheme="minorHAnsi" w:cstheme="minorHAnsi"/>
          <w:b/>
          <w:bCs/>
          <w:color w:val="000000" w:themeColor="text1"/>
        </w:rPr>
        <w:t>1.4</w:t>
      </w:r>
      <w:r w:rsidRPr="00810BDB">
        <w:rPr>
          <w:rFonts w:asciiTheme="minorHAnsi" w:hAnsiTheme="minorHAnsi" w:cstheme="minorHAnsi"/>
          <w:b/>
          <w:bCs/>
          <w:color w:val="000000" w:themeColor="text1"/>
        </w:rPr>
        <w:tab/>
        <w:t>Threats and Current Knowledge Gaps</w:t>
      </w:r>
      <w:bookmarkEnd w:id="8"/>
    </w:p>
    <w:p w14:paraId="415C4971" w14:textId="77777777" w:rsidR="00FA0744" w:rsidRPr="008556CF" w:rsidRDefault="00FA0744" w:rsidP="00FA0744">
      <w:pPr>
        <w:spacing w:line="480" w:lineRule="auto"/>
        <w:rPr>
          <w:rFonts w:cstheme="minorHAnsi"/>
          <w:lang w:val="en-US"/>
        </w:rPr>
      </w:pPr>
      <w:r w:rsidRPr="008556CF">
        <w:rPr>
          <w:rFonts w:cstheme="minorHAnsi"/>
          <w:lang w:val="en-US"/>
        </w:rPr>
        <w:t xml:space="preserve">Even though mangroves sequester and store large amounts of carbon, deforestation has the potential to turn these stores of carbon into significant sources </w:t>
      </w:r>
      <w:r w:rsidRPr="008556CF">
        <w:rPr>
          <w:rFonts w:cstheme="minorHAnsi"/>
          <w:lang w:val="en-US"/>
        </w:rPr>
        <w:fldChar w:fldCharType="begin" w:fldLock="1"/>
      </w:r>
      <w:r w:rsidRPr="008556CF">
        <w:rPr>
          <w:rFonts w:cstheme="minorHAnsi"/>
          <w:lang w:val="en-US"/>
        </w:rPr>
        <w:instrText>ADDIN CSL_CITATION {"citationItems":[{"id":"ITEM-1","itemData":{"DOI":"10.1038/s41558-018-0090-4","ISSN":"17586798","abstract":"Mangrove forests store high densitie of organic carbon, which, when coupled with high rates of deforestation, means that mangroves have the potential to contribute substantially to carbon emissions. Consequently, mangroves are strong candidates for inclusion in nationally determined contributions (NDCs) to the United Nations Framework Convention on Climate Change (UNFCCC), and payments for ecosystem services (PES) programmes that financially incentivize the conservation of forested carbon stocks. This study quantifies annual mangrove carbon stocks from 2000 to 2012 at the global, national and sub-national levels, and global carbon emissions resulting from deforestation over the same time period. Globally, mangroves stored 4.19 Pg of carbon in 2012, with Indonesia, Brazil, Malaysia and Papua New Guinea accounting for more than 50% of the global stock. 2.96 Pg of the global carbon stock is contained within the soil and 1.23 Pg in the living biomass. Two percent of global mangrove carbon was lost between 2000 and 2012, equivalent to a maximum potential of 316,996,250 t of CO2 emissions.","author":[{"dropping-particle":"","family":"Hamilton","given":"Stuart E.","non-dropping-particle":"","parse-names":false,"suffix":""},{"dropping-particle":"","family":"Friess","given":"Daniel A.","non-dropping-particle":"","parse-names":false,"suffix":""}],"container-title":"Nature Climate Change","id":"ITEM-1","issue":"3","issued":{"date-parts":[["2018"]]},"page":"240-244","title":"Global carbon stocks and potential emissions due to mangrove deforestation from 2000 to 2012","type":"article-journal","volume":"8"},"uris":["http://www.mendeley.com/documents/?uuid=8f9f1530-8aac-3063-b6ac-d0e087d212e4"]}],"mendeley":{"formattedCitation":"(Hamilton and Friess, 2018)","plainTextFormattedCitation":"(Hamilton and Friess, 2018)","previouslyFormattedCitation":"(Hamilton and Friess, 2018)"},"properties":{"noteIndex":0},"schema":"https://github.com/citation-style-language/schema/raw/master/csl-citation.json"}</w:instrText>
      </w:r>
      <w:r w:rsidRPr="008556CF">
        <w:rPr>
          <w:rFonts w:cstheme="minorHAnsi"/>
          <w:lang w:val="en-US"/>
        </w:rPr>
        <w:fldChar w:fldCharType="separate"/>
      </w:r>
      <w:r w:rsidRPr="008556CF">
        <w:rPr>
          <w:rFonts w:cstheme="minorHAnsi"/>
          <w:noProof/>
          <w:lang w:val="en-US"/>
        </w:rPr>
        <w:t>(Hamilton and Friess, 2018)</w:t>
      </w:r>
      <w:r w:rsidRPr="008556CF">
        <w:rPr>
          <w:rFonts w:cstheme="minorHAnsi"/>
          <w:lang w:val="en-US"/>
        </w:rPr>
        <w:fldChar w:fldCharType="end"/>
      </w:r>
      <w:r w:rsidRPr="008556CF">
        <w:rPr>
          <w:rFonts w:cstheme="minorHAnsi"/>
          <w:lang w:val="en-US"/>
        </w:rPr>
        <w:t xml:space="preserve">. Mangrove deforestation rates have significantly decreased compared to those from 1980 to 2000 </w:t>
      </w:r>
      <w:r w:rsidRPr="008556CF">
        <w:rPr>
          <w:rFonts w:cstheme="minorHAnsi"/>
          <w:lang w:val="en-US"/>
        </w:rPr>
        <w:fldChar w:fldCharType="begin" w:fldLock="1"/>
      </w:r>
      <w:r w:rsidRPr="008556CF">
        <w:rPr>
          <w:rFonts w:cstheme="minorHAnsi"/>
          <w:lang w:val="en-US"/>
        </w:rPr>
        <w:instrText>ADDIN CSL_CITATION {"citationItems":[{"id":"ITEM-1","itemData":{"author":[{"dropping-particle":"","family":"Hamilton","given":"Stuart","non-dropping-particle":"","parse-names":false,"suffix":""},{"dropping-particle":"","family":"Casey","given":"Daniel","non-dropping-particle":"","parse-names":false,"suffix":""}],"container-title":"Global Ecology and Biogeography","id":"ITEM-1","issue":"6","issued":{"date-parts":[["2016"]]},"page":"729-738","title":"Creation of a high spatiotemporal resolution global database of continuous mangrove forest cover","type":"article-journal","volume":"25"},"uris":["http://www.mendeley.com/documents/?uuid=893008db-4f62-4c3e-95b0-18b063df5b92"]}],"mendeley":{"formattedCitation":"(Hamilton and Casey, 2016)","plainTextFormattedCitation":"(Hamilton and Casey, 2016)","previouslyFormattedCitation":"(Hamilton and Casey, 2016)"},"properties":{"noteIndex":0},"schema":"https://github.com/citation-style-language/schema/raw/master/csl-citation.json"}</w:instrText>
      </w:r>
      <w:r w:rsidRPr="008556CF">
        <w:rPr>
          <w:rFonts w:cstheme="minorHAnsi"/>
          <w:lang w:val="en-US"/>
        </w:rPr>
        <w:fldChar w:fldCharType="separate"/>
      </w:r>
      <w:r w:rsidRPr="008556CF">
        <w:rPr>
          <w:rFonts w:cstheme="minorHAnsi"/>
          <w:noProof/>
          <w:lang w:val="en-US"/>
        </w:rPr>
        <w:t>(Hamilton and Casey, 2016)</w:t>
      </w:r>
      <w:r w:rsidRPr="008556CF">
        <w:rPr>
          <w:rFonts w:cstheme="minorHAnsi"/>
          <w:lang w:val="en-US"/>
        </w:rPr>
        <w:fldChar w:fldCharType="end"/>
      </w:r>
      <w:r w:rsidRPr="008556CF">
        <w:rPr>
          <w:rFonts w:cstheme="minorHAnsi"/>
          <w:lang w:val="en-US"/>
        </w:rPr>
        <w:t xml:space="preserve">, </w:t>
      </w:r>
      <w:r>
        <w:rPr>
          <w:rFonts w:cstheme="minorHAnsi"/>
          <w:lang w:val="en-US"/>
        </w:rPr>
        <w:t xml:space="preserve">and </w:t>
      </w:r>
      <w:r w:rsidRPr="008556CF">
        <w:rPr>
          <w:rFonts w:cstheme="minorHAnsi"/>
          <w:lang w:val="en-US"/>
        </w:rPr>
        <w:t>approximately 50% of the world’s mangroves have been deforested since the 1980’s. Historical mangrove deforestation rates potentially emitted up to 0.45 Pg CO</w:t>
      </w:r>
      <w:r w:rsidRPr="008556CF">
        <w:rPr>
          <w:rFonts w:cstheme="minorHAnsi"/>
          <w:vertAlign w:val="subscript"/>
          <w:lang w:val="en-US"/>
        </w:rPr>
        <w:t>2</w:t>
      </w:r>
      <w:r w:rsidRPr="008556CF">
        <w:rPr>
          <w:rFonts w:cstheme="minorHAnsi"/>
          <w:lang w:val="en-US"/>
        </w:rPr>
        <w:t>e yr</w:t>
      </w:r>
      <w:r w:rsidRPr="008556CF">
        <w:rPr>
          <w:rFonts w:cstheme="minorHAnsi"/>
          <w:vertAlign w:val="superscript"/>
          <w:lang w:val="en-US"/>
        </w:rPr>
        <w:t xml:space="preserve">-1 </w:t>
      </w:r>
      <w:r w:rsidRPr="008556CF">
        <w:rPr>
          <w:rFonts w:cstheme="minorHAnsi"/>
          <w:vertAlign w:val="superscript"/>
          <w:lang w:val="en-US"/>
        </w:rPr>
        <w:fldChar w:fldCharType="begin" w:fldLock="1"/>
      </w:r>
      <w:r w:rsidRPr="008556CF">
        <w:rPr>
          <w:rFonts w:cstheme="minorHAnsi"/>
          <w:vertAlign w:val="superscript"/>
          <w:lang w:val="en-US"/>
        </w:rPr>
        <w:instrText>ADDIN CSL_CITATION {"citationItems":[{"id":"ITEM-1","itemData":{"author":[{"dropping-particle":"","family":"Pendelton","given":"Linwood","non-dropping-particle":"","parse-names":false,"suffix":""},{"dropping-particle":"","family":"Donato","given":"Daniel C.","non-dropping-particle":"","parse-names":false,"suffix":""},{"dropping-particle":"","family":"Murray","given":"Brian C.","non-dropping-particle":"","parse-names":false,"suffix":""},{"dropping-particle":"","family":"Crooks","given":"Stephen","non-dropping-particle":"","parse-names":false,"suffix":""},{"dropping-particle":"","family":"Jenkins","given":"Aaron W.","non-dropping-particle":"","parse-names":false,"suffix":""},{"dropping-particle":"","family":"Sifleet","given":"Samantha","non-dropping-particle":"","parse-names":false,"suffix":""},{"dropping-particle":"","family":"Craft","given":"Christopher","non-dropping-particle":"","parse-names":false,"suffix":""},{"dropping-particle":"","family":"Fourqurean","given":"James W.","non-dropping-particle":"","parse-names":false,"suffix":""},{"dropping-particle":"","family":"Kauffman","given":"Boone J.","non-dropping-particle":"","parse-names":false,"suffix":""},{"dropping-particle":"","family":"Marba","given":"Nuria","non-dropping-particle":"","parse-names":false,"suffix":""},{"dropping-particle":"","family":"Megonigal","given":"Patrick","non-dropping-particle":"","parse-names":false,"suffix":""},{"dropping-particle":"","family":"Pidgeon","given":"Emily","non-dropping-particle":"","parse-names":false,"suffix":""},{"dropping-particle":"","family":"Herr","given":"Dorothee","non-dropping-particle":"","parse-names":false,"suffix":""},{"dropping-particle":"","family":"Gordon","given":"David","non-dropping-particle":"","parse-names":false,"suffix":""},{"dropping-particle":"","family":"Baldera","given":"Alexis","non-dropping-particle":"","parse-names":false,"suffix":""}],"container-title":"PLOS One","id":"ITEM-1","issue":"9","issued":{"date-parts":[["2012"]]},"title":"Estimating Global \"Blue Carbon\" Emissions from Conversion and Degradation of Vegetated Coastal Ecosystems","type":"article-journal","volume":"7"},"uris":["http://www.mendeley.com/documents/?uuid=a867634a-6fdb-4881-a086-6f256e2210aa"]}],"mendeley":{"formattedCitation":"(Pendelton et al., 2012)","plainTextFormattedCitation":"(Pendelton et al., 2012)","previouslyFormattedCitation":"(Pendelton et al., 2012)"},"properties":{"noteIndex":0},"schema":"https://github.com/citation-style-language/schema/raw/master/csl-citation.json"}</w:instrText>
      </w:r>
      <w:r w:rsidRPr="008556CF">
        <w:rPr>
          <w:rFonts w:cstheme="minorHAnsi"/>
          <w:vertAlign w:val="superscript"/>
          <w:lang w:val="en-US"/>
        </w:rPr>
        <w:fldChar w:fldCharType="separate"/>
      </w:r>
      <w:r w:rsidRPr="008556CF">
        <w:rPr>
          <w:rFonts w:cstheme="minorHAnsi"/>
          <w:noProof/>
          <w:lang w:val="en-US"/>
        </w:rPr>
        <w:t>(Pendelton et al., 2012)</w:t>
      </w:r>
      <w:r w:rsidRPr="008556CF">
        <w:rPr>
          <w:rFonts w:cstheme="minorHAnsi"/>
          <w:vertAlign w:val="superscript"/>
          <w:lang w:val="en-US"/>
        </w:rPr>
        <w:fldChar w:fldCharType="end"/>
      </w:r>
      <w:r>
        <w:rPr>
          <w:rFonts w:cstheme="minorHAnsi"/>
          <w:lang w:val="en-US"/>
        </w:rPr>
        <w:t xml:space="preserve">. </w:t>
      </w:r>
      <w:r w:rsidRPr="008556CF">
        <w:rPr>
          <w:rFonts w:cstheme="minorHAnsi"/>
          <w:lang w:val="en-US"/>
        </w:rPr>
        <w:t xml:space="preserve">Blue carbon ecosystem restoration </w:t>
      </w:r>
      <w:r>
        <w:rPr>
          <w:rFonts w:cstheme="minorHAnsi"/>
          <w:lang w:val="en-US"/>
        </w:rPr>
        <w:t xml:space="preserve">can potentially offset </w:t>
      </w:r>
      <w:r w:rsidRPr="008556CF">
        <w:rPr>
          <w:rFonts w:cstheme="minorHAnsi"/>
          <w:lang w:val="en-US"/>
        </w:rPr>
        <w:t xml:space="preserve"> 3% of annual global fossil fuel emissions </w:t>
      </w:r>
      <w:r w:rsidRPr="008556CF">
        <w:rPr>
          <w:rFonts w:cstheme="minorHAnsi"/>
          <w:lang w:val="en-US"/>
        </w:rPr>
        <w:fldChar w:fldCharType="begin" w:fldLock="1"/>
      </w:r>
      <w:r w:rsidRPr="008556CF">
        <w:rPr>
          <w:rFonts w:cstheme="minorHAnsi"/>
          <w:lang w:val="en-US"/>
        </w:rPr>
        <w:instrText>ADDIN CSL_CITATION {"citationItems":[{"id":"ITEM-1","itemData":{"DOI":"10.1038/ s43017-021-00224-1","abstract":"Blue carbon ecosystems (BCEs), including mangrove forests, seagrass meadows and tidal marshes, store carbon and provide co-benefits such as coastal protection and fisheries enhancement. Blue carbon sequestration has therefore been suggested as a natural climate solution. In this Review, we examine the potential for BCEs to act as carbon sinks and the opportunities to protect or restore ecosystems for this function. Globally, BCEs are calculated to store &gt;30,000 Tg C across ~185 million ha, with their conservation potentially avoiding emissions of 304 (141–466) Tg carbon dioxide equivalent (CO2e) per year. Potential BCE restoration has been estimated in the range of 0.2–3.2 million ha for tidal marshes, 8.3–25.4 million ha for seagrasses and 9–13 million ha for mangroves, which could draw down an additional 841 (621–1,064) Tg CO2e per year by 2030, collectively amounting to ~3% of global emissions (based on 2019 and 2020 global annual fossil fuel emissions). Mangrove protection and/or restoration could provide the greatest carbon-related benefits, but better understanding of other BCEs is needed. BCE destruction is unlikely to stop fully, and not all losses can be restored. However, engineering and planning for coastal protection offer opportunities for protection and restoration, especially through valuing co-benefits. BCE prioritization is potentially a cost-effective and scalable natural climate solution, but there are still barriers to overcome before blue carbon project adoption will become widespread","author":[{"dropping-particle":"","family":"Macreadie","given":"Pi","non-dropping-particle":"","parse-names":false,"suffix":""},{"dropping-particle":"","family":"Costa","given":"MD","non-dropping-particle":"","parse-names":false,"suffix":""},{"dropping-particle":"","family":"Atwood","given":"TB","non-dropping-particle":"","parse-names":false,"suffix":""},{"dropping-particle":"","family":"Friess","given":"DA","non-dropping-particle":"","parse-names":false,"suffix":""},{"dropping-particle":"","family":"Kelleway","given":"JJ","non-dropping-particle":"","parse-names":false,"suffix":""},{"dropping-particle":"","family":"Kennedy","given":"H","non-dropping-particle":"","parse-names":false,"suffix":""},{"dropping-particle":"","family":"Lovelock","given":"CE","non-dropping-particle":"","parse-names":false,"suffix":""},{"dropping-particle":"","family":"Serrano","given":"O","non-dropping-particle":"","parse-names":false,"suffix":""},{"dropping-particle":"","family":"Duarte","given":"CM","non-dropping-particle":"","parse-names":false,"suffix":""}],"container-title":"Nature Reviews Earth &amp; Environment","id":"ITEM-1","issued":{"date-parts":[["2021"]]},"page":"1-14","title":"Blue carbon as a natural climate solution","type":"article-journal"},"uris":["http://www.mendeley.com/documents/?uuid=6cd43fd1-9f28-4d09-93a1-66a9c8975e46"]}],"mendeley":{"formattedCitation":"(Macreadie et al., 2021)","plainTextFormattedCitation":"(Macreadie et al., 2021)","previouslyFormattedCitation":"(Macreadie et al., 2021)"},"properties":{"noteIndex":0},"schema":"https://github.com/citation-style-language/schema/raw/master/csl-citation.json"}</w:instrText>
      </w:r>
      <w:r w:rsidRPr="008556CF">
        <w:rPr>
          <w:rFonts w:cstheme="minorHAnsi"/>
          <w:lang w:val="en-US"/>
        </w:rPr>
        <w:fldChar w:fldCharType="separate"/>
      </w:r>
      <w:r w:rsidRPr="008556CF">
        <w:rPr>
          <w:rFonts w:cstheme="minorHAnsi"/>
          <w:noProof/>
          <w:lang w:val="en-US"/>
        </w:rPr>
        <w:t>(Macreadie et al., 2021)</w:t>
      </w:r>
      <w:r w:rsidRPr="008556CF">
        <w:rPr>
          <w:rFonts w:cstheme="minorHAnsi"/>
          <w:lang w:val="en-US"/>
        </w:rPr>
        <w:fldChar w:fldCharType="end"/>
      </w:r>
      <w:r w:rsidRPr="008556CF">
        <w:rPr>
          <w:rFonts w:cstheme="minorHAnsi"/>
          <w:lang w:val="en-US"/>
        </w:rPr>
        <w:t xml:space="preserve">. However, </w:t>
      </w:r>
      <w:r>
        <w:rPr>
          <w:rFonts w:cstheme="minorHAnsi"/>
          <w:lang w:val="en-US"/>
        </w:rPr>
        <w:t>while</w:t>
      </w:r>
      <w:r w:rsidRPr="008556CF">
        <w:rPr>
          <w:rFonts w:cstheme="minorHAnsi"/>
          <w:lang w:val="en-US"/>
        </w:rPr>
        <w:t xml:space="preserve"> conservation and restoration projects </w:t>
      </w:r>
      <w:r>
        <w:rPr>
          <w:rFonts w:cstheme="minorHAnsi"/>
          <w:lang w:val="en-US"/>
        </w:rPr>
        <w:t xml:space="preserve">are </w:t>
      </w:r>
      <w:r w:rsidRPr="008556CF">
        <w:rPr>
          <w:rFonts w:cstheme="minorHAnsi"/>
          <w:lang w:val="en-US"/>
        </w:rPr>
        <w:t xml:space="preserve">a profitable means of curbing GHG emissions and have the potential of attracting finance into mangrove conservation </w:t>
      </w:r>
      <w:r w:rsidRPr="008556CF">
        <w:rPr>
          <w:rFonts w:cstheme="minorHAnsi"/>
          <w:lang w:val="en-US"/>
        </w:rPr>
        <w:lastRenderedPageBreak/>
        <w:fldChar w:fldCharType="begin" w:fldLock="1"/>
      </w:r>
      <w:r w:rsidRPr="008556CF">
        <w:rPr>
          <w:rFonts w:cstheme="minorHAnsi"/>
          <w:lang w:val="en-US"/>
        </w:rPr>
        <w:instrText xml:space="preserve">ADDIN CSL_CITATION {"citationItems":[{"id":"ITEM-1","itemData":{"DOI":"10.1016/j.ecoser.2019.101035","ISSN":"22120416","abstract":"Mangroves have generated considerable interest in forest carbon discourse given their disproportionately high carbon storage and sequestration potential compared to terrestrial habitats. Capitalising on this potential, however, remains largely unrealised due in part to an incomplete understanding of the full greenhouse gas mitigation benefits provided, particularly through changes in landuse where aquaculture ponds are converted back to mangroves. Here we address such uncertainties by estimating the overall net greenhouse offset potential from rehabilitating mangroves in Tiwoho, North Sulawesi (Indonesia). Estimates of both baseline emissions and sequestration as mangrove forests regrow after rehabilitation were assessed, with results contrasted against published data on established mangroves and terrestrial forest carbon projects registered with the Verified Carbon Standard. Additionally, net emissions removals and reductions from Tiwoho is scaled-up to the national level in order to estimate the contribution rehabilitation of disused ponds can make to climate change mitigation. We also monetarise potential returns generated to date and frame this against project implementation and opportunity costs. Our data indicates that, on average, Tiwoho's rehabilitating sites could potentially mitigate upwards of −27.6 ± 1.7 Mg CO2-e per hectare per year. This is upwards of 3 times that of other terrestrial forestry carbon projects and, assuming a voluntary carbon market price of USD $8.1 per Mg CO2-e per hectare for afforestation/reforestation projects, equates to recuperation of 76.2% of initial project implementation costs over approximately 10 years with an annual return of 7.6%. This return rate rivals that of most asset classes targeted by private sector investors. Scaling results to encompass the net emissions removals and reduction potential from rehabilitating the </w:instrText>
      </w:r>
      <w:r w:rsidRPr="008556CF">
        <w:rPr>
          <w:rFonts w:ascii="Cambria Math" w:hAnsi="Cambria Math" w:cs="Cambria Math"/>
          <w:lang w:val="en-US"/>
        </w:rPr>
        <w:instrText>∼</w:instrText>
      </w:r>
      <w:r w:rsidRPr="008556CF">
        <w:rPr>
          <w:rFonts w:cstheme="minorHAnsi"/>
          <w:lang w:val="en-US"/>
        </w:rPr>
        <w:instrText xml:space="preserve">600, 000 hectares of disused ponds in Indonesia may offset upwards of −16.56 ± 1.02 million Mg CO2-e per hectare per year. Additionally, mitigation benefits from rehabilitation may equate to 6 times that of terrestrial projects if situated in ponds displaying both high baseline emissions and high rates of re-growth whilst accounting for sequestration from benthic algae and the oceanic burial of dissolved inorganic carbon. These findings strengthen the evidence base needed for public and private sector support for mangrove rehabilitation within the forest carbon sector.","author":[{"dropping-particle":"","family":"Cameron","given":"Clint","non-dropping-particle":"","parse-names":false,"suffix":""},{"dropping-particle":"","family":"Hutley","given":"Lindsay B.","non-dropping-particle":"","parse-names":false,"suffix":""},{"dropping-particle":"","family":"Friess","given":"Daniel A.","non-dropping-particle":"","parse-names":false,"suffix":""},{"dropping-particle":"","family":"Brown","given":"Ben","non-dropping-particle":"","parse-names":false,"suffix":""}],"container-title":"Ecosystem Services","id":"ITEM-1","issued":{"date-parts":[["2019"]]},"title":"High greenhouse gas emissions mitigation benefits from mangrove rehabilitation in Sulawesi, Indonesia","type":"article-journal","volume":"40"},"uris":["http://www.mendeley.com/documents/?uuid=37df7189-2c91-473f-9386-68fa3bfc0954"]},{"id":"ITEM-2","itemData":{"DOI":"10.1016/j.cub.2021.01.070","ISSN":"18790445","PMID":"33600768","abstract":"Despite the outsized role of mangrove forests in sustaining biodiversity, ecosystem function, and local livelihoods, the protection of these vital habitats through blue carbon financing has been limited.1,2 Here, we quantify the extent of this missed conservation and financial opportunity, showing that the protection of </w:instrText>
      </w:r>
      <w:r w:rsidRPr="008556CF">
        <w:rPr>
          <w:rFonts w:ascii="Cambria Math" w:hAnsi="Cambria Math" w:cs="Cambria Math"/>
          <w:lang w:val="en-US"/>
        </w:rPr>
        <w:instrText>∼</w:instrText>
      </w:r>
      <w:r w:rsidRPr="008556CF">
        <w:rPr>
          <w:rFonts w:cstheme="minorHAnsi"/>
          <w:lang w:val="en-US"/>
        </w:rPr>
        <w:instrText xml:space="preserve">20% of the world's mangrove forests (2.6 Mha) can be funded through carbon financing. Of these investible areas, 1.1–1.3 Mha can be financially sustainable over a 30-year time frame based on carbon prices of US$5–9.4 t−1CO2e. This contributes up to 29.8 MtCO2e year−1 and yields a return on investment of </w:instrText>
      </w:r>
      <w:r w:rsidRPr="008556CF">
        <w:rPr>
          <w:rFonts w:ascii="Cambria Math" w:hAnsi="Cambria Math" w:cs="Cambria Math"/>
          <w:lang w:val="en-US"/>
        </w:rPr>
        <w:instrText>∼</w:instrText>
      </w:r>
      <w:r w:rsidRPr="008556CF">
        <w:rPr>
          <w:rFonts w:cstheme="minorHAnsi"/>
          <w:lang w:val="en-US"/>
        </w:rPr>
        <w:instrText>US$3.7 billion per year. Our results point toward a disproportionately large potential of blue carbon finance that can be leveraged to meet national-level climate mitigation goals, particularly if combined with other conservation interventions that further safeguard carbon stocks and biodiversity in these irreplaceable forests. Robust information on return on investment highlights the potential for currently underutilized tropical coastal carbon credit projects.","author":[{"dropping-particle":"","family":"Zeng","given":"Yiwen","non-dropping-particle":"","parse-names":false,"suffix":""},{"dropping-particle":"","family":"Friess","given":"Daniel A.","non-dropping-particle":"","parse-names":false,"suffix":""},{"dropping-particle":"","family":"Sarira","given":"Tasya Vadya","non-dropping-particle":"","parse-names":false,"suffix":""},{"dropping-particle":"","family":"Siman","given":"Kelly","non-dropping-particle":"","parse-names":false,"suffix":""},{"dropping-particle":"","family":"Koh","given":"Lian Pin","non-dropping-particle":"","parse-names":false,"suffix":""}],"container-title":"Current Biology","id":"ITEM-2","issue":"8","issued":{"date-parts":[["2021"]]},"page":"1737-1743.e3","title":"Global potential and limits of mangrove blue carbon for climate change mitigation","type":"article-journal","volume":"31"},"uris":["http://www.mendeley.com/documents/?uuid=07ea0631-cb8d-4eb2-8298-6dfbbd7b03dc"]}],"mendeley":{"formattedCitation":"(Cameron et al., 2019; Zeng et al., 2021)","plainTextFormattedCitation":"(Cameron et al., 2019; Zeng et al., 2021)","previouslyFormattedCitation":"(Cameron et al., 2019; Zeng et al., 2021)"},"properties":{"noteIndex":0},"schema":"https://github.com/citation-style-language/schema/raw/master/csl-citation.json"}</w:instrText>
      </w:r>
      <w:r w:rsidRPr="008556CF">
        <w:rPr>
          <w:rFonts w:cstheme="minorHAnsi"/>
          <w:lang w:val="en-US"/>
        </w:rPr>
        <w:fldChar w:fldCharType="separate"/>
      </w:r>
      <w:r w:rsidRPr="008556CF">
        <w:rPr>
          <w:rFonts w:cstheme="minorHAnsi"/>
          <w:noProof/>
          <w:lang w:val="en-US"/>
        </w:rPr>
        <w:t>(Cameron et al., 2019; Zeng et al., 2021)</w:t>
      </w:r>
      <w:r w:rsidRPr="008556CF">
        <w:rPr>
          <w:rFonts w:cstheme="minorHAnsi"/>
          <w:lang w:val="en-US"/>
        </w:rPr>
        <w:fldChar w:fldCharType="end"/>
      </w:r>
      <w:r w:rsidRPr="008556CF">
        <w:rPr>
          <w:rFonts w:cstheme="minorHAnsi"/>
          <w:lang w:val="en-US"/>
        </w:rPr>
        <w:t>, the prevention of further loss is, by far, the most effective way of maintaining global mangrove carbon storage.</w:t>
      </w:r>
    </w:p>
    <w:p w14:paraId="0C7A5815" w14:textId="77777777" w:rsidR="00FA0744" w:rsidRPr="008556CF" w:rsidRDefault="00FA0744" w:rsidP="00FA0744">
      <w:pPr>
        <w:spacing w:line="480" w:lineRule="auto"/>
        <w:rPr>
          <w:rFonts w:cstheme="minorHAnsi"/>
          <w:lang w:val="en-US"/>
        </w:rPr>
      </w:pPr>
    </w:p>
    <w:p w14:paraId="4C91E3E9" w14:textId="77777777" w:rsidR="00FA0744" w:rsidRPr="008556CF" w:rsidRDefault="00FA0744" w:rsidP="00FA0744">
      <w:pPr>
        <w:spacing w:line="480" w:lineRule="auto"/>
        <w:rPr>
          <w:rFonts w:cstheme="minorHAnsi"/>
          <w:lang w:val="en-US"/>
        </w:rPr>
      </w:pPr>
      <w:r w:rsidRPr="008556CF">
        <w:rPr>
          <w:rFonts w:cstheme="minorHAnsi"/>
          <w:lang w:val="en-US"/>
        </w:rPr>
        <w:t xml:space="preserve">Climate change is likely to have a significant impact on mangrove ecosystems worldwide </w:t>
      </w:r>
      <w:r w:rsidRPr="008556CF">
        <w:rPr>
          <w:rFonts w:cstheme="minorHAnsi"/>
          <w:lang w:val="en-US"/>
        </w:rPr>
        <w:fldChar w:fldCharType="begin" w:fldLock="1"/>
      </w:r>
      <w:r w:rsidRPr="008556CF">
        <w:rPr>
          <w:rFonts w:cstheme="minorHAnsi"/>
          <w:lang w:val="en-US"/>
        </w:rPr>
        <w:instrText>ADDIN CSL_CITATION {"citationItems":[{"id":"ITEM-1","itemData":{"DOI":"10.1007/s40641-015-0002-x","ISBN":"9789048129447","ISSN":"2198-6061","PMID":"20558709","abstract":"Mangrove forests have survived a number of cata- strophic climate events since first appearing along the shores of the Tethys Sea during the late Cretaceous-Early Tertiary. The existence of mangrove peat deposits worldwide attests to past episodes of local and regional extinction, primarily in response to abrupt, rapid rises in sea level. Occupying a harsh margin between land and sea, most mangrove plants and as- sociated organisms are predisposed to be either resilient or resistant to most environmental change. Based on the most recent Intergovernmental Panel on Climate Change (IPCC) forecasts, mangrove forests along arid coasts, in subsiding river deltas, and on many islands are predicted to decline in area, structural complexity, and/or in functionality, but man- groves will continue to expand polewards. It is highly likely that they will survive into the foreseeable future as sea level, global temperatures, and atmospheric CO2 concentrations continue to rise. Keywords","author":[{"dropping-particle":"","family":"Alongi","given":"Daniel M.","non-dropping-particle":"","parse-names":false,"suffix":""}],"container-title":"Current Climate Change Reports","id":"ITEM-1","issue":"1","issued":{"date-parts":[["2015"]]},"page":"30-39","title":"The Impact of Climate Change on Mangrove Forests","type":"article-journal","volume":"1"},"uris":["http://www.mendeley.com/documents/?uuid=f79bab08-cbed-412c-a810-d1854e4a6b4d"]},{"id":"ITEM-2","itemData":{"DOI":"10.1002/ehs2.1211","ISSN":"23328878","abstract":"Inter-related and spatially variable climate change factors including sea level rise, increased storminess, altered precipitation regime and increasing temperature are impacting mangroves at regional scales. This review highlights extreme regional variation in climate change threats and impacts, and how these factors impact the structure of mangrove communities, their biodiversity and geomorphological setting. All these factors interplay to determine spatially variable resiliency to climate change impacts, and because mangroves are varied in type and geographical location, these systems are good models for understanding such interactions at different scales. Sea level rise is likely to influence mangroves in all regions although local impacts are likely to be more varied. Changes in the frequency and intensity of storminess are likely to have a greater impact on N and Central America, Asia, Australia, and East Africa than West Africa and S. America. This review also highlights the numerous geographical knowledge gaps of climate change impacts, with some regions particularly understudied (e.g., Africa and the Middle East). While there has been a recent drive to address these knowledge gaps especially in South America and Asia, further research is required to allow researchers to tease apart the processes that influence both vulnerability and resilience to climate change. A more globally representative view of mangroves would allow us to better understand the importance of mangrove type and landscape setting in determining system resiliency to future climate change.","author":[{"dropping-particle":"","family":"Ward","given":"Raymond D.","non-dropping-particle":"","parse-names":false,"suffix":""},{"dropping-particle":"","family":"Friess","given":"Daniel A.","non-dropping-particle":"","parse-names":false,"suffix":""},{"dropping-particle":"","family":"Day","given":"Richard H.","non-dropping-particle":"","parse-names":false,"suffix":""},{"dropping-particle":"","family":"Mackenzie","given":"Richard A.","non-dropping-particle":"","parse-names":false,"suffix":""}],"container-title":"Ecosystem Health and Sustainability","id":"ITEM-2","issue":"4","issued":{"date-parts":[["2016"]]},"title":"Impacts of climate change on mangrove ecosystems: a region by region overview","type":"article-journal","volume":"2"},"uris":["http://www.mendeley.com/documents/?uuid=df205f83-cd11-4191-93c3-607c98d809f7"]}],"mendeley":{"formattedCitation":"(Alongi, 2015; Ward et al., 2016)","plainTextFormattedCitation":"(Alongi, 2015; Ward et al., 2016)","previouslyFormattedCitation":"(Alongi, 2015; Ward et al., 2016)"},"properties":{"noteIndex":0},"schema":"https://github.com/citation-style-language/schema/raw/master/csl-citation.json"}</w:instrText>
      </w:r>
      <w:r w:rsidRPr="008556CF">
        <w:rPr>
          <w:rFonts w:cstheme="minorHAnsi"/>
          <w:lang w:val="en-US"/>
        </w:rPr>
        <w:fldChar w:fldCharType="separate"/>
      </w:r>
      <w:r w:rsidRPr="008556CF">
        <w:rPr>
          <w:rFonts w:cstheme="minorHAnsi"/>
          <w:noProof/>
          <w:lang w:val="en-US"/>
        </w:rPr>
        <w:t>(Alongi, 2015; Ward et al., 2016)</w:t>
      </w:r>
      <w:r w:rsidRPr="008556CF">
        <w:rPr>
          <w:rFonts w:cstheme="minorHAnsi"/>
          <w:lang w:val="en-US"/>
        </w:rPr>
        <w:fldChar w:fldCharType="end"/>
      </w:r>
      <w:r w:rsidRPr="008556CF">
        <w:rPr>
          <w:rFonts w:cstheme="minorHAnsi"/>
          <w:lang w:val="en-US"/>
        </w:rPr>
        <w:t xml:space="preserve">. Increased storm intensity, changes to rates </w:t>
      </w:r>
      <w:r>
        <w:rPr>
          <w:rFonts w:cstheme="minorHAnsi"/>
          <w:lang w:val="en-US"/>
        </w:rPr>
        <w:t>in</w:t>
      </w:r>
      <w:r w:rsidRPr="008556CF">
        <w:rPr>
          <w:rFonts w:cstheme="minorHAnsi"/>
          <w:lang w:val="en-US"/>
        </w:rPr>
        <w:t xml:space="preserve"> relative sea level rise, increased temperatures and changes to precipitation regimes could all impact mangroves over the next century </w:t>
      </w:r>
      <w:r w:rsidRPr="008556CF">
        <w:rPr>
          <w:rFonts w:cstheme="minorHAnsi"/>
          <w:lang w:val="en-US"/>
        </w:rPr>
        <w:fldChar w:fldCharType="begin" w:fldLock="1"/>
      </w:r>
      <w:r w:rsidRPr="008556CF">
        <w:rPr>
          <w:rFonts w:cstheme="minorHAnsi"/>
          <w:lang w:val="en-US"/>
        </w:rPr>
        <w:instrText>ADDIN CSL_CITATION {"citationItems":[{"id":"ITEM-1","itemData":{"DOI":"10.1002/ehs2.1211","ISSN":"23328878","abstract":"Inter-related and spatially variable climate change factors including sea level rise, increased storminess, altered precipitation regime and increasing temperature are impacting mangroves at regional scales. This review highlights extreme regional variation in climate change threats and impacts, and how these factors impact the structure of mangrove communities, their biodiversity and geomorphological setting. All these factors interplay to determine spatially variable resiliency to climate change impacts, and because mangroves are varied in type and geographical location, these systems are good models for understanding such interactions at different scales. Sea level rise is likely to influence mangroves in all regions although local impacts are likely to be more varied. Changes in the frequency and intensity of storminess are likely to have a greater impact on N and Central America, Asia, Australia, and East Africa than West Africa and S. America. This review also highlights the numerous geographical knowledge gaps of climate change impacts, with some regions particularly understudied (e.g., Africa and the Middle East). While there has been a recent drive to address these knowledge gaps especially in South America and Asia, further research is required to allow researchers to tease apart the processes that influence both vulnerability and resilience to climate change. A more globally representative view of mangroves would allow us to better understand the importance of mangrove type and landscape setting in determining system resiliency to future climate change.","author":[{"dropping-particle":"","family":"Ward","given":"Raymond D.","non-dropping-particle":"","parse-names":false,"suffix":""},{"dropping-particle":"","family":"Friess","given":"Daniel A.","non-dropping-particle":"","parse-names":false,"suffix":""},{"dropping-particle":"","family":"Day","given":"Richard H.","non-dropping-particle":"","parse-names":false,"suffix":""},{"dropping-particle":"","family":"Mackenzie","given":"Richard A.","non-dropping-particle":"","parse-names":false,"suffix":""}],"container-title":"Ecosystem Health and Sustainability","id":"ITEM-1","issue":"4","issued":{"date-parts":[["2016"]]},"title":"Impacts of climate change on mangrove ecosystems: a region by region overview","type":"article-journal","volume":"2"},"uris":["http://www.mendeley.com/documents/?uuid=df205f83-cd11-4191-93c3-607c98d809f7"]}],"mendeley":{"formattedCitation":"(Ward et al., 2016)","plainTextFormattedCitation":"(Ward et al., 2016)","previouslyFormattedCitation":"(Ward et al., 2016)"},"properties":{"noteIndex":0},"schema":"https://github.com/citation-style-language/schema/raw/master/csl-citation.json"}</w:instrText>
      </w:r>
      <w:r w:rsidRPr="008556CF">
        <w:rPr>
          <w:rFonts w:cstheme="minorHAnsi"/>
          <w:lang w:val="en-US"/>
        </w:rPr>
        <w:fldChar w:fldCharType="separate"/>
      </w:r>
      <w:r w:rsidRPr="008556CF">
        <w:rPr>
          <w:rFonts w:cstheme="minorHAnsi"/>
          <w:noProof/>
          <w:lang w:val="en-US"/>
        </w:rPr>
        <w:t>(Ward et al., 2016)</w:t>
      </w:r>
      <w:r w:rsidRPr="008556CF">
        <w:rPr>
          <w:rFonts w:cstheme="minorHAnsi"/>
          <w:lang w:val="en-US"/>
        </w:rPr>
        <w:fldChar w:fldCharType="end"/>
      </w:r>
      <w:r w:rsidRPr="008556CF">
        <w:rPr>
          <w:rFonts w:cstheme="minorHAnsi"/>
          <w:lang w:val="en-US"/>
        </w:rPr>
        <w:t xml:space="preserve">. Mangroves have adapted to climate change throughout their history and show a degree of resilience to changes in sea level and  climate regimes </w:t>
      </w:r>
      <w:r w:rsidRPr="008556CF">
        <w:rPr>
          <w:rFonts w:cstheme="minorHAnsi"/>
          <w:lang w:val="en-US"/>
        </w:rPr>
        <w:fldChar w:fldCharType="begin" w:fldLock="1"/>
      </w:r>
      <w:r w:rsidRPr="008556CF">
        <w:rPr>
          <w:rFonts w:cstheme="minorHAnsi"/>
          <w:lang w:val="en-US"/>
        </w:rPr>
        <w:instrText>ADDIN CSL_CITATION {"citationItems":[{"id":"ITEM-1","itemData":{"DOI":"10.1016/j.ecss.2007.08.024","ISBN":"0272-7714","ISSN":"02727714","PMID":"11380962","abstract":"This review assesses the degree of resilience of mangrove forests to large, infrequent disturbance (tsunamis) and their role in coastal protection, and to chronic disturbance events (climate change) and the future of mangroves in the face of global change. From a geological perspective, mangroves come and go at considerable speed with the current distribution of forests a legacy of the Holocene, having undergone almost chronic disturbance as a result of fluctuations in sea-level. Mangroves have demonstrated considerable resilience over timescales commensurate with shoreline evolution. This notion is supported by evidence that soil accretion rates in mangrove forests are currently keeping pace with mean sea-level rise. Further support for their resilience comes from patterns of recovery from natural disturbances (storms, hurricanes) which coupled with key life history traits, suggest pioneer-phase characteristics. Stand composition and forest structure are the result of a complex interplay of physiological tolerances and competitive interactions leading to a mosaic of interrupted or arrested succession sequences, in response to physical/chemical gradients and landform changes. The extent to which some or all of these factors come into play depends on the frequency, intensity, size, and duration of the disturbance. Mangroves do offer some protection from catastrophic disturbance such as tsunamis; some hydrological models suggest 90% reduction in tsunami wave flow pressure for a 100-m wide forest belt. The magnitude of energy absorption strongly depends on tree density, stem and root diameter, shore slope, bathymetry, spectral characteristics of incident waves, and tidal stage upon entering the forest. The ultimate disturbance, climate change, may lead to a maximum global loss of 10-15% of mangrove forest, but must be considered of secondary importance compared with current average annual rates of 1-2% deforestation. A large reservoir of below-ground nutrients, rapid rates of nutrient flux and microbial decomposition, complex and highly efficient biotic controls, self-design and redundancy of keystone species, and numerous feedbacks, all contribute to mangrove resilience to various types of disturbance. © 2007 Elsevier Ltd. All rights reserved.","author":[{"dropping-particle":"","family":"Alongi","given":"Daniel M.","non-dropping-particle":"","parse-names":false,"suffix":""}],"container-title":"Estuarine, Coastal and Shelf Science","id":"ITEM-1","issue":"1","issued":{"date-parts":[["2008"]]},"page":"1-13","title":"Mangrove forests: Resilience, protection from tsunamis, and responses to global climate change","type":"article","volume":"76"},"uris":["http://www.mendeley.com/documents/?uuid=85f6a44f-e9be-3c29-9066-76162c945d3e"]}],"mendeley":{"formattedCitation":"(Alongi, 2008)","plainTextFormattedCitation":"(Alongi, 2008)","previouslyFormattedCitation":"(Alongi, 2008)"},"properties":{"noteIndex":0},"schema":"https://github.com/citation-style-language/schema/raw/master/csl-citation.json"}</w:instrText>
      </w:r>
      <w:r w:rsidRPr="008556CF">
        <w:rPr>
          <w:rFonts w:cstheme="minorHAnsi"/>
          <w:lang w:val="en-US"/>
        </w:rPr>
        <w:fldChar w:fldCharType="separate"/>
      </w:r>
      <w:r w:rsidRPr="008556CF">
        <w:rPr>
          <w:rFonts w:cstheme="minorHAnsi"/>
          <w:noProof/>
          <w:lang w:val="en-US"/>
        </w:rPr>
        <w:t>(Alongi, 2008)</w:t>
      </w:r>
      <w:r w:rsidRPr="008556CF">
        <w:rPr>
          <w:rFonts w:cstheme="minorHAnsi"/>
          <w:lang w:val="en-US"/>
        </w:rPr>
        <w:fldChar w:fldCharType="end"/>
      </w:r>
      <w:r w:rsidRPr="008556CF">
        <w:rPr>
          <w:rFonts w:cstheme="minorHAnsi"/>
          <w:lang w:val="en-US"/>
        </w:rPr>
        <w:t xml:space="preserve">. However, </w:t>
      </w:r>
      <w:r>
        <w:rPr>
          <w:rFonts w:cstheme="minorHAnsi"/>
          <w:lang w:val="en-US"/>
        </w:rPr>
        <w:t>the combined effects of climate change</w:t>
      </w:r>
      <w:r w:rsidRPr="008556CF">
        <w:rPr>
          <w:rFonts w:cstheme="minorHAnsi"/>
          <w:lang w:val="en-US"/>
        </w:rPr>
        <w:t xml:space="preserve"> </w:t>
      </w:r>
      <w:r>
        <w:rPr>
          <w:rFonts w:cstheme="minorHAnsi"/>
          <w:lang w:val="en-US"/>
        </w:rPr>
        <w:t>with</w:t>
      </w:r>
      <w:r w:rsidRPr="008556CF">
        <w:rPr>
          <w:rFonts w:cstheme="minorHAnsi"/>
          <w:lang w:val="en-US"/>
        </w:rPr>
        <w:t xml:space="preserve"> </w:t>
      </w:r>
      <w:r>
        <w:rPr>
          <w:rFonts w:cstheme="minorHAnsi"/>
          <w:lang w:val="en-US"/>
        </w:rPr>
        <w:t xml:space="preserve">the general </w:t>
      </w:r>
      <w:r w:rsidRPr="008556CF">
        <w:rPr>
          <w:rFonts w:cstheme="minorHAnsi"/>
          <w:lang w:val="en-US"/>
        </w:rPr>
        <w:t xml:space="preserve">pressures exerted by humans may </w:t>
      </w:r>
      <w:r>
        <w:rPr>
          <w:rFonts w:cstheme="minorHAnsi"/>
          <w:lang w:val="en-US"/>
        </w:rPr>
        <w:t xml:space="preserve">well see conditions change at faster rates than </w:t>
      </w:r>
      <w:r w:rsidRPr="008556CF">
        <w:rPr>
          <w:rFonts w:cstheme="minorHAnsi"/>
          <w:lang w:val="en-US"/>
        </w:rPr>
        <w:t>mangroves can adapt</w:t>
      </w:r>
      <w:r>
        <w:rPr>
          <w:rFonts w:cstheme="minorHAnsi"/>
          <w:lang w:val="en-US"/>
        </w:rPr>
        <w:t xml:space="preserve"> to</w:t>
      </w:r>
      <w:r w:rsidRPr="008556CF">
        <w:rPr>
          <w:rFonts w:cstheme="minorHAnsi"/>
          <w:lang w:val="en-US"/>
        </w:rPr>
        <w:t xml:space="preserve"> </w:t>
      </w:r>
      <w:r w:rsidRPr="008556CF">
        <w:rPr>
          <w:rFonts w:cstheme="minorHAnsi"/>
          <w:lang w:val="en-US"/>
        </w:rPr>
        <w:fldChar w:fldCharType="begin" w:fldLock="1"/>
      </w:r>
      <w:r w:rsidRPr="008556CF">
        <w:rPr>
          <w:rFonts w:cstheme="minorHAnsi"/>
          <w:lang w:val="en-US"/>
        </w:rPr>
        <w:instrText>ADDIN CSL_CITATION {"citationItems":[{"id":"ITEM-1","itemData":{"DOI":"10.1016/j.ecss.2007.08.024","ISBN":"0272-7714","ISSN":"02727714","PMID":"11380962","abstract":"This review assesses the degree of resilience of mangrove forests to large, infrequent disturbance (tsunamis) and their role in coastal protection, and to chronic disturbance events (climate change) and the future of mangroves in the face of global change. From a geological perspective, mangroves come and go at considerable speed with the current distribution of forests a legacy of the Holocene, having undergone almost chronic disturbance as a result of fluctuations in sea-level. Mangroves have demonstrated considerable resilience over timescales commensurate with shoreline evolution. This notion is supported by evidence that soil accretion rates in mangrove forests are currently keeping pace with mean sea-level rise. Further support for their resilience comes from patterns of recovery from natural disturbances (storms, hurricanes) which coupled with key life history traits, suggest pioneer-phase characteristics. Stand composition and forest structure are the result of a complex interplay of physiological tolerances and competitive interactions leading to a mosaic of interrupted or arrested succession sequences, in response to physical/chemical gradients and landform changes. The extent to which some or all of these factors come into play depends on the frequency, intensity, size, and duration of the disturbance. Mangroves do offer some protection from catastrophic disturbance such as tsunamis; some hydrological models suggest 90% reduction in tsunami wave flow pressure for a 100-m wide forest belt. The magnitude of energy absorption strongly depends on tree density, stem and root diameter, shore slope, bathymetry, spectral characteristics of incident waves, and tidal stage upon entering the forest. The ultimate disturbance, climate change, may lead to a maximum global loss of 10-15% of mangrove forest, but must be considered of secondary importance compared with current average annual rates of 1-2% deforestation. A large reservoir of below-ground nutrients, rapid rates of nutrient flux and microbial decomposition, complex and highly efficient biotic controls, self-design and redundancy of keystone species, and numerous feedbacks, all contribute to mangrove resilience to various types of disturbance. © 2007 Elsevier Ltd. All rights reserved.","author":[{"dropping-particle":"","family":"Alongi","given":"Daniel M.","non-dropping-particle":"","parse-names":false,"suffix":""}],"container-title":"Estuarine, Coastal and Shelf Science","id":"ITEM-1","issue":"1","issued":{"date-parts":[["2008"]]},"page":"1-13","title":"Mangrove forests: Resilience, protection from tsunamis, and responses to global climate change","type":"article","volume":"76"},"uris":["http://www.mendeley.com/documents/?uuid=85f6a44f-e9be-3c29-9066-76162c945d3e"]}],"mendeley":{"formattedCitation":"(Alongi, 2008)","plainTextFormattedCitation":"(Alongi, 2008)","previouslyFormattedCitation":"(Alongi, 2008)"},"properties":{"noteIndex":0},"schema":"https://github.com/citation-style-language/schema/raw/master/csl-citation.json"}</w:instrText>
      </w:r>
      <w:r w:rsidRPr="008556CF">
        <w:rPr>
          <w:rFonts w:cstheme="minorHAnsi"/>
          <w:lang w:val="en-US"/>
        </w:rPr>
        <w:fldChar w:fldCharType="separate"/>
      </w:r>
      <w:r w:rsidRPr="008556CF">
        <w:rPr>
          <w:rFonts w:cstheme="minorHAnsi"/>
          <w:noProof/>
          <w:lang w:val="en-US"/>
        </w:rPr>
        <w:t>(Alongi, 2008)</w:t>
      </w:r>
      <w:r w:rsidRPr="008556CF">
        <w:rPr>
          <w:rFonts w:cstheme="minorHAnsi"/>
          <w:lang w:val="en-US"/>
        </w:rPr>
        <w:fldChar w:fldCharType="end"/>
      </w:r>
      <w:r w:rsidRPr="008556CF">
        <w:rPr>
          <w:rFonts w:cstheme="minorHAnsi"/>
          <w:lang w:val="en-US"/>
        </w:rPr>
        <w:t>. It is still not clear how mangroves will adapt and persist under forecasted climate change. Climate change is also not expected to be spatially homogeneous throughout the 21</w:t>
      </w:r>
      <w:r w:rsidRPr="008556CF">
        <w:rPr>
          <w:rFonts w:cstheme="minorHAnsi"/>
          <w:vertAlign w:val="superscript"/>
          <w:lang w:val="en-US"/>
        </w:rPr>
        <w:t>st</w:t>
      </w:r>
      <w:r w:rsidRPr="008556CF">
        <w:rPr>
          <w:rFonts w:cstheme="minorHAnsi"/>
          <w:lang w:val="en-US"/>
        </w:rPr>
        <w:t xml:space="preserve"> century </w:t>
      </w:r>
      <w:r w:rsidRPr="008556CF">
        <w:rPr>
          <w:rFonts w:cstheme="minorHAnsi"/>
          <w:lang w:val="en-US"/>
        </w:rPr>
        <w:fldChar w:fldCharType="begin" w:fldLock="1"/>
      </w:r>
      <w:r w:rsidRPr="008556CF">
        <w:rPr>
          <w:rFonts w:cstheme="minorHAnsi"/>
          <w:lang w:val="en-US"/>
        </w:rPr>
        <w:instrText>ADDIN CSL_CITATION {"citationItems":[{"id":"ITEM-1","itemData":{"DOI":"10.5194/esd-10-73-2019","ISSN":"21904987","abstract":"We revisit the issue of the response of precipitation characteristics to global warming based on analyses of global and regional climate model projections for the 21st century. The prevailing response we identify can be summarized as follows: increase in the intensity of precipitation events and extremes, with the occurrence of events of \"unprecedented\" magnitude, i.e., a magnitude not found in the present-day climate; decrease in the number of light precipitation events and in wet spell lengths; and increase in the number of dry days and dry spell lengths. This response, which is mostly consistent across the models we analyzed, is tied to the difference between precipitation intensity responding to increases in local humidity conditions and circulations, especially for heavy and extreme events, and mean precipitation responding to slower increases in global evaporation. These changes in hydroclimatic characteristics have multiple and important impacts on the Earth's hydrologic cycle and on a variety of sectors. As examples we investigate effects on potential stress due to increases in dry and wet extremes, changes in precipitation interannual variability, and changes in the potential predictability of precipitation events. We also stress how the understanding of the hydroclimatic response to global warming can provide important insights into the fundamental behavior of precipitation processes, most noticeably tropical convection.","author":[{"dropping-particle":"","family":"Giorgi","given":"Filippo","non-dropping-particle":"","parse-names":false,"suffix":""},{"dropping-particle":"","family":"Raffaele","given":"Francesca","non-dropping-particle":"","parse-names":false,"suffix":""},{"dropping-particle":"","family":"Coppola","given":"Erika","non-dropping-particle":"","parse-names":false,"suffix":""}],"container-title":"Earth System Dynamics","id":"ITEM-1","issue":"1","issued":{"date-parts":[["2019"]]},"page":"73-89","title":"The response of precipitation characteristics to global warming from climate projections","type":"article-journal","volume":"10"},"uris":["http://www.mendeley.com/documents/?uuid=988a7d47-ac98-4d8c-b240-6a203fdde08a"]},{"id":"ITEM-2","itemData":{"DOI":"10.1029/2018JD029473","ISSN":"21698996","abstract":"Land-atmosphere coupling plays a crucial role in determining the evolution of weather and climate. In the current study, the full ensemble of CORDEX-Africa climate change simulations is used to understand how strong and weak coupling regions in Africa will evolve in the future. The ability of the regional climate models to capture the coupling signal relies on a reasonable representation of near surface air temperature, precipitation, surface fluxes, and soil moisture. A thorough model evaluation reveals typical shortcomings in the representation of the African climate, in particular seasonal precipitation. The multimodel ensemble mean outperforms the individual models and is therefore used for the investigation of the land-atmosphere coupling. This ensemble mean shows a widespread warming in Africa and changes in precipitation, such as a decrease in the Sahel during summer and an increase in western Africa during summer and autumn. The coupling analysis relies on surface fluxes, the related evaporative fraction and their correlations as well as the correlation between evaporative fraction and soil moisture. Overall, water-limited regions that exhibit a strong land-atmosphere coupling are projected to expand further southward in West Africa and further northward in southern Africa. This is particularly true over the Sahel during spring and summer, when the strong coupling region shifts southward, indicating a potential expansion of the semiarid and arid regions. A transition of energy limited regimes, with weak coupling, to water-limited regimes where soil moisture plays a more important role, is projected for the end of the 21st century as drying continues.","author":[{"dropping-particle":"","family":"Soares","given":"Pedro M.M.","non-dropping-particle":"","parse-names":false,"suffix":""},{"dropping-particle":"","family":"Careto","given":"João A.M.","non-dropping-particle":"","parse-names":false,"suffix":""},{"dropping-particle":"","family":"Cardoso","given":"Rita M.","non-dropping-particle":"","parse-names":false,"suffix":""},{"dropping-particle":"","family":"Goergen","given":"Klaus","non-dropping-particle":"","parse-names":false,"suffix":""},{"dropping-particle":"","family":"Trigo","given":"Ricardo M.","non-dropping-particle":"","parse-names":false,"suffix":""}],"container-title":"Journal of Geophysical Research: Atmospheres","id":"ITEM-2","issue":"21","issued":{"date-parts":[["2019"]]},"page":"11118-11142","title":"Land-Atmosphere Coupling Regimes in a Future Climate in Africa: From Model Evaluation to Projections Based on CORDEX-Africa","type":"article-journal","volume":"124"},"uris":["http://www.mendeley.com/documents/?uuid=b79dfd5b-96c1-4837-86d0-49c63a95a4fa"]}],"mendeley":{"formattedCitation":"(Giorgi et al., 2019; Soares et al., 2019)","plainTextFormattedCitation":"(Giorgi et al., 2019; Soares et al., 2019)","previouslyFormattedCitation":"(Giorgi et al., 2019; Soares et al., 2019)"},"properties":{"noteIndex":0},"schema":"https://github.com/citation-style-language/schema/raw/master/csl-citation.json"}</w:instrText>
      </w:r>
      <w:r w:rsidRPr="008556CF">
        <w:rPr>
          <w:rFonts w:cstheme="minorHAnsi"/>
          <w:lang w:val="en-US"/>
        </w:rPr>
        <w:fldChar w:fldCharType="separate"/>
      </w:r>
      <w:r w:rsidRPr="008556CF">
        <w:rPr>
          <w:rFonts w:cstheme="minorHAnsi"/>
          <w:noProof/>
          <w:lang w:val="en-US"/>
        </w:rPr>
        <w:t>(Giorgi et al., 2019; Soares et al., 2019)</w:t>
      </w:r>
      <w:r w:rsidRPr="008556CF">
        <w:rPr>
          <w:rFonts w:cstheme="minorHAnsi"/>
          <w:lang w:val="en-US"/>
        </w:rPr>
        <w:fldChar w:fldCharType="end"/>
      </w:r>
      <w:r w:rsidRPr="008556CF">
        <w:rPr>
          <w:rFonts w:cstheme="minorHAnsi"/>
          <w:lang w:val="en-US"/>
        </w:rPr>
        <w:t xml:space="preserve">. For example, </w:t>
      </w:r>
      <w:r>
        <w:rPr>
          <w:rFonts w:cstheme="minorHAnsi"/>
          <w:lang w:val="en-US"/>
        </w:rPr>
        <w:t xml:space="preserve">while </w:t>
      </w:r>
      <w:r w:rsidRPr="008556CF">
        <w:rPr>
          <w:rFonts w:cstheme="minorHAnsi"/>
          <w:lang w:val="en-US"/>
        </w:rPr>
        <w:t xml:space="preserve">increases </w:t>
      </w:r>
      <w:r>
        <w:rPr>
          <w:rFonts w:cstheme="minorHAnsi"/>
          <w:lang w:val="en-US"/>
        </w:rPr>
        <w:t xml:space="preserve">are forecast to </w:t>
      </w:r>
      <w:r w:rsidRPr="008556CF">
        <w:rPr>
          <w:rFonts w:cstheme="minorHAnsi"/>
          <w:lang w:val="en-US"/>
        </w:rPr>
        <w:t xml:space="preserve">the frequency of extreme precipitation events in </w:t>
      </w:r>
      <w:r>
        <w:rPr>
          <w:rFonts w:cstheme="minorHAnsi"/>
          <w:lang w:val="en-US"/>
        </w:rPr>
        <w:t xml:space="preserve">the </w:t>
      </w:r>
      <w:r w:rsidRPr="008556CF">
        <w:rPr>
          <w:rFonts w:cstheme="minorHAnsi"/>
          <w:lang w:val="en-US"/>
        </w:rPr>
        <w:t xml:space="preserve">tropics of Asia and the Americas, northern Africa may experience expansion of semi-arid regions due to decreases in precipitation </w:t>
      </w:r>
      <w:r w:rsidRPr="008556CF">
        <w:rPr>
          <w:rFonts w:cstheme="minorHAnsi"/>
          <w:lang w:val="en-US"/>
        </w:rPr>
        <w:fldChar w:fldCharType="begin" w:fldLock="1"/>
      </w:r>
      <w:r w:rsidRPr="008556CF">
        <w:rPr>
          <w:rFonts w:cstheme="minorHAnsi"/>
          <w:lang w:val="en-US"/>
        </w:rPr>
        <w:instrText>ADDIN CSL_CITATION {"citationItems":[{"id":"ITEM-1","itemData":{"DOI":"10.5194/esd-10-73-2019","ISSN":"21904987","abstract":"We revisit the issue of the response of precipitation characteristics to global warming based on analyses of global and regional climate model projections for the 21st century. The prevailing response we identify can be summarized as follows: increase in the intensity of precipitation events and extremes, with the occurrence of events of \"unprecedented\" magnitude, i.e., a magnitude not found in the present-day climate; decrease in the number of light precipitation events and in wet spell lengths; and increase in the number of dry days and dry spell lengths. This response, which is mostly consistent across the models we analyzed, is tied to the difference between precipitation intensity responding to increases in local humidity conditions and circulations, especially for heavy and extreme events, and mean precipitation responding to slower increases in global evaporation. These changes in hydroclimatic characteristics have multiple and important impacts on the Earth's hydrologic cycle and on a variety of sectors. As examples we investigate effects on potential stress due to increases in dry and wet extremes, changes in precipitation interannual variability, and changes in the potential predictability of precipitation events. We also stress how the understanding of the hydroclimatic response to global warming can provide important insights into the fundamental behavior of precipitation processes, most noticeably tropical convection.","author":[{"dropping-particle":"","family":"Giorgi","given":"Filippo","non-dropping-particle":"","parse-names":false,"suffix":""},{"dropping-particle":"","family":"Raffaele","given":"Francesca","non-dropping-particle":"","parse-names":false,"suffix":""},{"dropping-particle":"","family":"Coppola","given":"Erika","non-dropping-particle":"","parse-names":false,"suffix":""}],"container-title":"Earth System Dynamics","id":"ITEM-1","issue":"1","issued":{"date-parts":[["2019"]]},"page":"73-89","title":"The response of precipitation characteristics to global warming from climate projections","type":"article-journal","volume":"10"},"uris":["http://www.mendeley.com/documents/?uuid=988a7d47-ac98-4d8c-b240-6a203fdde08a"]},{"id":"ITEM-2","itemData":{"DOI":"10.1029/2018JD029473","ISSN":"21698996","abstract":"Land-atmosphere coupling plays a crucial role in determining the evolution of weather and climate. In the current study, the full ensemble of CORDEX-Africa climate change simulations is used to understand how strong and weak coupling regions in Africa will evolve in the future. The ability of the regional climate models to capture the coupling signal relies on a reasonable representation of near surface air temperature, precipitation, surface fluxes, and soil moisture. A thorough model evaluation reveals typical shortcomings in the representation of the African climate, in particular seasonal precipitation. The multimodel ensemble mean outperforms the individual models and is therefore used for the investigation of the land-atmosphere coupling. This ensemble mean shows a widespread warming in Africa and changes in precipitation, such as a decrease in the Sahel during summer and an increase in western Africa during summer and autumn. The coupling analysis relies on surface fluxes, the related evaporative fraction and their correlations as well as the correlation between evaporative fraction and soil moisture. Overall, water-limited regions that exhibit a strong land-atmosphere coupling are projected to expand further southward in West Africa and further northward in southern Africa. This is particularly true over the Sahel during spring and summer, when the strong coupling region shifts southward, indicating a potential expansion of the semiarid and arid regions. A transition of energy limited regimes, with weak coupling, to water-limited regimes where soil moisture plays a more important role, is projected for the end of the 21st century as drying continues.","author":[{"dropping-particle":"","family":"Soares","given":"Pedro M.M.","non-dropping-particle":"","parse-names":false,"suffix":""},{"dropping-particle":"","family":"Careto","given":"João A.M.","non-dropping-particle":"","parse-names":false,"suffix":""},{"dropping-particle":"","family":"Cardoso","given":"Rita M.","non-dropping-particle":"","parse-names":false,"suffix":""},{"dropping-particle":"","family":"Goergen","given":"Klaus","non-dropping-particle":"","parse-names":false,"suffix":""},{"dropping-particle":"","family":"Trigo","given":"Ricardo M.","non-dropping-particle":"","parse-names":false,"suffix":""}],"container-title":"Journal of Geophysical Research: Atmospheres","id":"ITEM-2","issue":"21","issued":{"date-parts":[["2019"]]},"page":"11118-11142","title":"Land-Atmosphere Coupling Regimes in a Future Climate in Africa: From Model Evaluation to Projections Based on CORDEX-Africa","type":"article-journal","volume":"124"},"uris":["http://www.mendeley.com/documents/?uuid=b79dfd5b-96c1-4837-86d0-49c63a95a4fa"]}],"mendeley":{"formattedCitation":"(Giorgi et al., 2019; Soares et al., 2019)","plainTextFormattedCitation":"(Giorgi et al., 2019; Soares et al., 2019)","previouslyFormattedCitation":"(Giorgi et al., 2019; Soares et al., 2019)"},"properties":{"noteIndex":0},"schema":"https://github.com/citation-style-language/schema/raw/master/csl-citation.json"}</w:instrText>
      </w:r>
      <w:r w:rsidRPr="008556CF">
        <w:rPr>
          <w:rFonts w:cstheme="minorHAnsi"/>
          <w:lang w:val="en-US"/>
        </w:rPr>
        <w:fldChar w:fldCharType="separate"/>
      </w:r>
      <w:r w:rsidRPr="008556CF">
        <w:rPr>
          <w:rFonts w:cstheme="minorHAnsi"/>
          <w:noProof/>
          <w:lang w:val="en-US"/>
        </w:rPr>
        <w:t>(Giorgi et al., 2019; Soares et al., 2019)</w:t>
      </w:r>
      <w:r w:rsidRPr="008556CF">
        <w:rPr>
          <w:rFonts w:cstheme="minorHAnsi"/>
          <w:lang w:val="en-US"/>
        </w:rPr>
        <w:fldChar w:fldCharType="end"/>
      </w:r>
      <w:r w:rsidRPr="008556CF">
        <w:rPr>
          <w:rFonts w:cstheme="minorHAnsi"/>
          <w:lang w:val="en-US"/>
        </w:rPr>
        <w:t>.</w:t>
      </w:r>
    </w:p>
    <w:p w14:paraId="13E14A06" w14:textId="77777777" w:rsidR="00FA0744" w:rsidRPr="008556CF" w:rsidRDefault="00FA0744" w:rsidP="00FA0744">
      <w:pPr>
        <w:spacing w:line="480" w:lineRule="auto"/>
        <w:rPr>
          <w:rFonts w:cstheme="minorHAnsi"/>
          <w:lang w:val="en-US"/>
        </w:rPr>
      </w:pPr>
    </w:p>
    <w:p w14:paraId="44E17CA1" w14:textId="3A066154" w:rsidR="00FA0744" w:rsidRPr="008556CF" w:rsidRDefault="00FA0744" w:rsidP="00FA0744">
      <w:pPr>
        <w:spacing w:line="480" w:lineRule="auto"/>
        <w:rPr>
          <w:rFonts w:cstheme="minorHAnsi"/>
          <w:lang w:val="en-US"/>
        </w:rPr>
      </w:pPr>
      <w:r w:rsidRPr="008556CF">
        <w:rPr>
          <w:rFonts w:cstheme="minorHAnsi"/>
          <w:lang w:val="en-US"/>
        </w:rPr>
        <w:t xml:space="preserve">As previously mentioned, mangroves have experienced change in sea level throughout their history </w:t>
      </w:r>
      <w:r w:rsidRPr="008556CF">
        <w:rPr>
          <w:rFonts w:cstheme="minorHAnsi"/>
          <w:lang w:val="en-US"/>
        </w:rPr>
        <w:fldChar w:fldCharType="begin" w:fldLock="1"/>
      </w:r>
      <w:r w:rsidRPr="008556CF">
        <w:rPr>
          <w:rFonts w:cstheme="minorHAnsi"/>
          <w:lang w:val="en-US"/>
        </w:rPr>
        <w:instrText>ADDIN CSL_CITATION {"citationItems":[{"id":"ITEM-1","itemData":{"DOI":"10.1016/j.ecss.2007.08.024","ISBN":"0272-7714","ISSN":"02727714","PMID":"11380962","abstract":"This review assesses the degree of resilience of mangrove forests to large, infrequent disturbance (tsunamis) and their role in coastal protection, and to chronic disturbance events (climate change) and the future of mangroves in the face of global change. From a geological perspective, mangroves come and go at considerable speed with the current distribution of forests a legacy of the Holocene, having undergone almost chronic disturbance as a result of fluctuations in sea-level. Mangroves have demonstrated considerable resilience over timescales commensurate with shoreline evolution. This notion is supported by evidence that soil accretion rates in mangrove forests are currently keeping pace with mean sea-level rise. Further support for their resilience comes from patterns of recovery from natural disturbances (storms, hurricanes) which coupled with key life history traits, suggest pioneer-phase characteristics. Stand composition and forest structure are the result of a complex interplay of physiological tolerances and competitive interactions leading to a mosaic of interrupted or arrested succession sequences, in response to physical/chemical gradients and landform changes. The extent to which some or all of these factors come into play depends on the frequency, intensity, size, and duration of the disturbance. Mangroves do offer some protection from catastrophic disturbance such as tsunamis; some hydrological models suggest 90% reduction in tsunami wave flow pressure for a 100-m wide forest belt. The magnitude of energy absorption strongly depends on tree density, stem and root diameter, shore slope, bathymetry, spectral characteristics of incident waves, and tidal stage upon entering the forest. The ultimate disturbance, climate change, may lead to a maximum global loss of 10-15% of mangrove forest, but must be considered of secondary importance compared with current average annual rates of 1-2% deforestation. A large reservoir of below-ground nutrients, rapid rates of nutrient flux and microbial decomposition, complex and highly efficient biotic controls, self-design and redundancy of keystone species, and numerous feedbacks, all contribute to mangrove resilience to various types of disturbance. © 2007 Elsevier Ltd. All rights reserved.","author":[{"dropping-particle":"","family":"Alongi","given":"Daniel M.","non-dropping-particle":"","parse-names":false,"suffix":""}],"container-title":"Estuarine, Coastal and Shelf Science","id":"ITEM-1","issue":"1","issued":{"date-parts":[["2008"]]},"page":"1-13","title":"Mangrove forests: Resilience, protection from tsunamis, and responses to global climate change","type":"article","volume":"76"},"uris":["http://www.mendeley.com/documents/?uuid=85f6a44f-e9be-3c29-9066-76162c945d3e"]}],"mendeley":{"formattedCitation":"(Alongi, 2008)","plainTextFormattedCitation":"(Alongi, 2008)","previouslyFormattedCitation":"(Alongi, 2008)"},"properties":{"noteIndex":0},"schema":"https://github.com/citation-style-language/schema/raw/master/csl-citation.json"}</w:instrText>
      </w:r>
      <w:r w:rsidRPr="008556CF">
        <w:rPr>
          <w:rFonts w:cstheme="minorHAnsi"/>
          <w:lang w:val="en-US"/>
        </w:rPr>
        <w:fldChar w:fldCharType="separate"/>
      </w:r>
      <w:r w:rsidRPr="008556CF">
        <w:rPr>
          <w:rFonts w:cstheme="minorHAnsi"/>
          <w:noProof/>
          <w:lang w:val="en-US"/>
        </w:rPr>
        <w:t>(Alongi, 2008)</w:t>
      </w:r>
      <w:r w:rsidRPr="008556CF">
        <w:rPr>
          <w:rFonts w:cstheme="minorHAnsi"/>
          <w:lang w:val="en-US"/>
        </w:rPr>
        <w:fldChar w:fldCharType="end"/>
      </w:r>
      <w:r>
        <w:rPr>
          <w:rFonts w:cstheme="minorHAnsi"/>
          <w:lang w:val="en-US"/>
        </w:rPr>
        <w:t>. H</w:t>
      </w:r>
      <w:r w:rsidRPr="008556CF">
        <w:rPr>
          <w:rFonts w:cstheme="minorHAnsi"/>
          <w:lang w:val="en-US"/>
        </w:rPr>
        <w:t xml:space="preserve">owever, predicted rates of SLR exceed those of the past and it has been estimated that 96% of coastal wetlands, which includes mangroves, could be lost in the Middle East this century due to sea level rise </w:t>
      </w:r>
      <w:r>
        <w:rPr>
          <w:rFonts w:cstheme="minorHAnsi"/>
          <w:lang w:val="en-US"/>
        </w:rPr>
        <w:t>alone</w:t>
      </w:r>
      <w:r w:rsidR="004B4A4B">
        <w:rPr>
          <w:rFonts w:cstheme="minorHAnsi"/>
          <w:lang w:val="en-US"/>
        </w:rPr>
        <w:t>, largely as a result of the low lying nature of countries in the region</w:t>
      </w:r>
      <w:r w:rsidR="00AF55AD">
        <w:rPr>
          <w:rFonts w:cstheme="minorHAnsi"/>
          <w:lang w:val="en-US"/>
        </w:rPr>
        <w:t xml:space="preserve"> </w:t>
      </w:r>
      <w:r w:rsidRPr="008556CF">
        <w:rPr>
          <w:rFonts w:cstheme="minorHAnsi"/>
          <w:lang w:val="en-US"/>
        </w:rPr>
        <w:fldChar w:fldCharType="begin" w:fldLock="1"/>
      </w:r>
      <w:r w:rsidRPr="008556CF">
        <w:rPr>
          <w:rFonts w:cstheme="minorHAnsi"/>
          <w:lang w:val="en-US"/>
        </w:rPr>
        <w:instrText>ADDIN CSL_CITATION {"citationItems":[{"id":"ITEM-1","itemData":{"DOI":"10.17226/10590","author":[{"dropping-particle":"","family":"Blankespoor","given":"B","non-dropping-particle":"","parse-names":false,"suffix":""},{"dropping-particle":"","family":"Dasgupta","given":"S","non-dropping-particle":"","parse-names":false,"suffix":""},{"dropping-particle":"","family":"Laplante","given":"B","non-dropping-particle":"","parse-names":false,"suffix":""}],"container-title":"Ambio","id":"ITEM-1","issue":"43","issued":{"date-parts":[["2014"]]},"page":"996-1005","title":"Sea level rise and coastal wetlands","type":"article-journal"},"uris":["http://www.mendeley.com/documents/?uuid=39a52d8a-2fcf-4242-80d0-b33d8a4836e5"]}],"mendeley":{"formattedCitation":"(Blankespoor et al., 2014)","plainTextFormattedCitation":"(Blankespoor et al., 2014)","previouslyFormattedCitation":"(Blankespoor et al., 2014)"},"properties":{"noteIndex":0},"schema":"https://github.com/citation-style-language/schema/raw/master/csl-citation.json"}</w:instrText>
      </w:r>
      <w:r w:rsidRPr="008556CF">
        <w:rPr>
          <w:rFonts w:cstheme="minorHAnsi"/>
          <w:lang w:val="en-US"/>
        </w:rPr>
        <w:fldChar w:fldCharType="separate"/>
      </w:r>
      <w:r w:rsidRPr="008556CF">
        <w:rPr>
          <w:rFonts w:cstheme="minorHAnsi"/>
          <w:noProof/>
          <w:lang w:val="en-US"/>
        </w:rPr>
        <w:t>(Blankespoor et al., 2014)</w:t>
      </w:r>
      <w:r w:rsidRPr="008556CF">
        <w:rPr>
          <w:rFonts w:cstheme="minorHAnsi"/>
          <w:lang w:val="en-US"/>
        </w:rPr>
        <w:fldChar w:fldCharType="end"/>
      </w:r>
      <w:r w:rsidRPr="008556CF">
        <w:rPr>
          <w:rFonts w:cstheme="minorHAnsi"/>
          <w:lang w:val="en-US"/>
        </w:rPr>
        <w:t xml:space="preserve">. </w:t>
      </w:r>
      <w:r>
        <w:rPr>
          <w:rFonts w:cstheme="minorHAnsi"/>
          <w:lang w:val="en-US"/>
        </w:rPr>
        <w:t xml:space="preserve">The impacts of SLR could be exacerbated </w:t>
      </w:r>
      <w:r w:rsidRPr="008556CF">
        <w:rPr>
          <w:rFonts w:cstheme="minorHAnsi"/>
          <w:lang w:val="en-US"/>
        </w:rPr>
        <w:t xml:space="preserve">when coupled with </w:t>
      </w:r>
      <w:r>
        <w:rPr>
          <w:rFonts w:cstheme="minorHAnsi"/>
          <w:lang w:val="en-US"/>
        </w:rPr>
        <w:t xml:space="preserve">pressures of </w:t>
      </w:r>
      <w:r w:rsidRPr="008556CF">
        <w:rPr>
          <w:rFonts w:cstheme="minorHAnsi"/>
          <w:lang w:val="en-US"/>
        </w:rPr>
        <w:t>coastal development</w:t>
      </w:r>
      <w:r>
        <w:rPr>
          <w:rFonts w:cstheme="minorHAnsi"/>
          <w:lang w:val="en-US"/>
        </w:rPr>
        <w:t xml:space="preserve"> </w:t>
      </w:r>
      <w:r w:rsidRPr="008556CF">
        <w:rPr>
          <w:rFonts w:cstheme="minorHAnsi"/>
          <w:lang w:val="en-US"/>
        </w:rPr>
        <w:fldChar w:fldCharType="begin" w:fldLock="1"/>
      </w:r>
      <w:r w:rsidRPr="008556CF">
        <w:rPr>
          <w:rFonts w:cstheme="minorHAnsi"/>
          <w:lang w:val="en-US"/>
        </w:rPr>
        <w:instrText>ADDIN CSL_CITATION {"citationItems":[{"id":"ITEM-1","itemData":{"DOI":"10.1038/s41467-019-11693-w","ISSN":"20411723","abstract":"The term Blue Carbon (BC) was first coined a decade ago to describe the disproportionately large contribution of coastal vegetated ecosystems to global carbon sequestration. The role of BC in climate change mitigation and adaptation has now reached international prominence. To help prioritise future research, we assembled leading experts in the field to agree upon the top-ten pending questions in BC science. Understanding how climate change affects carbon accumulation in mature BC ecosystems and during their restoration was a high priority. Controversial questions included the role of carbonate and macroalgae in BC cycling, and the degree to which greenhouse gases are released following disturbance of BC ecosystems. Scientists seek improved precision of the extent of BC ecosystems; techniques to determine BC provenance; understanding of the factors that influence sequestration in BC ecosystems, with the corresponding value of BC; and the management actions that are effective in enhancing this value. Overall this overview provides a comprehensive road map for the coming decades on future research in BC science.","author":[{"dropping-particle":"","family":"Macreadie","given":"Peter I.","non-dropping-particle":"","parse-names":false,"suffix":""},{"dropping-particle":"","family":"Anton","given":"Andrea","non-dropping-particle":"","parse-names":false,"suffix":""},{"dropping-particle":"","family":"Raven","given":"John A.","non-dropping-particle":"","parse-names":false,"suffix":""},{"dropping-particle":"","family":"Beaumont","given":"Nicola","non-dropping-particle":"","parse-names":false,"suffix":""},{"dropping-particle":"","family":"Connolly","given":"Rod M.","non-dropping-particle":"","parse-names":false,"suffix":""},{"dropping-particle":"","family":"Friess","given":"Daniel A.","non-dropping-particle":"","parse-names":false,"suffix":""},{"dropping-particle":"","family":"Kelleway","given":"Jeffrey J.","non-dropping-particle":"","parse-names":false,"suffix":""},{"dropping-particle":"","family":"Kennedy","given":"Hilary","non-dropping-particle":"","parse-names":false,"suffix":""},{"dropping-particle":"","family":"Kuwae","given":"Tomohiro","non-dropping-particle":"","parse-names":false,"suffix":""},{"dropping-particle":"","family":"Lavery","given":"Paul S.","non-dropping-particle":"","parse-names":false,"suffix":""},{"dropping-particle":"","family":"Lovelock","given":"Catherine E.","non-dropping-particle":"","parse-names":false,"suffix":""},{"dropping-particle":"","family":"Smale","given":"Dan A.","non-dropping-particle":"","parse-names":false,"suffix":""},{"dropping-particle":"","family":"Apostolaki","given":"Eugenia T.","non-dropping-particle":"","parse-names":false,"suffix":""},{"dropping-particle":"","family":"Atwood","given":"Trisha B.","non-dropping-particle":"","parse-names":false,"suffix":""},{"dropping-particle":"","family":"Baldock","given":"Jeff","non-dropping-particle":"","parse-names":false,"suffix":""},{"dropping-particle":"","family":"Bianchi","given":"Thomas S.","non-dropping-particle":"","parse-names":false,"suffix":""},{"dropping-particle":"","family":"Chmura","given":"Gail L.","non-dropping-particle":"","parse-names":false,"suffix":""},{"dropping-particle":"","family":"Eyre","given":"Bradley D.","non-dropping-particle":"","parse-names":false,"suffix":""},{"dropping-particle":"","family":"Fourqurean","given":"James W.","non-dropping-particle":"","parse-names":false,"suffix":""},{"dropping-particle":"","family":"Hall-Spencer","given":"Jason M.","non-dropping-particle":"","parse-names":false,"suffix":""},{"dropping-particle":"","family":"Huxham","given":"Mark","non-dropping-particle":"","parse-names":false,"suffix":""},{"dropping-particle":"","family":"Hendriks","given":"Iris E.","non-dropping-particle":"","parse-names":false,"suffix":""},{"dropping-particle":"","family":"Krause-Jensen","given":"Dorte","non-dropping-particle":"","parse-names":false,"suffix":""},{"dropping-particle":"","family":"Laffoley","given":"Dan","non-dropping-particle":"","parse-names":false,"suffix":""},{"dropping-particle":"","family":"Luisetti","given":"Tiziana","non-dropping-particle":"","parse-names":false,"suffix":""},{"dropping-particle":"","family":"Marbà","given":"Núria","non-dropping-particle":"","parse-names":false,"suffix":""},{"dropping-particle":"","family":"Masque","given":"Pere","non-dropping-particle":"","parse-names":false,"suffix":""},{"dropping-particle":"","family":"McGlathery","given":"Karen J.","non-dropping-particle":"","parse-names":false,"suffix":""},{"dropping-particle":"","family":"Megonigal","given":"J. Patrick","non-dropping-particle":"","parse-names":false,"suffix":""},{"dropping-particle":"","family":"Murdiyarso","given":"Daniel","non-dropping-particle":"","parse-names":false,"suffix":""},{"dropping-particle":"","family":"Russell","given":"Bayden D.","non-dropping-particle":"","parse-names":false,"suffix":""},{"dropping-particle":"","family":"Santos","given":"Rui","non-dropping-particle":"","parse-names":false,"suffix":""},{"dropping-particle":"","family":"Serrano","given":"Oscar","non-dropping-particle":"","parse-names":false,"suffix":""},{"dropping-particle":"","family":"Silliman","given":"Brian R.","non-dropping-particle":"","parse-names":false,"suffix":""},{"dropping-particle":"","family":"Watanabe","given":"Kenta","non-dropping-particle":"","parse-names":false,"suffix":""},{"dropping-particle":"","family":"Duarte","given":"Carlos M.","non-dropping-particle":"","parse-names":false,"suffix":""}],"container-title":"Nature Communications","id":"ITEM-1","issue":"1","issued":{"date-parts":[["2019"]]},"title":"The future of Blue Carbon science","type":"article-journal","volume":"10"},"uris":["http://www.mendeley.com/documents/?uuid=224fee77-5ae2-467a-957b-9f226c5539d6"]}],"mendeley":{"formattedCitation":"(Macreadie et al., 2019)","plainTextFormattedCitation":"(Macreadie et al., 2019)","previouslyFormattedCitation":"(Macreadie et al., 2019)"},"properties":{"noteIndex":0},"schema":"https://github.com/citation-style-language/schema/raw/master/csl-citation.json"}</w:instrText>
      </w:r>
      <w:r w:rsidRPr="008556CF">
        <w:rPr>
          <w:rFonts w:cstheme="minorHAnsi"/>
          <w:lang w:val="en-US"/>
        </w:rPr>
        <w:fldChar w:fldCharType="separate"/>
      </w:r>
      <w:r w:rsidRPr="008556CF">
        <w:rPr>
          <w:rFonts w:cstheme="minorHAnsi"/>
          <w:noProof/>
          <w:lang w:val="en-US"/>
        </w:rPr>
        <w:t>(Macreadie et al., 2019)</w:t>
      </w:r>
      <w:r w:rsidRPr="008556CF">
        <w:rPr>
          <w:rFonts w:cstheme="minorHAnsi"/>
          <w:lang w:val="en-US"/>
        </w:rPr>
        <w:fldChar w:fldCharType="end"/>
      </w:r>
      <w:r w:rsidRPr="008556CF">
        <w:rPr>
          <w:rFonts w:cstheme="minorHAnsi"/>
          <w:lang w:val="en-US"/>
        </w:rPr>
        <w:t xml:space="preserve">. </w:t>
      </w:r>
      <w:r>
        <w:rPr>
          <w:rFonts w:cstheme="minorHAnsi"/>
          <w:lang w:val="en-US"/>
        </w:rPr>
        <w:t xml:space="preserve">A phenomenon referred to as </w:t>
      </w:r>
      <w:r w:rsidRPr="008556CF">
        <w:rPr>
          <w:rFonts w:cstheme="minorHAnsi"/>
          <w:lang w:val="en-US"/>
        </w:rPr>
        <w:t>‘coastal squeeze’ (</w:t>
      </w:r>
      <w:r>
        <w:rPr>
          <w:rFonts w:cstheme="minorHAnsi"/>
          <w:lang w:val="en-US"/>
        </w:rPr>
        <w:t>Figure 1.</w:t>
      </w:r>
      <w:r w:rsidRPr="008556CF">
        <w:rPr>
          <w:rFonts w:cstheme="minorHAnsi"/>
          <w:lang w:val="en-US"/>
        </w:rPr>
        <w:t xml:space="preserve">4) refers to the reduction of </w:t>
      </w:r>
      <w:r w:rsidRPr="008556CF">
        <w:rPr>
          <w:rFonts w:cstheme="minorHAnsi"/>
          <w:lang w:val="en-US"/>
        </w:rPr>
        <w:lastRenderedPageBreak/>
        <w:t xml:space="preserve">available space </w:t>
      </w:r>
      <w:r>
        <w:rPr>
          <w:rFonts w:cstheme="minorHAnsi"/>
          <w:lang w:val="en-US"/>
        </w:rPr>
        <w:t xml:space="preserve">for </w:t>
      </w:r>
      <w:r w:rsidRPr="008556CF">
        <w:rPr>
          <w:rFonts w:cstheme="minorHAnsi"/>
          <w:lang w:val="en-US"/>
        </w:rPr>
        <w:t xml:space="preserve">mangroves due to increasing sea levels from a seaward direction and decreased accommodation space in a landward direction due to human coastal development </w:t>
      </w:r>
      <w:r w:rsidRPr="008556CF">
        <w:rPr>
          <w:rFonts w:cstheme="minorHAnsi"/>
          <w:lang w:val="en-US"/>
        </w:rPr>
        <w:fldChar w:fldCharType="begin" w:fldLock="1"/>
      </w:r>
      <w:r w:rsidRPr="008556CF">
        <w:rPr>
          <w:rFonts w:cstheme="minorHAnsi"/>
          <w:lang w:val="en-US"/>
        </w:rPr>
        <w:instrText>ADDIN CSL_CITATION {"citationItems":[{"id":"ITEM-1","itemData":{"DOI":"10.17226/10590","author":[{"dropping-particle":"","family":"Blankespoor","given":"B","non-dropping-particle":"","parse-names":false,"suffix":""},{"dropping-particle":"","family":"Dasgupta","given":"S","non-dropping-particle":"","parse-names":false,"suffix":""},{"dropping-particle":"","family":"Laplante","given":"B","non-dropping-particle":"","parse-names":false,"suffix":""}],"container-title":"Ambio","id":"ITEM-1","issue":"43","issued":{"date-parts":[["2014"]]},"page":"996-1005","title":"Sea level rise and coastal wetlands","type":"article-journal"},"uris":["http://www.mendeley.com/documents/?uuid=39a52d8a-2fcf-4242-80d0-b33d8a4836e5"]}],"mendeley":{"formattedCitation":"(Blankespoor et al., 2014)","plainTextFormattedCitation":"(Blankespoor et al., 2014)","previouslyFormattedCitation":"(Blankespoor et al., 2014)"},"properties":{"noteIndex":0},"schema":"https://github.com/citation-style-language/schema/raw/master/csl-citation.json"}</w:instrText>
      </w:r>
      <w:r w:rsidRPr="008556CF">
        <w:rPr>
          <w:rFonts w:cstheme="minorHAnsi"/>
          <w:lang w:val="en-US"/>
        </w:rPr>
        <w:fldChar w:fldCharType="separate"/>
      </w:r>
      <w:r w:rsidRPr="008556CF">
        <w:rPr>
          <w:rFonts w:cstheme="minorHAnsi"/>
          <w:noProof/>
          <w:lang w:val="en-US"/>
        </w:rPr>
        <w:t>(Blankespoor et al., 2014)</w:t>
      </w:r>
      <w:r w:rsidRPr="008556CF">
        <w:rPr>
          <w:rFonts w:cstheme="minorHAnsi"/>
          <w:lang w:val="en-US"/>
        </w:rPr>
        <w:fldChar w:fldCharType="end"/>
      </w:r>
      <w:r w:rsidRPr="008556CF">
        <w:rPr>
          <w:rFonts w:cstheme="minorHAnsi"/>
          <w:lang w:val="en-US"/>
        </w:rPr>
        <w:t>. Despite mangroves having adapted to changing sea levels over their history, the added pressure of coastal squeeze in the 21</w:t>
      </w:r>
      <w:r w:rsidRPr="008556CF">
        <w:rPr>
          <w:rFonts w:cstheme="minorHAnsi"/>
          <w:vertAlign w:val="superscript"/>
          <w:lang w:val="en-US"/>
        </w:rPr>
        <w:t>st</w:t>
      </w:r>
      <w:r w:rsidRPr="008556CF">
        <w:rPr>
          <w:rFonts w:cstheme="minorHAnsi"/>
          <w:lang w:val="en-US"/>
        </w:rPr>
        <w:t xml:space="preserve"> century, may reduce mangroves’ ability to adapt </w:t>
      </w:r>
      <w:r w:rsidRPr="008556CF">
        <w:rPr>
          <w:rFonts w:cstheme="minorHAnsi"/>
          <w:lang w:val="en-US"/>
        </w:rPr>
        <w:fldChar w:fldCharType="begin" w:fldLock="1"/>
      </w:r>
      <w:r w:rsidRPr="008556CF">
        <w:rPr>
          <w:rFonts w:cstheme="minorHAnsi"/>
          <w:lang w:val="en-US"/>
        </w:rPr>
        <w:instrText>ADDIN CSL_CITATION {"citationItems":[{"id":"ITEM-1","itemData":{"DOI":"10.17226/10590","author":[{"dropping-particle":"","family":"Blankespoor","given":"B","non-dropping-particle":"","parse-names":false,"suffix":""},{"dropping-particle":"","family":"Dasgupta","given":"S","non-dropping-particle":"","parse-names":false,"suffix":""},{"dropping-particle":"","family":"Laplante","given":"B","non-dropping-particle":"","parse-names":false,"suffix":""}],"container-title":"Ambio","id":"ITEM-1","issue":"43","issued":{"date-parts":[["2014"]]},"page":"996-1005","title":"Sea level rise and coastal wetlands","type":"article-journal"},"uris":["http://www.mendeley.com/documents/?uuid=39a52d8a-2fcf-4242-80d0-b33d8a4836e5"]}],"mendeley":{"formattedCitation":"(Blankespoor et al., 2014)","plainTextFormattedCitation":"(Blankespoor et al., 2014)","previouslyFormattedCitation":"(Blankespoor et al., 2014)"},"properties":{"noteIndex":0},"schema":"https://github.com/citation-style-language/schema/raw/master/csl-citation.json"}</w:instrText>
      </w:r>
      <w:r w:rsidRPr="008556CF">
        <w:rPr>
          <w:rFonts w:cstheme="minorHAnsi"/>
          <w:lang w:val="en-US"/>
        </w:rPr>
        <w:fldChar w:fldCharType="separate"/>
      </w:r>
      <w:r w:rsidRPr="008556CF">
        <w:rPr>
          <w:rFonts w:cstheme="minorHAnsi"/>
          <w:noProof/>
          <w:lang w:val="en-US"/>
        </w:rPr>
        <w:t>(Blankespoor et al., 2014)</w:t>
      </w:r>
      <w:r w:rsidRPr="008556CF">
        <w:rPr>
          <w:rFonts w:cstheme="minorHAnsi"/>
          <w:lang w:val="en-US"/>
        </w:rPr>
        <w:fldChar w:fldCharType="end"/>
      </w:r>
      <w:r w:rsidRPr="008556CF">
        <w:rPr>
          <w:rFonts w:cstheme="minorHAnsi"/>
          <w:lang w:val="en-US"/>
        </w:rPr>
        <w:t xml:space="preserve">. Worst case estimates have projected lost carbon sequestration of 3.4 Pg by 2100 due to coastal ‘squeeze’ of mangrove ecosystems globally </w:t>
      </w:r>
      <w:r w:rsidRPr="008556CF">
        <w:rPr>
          <w:rFonts w:cstheme="minorHAnsi"/>
          <w:lang w:val="en-US"/>
        </w:rPr>
        <w:fldChar w:fldCharType="begin" w:fldLock="1"/>
      </w:r>
      <w:r w:rsidRPr="008556CF">
        <w:rPr>
          <w:rFonts w:cstheme="minorHAnsi"/>
          <w:lang w:val="en-US"/>
        </w:rPr>
        <w:instrText>ADDIN CSL_CITATION {"citationItems":[{"id":"ITEM-1","itemData":{"DOI":"10.1016/j.oneear.2020.07.010","ISSN":"25903322","abstract":"Blue carbon provides opportunities to mitigate climate change while increasing ecosystem services for coastal communities, including climate change adaptation; however, blue carbon ecosystems are vulnerable to climate change, leading to uncertainties in the future efficacy of these ecosystems. In this review, we assess the potential impacts of climate change on blue carbon. Despite uncertainties, carbon sequestration in coastal ecosystems is enhanced by landward migration of blue carbon habitats, maintenance of sediment supply, restoration, and improved water quality. As an example, landward migration of mangroves could result in carbon sequestration of 1.5 Pg by 2100. Mudflats, seaweed beds, and coastal swamp forests could also contribute to climate change mitigation, although there are large data gaps. Achieving the full potential of blue carbon requires protection and restoration of ecosystems and facilitation of changes in ecosystem dis- tributions with climate change, actions that will also deliver adaptation benefits. Conversely, in the worst- case coastal squeeze scenario, losses of 3.4 Pg of sequestered carbon by 2100 could occur.","author":[{"dropping-particle":"","family":"Lovelock","given":"Catherine E.","non-dropping-particle":"","parse-names":false,"suffix":""},{"dropping-particle":"","family":"Reef","given":"Ruth","non-dropping-particle":"","parse-names":false,"suffix":""}],"container-title":"One Earth","id":"ITEM-1","issue":"2","issued":{"date-parts":[["2020"]]},"page":"195-211","title":"Variable Impacts of Climate Change on Blue Carbon","type":"article-journal","volume":"3"},"uris":["http://www.mendeley.com/documents/?uuid=9197c631-f9b8-4e86-b5fa-923eba689607"]}],"mendeley":{"formattedCitation":"(Lovelock and Reef, 2020)","plainTextFormattedCitation":"(Lovelock and Reef, 2020)","previouslyFormattedCitation":"(Lovelock and Reef, 2020)"},"properties":{"noteIndex":0},"schema":"https://github.com/citation-style-language/schema/raw/master/csl-citation.json"}</w:instrText>
      </w:r>
      <w:r w:rsidRPr="008556CF">
        <w:rPr>
          <w:rFonts w:cstheme="minorHAnsi"/>
          <w:lang w:val="en-US"/>
        </w:rPr>
        <w:fldChar w:fldCharType="separate"/>
      </w:r>
      <w:r w:rsidRPr="008556CF">
        <w:rPr>
          <w:rFonts w:cstheme="minorHAnsi"/>
          <w:noProof/>
          <w:lang w:val="en-US"/>
        </w:rPr>
        <w:t>(Lovelock and Reef, 2020)</w:t>
      </w:r>
      <w:r w:rsidRPr="008556CF">
        <w:rPr>
          <w:rFonts w:cstheme="minorHAnsi"/>
          <w:lang w:val="en-US"/>
        </w:rPr>
        <w:fldChar w:fldCharType="end"/>
      </w:r>
      <w:r w:rsidRPr="008556CF">
        <w:rPr>
          <w:rFonts w:cstheme="minorHAnsi"/>
          <w:lang w:val="en-US"/>
        </w:rPr>
        <w:t xml:space="preserve">. </w:t>
      </w:r>
    </w:p>
    <w:p w14:paraId="19770C06" w14:textId="77777777" w:rsidR="00FA0744" w:rsidRDefault="00FA0744" w:rsidP="00FA0744">
      <w:pPr>
        <w:spacing w:line="480" w:lineRule="auto"/>
        <w:rPr>
          <w:lang w:val="en-US"/>
        </w:rPr>
      </w:pPr>
    </w:p>
    <w:p w14:paraId="07150C5D" w14:textId="77777777" w:rsidR="00FA0744" w:rsidRDefault="00FA0744" w:rsidP="00FA0744">
      <w:pPr>
        <w:spacing w:line="480" w:lineRule="auto"/>
        <w:rPr>
          <w:lang w:val="en-US"/>
        </w:rPr>
      </w:pPr>
      <w:r>
        <w:rPr>
          <w:noProof/>
          <w:lang w:eastAsia="en-GB"/>
        </w:rPr>
        <w:lastRenderedPageBreak/>
        <w:drawing>
          <wp:inline distT="0" distB="0" distL="0" distR="0" wp14:anchorId="254A7225" wp14:editId="3409C923">
            <wp:extent cx="5731510" cy="6539230"/>
            <wp:effectExtent l="0" t="0" r="254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6539230"/>
                    </a:xfrm>
                    <a:prstGeom prst="rect">
                      <a:avLst/>
                    </a:prstGeom>
                  </pic:spPr>
                </pic:pic>
              </a:graphicData>
            </a:graphic>
          </wp:inline>
        </w:drawing>
      </w:r>
    </w:p>
    <w:p w14:paraId="4D87F884" w14:textId="77777777" w:rsidR="00FA0744" w:rsidRDefault="00FA0744" w:rsidP="00FA0744">
      <w:pPr>
        <w:rPr>
          <w:b/>
          <w:bCs/>
          <w:sz w:val="20"/>
          <w:szCs w:val="20"/>
          <w:lang w:val="en-US"/>
        </w:rPr>
      </w:pPr>
      <w:r w:rsidRPr="00FA13DB">
        <w:rPr>
          <w:b/>
          <w:bCs/>
          <w:sz w:val="20"/>
          <w:szCs w:val="20"/>
          <w:lang w:val="en-US"/>
        </w:rPr>
        <w:t>Figure</w:t>
      </w:r>
      <w:r>
        <w:rPr>
          <w:b/>
          <w:bCs/>
          <w:sz w:val="20"/>
          <w:szCs w:val="20"/>
          <w:lang w:val="en-US"/>
        </w:rPr>
        <w:t xml:space="preserve"> 1.4</w:t>
      </w:r>
      <w:r w:rsidRPr="00FA13DB">
        <w:rPr>
          <w:b/>
          <w:bCs/>
          <w:sz w:val="20"/>
          <w:szCs w:val="20"/>
          <w:lang w:val="en-US"/>
        </w:rPr>
        <w:t xml:space="preserve">: </w:t>
      </w:r>
      <w:r>
        <w:rPr>
          <w:b/>
          <w:bCs/>
          <w:sz w:val="20"/>
          <w:szCs w:val="20"/>
          <w:lang w:val="en-US"/>
        </w:rPr>
        <w:t>Mangroves natural response to relative sea level rise (a), to migrate landward; opposed to the (b) ‘coastal squeeze’ experienced when human development reduces landward space available to mangroves to migrate into.</w:t>
      </w:r>
    </w:p>
    <w:p w14:paraId="7455CAA6" w14:textId="77777777" w:rsidR="00FA0744" w:rsidRDefault="00FA0744" w:rsidP="00FA0744">
      <w:pPr>
        <w:spacing w:line="480" w:lineRule="auto"/>
        <w:rPr>
          <w:lang w:val="en-US"/>
        </w:rPr>
      </w:pPr>
    </w:p>
    <w:p w14:paraId="1A4C3552" w14:textId="77777777" w:rsidR="00FA0744" w:rsidRPr="008556CF" w:rsidRDefault="00FA0744" w:rsidP="00FA0744">
      <w:pPr>
        <w:spacing w:line="480" w:lineRule="auto"/>
        <w:rPr>
          <w:lang w:val="en-US"/>
        </w:rPr>
      </w:pPr>
      <w:r w:rsidRPr="008556CF">
        <w:rPr>
          <w:lang w:val="en-US"/>
        </w:rPr>
        <w:t xml:space="preserve">Changing of precipitation regimes and increasing temperatures are also important factors </w:t>
      </w:r>
      <w:r>
        <w:rPr>
          <w:lang w:val="en-US"/>
        </w:rPr>
        <w:t xml:space="preserve">that will be </w:t>
      </w:r>
      <w:r w:rsidRPr="008556CF">
        <w:rPr>
          <w:lang w:val="en-US"/>
        </w:rPr>
        <w:t>directly affecting mangrove wetlands throughout the 21</w:t>
      </w:r>
      <w:r w:rsidRPr="008556CF">
        <w:rPr>
          <w:vertAlign w:val="superscript"/>
          <w:lang w:val="en-US"/>
        </w:rPr>
        <w:t>st</w:t>
      </w:r>
      <w:r w:rsidRPr="008556CF">
        <w:rPr>
          <w:lang w:val="en-US"/>
        </w:rPr>
        <w:t xml:space="preserve"> century. Similarly</w:t>
      </w:r>
      <w:r>
        <w:rPr>
          <w:lang w:val="en-US"/>
        </w:rPr>
        <w:t>,</w:t>
      </w:r>
      <w:r w:rsidRPr="008556CF">
        <w:rPr>
          <w:lang w:val="en-US"/>
        </w:rPr>
        <w:t xml:space="preserve"> to relative SLR, </w:t>
      </w:r>
      <w:r>
        <w:rPr>
          <w:lang w:val="en-US"/>
        </w:rPr>
        <w:t xml:space="preserve">the </w:t>
      </w:r>
      <w:r w:rsidRPr="008556CF">
        <w:rPr>
          <w:lang w:val="en-US"/>
        </w:rPr>
        <w:t xml:space="preserve">projected changes in precipitation and temperature show significant </w:t>
      </w:r>
      <w:r w:rsidRPr="008556CF">
        <w:rPr>
          <w:lang w:val="en-US"/>
        </w:rPr>
        <w:lastRenderedPageBreak/>
        <w:t xml:space="preserve">variation spatially, temporally and between different forecasted emissions scenarios (Shared Socio-Economic Pathways 126, 245, 370 and 585). It is thought that increasing sea surface temperatures (SST) and increasing minimum winter temperatures will provide suitable conditions for mangroves to expand over saltmarsh wetlands to higher latitudes </w:t>
      </w:r>
      <w:r w:rsidRPr="008556CF">
        <w:rPr>
          <w:lang w:val="en-US"/>
        </w:rPr>
        <w:fldChar w:fldCharType="begin" w:fldLock="1"/>
      </w:r>
      <w:r w:rsidRPr="008556CF">
        <w:rPr>
          <w:lang w:val="en-US"/>
        </w:rPr>
        <w:instrText>ADDIN CSL_CITATION {"citationItems":[{"id":"ITEM-1","itemData":{"DOI":"10.1002/ecm.1248","ISSN":"15577015","abstract":"Mangrove forests are highly productive tidal saline wetland ecosystems found along sheltered tropical and subtropical coasts. Ecologists have long assumed that climatic drivers (i.e., temperature and rainfall regimes) govern the global distribution, structure, and function of mangrove forests. However, data constraints have hindered the quantification of direct climate–mangrove linkages in many parts of the world. Recently, the quality and availability of global-scale climate and mangrove data have been improving. Here, we used these data to better understand the influence of air temperature and rainfall regimes upon the distribution, abundance, and species richness of mangrove forests. Although our analyses identify global-scale relationships and thresholds, we show that the influence of climatic drivers is best characterized via regional range-limit-specific analyses. We quantified climatic controls across targeted gradients in temperature and/or rainfall within 14 mangrove distributional range limits. Climatic thresholds for mangrove presence, abundance, and species richness differed among the 14 studied range limits. We identified minimum temperature-based thresholds for range limits in eastern North America, eastern Australia, New Zealand, eastern Asia, eastern South America, and southeast Africa. We identified rainfall-based thresholds for range limits in western North America, western Gulf of Mexico, western South America, western Australia, Middle East, northwest Africa, east central Africa, and west-central Africa. Our results show that in certain range limits (e.g., eastern North America, western Gulf of Mexico, eastern Asia), winter air temperature extremes play an especially important role. We conclude that rainfall and temperature regimes are both important in western North America, western Gulf of Mexico, and western Australia. With climate change, alterations in temperature and rainfall regimes will affect the global distribution, abundance, and diversity of mangrove forests. In general, warmer winter temperatures are expected to allow mangroves to expand poleward at the expense of salt marshes. However, dispersal and habitat availability constraints may hinder expansion near certain range limits. Along arid and semiarid coasts, decreases or increases in rainfall are expected to lead to mangrove contraction or expansion, respectively. Collectively, our analyses quantify climate–mangrove linkages and improve our understanding of the expect…","author":[{"dropping-particle":"","family":"Osland","given":"Michael J.","non-dropping-particle":"","parse-names":false,"suffix":""},{"dropping-particle":"","family":"Feher","given":"Laura C.","non-dropping-particle":"","parse-names":false,"suffix":""},{"dropping-particle":"","family":"Griffith","given":"Kereen T.","non-dropping-particle":"","parse-names":false,"suffix":""},{"dropping-particle":"","family":"Cavanaugh","given":"Kyle C.","non-dropping-particle":"","parse-names":false,"suffix":""},{"dropping-particle":"","family":"Enwright","given":"Nicholas M.","non-dropping-particle":"","parse-names":false,"suffix":""},{"dropping-particle":"","family":"Day","given":"Richard H.","non-dropping-particle":"","parse-names":false,"suffix":""},{"dropping-particle":"","family":"Stagg","given":"Camille L.","non-dropping-particle":"","parse-names":false,"suffix":""},{"dropping-particle":"","family":"Krauss","given":"Ken W.","non-dropping-particle":"","parse-names":false,"suffix":""},{"dropping-particle":"","family":"Howard","given":"Rebecca J.","non-dropping-particle":"","parse-names":false,"suffix":""},{"dropping-particle":"","family":"Grace","given":"James B.","non-dropping-particle":"","parse-names":false,"suffix":""},{"dropping-particle":"","family":"Rogers","given":"Kerrylee","non-dropping-particle":"","parse-names":false,"suffix":""}],"container-title":"Ecological Monographs","id":"ITEM-1","issue":"2","issued":{"date-parts":[["2017"]]},"page":"341-359","title":"Climatic controls on the global distribution, abundance, and species richness of mangrove forests","type":"article-journal","volume":"87"},"uris":["http://www.mendeley.com/documents/?uuid=550b02d8-1b48-4bbc-8d4f-87ef91a23f84"]}],"mendeley":{"formattedCitation":"(Osland et al., 2017)","plainTextFormattedCitation":"(Osland et al., 2017)","previouslyFormattedCitation":"(Osland et al., 2017)"},"properties":{"noteIndex":0},"schema":"https://github.com/citation-style-language/schema/raw/master/csl-citation.json"}</w:instrText>
      </w:r>
      <w:r w:rsidRPr="008556CF">
        <w:rPr>
          <w:lang w:val="en-US"/>
        </w:rPr>
        <w:fldChar w:fldCharType="separate"/>
      </w:r>
      <w:r w:rsidRPr="008556CF">
        <w:rPr>
          <w:noProof/>
          <w:lang w:val="en-US"/>
        </w:rPr>
        <w:t>(Osland et al., 2017)</w:t>
      </w:r>
      <w:r w:rsidRPr="008556CF">
        <w:rPr>
          <w:lang w:val="en-US"/>
        </w:rPr>
        <w:fldChar w:fldCharType="end"/>
      </w:r>
      <w:r w:rsidRPr="008556CF">
        <w:rPr>
          <w:lang w:val="en-US"/>
        </w:rPr>
        <w:t xml:space="preserve">. However, </w:t>
      </w:r>
      <w:r>
        <w:rPr>
          <w:lang w:val="en-US"/>
        </w:rPr>
        <w:t>moving beyond mangrove responses</w:t>
      </w:r>
      <w:r w:rsidRPr="008556CF">
        <w:rPr>
          <w:lang w:val="en-US"/>
        </w:rPr>
        <w:t xml:space="preserve"> at the extremities of </w:t>
      </w:r>
      <w:r>
        <w:rPr>
          <w:lang w:val="en-US"/>
        </w:rPr>
        <w:t xml:space="preserve">mangrove </w:t>
      </w:r>
      <w:r w:rsidRPr="008556CF">
        <w:rPr>
          <w:lang w:val="en-US"/>
        </w:rPr>
        <w:t>global distribution</w:t>
      </w:r>
      <w:r>
        <w:rPr>
          <w:lang w:val="en-US"/>
        </w:rPr>
        <w:t>,</w:t>
      </w:r>
      <w:r w:rsidRPr="008556CF">
        <w:rPr>
          <w:lang w:val="en-US"/>
        </w:rPr>
        <w:t xml:space="preserve"> it is still unclear how mangrove forests may respond to increasing temperatures and altered precipitation regimes</w:t>
      </w:r>
      <w:r>
        <w:rPr>
          <w:lang w:val="en-US"/>
        </w:rPr>
        <w:t xml:space="preserve"> in their existing localities</w:t>
      </w:r>
      <w:r w:rsidRPr="008556CF">
        <w:rPr>
          <w:lang w:val="en-US"/>
        </w:rPr>
        <w:t xml:space="preserve">. Increasing temperatures </w:t>
      </w:r>
      <w:r>
        <w:rPr>
          <w:lang w:val="en-US"/>
        </w:rPr>
        <w:t>are currently thought to have</w:t>
      </w:r>
      <w:r w:rsidRPr="008556CF">
        <w:rPr>
          <w:lang w:val="en-US"/>
        </w:rPr>
        <w:t xml:space="preserve"> ‘minimal impact’ </w:t>
      </w:r>
      <w:r>
        <w:rPr>
          <w:lang w:val="en-US"/>
        </w:rPr>
        <w:t xml:space="preserve">on mangroves carbon stocks </w:t>
      </w:r>
      <w:r w:rsidRPr="008556CF">
        <w:rPr>
          <w:lang w:val="en-US"/>
        </w:rPr>
        <w:fldChar w:fldCharType="begin" w:fldLock="1"/>
      </w:r>
      <w:r w:rsidRPr="008556CF">
        <w:rPr>
          <w:lang w:val="en-US"/>
        </w:rPr>
        <w:instrText>ADDIN CSL_CITATION {"citationItems":[{"id":"ITEM-1","itemData":{"DOI":"10.1038/s41467-019-11693-w","ISSN":"20411723","abstract":"The term Blue Carbon (BC) was first coined a decade ago to describe the disproportionately large contribution of coastal vegetated ecosystems to global carbon sequestration. The role of BC in climate change mitigation and adaptation has now reached international prominence. To help prioritise future research, we assembled leading experts in the field to agree upon the top-ten pending questions in BC science. Understanding how climate change affects carbon accumulation in mature BC ecosystems and during their restoration was a high priority. Controversial questions included the role of carbonate and macroalgae in BC cycling, and the degree to which greenhouse gases are released following disturbance of BC ecosystems. Scientists seek improved precision of the extent of BC ecosystems; techniques to determine BC provenance; understanding of the factors that influence sequestration in BC ecosystems, with the corresponding value of BC; and the management actions that are effective in enhancing this value. Overall this overview provides a comprehensive road map for the coming decades on future research in BC science.","author":[{"dropping-particle":"","family":"Macreadie","given":"Peter I.","non-dropping-particle":"","parse-names":false,"suffix":""},{"dropping-particle":"","family":"Anton","given":"Andrea","non-dropping-particle":"","parse-names":false,"suffix":""},{"dropping-particle":"","family":"Raven","given":"John A.","non-dropping-particle":"","parse-names":false,"suffix":""},{"dropping-particle":"","family":"Beaumont","given":"Nicola","non-dropping-particle":"","parse-names":false,"suffix":""},{"dropping-particle":"","family":"Connolly","given":"Rod M.","non-dropping-particle":"","parse-names":false,"suffix":""},{"dropping-particle":"","family":"Friess","given":"Daniel A.","non-dropping-particle":"","parse-names":false,"suffix":""},{"dropping-particle":"","family":"Kelleway","given":"Jeffrey J.","non-dropping-particle":"","parse-names":false,"suffix":""},{"dropping-particle":"","family":"Kennedy","given":"Hilary","non-dropping-particle":"","parse-names":false,"suffix":""},{"dropping-particle":"","family":"Kuwae","given":"Tomohiro","non-dropping-particle":"","parse-names":false,"suffix":""},{"dropping-particle":"","family":"Lavery","given":"Paul S.","non-dropping-particle":"","parse-names":false,"suffix":""},{"dropping-particle":"","family":"Lovelock","given":"Catherine E.","non-dropping-particle":"","parse-names":false,"suffix":""},{"dropping-particle":"","family":"Smale","given":"Dan A.","non-dropping-particle":"","parse-names":false,"suffix":""},{"dropping-particle":"","family":"Apostolaki","given":"Eugenia T.","non-dropping-particle":"","parse-names":false,"suffix":""},{"dropping-particle":"","family":"Atwood","given":"Trisha B.","non-dropping-particle":"","parse-names":false,"suffix":""},{"dropping-particle":"","family":"Baldock","given":"Jeff","non-dropping-particle":"","parse-names":false,"suffix":""},{"dropping-particle":"","family":"Bianchi","given":"Thomas S.","non-dropping-particle":"","parse-names":false,"suffix":""},{"dropping-particle":"","family":"Chmura","given":"Gail L.","non-dropping-particle":"","parse-names":false,"suffix":""},{"dropping-particle":"","family":"Eyre","given":"Bradley D.","non-dropping-particle":"","parse-names":false,"suffix":""},{"dropping-particle":"","family":"Fourqurean","given":"James W.","non-dropping-particle":"","parse-names":false,"suffix":""},{"dropping-particle":"","family":"Hall-Spencer","given":"Jason M.","non-dropping-particle":"","parse-names":false,"suffix":""},{"dropping-particle":"","family":"Huxham","given":"Mark","non-dropping-particle":"","parse-names":false,"suffix":""},{"dropping-particle":"","family":"Hendriks","given":"Iris E.","non-dropping-particle":"","parse-names":false,"suffix":""},{"dropping-particle":"","family":"Krause-Jensen","given":"Dorte","non-dropping-particle":"","parse-names":false,"suffix":""},{"dropping-particle":"","family":"Laffoley","given":"Dan","non-dropping-particle":"","parse-names":false,"suffix":""},{"dropping-particle":"","family":"Luisetti","given":"Tiziana","non-dropping-particle":"","parse-names":false,"suffix":""},{"dropping-particle":"","family":"Marbà","given":"Núria","non-dropping-particle":"","parse-names":false,"suffix":""},{"dropping-particle":"","family":"Masque","given":"Pere","non-dropping-particle":"","parse-names":false,"suffix":""},{"dropping-particle":"","family":"McGlathery","given":"Karen J.","non-dropping-particle":"","parse-names":false,"suffix":""},{"dropping-particle":"","family":"Megonigal","given":"J. Patrick","non-dropping-particle":"","parse-names":false,"suffix":""},{"dropping-particle":"","family":"Murdiyarso","given":"Daniel","non-dropping-particle":"","parse-names":false,"suffix":""},{"dropping-particle":"","family":"Russell","given":"Bayden D.","non-dropping-particle":"","parse-names":false,"suffix":""},{"dropping-particle":"","family":"Santos","given":"Rui","non-dropping-particle":"","parse-names":false,"suffix":""},{"dropping-particle":"","family":"Serrano","given":"Oscar","non-dropping-particle":"","parse-names":false,"suffix":""},{"dropping-particle":"","family":"Silliman","given":"Brian R.","non-dropping-particle":"","parse-names":false,"suffix":""},{"dropping-particle":"","family":"Watanabe","given":"Kenta","non-dropping-particle":"","parse-names":false,"suffix":""},{"dropping-particle":"","family":"Duarte","given":"Carlos M.","non-dropping-particle":"","parse-names":false,"suffix":""}],"container-title":"Nature Communications","id":"ITEM-1","issue":"1","issued":{"date-parts":[["2019"]]},"title":"The future of Blue Carbon science","type":"article-journal","volume":"10"},"uris":["http://www.mendeley.com/documents/?uuid=224fee77-5ae2-467a-957b-9f226c5539d6"]}],"mendeley":{"formattedCitation":"(Macreadie et al., 2019)","plainTextFormattedCitation":"(Macreadie et al., 2019)","previouslyFormattedCitation":"(Macreadie et al., 2019)"},"properties":{"noteIndex":0},"schema":"https://github.com/citation-style-language/schema/raw/master/csl-citation.json"}</w:instrText>
      </w:r>
      <w:r w:rsidRPr="008556CF">
        <w:rPr>
          <w:lang w:val="en-US"/>
        </w:rPr>
        <w:fldChar w:fldCharType="separate"/>
      </w:r>
      <w:r w:rsidRPr="008556CF">
        <w:rPr>
          <w:noProof/>
          <w:lang w:val="en-US"/>
        </w:rPr>
        <w:t>(Macreadie et al., 2019)</w:t>
      </w:r>
      <w:r w:rsidRPr="008556CF">
        <w:rPr>
          <w:lang w:val="en-US"/>
        </w:rPr>
        <w:fldChar w:fldCharType="end"/>
      </w:r>
      <w:r>
        <w:rPr>
          <w:lang w:val="en-US"/>
        </w:rPr>
        <w:t>.</w:t>
      </w:r>
      <w:r w:rsidRPr="008556CF">
        <w:rPr>
          <w:lang w:val="en-US"/>
        </w:rPr>
        <w:t xml:space="preserve"> </w:t>
      </w:r>
      <w:r>
        <w:rPr>
          <w:lang w:val="en-US"/>
        </w:rPr>
        <w:t>H</w:t>
      </w:r>
      <w:r w:rsidRPr="008556CF">
        <w:rPr>
          <w:lang w:val="en-US"/>
        </w:rPr>
        <w:t xml:space="preserve">owever, </w:t>
      </w:r>
      <w:r>
        <w:rPr>
          <w:lang w:val="en-US"/>
        </w:rPr>
        <w:t xml:space="preserve">as </w:t>
      </w:r>
      <w:r w:rsidRPr="008556CF">
        <w:rPr>
          <w:lang w:val="en-US"/>
        </w:rPr>
        <w:t>mangroves in the Gulf, where summer air temperatures regularly exceed 50</w:t>
      </w:r>
      <w:r w:rsidRPr="008556CF">
        <w:rPr>
          <w:lang w:val="en-US"/>
        </w:rPr>
        <w:sym w:font="Symbol" w:char="F0B0"/>
      </w:r>
      <w:r w:rsidRPr="008556CF">
        <w:rPr>
          <w:lang w:val="en-US"/>
        </w:rPr>
        <w:t xml:space="preserve">C </w:t>
      </w:r>
      <w:r w:rsidRPr="008556CF">
        <w:rPr>
          <w:lang w:val="en-US"/>
        </w:rPr>
        <w:fldChar w:fldCharType="begin" w:fldLock="1"/>
      </w:r>
      <w:r w:rsidRPr="008556CF">
        <w:rPr>
          <w:lang w:val="en-US"/>
        </w:rPr>
        <w:instrText>ADDIN CSL_CITATION {"citationItems":[{"id":"ITEM-1","itemData":{"DOI":"10.1016/0025-326X(93)90004-4","ISBN":"0025-326X","ISSN":"0025326X","abstract":"The Gulf's biological character is briefly reviewed to provide a background to the main habitats and their condition, for the papers in this Special Issue. The Gulf's marine resources are described in the context of possible environmental consequences of the 1991 Gulf War. While emphasis is given to living resources, in particular ecosystems and fisheries, non-living resources are also briefly considered (e.g. oil and gas), as is availability of clean seawater for production of fresh water. The focus is on the western and Arabian coasts; the eastern (Iranian) coast remains one of the least known in the world in biological terms. Of the subtidal ecosystems, coral reefs are the most diverse. They are highly productive, but cover only a small area and so are of relatively minor importance in a regional sense. Seagrasses are common in shallow areas (&lt;10 m), forming the basis of many food chains. At least four seagrass species are known for the region, but most communities are dominated by Halodule uninervis. Seagrasses are also an important habitat for commercial shrimp (e.g. Penaeus semisulcatus), pearl oysters and many other organisms. Mudflats occupy extensive areas of the intertidal zone. Their productivity is often enhanced by Cyanophya-dominated algal mats. Naturally occurring mangroves are found in association with tidal flats and are represented by a single species, Avicennia marina. Mangroves are much less extensive in the Gulf (125-130 km2) than the Red Sea (400-500 km2). Of major regional and global importance are the Gulf's fisheries, particularly for penaeid shrimp (e.g.P. semisulcatus), but also for groupers, jacks and spanish mackerel. Fauna important to conservation issues include sea birds, green and hawksbill turtles and dugongs. ?? 1993.","author":[{"dropping-particle":"","family":"Price","given":"A. R G","non-dropping-particle":"","parse-names":false,"suffix":""},{"dropping-particle":"","family":"Sheppard","given":"C. R C","non-dropping-particle":"","parse-names":false,"suffix":""},{"dropping-particle":"","family":"Roberts","given":"C. M.","non-dropping-particle":"","parse-names":false,"suffix":""}],"container-title":"Marine Pollution Bulletin","id":"ITEM-1","issue":"C","issued":{"date-parts":[["1993","1"]]},"page":"9-15","title":"The Gulf: Its biological setting","type":"article-journal","volume":"27"},"uris":["http://www.mendeley.com/documents/?uuid=55b3a3d4-8421-45fc-84fa-8de85e3c1b39"]}],"mendeley":{"formattedCitation":"(Price et al., 1993)","plainTextFormattedCitation":"(Price et al., 1993)","previouslyFormattedCitation":"(Price et al., 1993)"},"properties":{"noteIndex":0},"schema":"https://github.com/citation-style-language/schema/raw/master/csl-citation.json"}</w:instrText>
      </w:r>
      <w:r w:rsidRPr="008556CF">
        <w:rPr>
          <w:lang w:val="en-US"/>
        </w:rPr>
        <w:fldChar w:fldCharType="separate"/>
      </w:r>
      <w:r w:rsidRPr="008556CF">
        <w:rPr>
          <w:noProof/>
          <w:lang w:val="en-US"/>
        </w:rPr>
        <w:t>(Price et al., 1993)</w:t>
      </w:r>
      <w:r w:rsidRPr="008556CF">
        <w:rPr>
          <w:lang w:val="en-US"/>
        </w:rPr>
        <w:fldChar w:fldCharType="end"/>
      </w:r>
      <w:r w:rsidRPr="008556CF">
        <w:rPr>
          <w:lang w:val="en-US"/>
        </w:rPr>
        <w:t xml:space="preserve">, display </w:t>
      </w:r>
      <w:r w:rsidRPr="00AB3FD8">
        <w:rPr>
          <w:lang w:val="en-US"/>
        </w:rPr>
        <w:t>limited carbon sequestration capabilities</w:t>
      </w:r>
      <w:r w:rsidRPr="008556CF">
        <w:rPr>
          <w:lang w:val="en-US"/>
        </w:rPr>
        <w:t xml:space="preserve"> </w:t>
      </w:r>
      <w:r w:rsidRPr="008556CF">
        <w:rPr>
          <w:lang w:val="en-US"/>
        </w:rPr>
        <w:fldChar w:fldCharType="begin" w:fldLock="1"/>
      </w:r>
      <w:r w:rsidRPr="008556CF">
        <w:rPr>
          <w:lang w:val="en-US"/>
        </w:rPr>
        <w:instrText>ADDIN CSL_CITATION {"citationItems":[{"id":"ITEM-1","itemData":{"DOI":"10.1002/eap.1489","ISSN":"19395582","abstract":"Coastal ecosystems produce and sequester significant amounts of carbon (\"blue carbon\"), which has been well documented in humid and semi-humid regions of temperate and tropical climates but less so in arid regions where mangroves, marshes, and seagrasses exist near the limit of their tolerance for extreme temperature and salinity. To better understand these unique systems, we measured whole-ecosystem carbon stocks in 58 sites across the United Arab Emirates (UAE) in natural and planted mangroves, salt marshes, seagrass beds, microbial mats, and coastal sabkha (inter- and supratidal unvegetated salt flats). Natural mangroves held significantly more carbon in above- and belowground biomass than other vegetated ecosystems. Planted mangrove carbon stocks increased with age, but there were large differences for sites of similar age. Soil carbon varied widely across sites (2-367 Mg C/ha), with ecosystem averages that ranged from 49 to 156 Mg C/ha. For the first time, microbial mats were documented to contain soil carbon pools comparable to vascular plant-dominated ecosystems, and could arguably be recognized as a unique blue carbon ecosystem. Total ecosystem carbon stocks ranged widely from 2 to 515 Mg C/ha (seagrass bed and mangrove, respectively). Seagrass beds had the lowest carbon stock per unit area, but the largest stock per total area due to their large spatial coverage. Compared to similar ecosystems globally, mangroves and marshes in the UAE have lower plant and soil carbon stocks; however, the difference in soil stocks is far larger than with plant stocks. This incongruent difference between stocks is likely due to poor carbon preservation under conditions of weakly reduced soils (200-350 mV), coarse-grained sediments, and active shoreline migration. This work represents the first attempt to produce a country-wide coastal ecosystem carbon accounting using a uniform sampling protocol, and was motivated by specific policy goals identified by the Abu Dhabi Global Environmental Data Initiative. These carbon stock data supported two objectives: to quantify carbon stocks and infer sequestration capacity in arid blue carbon ecosystems, and to explore the potential to incorporate blue carbon science into national reporting and planning documents. © 2016 by the Ecological Society of America.","author":[{"dropping-particle":"","family":"Schile","given":"Lisa M.","non-dropping-particle":"","parse-names":false,"suffix":""},{"dropping-particle":"","family":"Kauffman","given":"J. Boone","non-dropping-particle":"","parse-names":false,"suffix":""},{"dropping-particle":"","family":"Crooks","given":"Stephen","non-dropping-particle":"","parse-names":false,"suffix":""},{"dropping-particle":"","family":"Fourqurean","given":"James W.","non-dropping-particle":"","parse-names":false,"suffix":""},{"dropping-particle":"","family":"Glavan","given":"Jane","non-dropping-particle":"","parse-names":false,"suffix":""},{"dropping-particle":"","family":"Megonigal","given":"J. Patrick","non-dropping-particle":"","parse-names":false,"suffix":""}],"container-title":"Ecological Applications","id":"ITEM-1","issue":"3","issued":{"date-parts":[["2017"]]},"page":"859-874","title":"Limits on carbon sequestration in arid blue carbon ecosystems","type":"article-journal","volume":"27"},"uris":["http://www.mendeley.com/documents/?uuid=c37893be-f79d-4cb3-b5d3-f043469db703"]}],"mendeley":{"formattedCitation":"(Schile et al., 2017)","plainTextFormattedCitation":"(Schile et al., 2017)","previouslyFormattedCitation":"(Schile et al., 2017)"},"properties":{"noteIndex":0},"schema":"https://github.com/citation-style-language/schema/raw/master/csl-citation.json"}</w:instrText>
      </w:r>
      <w:r w:rsidRPr="008556CF">
        <w:rPr>
          <w:lang w:val="en-US"/>
        </w:rPr>
        <w:fldChar w:fldCharType="separate"/>
      </w:r>
      <w:r w:rsidRPr="008556CF">
        <w:rPr>
          <w:noProof/>
          <w:lang w:val="en-US"/>
        </w:rPr>
        <w:t>(Schile et al., 2017)</w:t>
      </w:r>
      <w:r w:rsidRPr="008556CF">
        <w:rPr>
          <w:lang w:val="en-US"/>
        </w:rPr>
        <w:fldChar w:fldCharType="end"/>
      </w:r>
      <w:r>
        <w:rPr>
          <w:lang w:val="en-US"/>
        </w:rPr>
        <w:t>, increased temperatures are likely to impact carbon stocks. Moreover, as mangroves in hot and arid regions remain relatively understudied, assumptions that temperature will have limited impact are based on limited data</w:t>
      </w:r>
      <w:r w:rsidRPr="008556CF">
        <w:rPr>
          <w:lang w:val="en-US"/>
        </w:rPr>
        <w:t xml:space="preserve">. </w:t>
      </w:r>
    </w:p>
    <w:p w14:paraId="78A65DBB" w14:textId="77777777" w:rsidR="00FA0744" w:rsidRPr="008556CF" w:rsidRDefault="00FA0744" w:rsidP="00FA0744">
      <w:pPr>
        <w:spacing w:line="480" w:lineRule="auto"/>
        <w:rPr>
          <w:lang w:val="en-US"/>
        </w:rPr>
      </w:pPr>
    </w:p>
    <w:p w14:paraId="2166D20F" w14:textId="4F0E37EF" w:rsidR="00FA0744" w:rsidRPr="008556CF" w:rsidRDefault="00FA0744" w:rsidP="00FA0744">
      <w:pPr>
        <w:spacing w:line="480" w:lineRule="auto"/>
        <w:rPr>
          <w:lang w:val="en-US"/>
        </w:rPr>
      </w:pPr>
      <w:r w:rsidRPr="008556CF">
        <w:rPr>
          <w:lang w:val="en-US"/>
        </w:rPr>
        <w:t xml:space="preserve">Evidence from the global extremities of </w:t>
      </w:r>
      <w:r w:rsidR="009F65FF">
        <w:rPr>
          <w:lang w:val="en-US"/>
        </w:rPr>
        <w:t xml:space="preserve">global </w:t>
      </w:r>
      <w:r w:rsidRPr="008556CF">
        <w:rPr>
          <w:lang w:val="en-US"/>
        </w:rPr>
        <w:t>distribution</w:t>
      </w:r>
      <w:r w:rsidR="00C1093B">
        <w:rPr>
          <w:lang w:val="en-US"/>
        </w:rPr>
        <w:t xml:space="preserve"> </w:t>
      </w:r>
      <w:r w:rsidR="009F65FF">
        <w:rPr>
          <w:lang w:val="en-US"/>
        </w:rPr>
        <w:t xml:space="preserve">can </w:t>
      </w:r>
      <w:r>
        <w:rPr>
          <w:lang w:val="en-US"/>
        </w:rPr>
        <w:t>provid</w:t>
      </w:r>
      <w:r w:rsidR="009F65FF">
        <w:rPr>
          <w:lang w:val="en-US"/>
        </w:rPr>
        <w:t>e</w:t>
      </w:r>
      <w:r>
        <w:rPr>
          <w:lang w:val="en-US"/>
        </w:rPr>
        <w:t xml:space="preserve"> insight into</w:t>
      </w:r>
      <w:r w:rsidRPr="008556CF">
        <w:rPr>
          <w:lang w:val="en-US"/>
        </w:rPr>
        <w:t xml:space="preserve"> how</w:t>
      </w:r>
      <w:r w:rsidR="009F65FF">
        <w:rPr>
          <w:lang w:val="en-US"/>
        </w:rPr>
        <w:t xml:space="preserve">, not only mangroves, but other </w:t>
      </w:r>
      <w:r w:rsidR="00E71485">
        <w:rPr>
          <w:lang w:val="en-US"/>
        </w:rPr>
        <w:t>marine life</w:t>
      </w:r>
      <w:r w:rsidR="009F65FF">
        <w:rPr>
          <w:lang w:val="en-US"/>
        </w:rPr>
        <w:t xml:space="preserve">, </w:t>
      </w:r>
      <w:r w:rsidRPr="008556CF">
        <w:rPr>
          <w:lang w:val="en-US"/>
        </w:rPr>
        <w:t xml:space="preserve">may respond at the climatic thresholds of their existence </w:t>
      </w:r>
      <w:r w:rsidRPr="008556CF">
        <w:rPr>
          <w:lang w:val="en-US"/>
        </w:rPr>
        <w:fldChar w:fldCharType="begin" w:fldLock="1"/>
      </w:r>
      <w:r w:rsidR="00CE2AD7">
        <w:rPr>
          <w:lang w:val="en-US"/>
        </w:rPr>
        <w:instrText>ADDIN CSL_CITATION {"citationItems":[{"id":"ITEM-1","itemData":{"DOI":"10.1002/eap.1489","ISSN":"19395582","abstract":"Coastal ecosystems produce and sequester significant amounts of carbon (\"blue carbon\"), which has been well documented in humid and semi-humid regions of temperate and tropical climates but less so in arid regions where mangroves, marshes, and seagrasses exist near the limit of their tolerance for extreme temperature and salinity. To better understand these unique systems, we measured whole-ecosystem carbon stocks in 58 sites across the United Arab Emirates (UAE) in natural and planted mangroves, salt marshes, seagrass beds, microbial mats, and coastal sabkha (inter- and supratidal unvegetated salt flats). Natural mangroves held significantly more carbon in above- and belowground biomass than other vegetated ecosystems. Planted mangrove carbon stocks increased with age, but there were large differences for sites of similar age. Soil carbon varied widely across sites (2-367 Mg C/ha), with ecosystem averages that ranged from 49 to 156 Mg C/ha. For the first time, microbial mats were documented to contain soil carbon pools comparable to vascular plant-dominated ecosystems, and could arguably be recognized as a unique blue carbon ecosystem. Total ecosystem carbon stocks ranged widely from 2 to 515 Mg C/ha (seagrass bed and mangrove, respectively). Seagrass beds had the lowest carbon stock per unit area, but the largest stock per total area due to their large spatial coverage. Compared to similar ecosystems globally, mangroves and marshes in the UAE have lower plant and soil carbon stocks; however, the difference in soil stocks is far larger than with plant stocks. This incongruent difference between stocks is likely due to poor carbon preservation under conditions of weakly reduced soils (200-350 mV), coarse-grained sediments, and active shoreline migration. This work represents the first attempt to produce a country-wide coastal ecosystem carbon accounting using a uniform sampling protocol, and was motivated by specific policy goals identified by the Abu Dhabi Global Environmental Data Initiative. These carbon stock data supported two objectives: to quantify carbon stocks and infer sequestration capacity in arid blue carbon ecosystems, and to explore the potential to incorporate blue carbon science into national reporting and planning documents. © 2016 by the Ecological Society of America.","author":[{"dropping-particle":"","family":"Schile","given":"Lisa M.","non-dropping-particle":"","parse-names":false,"suffix":""},{"dropping-particle":"","family":"Kauffman","given":"J. Boone","non-dropping-particle":"","parse-names":false,"suffix":""},{"dropping-particle":"","family":"Crooks","given":"Stephen","non-dropping-particle":"","parse-names":false,"suffix":""},{"dropping-particle":"","family":"Fourqurean","given":"James W.","non-dropping-particle":"","parse-names":false,"suffix":""},{"dropping-particle":"","family":"Glavan","given":"Jane","non-dropping-particle":"","parse-names":false,"suffix":""},{"dropping-particle":"","family":"Megonigal","given":"J. Patrick","non-dropping-particle":"","parse-names":false,"suffix":""}],"container-title":"Ecological Applications","id":"ITEM-1","issue":"3","issued":{"date-parts":[["2017"]]},"page":"859-874","title":"Limits on carbon sequestration in arid blue carbon ecosystems","type":"article-journal","volume":"27"},"uris":["http://www.mendeley.com/documents/?uuid=c37893be-f79d-4cb3-b5d3-f043469db703"]},{"id":"ITEM-2","itemData":{"DOI":"10.1371/journal.pone.0099604","ISBN":"1932-6203","ISSN":"19326203","PMID":"24971938","abstract":"Across the globe, species distributions are changing in response to climate change and land use change. In parts of the southeastern United States, climate change is expected to result in the poleward range expansion of black mangroves (Avicennia germinans) at the expense of some salt marsh vegetation. The morphology of A. germinans at its northern range limit is more shrub-like than in tropical climes in part due to the aboveground structural damage and vigorous multi-stem regrowth triggered by extreme winter temperatures. In this study, we developed aboveground allometric equations for freeze-affected black mangroves which can be used to quantify: (1) total aboveground biomass; (2) leaf biomass; (3) stem plus branch biomass; and (4) leaf area. Plant volume (i.e., a combination of crown area and plant height) was selected as the optimal predictor of the four response variables. We expect that our simple measurements and equations can be adapted for use in other mangrove ecosystems located in abiotic settings that result in mangrove individuals with dwarf or shrub-like morphologies including oligotrophic and arid environments. Many important ecological functions and services are affected by changes in coastal wetland plant community structure and productivity including carbon storage, nutrient cycling, coastal protection, recreation, fish and avian habitat, and ecosystem response to sea level rise and extreme climatic events. Coastal scientists in the southeastern United States can use the identified allometric equations, in combination with easily obtained and non-destructive plant volume measurements, to better quantify and monitor ecological change within the dynamic, climate sensitive, and highly-productive mangrove-marsh ecotone.","author":[{"dropping-particle":"","family":"Osland","given":"Michael J.","non-dropping-particle":"","parse-names":false,"suffix":""},{"dropping-particle":"","family":"Day","given":"Richard H.","non-dropping-particle":"","parse-names":false,"suffix":""},{"dropping-particle":"","family":"Larriviere","given":"Jack C.","non-dropping-particle":"","parse-names":false,"suffix":""},{"dropping-particle":"","family":"From","given":"Andrew S.","non-dropping-particle":"","parse-names":false,"suffix":""}],"container-title":"PLoS ONE","id":"ITEM-2","issue":"6","issued":{"date-parts":[["2014"]]},"page":"e99604","title":"Aboveground allometric models for freeze-affected black mangroves (Avicennia germinans): Equations for a climate sensitive mangrove-marsh ecotone","type":"article-journal","volume":"9"},"uris":["http://www.mendeley.com/documents/?uuid=12ed655b-946c-34cb-bb07-5b09f1fbac65"]},{"id":"ITEM-3","itemData":{"DOI":"10.1038/s41598-017-10424-9","ISSN":"2045-2322","author":[{"dropping-particle":"","family":"Almahasheer","given":"Hanan","non-dropping-particle":"","parse-names":false,"suffix":""},{"dropping-particle":"","family":"Serrano","given":"Oscar","non-dropping-particle":"","parse-names":false,"suffix":""},{"dropping-particle":"","family":"Duarte","given":"Carlos M.","non-dropping-particle":"","parse-names":false,"suffix":""},{"dropping-particle":"","family":"Arias-Ortiz","given":"Ariane","non-dropping-particle":"","parse-names":false,"suffix":""},{"dropping-particle":"","family":"Masque","given":"Pere","non-dropping-particle":"","parse-names":false,"suffix":""},{"dropping-particle":"","family":"Irigoien","given":"Xabier","non-dropping-particle":"","parse-names":false,"suffix":""}],"container-title":"Scientific Reports","id":"ITEM-3","issue":"1","issued":{"date-parts":[["2017"]]},"page":"9700","title":"Low Carbon sink capacity of Red Sea mangroves","type":"article-journal","volume":"7"},"uris":["http://www.mendeley.com/documents/?uuid=90af8c22-f462-3b43-9dc5-dcc30bc9100e"]}],"mendeley":{"formattedCitation":"(Almahasheer et al., 2017; Osland et al., 2014; Schile et al., 2017)","plainTextFormattedCitation":"(Almahasheer et al., 2017; Osland et al., 2014; Schile et al., 2017)","previouslyFormattedCitation":"(Almahasheer et al., 2017; Osland et al., 2014; Schile et al., 2017)"},"properties":{"noteIndex":0},"schema":"https://github.com/citation-style-language/schema/raw/master/csl-citation.json"}</w:instrText>
      </w:r>
      <w:r w:rsidRPr="008556CF">
        <w:rPr>
          <w:lang w:val="en-US"/>
        </w:rPr>
        <w:fldChar w:fldCharType="separate"/>
      </w:r>
      <w:r w:rsidR="00FD65A0" w:rsidRPr="00FD65A0">
        <w:rPr>
          <w:noProof/>
          <w:lang w:val="en-US"/>
        </w:rPr>
        <w:t>(Almahasheer et al., 2017; Osland et al., 2014; Schile et al., 2017)</w:t>
      </w:r>
      <w:r w:rsidRPr="008556CF">
        <w:rPr>
          <w:lang w:val="en-US"/>
        </w:rPr>
        <w:fldChar w:fldCharType="end"/>
      </w:r>
      <w:r w:rsidR="00723609">
        <w:rPr>
          <w:lang w:val="en-US"/>
        </w:rPr>
        <w:t xml:space="preserve">; </w:t>
      </w:r>
      <w:r w:rsidR="006B0F8A">
        <w:rPr>
          <w:lang w:val="en-US"/>
        </w:rPr>
        <w:t xml:space="preserve">Supplementary </w:t>
      </w:r>
      <w:r w:rsidR="008704D2">
        <w:rPr>
          <w:lang w:val="en-US"/>
        </w:rPr>
        <w:t>R</w:t>
      </w:r>
      <w:r w:rsidR="006B0F8A">
        <w:rPr>
          <w:lang w:val="en-US"/>
        </w:rPr>
        <w:t xml:space="preserve">esearch </w:t>
      </w:r>
      <w:r w:rsidR="00B33F4C">
        <w:rPr>
          <w:lang w:val="en-US"/>
        </w:rPr>
        <w:t>SR</w:t>
      </w:r>
      <w:r w:rsidR="006B0F8A">
        <w:rPr>
          <w:lang w:val="en-US"/>
        </w:rPr>
        <w:t xml:space="preserve">1 and </w:t>
      </w:r>
      <w:r w:rsidR="00B33F4C">
        <w:rPr>
          <w:lang w:val="en-US"/>
        </w:rPr>
        <w:t>SR</w:t>
      </w:r>
      <w:r w:rsidR="006B0F8A">
        <w:rPr>
          <w:lang w:val="en-US"/>
        </w:rPr>
        <w:t>2)</w:t>
      </w:r>
      <w:r w:rsidRPr="008556CF">
        <w:rPr>
          <w:lang w:val="en-US"/>
        </w:rPr>
        <w:t xml:space="preserve">. However, field data from </w:t>
      </w:r>
      <w:r>
        <w:rPr>
          <w:lang w:val="en-US"/>
        </w:rPr>
        <w:t>extreme mangrove</w:t>
      </w:r>
      <w:r w:rsidRPr="008556CF">
        <w:rPr>
          <w:lang w:val="en-US"/>
        </w:rPr>
        <w:t xml:space="preserve"> regions </w:t>
      </w:r>
      <w:r>
        <w:rPr>
          <w:lang w:val="en-US"/>
        </w:rPr>
        <w:t>are</w:t>
      </w:r>
      <w:r w:rsidRPr="008556CF">
        <w:rPr>
          <w:lang w:val="en-US"/>
        </w:rPr>
        <w:t xml:space="preserve"> still limited, particularly from hot, arid climates. As such, it </w:t>
      </w:r>
      <w:r>
        <w:rPr>
          <w:lang w:val="en-US"/>
        </w:rPr>
        <w:t>remains</w:t>
      </w:r>
      <w:r w:rsidRPr="008556CF">
        <w:rPr>
          <w:lang w:val="en-US"/>
        </w:rPr>
        <w:t xml:space="preserve"> unclear how mangrove productivity and carbon stocks </w:t>
      </w:r>
      <w:r>
        <w:rPr>
          <w:lang w:val="en-US"/>
        </w:rPr>
        <w:t xml:space="preserve">are likely to be affected by </w:t>
      </w:r>
      <w:r w:rsidRPr="008556CF">
        <w:rPr>
          <w:lang w:val="en-US"/>
        </w:rPr>
        <w:t xml:space="preserve">heightened temperatures and aridity. </w:t>
      </w:r>
      <w:r>
        <w:rPr>
          <w:lang w:val="en-US"/>
        </w:rPr>
        <w:t>G</w:t>
      </w:r>
      <w:r w:rsidRPr="008556CF">
        <w:rPr>
          <w:lang w:val="en-US"/>
        </w:rPr>
        <w:t xml:space="preserve">lobal mangrove modelling and forecasting work has given relatively little representation to mangroves from climatic extremes </w:t>
      </w:r>
      <w:r w:rsidRPr="008556CF">
        <w:rPr>
          <w:lang w:val="en-US"/>
        </w:rPr>
        <w:fldChar w:fldCharType="begin" w:fldLock="1"/>
      </w:r>
      <w:r w:rsidRPr="008556CF">
        <w:rPr>
          <w:lang w:val="en-US"/>
        </w:rPr>
        <w:instrText>ADDIN CSL_CITATION {"citationItems":[{"id":"ITEM-1","itemData":{"DOI":"10.1111/conl.12060","ISBN":"1755-263X","ISSN":"1755263X","abstract":"Understanding spatial variation in carbon storage in natural habitats is critical for climate change mitigation efforts such as REDD. Terrestrial forests are being mapped with increasing accuracy, but the distribution of ``blue carbon'' in marine ecosystems remains poorly understood. We reviewed the literature to obtain field data on carbon storage and fluxes in mangroves world-wide. Using this material we developed a climate-based model for potential mangrove above-ground biomass (AGB) with almost four times the explanatory power of the only previous published model. From this model, we present the first ever global map of potential mangrove AGB and estimate a total global mangrove AGB of 2.83 Pg, with an average of 184.8 t ha−1. Data on other carbon stocks and fluxes confirm the importance of mangroves in carbon accounting. The map highlights the high variability in mangrove AGB and indicates areas that should be prioritised for mangrove conservation and restoration.","author":[{"dropping-particle":"","family":"Hutchison","given":"James","non-dropping-particle":"","parse-names":false,"suffix":""},{"dropping-particle":"","family":"Manica","given":"Andrea","non-dropping-particle":"","parse-names":false,"suffix":""},{"dropping-particle":"","family":"Swetnam","given":"Ruth","non-dropping-particle":"","parse-names":false,"suffix":""},{"dropping-particle":"","family":"Balmford","given":"Andrew","non-dropping-particle":"","parse-names":false,"suffix":""},{"dropping-particle":"","family":"Spalding","given":"Mark","non-dropping-particle":"","parse-names":false,"suffix":""}],"container-title":"Conservation Letters","id":"ITEM-1","issue":"3","issued":{"date-parts":[["2014","5"]]},"page":"233-240","title":"Predicting global patterns in mangrove forest biomass","type":"article-journal","volume":"7"},"uris":["http://www.mendeley.com/documents/?uuid=c0cc1011-f931-3578-8f2c-56c7f7c458c6"]},{"id":"ITEM-2","itemData":{"DOI":"10.1088/1748-9326/aabe1c","ISSN":"17489326","author":[{"dropping-particle":"","family":"Sanderman","given":"Jonathan","non-dropping-particle":"","parse-names":false,"suffix":""},{"dropping-particle":"","family":"Hengl","given":"Tomislav","non-dropping-particle":"","parse-names":false,"suffix":""},{"dropping-particle":"","family":"Fiske","given":"Greg","non-dropping-particle":"","parse-names":false,"suffix":""},{"dropping-particle":"","family":"Solvik","given":"Kylen","non-dropping-particle":"","parse-names":false,"suffix":""},{"dropping-particle":"","family":"Adame","given":"Maria Fernanda","non-dropping-particle":"","parse-names":false,"suffix":""},{"dropping-particle":"","family":"Benson","given":"Lisa","non-dropping-particle":"","parse-names":false,"suffix":""},{"dropping-particle":"","family":"Bukoski","given":"Jacob J","non-dropping-particle":"","parse-names":false,"suffix":""},{"dropping-particle":"","family":"Carnell","given":"Paul","non-dropping-particle":"","parse-names":false,"suffix":""},{"dropping-particle":"","family":"Cifuentes-Jara","given":"Miguel","non-dropping-particle":"","parse-names":false,"suffix":""},{"dropping-particle":"","family":"Donato","given":"Daniel","non-dropping-particle":"","parse-names":false,"suffix":""},{"dropping-particle":"","family":"Duncan","given":"Clare","non-dropping-particle":"","parse-names":false,"suffix":""},{"dropping-particle":"","family":"Eid","given":"Ebrahem M","non-dropping-particle":"","parse-names":false,"suffix":""},{"dropping-particle":"","family":"Ermgassen","given":"Philine zu","non-dropping-particle":"","parse-names":false,"suffix":""},{"dropping-particle":"","family":"Lewis","given":"Carolyn J.Ewers","non-dropping-particle":"","parse-names":false,"suffix":""},{"dropping-particle":"","family":"Macreadie","given":"Peter I","non-dropping-particle":"","parse-names":false,"suffix":""},{"dropping-particle":"","family":"Glass","given":"Leah","non-dropping-particle":"","parse-names":false,"suffix":""},{"dropping-particle":"","family":"Gress","given":"Selena","non-dropping-particle":"","parse-names":false,"suffix":""},{"dropping-particle":"","family":"Jardine","given":"Sunny L","non-dropping-particle":"","parse-names":false,"suffix":""},{"dropping-particle":"","family":"Jones","given":"Trevor G","non-dropping-particle":"","parse-names":false,"suffix":""},{"dropping-particle":"","family":"Nsombo","given":"Eugéne Ndemem","non-dropping-particle":"","parse-names":false,"suffix":""},{"dropping-particle":"","family":"Rahman","given":"Md Mizanur","non-dropping-particle":"","parse-names":false,"suffix":""},{"dropping-particle":"","family":"Sanders","given":"Christian J","non-dropping-particle":"","parse-names":false,"suffix":""},{"dropping-particle":"","family":"Spalding","given":"Mark","non-dropping-particle":"","parse-names":false,"suffix":""},{"dropping-particle":"","family":"Landis","given":"Emily","non-dropping-particle":"","parse-names":false,"suffix":""}],"container-title":"Environmental Research Letters","id":"ITEM-2","issue":"5","issued":{"date-parts":[["2018","5","1"]]},"page":"055002","publisher":"IOP Publishing","title":"A global map of mangrove forest soil carbon at 30 m spatial resolution","type":"article-journal","volume":"13"},"uris":["http://www.mendeley.com/documents/?uuid=a27008a0-a4d5-343e-89c7-c4a4c0b60818"]},{"id":"ITEM-3","itemData":{"DOI":"10.1038/s41558-018-0162-5","ISBN":"4155801801625","ISSN":"17586798","abstract":"Global-scale variation in mangrove ecosystem properties has been explained using a conceptual framework linking geomorphological processes to distinct coastal environmental settings (CES) for nearly 50 years. However, these assumptions have not been empirically tested at the global scale. Here, we show that CES account for global variability in mangrove soil C:N:P stoichiometry and soil organic carbon (SOC) stocks. Using this ecogeomorphology framework, we developed a global model that captures variation in mangrove SOC stocks compatible with distinct CES. We show that mangrove SOC stocks have been underestimated by up to 50% (a difference of roughly 200 Mg ha−1) in carbonate settings and overestimated by up to 86% (around 400 Mg ha−1) in deltaic coastlines. Moreover, we provide information for 57 nations that currently lack SOC data, enabling these and other countries to develop or evaluate their blue carbon inventories.","author":[{"dropping-particle":"","family":"Rovai","given":"André S.","non-dropping-particle":"","parse-names":false,"suffix":""},{"dropping-particle":"","family":"Twilley","given":"Robert R.","non-dropping-particle":"","parse-names":false,"suffix":""},{"dropping-particle":"","family":"Castañeda-Moya","given":"Edward","non-dropping-particle":"","parse-names":false,"suffix":""},{"dropping-particle":"","family":"Riul","given":"Pablo","non-dropping-particle":"","parse-names":false,"suffix":""},{"dropping-particle":"","family":"Cifuentes-Jara","given":"Miguel","non-dropping-particle":"","parse-names":false,"suffix":""},{"dropping-particle":"","family":"Manrow-Villalobos","given":"Marilyn","non-dropping-particle":"","parse-names":false,"suffix":""},{"dropping-particle":"","family":"Horta","given":"Paulo A.","non-dropping-particle":"","parse-names":false,"suffix":""},{"dropping-particle":"","family":"Simonassi","given":"José C.","non-dropping-particle":"","parse-names":false,"suffix":""},{"dropping-particle":"","family":"Fonseca","given":"Alessandra L.","non-dropping-particle":"","parse-names":false,"suffix":""},{"dropping-particle":"","family":"Pagliosa","given":"Paulo R.","non-dropping-particle":"","parse-names":false,"suffix":""}],"container-title":"Nature Climate Change","id":"ITEM-3","issue":"6","issued":{"date-parts":[["2018","6","28"]]},"page":"534-538","publisher":"Nature Publishing Group","title":"Global controls on carbon storage in mangrove soils","type":"article-journal","volume":"8"},"uris":["http://www.mendeley.com/documents/?uuid=e218dcd6-b535-3f7d-a08f-4983ee271d59"]},{"id":"ITEM-4","itemData":{"DOI":"10.1002/ecs2.2841","ISSN":"21508925","abstract":"Mangroves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-4","issue":"8","issued":{"date-parts":[["2019","8","22"]]},"publisher":"John Wiley &amp; Sons, Ltd","title":"Spatial variability of mangrove primary productivity in the neotropics","type":"article-journal","volume":"10"},"uris":["http://www.mendeley.com/documents/?uuid=e62cba23-c956-306d-a48f-a25ddc004d7f"]}],"mendeley":{"formattedCitation":"(Hutchison et al., 2014; Ribeiro et al., 2019; Rovai et al., 2018; Sanderman et al., 2018)","plainTextFormattedCitation":"(Hutchison et al., 2014; Ribeiro et al., 2019; Rovai et al., 2018; Sanderman et al., 2018)","previouslyFormattedCitation":"(Hutchison et al., 2014; Ribeiro et al., 2019; Rovai et al., 2018; Sanderman et al., 2018)"},"properties":{"noteIndex":0},"schema":"https://github.com/citation-style-language/schema/raw/master/csl-citation.json"}</w:instrText>
      </w:r>
      <w:r w:rsidRPr="008556CF">
        <w:rPr>
          <w:lang w:val="en-US"/>
        </w:rPr>
        <w:fldChar w:fldCharType="separate"/>
      </w:r>
      <w:r w:rsidRPr="008556CF">
        <w:rPr>
          <w:noProof/>
          <w:lang w:val="en-US"/>
        </w:rPr>
        <w:t>(Hutchison et al., 2014; Ribeiro et al., 2019; Rovai et al., 2018; Sanderman et al., 2018)</w:t>
      </w:r>
      <w:r w:rsidRPr="008556CF">
        <w:rPr>
          <w:lang w:val="en-US"/>
        </w:rPr>
        <w:fldChar w:fldCharType="end"/>
      </w:r>
      <w:r w:rsidRPr="008556CF">
        <w:rPr>
          <w:lang w:val="en-US"/>
        </w:rPr>
        <w:t xml:space="preserve">, thus not providing robust estimates of mangrove responses </w:t>
      </w:r>
      <w:r>
        <w:rPr>
          <w:lang w:val="en-US"/>
        </w:rPr>
        <w:lastRenderedPageBreak/>
        <w:t>in the full spectrum of</w:t>
      </w:r>
      <w:r w:rsidRPr="008556CF">
        <w:rPr>
          <w:lang w:val="en-US"/>
        </w:rPr>
        <w:t xml:space="preserve"> climatic conditions</w:t>
      </w:r>
      <w:r>
        <w:rPr>
          <w:lang w:val="en-US"/>
        </w:rPr>
        <w:t xml:space="preserve"> that the system tolerates</w:t>
      </w:r>
      <w:r w:rsidRPr="008556CF">
        <w:rPr>
          <w:lang w:val="en-US"/>
        </w:rPr>
        <w:t xml:space="preserve">. </w:t>
      </w:r>
      <w:r>
        <w:rPr>
          <w:lang w:val="en-US"/>
        </w:rPr>
        <w:t>I argue that the l</w:t>
      </w:r>
      <w:r w:rsidRPr="008556CF">
        <w:rPr>
          <w:lang w:val="en-US"/>
        </w:rPr>
        <w:t xml:space="preserve">ack of </w:t>
      </w:r>
      <w:r>
        <w:rPr>
          <w:lang w:val="en-US"/>
        </w:rPr>
        <w:t xml:space="preserve">research </w:t>
      </w:r>
      <w:r w:rsidRPr="008556CF">
        <w:rPr>
          <w:lang w:val="en-US"/>
        </w:rPr>
        <w:t xml:space="preserve">representation of hot, arid mangroves in global mangrove modelling efforts contributes to the </w:t>
      </w:r>
      <w:r>
        <w:rPr>
          <w:lang w:val="en-US"/>
        </w:rPr>
        <w:t xml:space="preserve">anticipation there will be </w:t>
      </w:r>
      <w:r w:rsidRPr="008556CF">
        <w:rPr>
          <w:lang w:val="en-US"/>
        </w:rPr>
        <w:t xml:space="preserve">‘minimal impact’ </w:t>
      </w:r>
      <w:r>
        <w:rPr>
          <w:lang w:val="en-US"/>
        </w:rPr>
        <w:t>on mangrove processes from</w:t>
      </w:r>
      <w:r w:rsidRPr="008556CF">
        <w:rPr>
          <w:lang w:val="en-US"/>
        </w:rPr>
        <w:t xml:space="preserve"> elevated temperatures </w:t>
      </w:r>
      <w:r w:rsidRPr="008556CF">
        <w:rPr>
          <w:lang w:val="en-US"/>
        </w:rPr>
        <w:fldChar w:fldCharType="begin" w:fldLock="1"/>
      </w:r>
      <w:r>
        <w:rPr>
          <w:lang w:val="en-US"/>
        </w:rPr>
        <w:instrText>ADDIN CSL_CITATION {"citationItems":[{"id":"ITEM-1","itemData":{"DOI":"10.1038/s41467-019-11693-w","ISSN":"20411723","abstract":"The term Blue Carbon (BC) was first coined a decade ago to describe the disproportionately large contribution of coastal vegetated ecosystems to global carbon sequestration. The role of BC in climate change mitigation and adaptation has now reached international prominence. To help prioritise future research, we assembled leading experts in the field to agree upon the top-ten pending questions in BC science. Understanding how climate change affects carbon accumulation in mature BC ecosystems and during their restoration was a high priority. Controversial questions included the role of carbonate and macroalgae in BC cycling, and the degree to which greenhouse gases are released following disturbance of BC ecosystems. Scientists seek improved precision of the extent of BC ecosystems; techniques to determine BC provenance; understanding of the factors that influence sequestration in BC ecosystems, with the corresponding value of BC; and the management actions that are effective in enhancing this value. Overall this overview provides a comprehensive road map for the coming decades on future research in BC science.","author":[{"dropping-particle":"","family":"Macreadie","given":"Peter I.","non-dropping-particle":"","parse-names":false,"suffix":""},{"dropping-particle":"","family":"Anton","given":"Andrea","non-dropping-particle":"","parse-names":false,"suffix":""},{"dropping-particle":"","family":"Raven","given":"John A.","non-dropping-particle":"","parse-names":false,"suffix":""},{"dropping-particle":"","family":"Beaumont","given":"Nicola","non-dropping-particle":"","parse-names":false,"suffix":""},{"dropping-particle":"","family":"Connolly","given":"Rod M.","non-dropping-particle":"","parse-names":false,"suffix":""},{"dropping-particle":"","family":"Friess","given":"Daniel A.","non-dropping-particle":"","parse-names":false,"suffix":""},{"dropping-particle":"","family":"Kelleway","given":"Jeffrey J.","non-dropping-particle":"","parse-names":false,"suffix":""},{"dropping-particle":"","family":"Kennedy","given":"Hilary","non-dropping-particle":"","parse-names":false,"suffix":""},{"dropping-particle":"","family":"Kuwae","given":"Tomohiro","non-dropping-particle":"","parse-names":false,"suffix":""},{"dropping-particle":"","family":"Lavery","given":"Paul S.","non-dropping-particle":"","parse-names":false,"suffix":""},{"dropping-particle":"","family":"Lovelock","given":"Catherine E.","non-dropping-particle":"","parse-names":false,"suffix":""},{"dropping-particle":"","family":"Smale","given":"Dan A.","non-dropping-particle":"","parse-names":false,"suffix":""},{"dropping-particle":"","family":"Apostolaki","given":"Eugenia T.","non-dropping-particle":"","parse-names":false,"suffix":""},{"dropping-particle":"","family":"Atwood","given":"Trisha B.","non-dropping-particle":"","parse-names":false,"suffix":""},{"dropping-particle":"","family":"Baldock","given":"Jeff","non-dropping-particle":"","parse-names":false,"suffix":""},{"dropping-particle":"","family":"Bianchi","given":"Thomas S.","non-dropping-particle":"","parse-names":false,"suffix":""},{"dropping-particle":"","family":"Chmura","given":"Gail L.","non-dropping-particle":"","parse-names":false,"suffix":""},{"dropping-particle":"","family":"Eyre","given":"Bradley D.","non-dropping-particle":"","parse-names":false,"suffix":""},{"dropping-particle":"","family":"Fourqurean","given":"James W.","non-dropping-particle":"","parse-names":false,"suffix":""},{"dropping-particle":"","family":"Hall-Spencer","given":"Jason M.","non-dropping-particle":"","parse-names":false,"suffix":""},{"dropping-particle":"","family":"Huxham","given":"Mark","non-dropping-particle":"","parse-names":false,"suffix":""},{"dropping-particle":"","family":"Hendriks","given":"Iris E.","non-dropping-particle":"","parse-names":false,"suffix":""},{"dropping-particle":"","family":"Krause-Jensen","given":"Dorte","non-dropping-particle":"","parse-names":false,"suffix":""},{"dropping-particle":"","family":"Laffoley","given":"Dan","non-dropping-particle":"","parse-names":false,"suffix":""},{"dropping-particle":"","family":"Luisetti","given":"Tiziana","non-dropping-particle":"","parse-names":false,"suffix":""},{"dropping-particle":"","family":"Marbà","given":"Núria","non-dropping-particle":"","parse-names":false,"suffix":""},{"dropping-particle":"","family":"Masque","given":"Pere","non-dropping-particle":"","parse-names":false,"suffix":""},{"dropping-particle":"","family":"McGlathery","given":"Karen J.","non-dropping-particle":"","parse-names":false,"suffix":""},{"dropping-particle":"","family":"Megonigal","given":"J. Patrick","non-dropping-particle":"","parse-names":false,"suffix":""},{"dropping-particle":"","family":"Murdiyarso","given":"Daniel","non-dropping-particle":"","parse-names":false,"suffix":""},{"dropping-particle":"","family":"Russell","given":"Bayden D.","non-dropping-particle":"","parse-names":false,"suffix":""},{"dropping-particle":"","family":"Santos","given":"Rui","non-dropping-particle":"","parse-names":false,"suffix":""},{"dropping-particle":"","family":"Serrano","given":"Oscar","non-dropping-particle":"","parse-names":false,"suffix":""},{"dropping-particle":"","family":"Silliman","given":"Brian R.","non-dropping-particle":"","parse-names":false,"suffix":""},{"dropping-particle":"","family":"Watanabe","given":"Kenta","non-dropping-particle":"","parse-names":false,"suffix":""},{"dropping-particle":"","family":"Duarte","given":"Carlos M.","non-dropping-particle":"","parse-names":false,"suffix":""}],"container-title":"Nature Communications","id":"ITEM-1","issue":"1","issued":{"date-parts":[["2019"]]},"title":"The future of Blue Carbon science","type":"article-journal","volume":"10"},"uris":["http://www.mendeley.com/documents/?uuid=224fee77-5ae2-467a-957b-9f226c5539d6"]}],"mendeley":{"formattedCitation":"(Macreadie et al., 2019)","plainTextFormattedCitation":"(Macreadie et al., 2019)","previouslyFormattedCitation":"(Macreadie et al., 2019)"},"properties":{"noteIndex":0},"schema":"https://github.com/citation-style-language/schema/raw/master/csl-citation.json"}</w:instrText>
      </w:r>
      <w:r w:rsidRPr="008556CF">
        <w:rPr>
          <w:lang w:val="en-US"/>
        </w:rPr>
        <w:fldChar w:fldCharType="separate"/>
      </w:r>
      <w:r w:rsidRPr="008556CF">
        <w:rPr>
          <w:noProof/>
          <w:lang w:val="en-US"/>
        </w:rPr>
        <w:t>(Macreadie et al., 2019)</w:t>
      </w:r>
      <w:r w:rsidRPr="008556CF">
        <w:rPr>
          <w:lang w:val="en-US"/>
        </w:rPr>
        <w:fldChar w:fldCharType="end"/>
      </w:r>
      <w:r w:rsidRPr="008556CF">
        <w:rPr>
          <w:lang w:val="en-US"/>
        </w:rPr>
        <w:t>.</w:t>
      </w:r>
    </w:p>
    <w:p w14:paraId="00955E7F" w14:textId="77777777" w:rsidR="00FA0744" w:rsidRPr="00C81210" w:rsidRDefault="00FA0744" w:rsidP="00FA0744">
      <w:pPr>
        <w:spacing w:line="480" w:lineRule="auto"/>
        <w:rPr>
          <w:lang w:val="en-US"/>
        </w:rPr>
      </w:pPr>
    </w:p>
    <w:p w14:paraId="7D56E7D4" w14:textId="797744D0" w:rsidR="00FA0744" w:rsidRPr="001162E6" w:rsidRDefault="00FA0744" w:rsidP="00FA0744">
      <w:pPr>
        <w:pStyle w:val="Heading2"/>
        <w:rPr>
          <w:rFonts w:asciiTheme="minorHAnsi" w:hAnsiTheme="minorHAnsi" w:cstheme="minorHAnsi"/>
          <w:b/>
          <w:bCs/>
          <w:color w:val="000000" w:themeColor="text1"/>
        </w:rPr>
      </w:pPr>
      <w:bookmarkStart w:id="9" w:name="_Toc120622098"/>
      <w:r w:rsidRPr="001162E6">
        <w:rPr>
          <w:rFonts w:asciiTheme="minorHAnsi" w:hAnsiTheme="minorHAnsi" w:cstheme="minorHAnsi"/>
          <w:b/>
          <w:bCs/>
          <w:color w:val="000000" w:themeColor="text1"/>
        </w:rPr>
        <w:t>1.5</w:t>
      </w:r>
      <w:r w:rsidRPr="001162E6">
        <w:rPr>
          <w:rFonts w:asciiTheme="minorHAnsi" w:hAnsiTheme="minorHAnsi" w:cstheme="minorHAnsi"/>
          <w:b/>
          <w:bCs/>
          <w:color w:val="000000" w:themeColor="text1"/>
        </w:rPr>
        <w:tab/>
        <w:t>Study aims</w:t>
      </w:r>
      <w:bookmarkEnd w:id="9"/>
    </w:p>
    <w:p w14:paraId="0A08AAFA" w14:textId="77777777" w:rsidR="00FA0744" w:rsidRPr="00075857" w:rsidRDefault="00FA0744" w:rsidP="00FA0744">
      <w:pPr>
        <w:spacing w:line="480" w:lineRule="auto"/>
        <w:rPr>
          <w:lang w:val="en-US"/>
        </w:rPr>
      </w:pPr>
      <w:r>
        <w:rPr>
          <w:lang w:val="en-US"/>
        </w:rPr>
        <w:t>This PhD</w:t>
      </w:r>
      <w:r w:rsidRPr="008337B7">
        <w:rPr>
          <w:lang w:val="en-US"/>
        </w:rPr>
        <w:t xml:space="preserve"> </w:t>
      </w:r>
      <w:r>
        <w:rPr>
          <w:lang w:val="en-US"/>
        </w:rPr>
        <w:t>addressed</w:t>
      </w:r>
      <w:r w:rsidRPr="008337B7">
        <w:rPr>
          <w:lang w:val="en-US"/>
        </w:rPr>
        <w:t xml:space="preserve"> knowledge gaps </w:t>
      </w:r>
      <w:r>
        <w:rPr>
          <w:lang w:val="en-US"/>
        </w:rPr>
        <w:t>concerning climatic effects on mangrove productivity and carbon storing. Advances to the field were made through</w:t>
      </w:r>
      <w:r w:rsidRPr="008337B7">
        <w:rPr>
          <w:lang w:val="en-US"/>
        </w:rPr>
        <w:t xml:space="preserve"> collecting empirical data from mangroves in a hot, arid setting, Qatar, the Gulf, and incorporat</w:t>
      </w:r>
      <w:r>
        <w:rPr>
          <w:lang w:val="en-US"/>
        </w:rPr>
        <w:t>ing</w:t>
      </w:r>
      <w:r w:rsidRPr="008337B7">
        <w:rPr>
          <w:lang w:val="en-US"/>
        </w:rPr>
        <w:t xml:space="preserve"> these </w:t>
      </w:r>
      <w:r>
        <w:rPr>
          <w:lang w:val="en-US"/>
        </w:rPr>
        <w:t>observations</w:t>
      </w:r>
      <w:r w:rsidRPr="008337B7">
        <w:rPr>
          <w:lang w:val="en-US"/>
        </w:rPr>
        <w:t xml:space="preserve"> into global models of mangrove change</w:t>
      </w:r>
      <w:r>
        <w:rPr>
          <w:lang w:val="en-US"/>
        </w:rPr>
        <w:t>. The over-arching aim was</w:t>
      </w:r>
      <w:r w:rsidRPr="008337B7">
        <w:rPr>
          <w:lang w:val="en-US"/>
        </w:rPr>
        <w:t xml:space="preserve"> to provide more robust estimates of mangrove functioning under projected climate change</w:t>
      </w:r>
      <w:r>
        <w:rPr>
          <w:lang w:val="en-US"/>
        </w:rPr>
        <w:t xml:space="preserve">. </w:t>
      </w:r>
      <w:r w:rsidRPr="00075857">
        <w:rPr>
          <w:lang w:val="en-US"/>
        </w:rPr>
        <w:t xml:space="preserve">Two </w:t>
      </w:r>
      <w:r>
        <w:rPr>
          <w:lang w:val="en-US"/>
        </w:rPr>
        <w:t xml:space="preserve">field-based research </w:t>
      </w:r>
      <w:r w:rsidRPr="00075857">
        <w:rPr>
          <w:lang w:val="en-US"/>
        </w:rPr>
        <w:t xml:space="preserve">chapters </w:t>
      </w:r>
      <w:r>
        <w:rPr>
          <w:lang w:val="en-US"/>
        </w:rPr>
        <w:t>delivered</w:t>
      </w:r>
      <w:r w:rsidRPr="00075857">
        <w:rPr>
          <w:lang w:val="en-US"/>
        </w:rPr>
        <w:t xml:space="preserve"> fundamental observations of mangrove primary productivity (Chapter 2) and mangrove carbon stock (Chapter 4) in Qatari mangroves. Data captured by these chapters </w:t>
      </w:r>
      <w:r>
        <w:rPr>
          <w:lang w:val="en-US"/>
        </w:rPr>
        <w:t>were</w:t>
      </w:r>
      <w:r w:rsidRPr="00075857">
        <w:rPr>
          <w:lang w:val="en-US"/>
        </w:rPr>
        <w:t xml:space="preserve"> then incorporated into model upscaling </w:t>
      </w:r>
      <w:r>
        <w:rPr>
          <w:lang w:val="en-US"/>
        </w:rPr>
        <w:t xml:space="preserve">with data from other regions </w:t>
      </w:r>
      <w:r w:rsidRPr="00075857">
        <w:rPr>
          <w:lang w:val="en-US"/>
        </w:rPr>
        <w:t>to project global changes to mangrove productivity (Chapter 3) and carbon stock (Chapter 5) under climate change</w:t>
      </w:r>
      <w:r>
        <w:rPr>
          <w:lang w:val="en-US"/>
        </w:rPr>
        <w:t xml:space="preserve"> (Figure 1.5)</w:t>
      </w:r>
      <w:r w:rsidRPr="00075857">
        <w:rPr>
          <w:lang w:val="en-US"/>
        </w:rPr>
        <w:t xml:space="preserve">. </w:t>
      </w:r>
    </w:p>
    <w:p w14:paraId="0993FAB0" w14:textId="77777777" w:rsidR="00FA0744" w:rsidRPr="008337B7" w:rsidRDefault="00FA0744" w:rsidP="00FA0744">
      <w:pPr>
        <w:spacing w:line="480" w:lineRule="auto"/>
        <w:rPr>
          <w:lang w:val="en-US"/>
        </w:rPr>
      </w:pPr>
      <w:r>
        <w:rPr>
          <w:lang w:val="en-US"/>
        </w:rPr>
        <w:t>The dissertation addressed</w:t>
      </w:r>
      <w:r w:rsidRPr="008337B7">
        <w:rPr>
          <w:lang w:val="en-US"/>
        </w:rPr>
        <w:t xml:space="preserve"> the</w:t>
      </w:r>
      <w:r>
        <w:rPr>
          <w:lang w:val="en-US"/>
        </w:rPr>
        <w:t xml:space="preserve"> following</w:t>
      </w:r>
      <w:r w:rsidRPr="008337B7">
        <w:rPr>
          <w:lang w:val="en-US"/>
        </w:rPr>
        <w:t xml:space="preserve"> specific research questions:</w:t>
      </w:r>
    </w:p>
    <w:p w14:paraId="0D04D874" w14:textId="77777777" w:rsidR="00FA0744" w:rsidRPr="008337B7" w:rsidRDefault="00FA0744" w:rsidP="00FA0744">
      <w:pPr>
        <w:pStyle w:val="ListParagraph"/>
        <w:numPr>
          <w:ilvl w:val="0"/>
          <w:numId w:val="10"/>
        </w:numPr>
        <w:spacing w:after="0" w:line="480" w:lineRule="auto"/>
        <w:rPr>
          <w:sz w:val="24"/>
          <w:szCs w:val="24"/>
        </w:rPr>
      </w:pPr>
      <w:r w:rsidRPr="008337B7">
        <w:rPr>
          <w:rFonts w:cstheme="minorHAnsi"/>
          <w:i/>
          <w:iCs/>
          <w:sz w:val="24"/>
          <w:szCs w:val="24"/>
        </w:rPr>
        <w:t>How productive are the mangroves in Qatar (chapter 2)?</w:t>
      </w:r>
    </w:p>
    <w:p w14:paraId="0DF09B8E" w14:textId="77777777" w:rsidR="00FA0744" w:rsidRPr="008337B7" w:rsidRDefault="00FA0744" w:rsidP="00FA0744">
      <w:pPr>
        <w:pStyle w:val="ListParagraph"/>
        <w:numPr>
          <w:ilvl w:val="0"/>
          <w:numId w:val="10"/>
        </w:numPr>
        <w:spacing w:after="0" w:line="480" w:lineRule="auto"/>
        <w:rPr>
          <w:sz w:val="24"/>
          <w:szCs w:val="24"/>
        </w:rPr>
      </w:pPr>
      <w:r w:rsidRPr="008337B7">
        <w:rPr>
          <w:rFonts w:cstheme="minorHAnsi"/>
          <w:i/>
          <w:iCs/>
          <w:sz w:val="24"/>
          <w:szCs w:val="24"/>
        </w:rPr>
        <w:t xml:space="preserve">Are </w:t>
      </w:r>
      <w:r>
        <w:rPr>
          <w:rFonts w:cstheme="minorHAnsi"/>
          <w:i/>
          <w:iCs/>
          <w:sz w:val="24"/>
          <w:szCs w:val="24"/>
        </w:rPr>
        <w:t>Qatar mangroves</w:t>
      </w:r>
      <w:r w:rsidRPr="008337B7">
        <w:rPr>
          <w:rFonts w:cstheme="minorHAnsi"/>
          <w:i/>
          <w:iCs/>
          <w:sz w:val="24"/>
          <w:szCs w:val="24"/>
        </w:rPr>
        <w:t xml:space="preserve"> less productive than their tropical counterparts (chapters 2 and 3)?</w:t>
      </w:r>
    </w:p>
    <w:p w14:paraId="628C6004" w14:textId="77777777" w:rsidR="00FA0744" w:rsidRPr="008337B7" w:rsidRDefault="00FA0744" w:rsidP="00FA0744">
      <w:pPr>
        <w:pStyle w:val="ListParagraph"/>
        <w:numPr>
          <w:ilvl w:val="0"/>
          <w:numId w:val="10"/>
        </w:numPr>
        <w:spacing w:after="0" w:line="480" w:lineRule="auto"/>
        <w:rPr>
          <w:sz w:val="24"/>
          <w:szCs w:val="24"/>
        </w:rPr>
      </w:pPr>
      <w:r w:rsidRPr="008337B7">
        <w:rPr>
          <w:rFonts w:cstheme="minorHAnsi"/>
          <w:i/>
          <w:iCs/>
          <w:sz w:val="24"/>
          <w:szCs w:val="24"/>
        </w:rPr>
        <w:t>How much carbon is stored in Qatari mangroves (chapter 4)?</w:t>
      </w:r>
    </w:p>
    <w:p w14:paraId="3E4C5398" w14:textId="77777777" w:rsidR="00FA0744" w:rsidRPr="008337B7" w:rsidRDefault="00FA0744" w:rsidP="00FA0744">
      <w:pPr>
        <w:pStyle w:val="ListParagraph"/>
        <w:numPr>
          <w:ilvl w:val="0"/>
          <w:numId w:val="10"/>
        </w:numPr>
        <w:spacing w:after="0" w:line="480" w:lineRule="auto"/>
        <w:rPr>
          <w:sz w:val="24"/>
          <w:szCs w:val="24"/>
        </w:rPr>
      </w:pPr>
      <w:r w:rsidRPr="008337B7">
        <w:rPr>
          <w:rFonts w:cstheme="minorHAnsi"/>
          <w:i/>
          <w:iCs/>
          <w:sz w:val="24"/>
          <w:szCs w:val="24"/>
        </w:rPr>
        <w:t>Do mangroves in Qatar store less carbon than their tropical counterparts (chapters 4 and 5)?</w:t>
      </w:r>
    </w:p>
    <w:p w14:paraId="112FB567" w14:textId="77777777" w:rsidR="00FA0744" w:rsidRPr="008337B7" w:rsidRDefault="00FA0744" w:rsidP="00FA0744">
      <w:pPr>
        <w:pStyle w:val="ListParagraph"/>
        <w:numPr>
          <w:ilvl w:val="0"/>
          <w:numId w:val="10"/>
        </w:numPr>
        <w:spacing w:after="0" w:line="480" w:lineRule="auto"/>
        <w:rPr>
          <w:sz w:val="24"/>
          <w:szCs w:val="24"/>
        </w:rPr>
      </w:pPr>
      <w:r w:rsidRPr="008337B7">
        <w:rPr>
          <w:rFonts w:cstheme="minorHAnsi"/>
          <w:i/>
          <w:iCs/>
          <w:sz w:val="24"/>
          <w:szCs w:val="24"/>
        </w:rPr>
        <w:lastRenderedPageBreak/>
        <w:t>How can mangrove functioning in Qatar inform current global estimates of mangrove productivity and carbon stocks (chapter 3 and 5)?</w:t>
      </w:r>
    </w:p>
    <w:p w14:paraId="6E4EF952" w14:textId="77777777" w:rsidR="00FA0744" w:rsidRPr="008337B7" w:rsidRDefault="00FA0744" w:rsidP="00FA0744">
      <w:pPr>
        <w:pStyle w:val="ListParagraph"/>
        <w:numPr>
          <w:ilvl w:val="0"/>
          <w:numId w:val="10"/>
        </w:numPr>
        <w:spacing w:after="0" w:line="480" w:lineRule="auto"/>
        <w:rPr>
          <w:sz w:val="24"/>
          <w:szCs w:val="24"/>
        </w:rPr>
      </w:pPr>
      <w:r w:rsidRPr="008337B7">
        <w:rPr>
          <w:rFonts w:cstheme="minorHAnsi"/>
          <w:i/>
          <w:iCs/>
          <w:sz w:val="24"/>
          <w:szCs w:val="24"/>
        </w:rPr>
        <w:t>How can mangrove functioning in Qatar inform estimates of global change in mangrove productivity and carbon stocks by the end of the 21</w:t>
      </w:r>
      <w:r w:rsidRPr="008337B7">
        <w:rPr>
          <w:rFonts w:cstheme="minorHAnsi"/>
          <w:i/>
          <w:iCs/>
          <w:sz w:val="24"/>
          <w:szCs w:val="24"/>
          <w:vertAlign w:val="superscript"/>
        </w:rPr>
        <w:t>st</w:t>
      </w:r>
      <w:r w:rsidRPr="008337B7">
        <w:rPr>
          <w:rFonts w:cstheme="minorHAnsi"/>
          <w:i/>
          <w:iCs/>
          <w:sz w:val="24"/>
          <w:szCs w:val="24"/>
        </w:rPr>
        <w:t xml:space="preserve"> century (chapter 3 and 5)?</w:t>
      </w:r>
    </w:p>
    <w:p w14:paraId="66BFB4E0" w14:textId="77777777" w:rsidR="00FA0744" w:rsidRDefault="00FA0744" w:rsidP="00FA0744">
      <w:pPr>
        <w:spacing w:line="480" w:lineRule="auto"/>
        <w:rPr>
          <w:lang w:val="en-US"/>
        </w:rPr>
      </w:pPr>
    </w:p>
    <w:p w14:paraId="638AD967" w14:textId="77777777" w:rsidR="00FA0744" w:rsidRDefault="00FA0744" w:rsidP="00FA0744">
      <w:pPr>
        <w:spacing w:line="480" w:lineRule="auto"/>
        <w:rPr>
          <w:lang w:val="en-US"/>
        </w:rPr>
        <w:sectPr w:rsidR="00FA0744">
          <w:pgSz w:w="11906" w:h="16838"/>
          <w:pgMar w:top="1440" w:right="1440" w:bottom="1440" w:left="1440" w:header="720" w:footer="720" w:gutter="0"/>
          <w:cols w:space="720"/>
          <w:docGrid w:linePitch="360"/>
        </w:sectPr>
      </w:pPr>
    </w:p>
    <w:p w14:paraId="60C33110" w14:textId="77777777" w:rsidR="00FA0744" w:rsidRDefault="00FA0744" w:rsidP="00FA0744">
      <w:pPr>
        <w:spacing w:line="480" w:lineRule="auto"/>
        <w:rPr>
          <w:lang w:val="en-US"/>
        </w:rPr>
      </w:pPr>
      <w:r>
        <w:rPr>
          <w:noProof/>
          <w:lang w:val="en-US"/>
        </w:rPr>
        <w:lastRenderedPageBreak/>
        <mc:AlternateContent>
          <mc:Choice Requires="wps">
            <w:drawing>
              <wp:anchor distT="0" distB="0" distL="114300" distR="114300" simplePos="0" relativeHeight="251664384" behindDoc="0" locked="0" layoutInCell="1" allowOverlap="1" wp14:anchorId="7676196E" wp14:editId="6BFD4362">
                <wp:simplePos x="0" y="0"/>
                <wp:positionH relativeFrom="column">
                  <wp:posOffset>54952</wp:posOffset>
                </wp:positionH>
                <wp:positionV relativeFrom="paragraph">
                  <wp:posOffset>-36049</wp:posOffset>
                </wp:positionV>
                <wp:extent cx="3375498" cy="340468"/>
                <wp:effectExtent l="0" t="0" r="3175" b="2540"/>
                <wp:wrapNone/>
                <wp:docPr id="24" name="Text Box 24"/>
                <wp:cNvGraphicFramePr/>
                <a:graphic xmlns:a="http://schemas.openxmlformats.org/drawingml/2006/main">
                  <a:graphicData uri="http://schemas.microsoft.com/office/word/2010/wordprocessingShape">
                    <wps:wsp>
                      <wps:cNvSpPr txBox="1"/>
                      <wps:spPr>
                        <a:xfrm>
                          <a:off x="0" y="0"/>
                          <a:ext cx="3375498" cy="340468"/>
                        </a:xfrm>
                        <a:prstGeom prst="rect">
                          <a:avLst/>
                        </a:prstGeom>
                        <a:solidFill>
                          <a:schemeClr val="lt1"/>
                        </a:solidFill>
                        <a:ln w="6350">
                          <a:noFill/>
                        </a:ln>
                      </wps:spPr>
                      <wps:txbx>
                        <w:txbxContent>
                          <w:p w14:paraId="30E2A7EE" w14:textId="77777777" w:rsidR="00FA0744" w:rsidRPr="00514015" w:rsidRDefault="00FA0744" w:rsidP="00FA0744">
                            <w:pPr>
                              <w:rPr>
                                <w:b/>
                                <w:bCs/>
                                <w:sz w:val="32"/>
                                <w:szCs w:val="32"/>
                              </w:rPr>
                            </w:pPr>
                            <w:r w:rsidRPr="00514015">
                              <w:rPr>
                                <w:b/>
                                <w:bCs/>
                                <w:sz w:val="32"/>
                                <w:szCs w:val="32"/>
                              </w:rPr>
                              <w:t xml:space="preserve">Mangrove </w:t>
                            </w:r>
                            <w:r>
                              <w:rPr>
                                <w:b/>
                                <w:bCs/>
                                <w:sz w:val="32"/>
                                <w:szCs w:val="32"/>
                              </w:rPr>
                              <w:t>p</w:t>
                            </w:r>
                            <w:r w:rsidRPr="00514015">
                              <w:rPr>
                                <w:b/>
                                <w:bCs/>
                                <w:sz w:val="32"/>
                                <w:szCs w:val="32"/>
                              </w:rPr>
                              <w:t>roductivity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76196E" id="_x0000_t202" coordsize="21600,21600" o:spt="202" path="m,l,21600r21600,l21600,xe">
                <v:stroke joinstyle="miter"/>
                <v:path gradientshapeok="t" o:connecttype="rect"/>
              </v:shapetype>
              <v:shape id="Text Box 24" o:spid="_x0000_s1026" type="#_x0000_t202" style="position:absolute;margin-left:4.35pt;margin-top:-2.85pt;width:265.8pt;height:26.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" fillcolor="white [3201]" stroked="f" strokeweight=".5pt">
                <v:textbox>
                  <w:txbxContent>
                    <w:p w14:paraId="30E2A7EE" w14:textId="77777777" w:rsidR="00FA0744" w:rsidRPr="00514015" w:rsidRDefault="00FA0744" w:rsidP="00FA0744">
                      <w:pPr>
                        <w:rPr>
                          <w:b/>
                          <w:bCs/>
                          <w:sz w:val="32"/>
                          <w:szCs w:val="32"/>
                        </w:rPr>
                      </w:pPr>
                      <w:r w:rsidRPr="00514015">
                        <w:rPr>
                          <w:b/>
                          <w:bCs/>
                          <w:sz w:val="32"/>
                          <w:szCs w:val="32"/>
                        </w:rPr>
                        <w:t xml:space="preserve">Mangrove </w:t>
                      </w:r>
                      <w:r>
                        <w:rPr>
                          <w:b/>
                          <w:bCs/>
                          <w:sz w:val="32"/>
                          <w:szCs w:val="32"/>
                        </w:rPr>
                        <w:t>p</w:t>
                      </w:r>
                      <w:r w:rsidRPr="00514015">
                        <w:rPr>
                          <w:b/>
                          <w:bCs/>
                          <w:sz w:val="32"/>
                          <w:szCs w:val="32"/>
                        </w:rPr>
                        <w:t>roductivity</w:t>
                      </w:r>
                    </w:p>
                  </w:txbxContent>
                </v:textbox>
              </v:shape>
            </w:pict>
          </mc:Fallback>
        </mc:AlternateContent>
      </w:r>
    </w:p>
    <w:p w14:paraId="3B3E1B30" w14:textId="1F84DC0A" w:rsidR="00FA0744" w:rsidRDefault="00EA6383" w:rsidP="00FA0744">
      <w:pPr>
        <w:spacing w:line="480" w:lineRule="auto"/>
        <w:rPr>
          <w:lang w:val="en-US"/>
        </w:rPr>
      </w:pPr>
      <w:r>
        <w:rPr>
          <w:noProof/>
          <w:lang w:val="en-US"/>
        </w:rPr>
        <mc:AlternateContent>
          <mc:Choice Requires="wps">
            <w:drawing>
              <wp:anchor distT="0" distB="0" distL="114300" distR="114300" simplePos="0" relativeHeight="251710464" behindDoc="0" locked="0" layoutInCell="1" allowOverlap="1" wp14:anchorId="53E7FF89" wp14:editId="1F027A3E">
                <wp:simplePos x="0" y="0"/>
                <wp:positionH relativeFrom="column">
                  <wp:posOffset>4293870</wp:posOffset>
                </wp:positionH>
                <wp:positionV relativeFrom="paragraph">
                  <wp:posOffset>1078230</wp:posOffset>
                </wp:positionV>
                <wp:extent cx="478155" cy="375920"/>
                <wp:effectExtent l="12700" t="12700" r="42545" b="30480"/>
                <wp:wrapNone/>
                <wp:docPr id="93" name="Straight Arrow Connector 93"/>
                <wp:cNvGraphicFramePr/>
                <a:graphic xmlns:a="http://schemas.openxmlformats.org/drawingml/2006/main">
                  <a:graphicData uri="http://schemas.microsoft.com/office/word/2010/wordprocessingShape">
                    <wps:wsp>
                      <wps:cNvCnPr/>
                      <wps:spPr>
                        <a:xfrm>
                          <a:off x="0" y="0"/>
                          <a:ext cx="478155" cy="37592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3E900A7" id="_x0000_t32" coordsize="21600,21600" o:spt="32" o:oned="t" path="m,l21600,21600e" filled="f">
                <v:path arrowok="t" fillok="f" o:connecttype="none"/>
                <o:lock v:ext="edit" shapetype="t"/>
              </v:shapetype>
              <v:shape id="Straight Arrow Connector 93" o:spid="_x0000_s1026" type="#_x0000_t32" style="position:absolute;margin-left:338.1pt;margin-top:84.9pt;width:37.65pt;height:29.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" strokecolor="black [3200]" strokeweight="1.5pt">
                <v:stroke endarrow="block" joinstyle="miter"/>
              </v:shape>
            </w:pict>
          </mc:Fallback>
        </mc:AlternateContent>
      </w:r>
      <w:r>
        <w:rPr>
          <w:noProof/>
          <w:lang w:val="en-US"/>
        </w:rPr>
        <mc:AlternateContent>
          <mc:Choice Requires="wps">
            <w:drawing>
              <wp:anchor distT="0" distB="0" distL="114300" distR="114300" simplePos="0" relativeHeight="251709440" behindDoc="0" locked="0" layoutInCell="1" allowOverlap="1" wp14:anchorId="5A9C58BD" wp14:editId="2755BB63">
                <wp:simplePos x="0" y="0"/>
                <wp:positionH relativeFrom="column">
                  <wp:posOffset>4293870</wp:posOffset>
                </wp:positionH>
                <wp:positionV relativeFrom="paragraph">
                  <wp:posOffset>355600</wp:posOffset>
                </wp:positionV>
                <wp:extent cx="478155" cy="283210"/>
                <wp:effectExtent l="12700" t="25400" r="29845" b="21590"/>
                <wp:wrapNone/>
                <wp:docPr id="92" name="Straight Arrow Connector 92"/>
                <wp:cNvGraphicFramePr/>
                <a:graphic xmlns:a="http://schemas.openxmlformats.org/drawingml/2006/main">
                  <a:graphicData uri="http://schemas.microsoft.com/office/word/2010/wordprocessingShape">
                    <wps:wsp>
                      <wps:cNvCnPr/>
                      <wps:spPr>
                        <a:xfrm flipV="1">
                          <a:off x="0" y="0"/>
                          <a:ext cx="478155" cy="28321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F8FAA3" id="Straight Arrow Connector 92" o:spid="_x0000_s1026" type="#_x0000_t32" style="position:absolute;margin-left:338.1pt;margin-top:28pt;width:37.65pt;height:22.3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" strokecolor="black [3200]" strokeweight="1.5pt">
                <v:stroke endarrow="block" joinstyle="miter"/>
              </v:shape>
            </w:pict>
          </mc:Fallback>
        </mc:AlternateContent>
      </w:r>
      <w:r>
        <w:rPr>
          <w:noProof/>
          <w:lang w:val="en-US"/>
        </w:rPr>
        <mc:AlternateContent>
          <mc:Choice Requires="wps">
            <w:drawing>
              <wp:anchor distT="0" distB="0" distL="114300" distR="114300" simplePos="0" relativeHeight="251708416" behindDoc="0" locked="0" layoutInCell="1" allowOverlap="1" wp14:anchorId="7C5DA505" wp14:editId="77162350">
                <wp:simplePos x="0" y="0"/>
                <wp:positionH relativeFrom="column">
                  <wp:posOffset>2012950</wp:posOffset>
                </wp:positionH>
                <wp:positionV relativeFrom="paragraph">
                  <wp:posOffset>867410</wp:posOffset>
                </wp:positionV>
                <wp:extent cx="417830" cy="525145"/>
                <wp:effectExtent l="0" t="63500" r="0" b="20955"/>
                <wp:wrapNone/>
                <wp:docPr id="91" name="Elbow Connector 91"/>
                <wp:cNvGraphicFramePr/>
                <a:graphic xmlns:a="http://schemas.openxmlformats.org/drawingml/2006/main">
                  <a:graphicData uri="http://schemas.microsoft.com/office/word/2010/wordprocessingShape">
                    <wps:wsp>
                      <wps:cNvCnPr/>
                      <wps:spPr>
                        <a:xfrm flipV="1">
                          <a:off x="0" y="0"/>
                          <a:ext cx="417830" cy="525145"/>
                        </a:xfrm>
                        <a:prstGeom prst="bentConnector3">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19517199"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91" o:spid="_x0000_s1026" type="#_x0000_t34" style="position:absolute;margin-left:158.5pt;margin-top:68.3pt;width:32.9pt;height:41.35pt;flip:y;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" strokecolor="black [3200]" strokeweight="1.5pt">
                <v:stroke endarrow="block"/>
              </v:shape>
            </w:pict>
          </mc:Fallback>
        </mc:AlternateContent>
      </w:r>
      <w:r>
        <w:rPr>
          <w:noProof/>
          <w:lang w:val="en-US"/>
        </w:rPr>
        <mc:AlternateContent>
          <mc:Choice Requires="wps">
            <w:drawing>
              <wp:anchor distT="0" distB="0" distL="114300" distR="114300" simplePos="0" relativeHeight="251707392" behindDoc="0" locked="0" layoutInCell="1" allowOverlap="1" wp14:anchorId="0440EBCB" wp14:editId="40F7A232">
                <wp:simplePos x="0" y="0"/>
                <wp:positionH relativeFrom="column">
                  <wp:posOffset>2012950</wp:posOffset>
                </wp:positionH>
                <wp:positionV relativeFrom="paragraph">
                  <wp:posOffset>55880</wp:posOffset>
                </wp:positionV>
                <wp:extent cx="417830" cy="573405"/>
                <wp:effectExtent l="0" t="12700" r="39370" b="74295"/>
                <wp:wrapNone/>
                <wp:docPr id="90" name="Elbow Connector 90"/>
                <wp:cNvGraphicFramePr/>
                <a:graphic xmlns:a="http://schemas.openxmlformats.org/drawingml/2006/main">
                  <a:graphicData uri="http://schemas.microsoft.com/office/word/2010/wordprocessingShape">
                    <wps:wsp>
                      <wps:cNvCnPr/>
                      <wps:spPr>
                        <a:xfrm>
                          <a:off x="0" y="0"/>
                          <a:ext cx="417830" cy="573405"/>
                        </a:xfrm>
                        <a:prstGeom prst="bentConnector3">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9FB653D" id="Elbow Connector 90" o:spid="_x0000_s1026" type="#_x0000_t34" style="position:absolute;margin-left:158.5pt;margin-top:4.4pt;width:32.9pt;height:45.15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" strokecolor="black [3200]" strokeweight="1.5pt">
                <v:stroke endarrow="block"/>
              </v:shape>
            </w:pict>
          </mc:Fallback>
        </mc:AlternateContent>
      </w:r>
      <w:r>
        <w:rPr>
          <w:noProof/>
          <w:lang w:val="en-US"/>
        </w:rPr>
        <mc:AlternateContent>
          <mc:Choice Requires="wps">
            <w:drawing>
              <wp:anchor distT="0" distB="0" distL="114300" distR="114300" simplePos="0" relativeHeight="251706368" behindDoc="0" locked="0" layoutInCell="1" allowOverlap="1" wp14:anchorId="4709AB08" wp14:editId="7B387BF0">
                <wp:simplePos x="0" y="0"/>
                <wp:positionH relativeFrom="column">
                  <wp:posOffset>4838065</wp:posOffset>
                </wp:positionH>
                <wp:positionV relativeFrom="paragraph">
                  <wp:posOffset>1195070</wp:posOffset>
                </wp:positionV>
                <wp:extent cx="1896745" cy="879475"/>
                <wp:effectExtent l="0" t="0" r="8255" b="9525"/>
                <wp:wrapNone/>
                <wp:docPr id="89" name="Text Box 89"/>
                <wp:cNvGraphicFramePr/>
                <a:graphic xmlns:a="http://schemas.openxmlformats.org/drawingml/2006/main">
                  <a:graphicData uri="http://schemas.microsoft.com/office/word/2010/wordprocessingShape">
                    <wps:wsp>
                      <wps:cNvSpPr txBox="1"/>
                      <wps:spPr>
                        <a:xfrm>
                          <a:off x="0" y="0"/>
                          <a:ext cx="1896745" cy="879475"/>
                        </a:xfrm>
                        <a:prstGeom prst="rect">
                          <a:avLst/>
                        </a:prstGeom>
                        <a:solidFill>
                          <a:schemeClr val="lt1"/>
                        </a:solidFill>
                        <a:ln w="6350">
                          <a:solidFill>
                            <a:prstClr val="black"/>
                          </a:solidFill>
                        </a:ln>
                      </wps:spPr>
                      <wps:txbx>
                        <w:txbxContent>
                          <w:p w14:paraId="26B1C4C8" w14:textId="0E6EDD98" w:rsidR="00EA6383" w:rsidRPr="00EA6383" w:rsidRDefault="00EA6383" w:rsidP="00EA6383">
                            <w:pPr>
                              <w:rPr>
                                <w:sz w:val="22"/>
                                <w:szCs w:val="22"/>
                              </w:rPr>
                            </w:pPr>
                            <w:r w:rsidRPr="00EA6383">
                              <w:rPr>
                                <w:sz w:val="22"/>
                                <w:szCs w:val="22"/>
                              </w:rPr>
                              <w:t xml:space="preserve">Estimate future global mangrove </w:t>
                            </w:r>
                            <w:r w:rsidR="003348E5">
                              <w:rPr>
                                <w:sz w:val="22"/>
                                <w:szCs w:val="22"/>
                              </w:rPr>
                              <w:t xml:space="preserve">productivity </w:t>
                            </w:r>
                            <w:r w:rsidRPr="00EA6383">
                              <w:rPr>
                                <w:sz w:val="22"/>
                                <w:szCs w:val="22"/>
                              </w:rPr>
                              <w:t xml:space="preserve">using weighted forecast climate data (chapter </w:t>
                            </w:r>
                            <w:r w:rsidR="00707D2D">
                              <w:rPr>
                                <w:sz w:val="22"/>
                                <w:szCs w:val="22"/>
                              </w:rPr>
                              <w:t>3</w:t>
                            </w:r>
                            <w:r w:rsidRPr="00EA6383">
                              <w:rPr>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9AB08" id="Text Box 89" o:spid="_x0000_s1027" type="#_x0000_t202" style="position:absolute;margin-left:380.95pt;margin-top:94.1pt;width:149.35pt;height:69.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" fillcolor="white [3201]" strokeweight=".5pt">
                <v:textbox>
                  <w:txbxContent>
                    <w:p w14:paraId="26B1C4C8" w14:textId="0E6EDD98" w:rsidR="00EA6383" w:rsidRPr="00EA6383" w:rsidRDefault="00EA6383" w:rsidP="00EA6383">
                      <w:pPr>
                        <w:rPr>
                          <w:sz w:val="22"/>
                          <w:szCs w:val="22"/>
                        </w:rPr>
                      </w:pPr>
                      <w:r w:rsidRPr="00EA6383">
                        <w:rPr>
                          <w:sz w:val="22"/>
                          <w:szCs w:val="22"/>
                        </w:rPr>
                        <w:t xml:space="preserve">Estimate future global mangrove </w:t>
                      </w:r>
                      <w:r w:rsidR="003348E5">
                        <w:rPr>
                          <w:sz w:val="22"/>
                          <w:szCs w:val="22"/>
                        </w:rPr>
                        <w:t xml:space="preserve">productivity </w:t>
                      </w:r>
                      <w:r w:rsidRPr="00EA6383">
                        <w:rPr>
                          <w:sz w:val="22"/>
                          <w:szCs w:val="22"/>
                        </w:rPr>
                        <w:t xml:space="preserve">using weighted forecast climate data (chapter </w:t>
                      </w:r>
                      <w:r w:rsidR="00707D2D">
                        <w:rPr>
                          <w:sz w:val="22"/>
                          <w:szCs w:val="22"/>
                        </w:rPr>
                        <w:t>3</w:t>
                      </w:r>
                      <w:r w:rsidRPr="00EA6383">
                        <w:rPr>
                          <w:sz w:val="22"/>
                          <w:szCs w:val="22"/>
                        </w:rPr>
                        <w:t>)</w:t>
                      </w:r>
                    </w:p>
                  </w:txbxContent>
                </v:textbox>
              </v:shape>
            </w:pict>
          </mc:Fallback>
        </mc:AlternateContent>
      </w:r>
      <w:r>
        <w:rPr>
          <w:noProof/>
          <w:lang w:val="en-US"/>
        </w:rPr>
        <mc:AlternateContent>
          <mc:Choice Requires="wps">
            <w:drawing>
              <wp:anchor distT="0" distB="0" distL="114300" distR="114300" simplePos="0" relativeHeight="251705344" behindDoc="0" locked="0" layoutInCell="1" allowOverlap="1" wp14:anchorId="0B1403BD" wp14:editId="633B765B">
                <wp:simplePos x="0" y="0"/>
                <wp:positionH relativeFrom="column">
                  <wp:posOffset>4826635</wp:posOffset>
                </wp:positionH>
                <wp:positionV relativeFrom="paragraph">
                  <wp:posOffset>10160</wp:posOffset>
                </wp:positionV>
                <wp:extent cx="1877060" cy="809625"/>
                <wp:effectExtent l="0" t="0" r="15240" b="15875"/>
                <wp:wrapNone/>
                <wp:docPr id="88" name="Text Box 88"/>
                <wp:cNvGraphicFramePr/>
                <a:graphic xmlns:a="http://schemas.openxmlformats.org/drawingml/2006/main">
                  <a:graphicData uri="http://schemas.microsoft.com/office/word/2010/wordprocessingShape">
                    <wps:wsp>
                      <wps:cNvSpPr txBox="1"/>
                      <wps:spPr>
                        <a:xfrm>
                          <a:off x="0" y="0"/>
                          <a:ext cx="1877060" cy="809625"/>
                        </a:xfrm>
                        <a:prstGeom prst="rect">
                          <a:avLst/>
                        </a:prstGeom>
                        <a:solidFill>
                          <a:schemeClr val="lt1"/>
                        </a:solidFill>
                        <a:ln w="6350">
                          <a:solidFill>
                            <a:prstClr val="black"/>
                          </a:solidFill>
                        </a:ln>
                      </wps:spPr>
                      <wps:txbx>
                        <w:txbxContent>
                          <w:p w14:paraId="0A136FB9" w14:textId="54E350AC" w:rsidR="00EA6383" w:rsidRPr="00EA6383" w:rsidRDefault="00EA6383" w:rsidP="00EA6383">
                            <w:pPr>
                              <w:rPr>
                                <w:sz w:val="22"/>
                                <w:szCs w:val="22"/>
                              </w:rPr>
                            </w:pPr>
                            <w:r w:rsidRPr="00EA6383">
                              <w:rPr>
                                <w:sz w:val="22"/>
                                <w:szCs w:val="22"/>
                              </w:rPr>
                              <w:t xml:space="preserve">Estimate present day global mangrove </w:t>
                            </w:r>
                            <w:r w:rsidR="003348E5">
                              <w:rPr>
                                <w:sz w:val="22"/>
                                <w:szCs w:val="22"/>
                              </w:rPr>
                              <w:t xml:space="preserve">productivity </w:t>
                            </w:r>
                            <w:r w:rsidRPr="00EA6383">
                              <w:rPr>
                                <w:sz w:val="22"/>
                                <w:szCs w:val="22"/>
                              </w:rPr>
                              <w:t xml:space="preserve">using present day climate data (chapter </w:t>
                            </w:r>
                            <w:r w:rsidR="00707D2D">
                              <w:rPr>
                                <w:sz w:val="22"/>
                                <w:szCs w:val="22"/>
                              </w:rPr>
                              <w:t>3</w:t>
                            </w:r>
                            <w:r w:rsidRPr="00EA6383">
                              <w:rPr>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403BD" id="Text Box 88" o:spid="_x0000_s1028" type="#_x0000_t202" style="position:absolute;margin-left:380.05pt;margin-top:.8pt;width:147.8pt;height:63.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" fillcolor="white [3201]" strokeweight=".5pt">
                <v:textbox>
                  <w:txbxContent>
                    <w:p w14:paraId="0A136FB9" w14:textId="54E350AC" w:rsidR="00EA6383" w:rsidRPr="00EA6383" w:rsidRDefault="00EA6383" w:rsidP="00EA6383">
                      <w:pPr>
                        <w:rPr>
                          <w:sz w:val="22"/>
                          <w:szCs w:val="22"/>
                        </w:rPr>
                      </w:pPr>
                      <w:r w:rsidRPr="00EA6383">
                        <w:rPr>
                          <w:sz w:val="22"/>
                          <w:szCs w:val="22"/>
                        </w:rPr>
                        <w:t xml:space="preserve">Estimate present day global mangrove </w:t>
                      </w:r>
                      <w:r w:rsidR="003348E5">
                        <w:rPr>
                          <w:sz w:val="22"/>
                          <w:szCs w:val="22"/>
                        </w:rPr>
                        <w:t xml:space="preserve">productivity </w:t>
                      </w:r>
                      <w:r w:rsidRPr="00EA6383">
                        <w:rPr>
                          <w:sz w:val="22"/>
                          <w:szCs w:val="22"/>
                        </w:rPr>
                        <w:t xml:space="preserve">using present day climate data (chapter </w:t>
                      </w:r>
                      <w:r w:rsidR="00707D2D">
                        <w:rPr>
                          <w:sz w:val="22"/>
                          <w:szCs w:val="22"/>
                        </w:rPr>
                        <w:t>3</w:t>
                      </w:r>
                      <w:r w:rsidRPr="00EA6383">
                        <w:rPr>
                          <w:sz w:val="22"/>
                          <w:szCs w:val="22"/>
                        </w:rPr>
                        <w:t>)</w:t>
                      </w:r>
                    </w:p>
                  </w:txbxContent>
                </v:textbox>
              </v:shape>
            </w:pict>
          </mc:Fallback>
        </mc:AlternateContent>
      </w:r>
      <w:r>
        <w:rPr>
          <w:noProof/>
          <w:lang w:val="en-US"/>
        </w:rPr>
        <mc:AlternateContent>
          <mc:Choice Requires="wps">
            <w:drawing>
              <wp:anchor distT="0" distB="0" distL="114300" distR="114300" simplePos="0" relativeHeight="251704320" behindDoc="0" locked="0" layoutInCell="1" allowOverlap="1" wp14:anchorId="1A5AFAD7" wp14:editId="39D95FC2">
                <wp:simplePos x="0" y="0"/>
                <wp:positionH relativeFrom="column">
                  <wp:posOffset>2507615</wp:posOffset>
                </wp:positionH>
                <wp:positionV relativeFrom="paragraph">
                  <wp:posOffset>472440</wp:posOffset>
                </wp:positionV>
                <wp:extent cx="1692275" cy="738505"/>
                <wp:effectExtent l="0" t="0" r="9525" b="10795"/>
                <wp:wrapNone/>
                <wp:docPr id="87" name="Text Box 87"/>
                <wp:cNvGraphicFramePr/>
                <a:graphic xmlns:a="http://schemas.openxmlformats.org/drawingml/2006/main">
                  <a:graphicData uri="http://schemas.microsoft.com/office/word/2010/wordprocessingShape">
                    <wps:wsp>
                      <wps:cNvSpPr txBox="1"/>
                      <wps:spPr>
                        <a:xfrm>
                          <a:off x="0" y="0"/>
                          <a:ext cx="1692275" cy="738505"/>
                        </a:xfrm>
                        <a:prstGeom prst="rect">
                          <a:avLst/>
                        </a:prstGeom>
                        <a:solidFill>
                          <a:schemeClr val="lt1"/>
                        </a:solidFill>
                        <a:ln w="6350">
                          <a:solidFill>
                            <a:prstClr val="black"/>
                          </a:solidFill>
                        </a:ln>
                      </wps:spPr>
                      <wps:txbx>
                        <w:txbxContent>
                          <w:p w14:paraId="6E714290" w14:textId="693EDCE7" w:rsidR="00EA6383" w:rsidRPr="00EA6383" w:rsidRDefault="00EA6383" w:rsidP="00EA6383">
                            <w:pPr>
                              <w:rPr>
                                <w:sz w:val="22"/>
                                <w:szCs w:val="22"/>
                              </w:rPr>
                            </w:pPr>
                            <w:r w:rsidRPr="00EA6383">
                              <w:rPr>
                                <w:sz w:val="22"/>
                                <w:szCs w:val="22"/>
                              </w:rPr>
                              <w:t xml:space="preserve">Train numerical model of mangrove </w:t>
                            </w:r>
                            <w:r w:rsidR="003348E5">
                              <w:rPr>
                                <w:sz w:val="22"/>
                                <w:szCs w:val="22"/>
                              </w:rPr>
                              <w:t xml:space="preserve">productivity </w:t>
                            </w:r>
                            <w:r w:rsidRPr="00EA6383">
                              <w:rPr>
                                <w:sz w:val="22"/>
                                <w:szCs w:val="22"/>
                              </w:rPr>
                              <w:t>using combined dataset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AFAD7" id="Text Box 87" o:spid="_x0000_s1029" type="#_x0000_t202" style="position:absolute;margin-left:197.45pt;margin-top:37.2pt;width:133.25pt;height:58.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" fillcolor="white [3201]" strokeweight=".5pt">
                <v:textbox>
                  <w:txbxContent>
                    <w:p w14:paraId="6E714290" w14:textId="693EDCE7" w:rsidR="00EA6383" w:rsidRPr="00EA6383" w:rsidRDefault="00EA6383" w:rsidP="00EA6383">
                      <w:pPr>
                        <w:rPr>
                          <w:sz w:val="22"/>
                          <w:szCs w:val="22"/>
                        </w:rPr>
                      </w:pPr>
                      <w:r w:rsidRPr="00EA6383">
                        <w:rPr>
                          <w:sz w:val="22"/>
                          <w:szCs w:val="22"/>
                        </w:rPr>
                        <w:t xml:space="preserve">Train numerical model of mangrove </w:t>
                      </w:r>
                      <w:r w:rsidR="003348E5">
                        <w:rPr>
                          <w:sz w:val="22"/>
                          <w:szCs w:val="22"/>
                        </w:rPr>
                        <w:t xml:space="preserve">productivity </w:t>
                      </w:r>
                      <w:r w:rsidRPr="00EA6383">
                        <w:rPr>
                          <w:sz w:val="22"/>
                          <w:szCs w:val="22"/>
                        </w:rPr>
                        <w:t>using combined dataset</w:t>
                      </w:r>
                    </w:p>
                  </w:txbxContent>
                </v:textbox>
              </v:shape>
            </w:pict>
          </mc:Fallback>
        </mc:AlternateContent>
      </w:r>
      <w:r>
        <w:rPr>
          <w:noProof/>
          <w:lang w:val="en-US"/>
        </w:rPr>
        <mc:AlternateContent>
          <mc:Choice Requires="wps">
            <w:drawing>
              <wp:anchor distT="0" distB="0" distL="114300" distR="114300" simplePos="0" relativeHeight="251703296" behindDoc="0" locked="0" layoutInCell="1" allowOverlap="1" wp14:anchorId="33AA6AA9" wp14:editId="50251667">
                <wp:simplePos x="0" y="0"/>
                <wp:positionH relativeFrom="column">
                  <wp:posOffset>34290</wp:posOffset>
                </wp:positionH>
                <wp:positionV relativeFrom="paragraph">
                  <wp:posOffset>1341120</wp:posOffset>
                </wp:positionV>
                <wp:extent cx="1896745" cy="821690"/>
                <wp:effectExtent l="0" t="0" r="8255" b="16510"/>
                <wp:wrapNone/>
                <wp:docPr id="86" name="Text Box 86"/>
                <wp:cNvGraphicFramePr/>
                <a:graphic xmlns:a="http://schemas.openxmlformats.org/drawingml/2006/main">
                  <a:graphicData uri="http://schemas.microsoft.com/office/word/2010/wordprocessingShape">
                    <wps:wsp>
                      <wps:cNvSpPr txBox="1"/>
                      <wps:spPr>
                        <a:xfrm>
                          <a:off x="0" y="0"/>
                          <a:ext cx="1896745" cy="821690"/>
                        </a:xfrm>
                        <a:prstGeom prst="rect">
                          <a:avLst/>
                        </a:prstGeom>
                        <a:solidFill>
                          <a:schemeClr val="lt1"/>
                        </a:solidFill>
                        <a:ln w="6350">
                          <a:solidFill>
                            <a:prstClr val="black"/>
                          </a:solidFill>
                        </a:ln>
                      </wps:spPr>
                      <wps:txbx>
                        <w:txbxContent>
                          <w:p w14:paraId="5B809216" w14:textId="3C575E64" w:rsidR="00EA6383" w:rsidRPr="00EA6383" w:rsidRDefault="00EA6383" w:rsidP="00EA6383">
                            <w:pPr>
                              <w:rPr>
                                <w:sz w:val="22"/>
                                <w:szCs w:val="22"/>
                              </w:rPr>
                            </w:pPr>
                            <w:r w:rsidRPr="00EA6383">
                              <w:rPr>
                                <w:sz w:val="22"/>
                                <w:szCs w:val="22"/>
                              </w:rPr>
                              <w:t xml:space="preserve">Data from a literature search of mangrove </w:t>
                            </w:r>
                            <w:r w:rsidR="003348E5">
                              <w:rPr>
                                <w:sz w:val="22"/>
                                <w:szCs w:val="22"/>
                              </w:rPr>
                              <w:t xml:space="preserve">productivity </w:t>
                            </w:r>
                            <w:r w:rsidRPr="00EA6383">
                              <w:rPr>
                                <w:sz w:val="22"/>
                                <w:szCs w:val="22"/>
                              </w:rPr>
                              <w:t xml:space="preserve">from other global locations (chapter </w:t>
                            </w:r>
                            <w:r w:rsidR="00707D2D">
                              <w:rPr>
                                <w:sz w:val="22"/>
                                <w:szCs w:val="22"/>
                              </w:rPr>
                              <w:t>3</w:t>
                            </w:r>
                            <w:r w:rsidRPr="00EA6383">
                              <w:rPr>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A6AA9" id="Text Box 86" o:spid="_x0000_s1030" type="#_x0000_t202" style="position:absolute;margin-left:2.7pt;margin-top:105.6pt;width:149.35pt;height:64.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" fillcolor="white [3201]" strokeweight=".5pt">
                <v:textbox>
                  <w:txbxContent>
                    <w:p w14:paraId="5B809216" w14:textId="3C575E64" w:rsidR="00EA6383" w:rsidRPr="00EA6383" w:rsidRDefault="00EA6383" w:rsidP="00EA6383">
                      <w:pPr>
                        <w:rPr>
                          <w:sz w:val="22"/>
                          <w:szCs w:val="22"/>
                        </w:rPr>
                      </w:pPr>
                      <w:r w:rsidRPr="00EA6383">
                        <w:rPr>
                          <w:sz w:val="22"/>
                          <w:szCs w:val="22"/>
                        </w:rPr>
                        <w:t xml:space="preserve">Data from a literature search of mangrove </w:t>
                      </w:r>
                      <w:r w:rsidR="003348E5">
                        <w:rPr>
                          <w:sz w:val="22"/>
                          <w:szCs w:val="22"/>
                        </w:rPr>
                        <w:t xml:space="preserve">productivity </w:t>
                      </w:r>
                      <w:r w:rsidRPr="00EA6383">
                        <w:rPr>
                          <w:sz w:val="22"/>
                          <w:szCs w:val="22"/>
                        </w:rPr>
                        <w:t xml:space="preserve">from other global locations (chapter </w:t>
                      </w:r>
                      <w:r w:rsidR="00707D2D">
                        <w:rPr>
                          <w:sz w:val="22"/>
                          <w:szCs w:val="22"/>
                        </w:rPr>
                        <w:t>3</w:t>
                      </w:r>
                      <w:r w:rsidRPr="00EA6383">
                        <w:rPr>
                          <w:sz w:val="22"/>
                          <w:szCs w:val="22"/>
                        </w:rPr>
                        <w:t>)</w:t>
                      </w:r>
                    </w:p>
                  </w:txbxContent>
                </v:textbox>
              </v:shape>
            </w:pict>
          </mc:Fallback>
        </mc:AlternateContent>
      </w:r>
      <w:r>
        <w:rPr>
          <w:noProof/>
          <w:lang w:val="en-US"/>
        </w:rPr>
        <mc:AlternateContent>
          <mc:Choice Requires="wps">
            <w:drawing>
              <wp:anchor distT="0" distB="0" distL="114300" distR="114300" simplePos="0" relativeHeight="251702272" behindDoc="0" locked="0" layoutInCell="1" allowOverlap="1" wp14:anchorId="2B2D60D8" wp14:editId="0E34D958">
                <wp:simplePos x="0" y="0"/>
                <wp:positionH relativeFrom="column">
                  <wp:posOffset>0</wp:posOffset>
                </wp:positionH>
                <wp:positionV relativeFrom="paragraph">
                  <wp:posOffset>10650</wp:posOffset>
                </wp:positionV>
                <wp:extent cx="1931035" cy="751840"/>
                <wp:effectExtent l="0" t="0" r="12065" b="10160"/>
                <wp:wrapNone/>
                <wp:docPr id="85" name="Text Box 85"/>
                <wp:cNvGraphicFramePr/>
                <a:graphic xmlns:a="http://schemas.openxmlformats.org/drawingml/2006/main">
                  <a:graphicData uri="http://schemas.microsoft.com/office/word/2010/wordprocessingShape">
                    <wps:wsp>
                      <wps:cNvSpPr txBox="1"/>
                      <wps:spPr>
                        <a:xfrm>
                          <a:off x="0" y="0"/>
                          <a:ext cx="1931035" cy="751840"/>
                        </a:xfrm>
                        <a:prstGeom prst="rect">
                          <a:avLst/>
                        </a:prstGeom>
                        <a:solidFill>
                          <a:schemeClr val="lt1"/>
                        </a:solidFill>
                        <a:ln w="6350">
                          <a:solidFill>
                            <a:prstClr val="black"/>
                          </a:solidFill>
                        </a:ln>
                      </wps:spPr>
                      <wps:txbx>
                        <w:txbxContent>
                          <w:p w14:paraId="7287B6E6" w14:textId="3733A2F7" w:rsidR="00EA6383" w:rsidRPr="00EA6383" w:rsidRDefault="00EA6383" w:rsidP="00EA6383">
                            <w:pPr>
                              <w:rPr>
                                <w:sz w:val="22"/>
                                <w:szCs w:val="22"/>
                              </w:rPr>
                            </w:pPr>
                            <w:r w:rsidRPr="00EA6383">
                              <w:rPr>
                                <w:sz w:val="22"/>
                                <w:szCs w:val="22"/>
                              </w:rPr>
                              <w:t xml:space="preserve">Field based data quantifying mangrove </w:t>
                            </w:r>
                            <w:r w:rsidR="003348E5">
                              <w:rPr>
                                <w:sz w:val="22"/>
                                <w:szCs w:val="22"/>
                              </w:rPr>
                              <w:t xml:space="preserve">productivity </w:t>
                            </w:r>
                            <w:r w:rsidRPr="00EA6383">
                              <w:rPr>
                                <w:sz w:val="22"/>
                                <w:szCs w:val="22"/>
                              </w:rPr>
                              <w:t xml:space="preserve">in Qatar (chapter </w:t>
                            </w:r>
                            <w:r w:rsidR="00707D2D">
                              <w:rPr>
                                <w:sz w:val="22"/>
                                <w:szCs w:val="22"/>
                              </w:rPr>
                              <w:t>2</w:t>
                            </w:r>
                            <w:r w:rsidRPr="00EA6383">
                              <w:rPr>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D60D8" id="Text Box 85" o:spid="_x0000_s1031" type="#_x0000_t202" style="position:absolute;margin-left:0;margin-top:.85pt;width:152.05pt;height:59.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" fillcolor="white [3201]" strokeweight=".5pt">
                <v:textbox>
                  <w:txbxContent>
                    <w:p w14:paraId="7287B6E6" w14:textId="3733A2F7" w:rsidR="00EA6383" w:rsidRPr="00EA6383" w:rsidRDefault="00EA6383" w:rsidP="00EA6383">
                      <w:pPr>
                        <w:rPr>
                          <w:sz w:val="22"/>
                          <w:szCs w:val="22"/>
                        </w:rPr>
                      </w:pPr>
                      <w:r w:rsidRPr="00EA6383">
                        <w:rPr>
                          <w:sz w:val="22"/>
                          <w:szCs w:val="22"/>
                        </w:rPr>
                        <w:t xml:space="preserve">Field based data quantifying mangrove </w:t>
                      </w:r>
                      <w:r w:rsidR="003348E5">
                        <w:rPr>
                          <w:sz w:val="22"/>
                          <w:szCs w:val="22"/>
                        </w:rPr>
                        <w:t xml:space="preserve">productivity </w:t>
                      </w:r>
                      <w:r w:rsidRPr="00EA6383">
                        <w:rPr>
                          <w:sz w:val="22"/>
                          <w:szCs w:val="22"/>
                        </w:rPr>
                        <w:t xml:space="preserve">in Qatar (chapter </w:t>
                      </w:r>
                      <w:r w:rsidR="00707D2D">
                        <w:rPr>
                          <w:sz w:val="22"/>
                          <w:szCs w:val="22"/>
                        </w:rPr>
                        <w:t>2</w:t>
                      </w:r>
                      <w:r w:rsidRPr="00EA6383">
                        <w:rPr>
                          <w:sz w:val="22"/>
                          <w:szCs w:val="22"/>
                        </w:rPr>
                        <w:t>)</w:t>
                      </w:r>
                    </w:p>
                  </w:txbxContent>
                </v:textbox>
              </v:shape>
            </w:pict>
          </mc:Fallback>
        </mc:AlternateContent>
      </w:r>
    </w:p>
    <w:p w14:paraId="58A5DB40" w14:textId="0327D0C9" w:rsidR="00FA0744" w:rsidRDefault="00FA0744" w:rsidP="00FA0744">
      <w:pPr>
        <w:spacing w:line="480" w:lineRule="auto"/>
        <w:rPr>
          <w:lang w:val="en-US"/>
        </w:rPr>
      </w:pPr>
    </w:p>
    <w:p w14:paraId="6DD905C8" w14:textId="5F82070F" w:rsidR="00FA0744" w:rsidRDefault="00FA0744" w:rsidP="00FA0744">
      <w:pPr>
        <w:spacing w:line="480" w:lineRule="auto"/>
        <w:rPr>
          <w:lang w:val="en-US"/>
        </w:rPr>
      </w:pPr>
    </w:p>
    <w:p w14:paraId="39BFBA33" w14:textId="74C8BCC2" w:rsidR="00FA0744" w:rsidRDefault="00FA0744" w:rsidP="00FA0744">
      <w:pPr>
        <w:spacing w:line="480" w:lineRule="auto"/>
        <w:rPr>
          <w:lang w:val="en-US"/>
        </w:rPr>
      </w:pPr>
    </w:p>
    <w:p w14:paraId="0B5709C7" w14:textId="6D080A4D" w:rsidR="00FA0744" w:rsidRDefault="00FA0744" w:rsidP="00FA0744">
      <w:pPr>
        <w:spacing w:line="480" w:lineRule="auto"/>
        <w:rPr>
          <w:lang w:val="en-US"/>
        </w:rPr>
      </w:pPr>
    </w:p>
    <w:p w14:paraId="251EC334" w14:textId="1846234B" w:rsidR="00FA0744" w:rsidRDefault="00FA0744" w:rsidP="00FA0744">
      <w:pPr>
        <w:spacing w:line="480" w:lineRule="auto"/>
        <w:rPr>
          <w:lang w:val="en-US"/>
        </w:rPr>
      </w:pPr>
    </w:p>
    <w:p w14:paraId="2833664D" w14:textId="6F9A49CB" w:rsidR="00FA0744" w:rsidRDefault="00FA0744" w:rsidP="00FA0744">
      <w:pPr>
        <w:spacing w:line="480" w:lineRule="auto"/>
        <w:rPr>
          <w:lang w:val="en-US"/>
        </w:rPr>
      </w:pPr>
    </w:p>
    <w:p w14:paraId="56E86B97" w14:textId="10DB2A4D" w:rsidR="00FA0744" w:rsidRDefault="00FA0744" w:rsidP="00FA0744">
      <w:pPr>
        <w:spacing w:line="480" w:lineRule="auto"/>
        <w:rPr>
          <w:lang w:val="en-US"/>
        </w:rPr>
      </w:pPr>
      <w:r>
        <w:rPr>
          <w:noProof/>
          <w:lang w:val="en-US"/>
        </w:rPr>
        <mc:AlternateContent>
          <mc:Choice Requires="wps">
            <w:drawing>
              <wp:anchor distT="0" distB="0" distL="114300" distR="114300" simplePos="0" relativeHeight="251674624" behindDoc="0" locked="0" layoutInCell="1" allowOverlap="1" wp14:anchorId="1145C1D9" wp14:editId="0CF36B78">
                <wp:simplePos x="0" y="0"/>
                <wp:positionH relativeFrom="column">
                  <wp:posOffset>14605</wp:posOffset>
                </wp:positionH>
                <wp:positionV relativeFrom="paragraph">
                  <wp:posOffset>60325</wp:posOffset>
                </wp:positionV>
                <wp:extent cx="3375025" cy="340360"/>
                <wp:effectExtent l="0" t="0" r="3175" b="2540"/>
                <wp:wrapNone/>
                <wp:docPr id="48" name="Text Box 48"/>
                <wp:cNvGraphicFramePr/>
                <a:graphic xmlns:a="http://schemas.openxmlformats.org/drawingml/2006/main">
                  <a:graphicData uri="http://schemas.microsoft.com/office/word/2010/wordprocessingShape">
                    <wps:wsp>
                      <wps:cNvSpPr txBox="1"/>
                      <wps:spPr>
                        <a:xfrm>
                          <a:off x="0" y="0"/>
                          <a:ext cx="3375025" cy="340360"/>
                        </a:xfrm>
                        <a:prstGeom prst="rect">
                          <a:avLst/>
                        </a:prstGeom>
                        <a:solidFill>
                          <a:schemeClr val="lt1"/>
                        </a:solidFill>
                        <a:ln w="6350">
                          <a:noFill/>
                        </a:ln>
                      </wps:spPr>
                      <wps:txbx>
                        <w:txbxContent>
                          <w:p w14:paraId="5EA36167" w14:textId="77777777" w:rsidR="00FA0744" w:rsidRPr="00514015" w:rsidRDefault="00FA0744" w:rsidP="00FA0744">
                            <w:pPr>
                              <w:rPr>
                                <w:b/>
                                <w:bCs/>
                                <w:sz w:val="32"/>
                                <w:szCs w:val="32"/>
                              </w:rPr>
                            </w:pPr>
                            <w:r w:rsidRPr="00514015">
                              <w:rPr>
                                <w:b/>
                                <w:bCs/>
                                <w:sz w:val="32"/>
                                <w:szCs w:val="32"/>
                              </w:rPr>
                              <w:t xml:space="preserve">Mangrove </w:t>
                            </w:r>
                            <w:r>
                              <w:rPr>
                                <w:b/>
                                <w:bCs/>
                                <w:sz w:val="32"/>
                                <w:szCs w:val="32"/>
                              </w:rPr>
                              <w:t>carbon stocks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5C1D9" id="Text Box 48" o:spid="_x0000_s1032" type="#_x0000_t202" style="position:absolute;margin-left:1.15pt;margin-top:4.75pt;width:265.75pt;height:26.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" fillcolor="white [3201]" stroked="f" strokeweight=".5pt">
                <v:textbox>
                  <w:txbxContent>
                    <w:p w14:paraId="5EA36167" w14:textId="77777777" w:rsidR="00FA0744" w:rsidRPr="00514015" w:rsidRDefault="00FA0744" w:rsidP="00FA0744">
                      <w:pPr>
                        <w:rPr>
                          <w:b/>
                          <w:bCs/>
                          <w:sz w:val="32"/>
                          <w:szCs w:val="32"/>
                        </w:rPr>
                      </w:pPr>
                      <w:r w:rsidRPr="00514015">
                        <w:rPr>
                          <w:b/>
                          <w:bCs/>
                          <w:sz w:val="32"/>
                          <w:szCs w:val="32"/>
                        </w:rPr>
                        <w:t xml:space="preserve">Mangrove </w:t>
                      </w:r>
                      <w:r>
                        <w:rPr>
                          <w:b/>
                          <w:bCs/>
                          <w:sz w:val="32"/>
                          <w:szCs w:val="32"/>
                        </w:rPr>
                        <w:t>carbon stocks</w:t>
                      </w:r>
                    </w:p>
                  </w:txbxContent>
                </v:textbox>
              </v:shape>
            </w:pict>
          </mc:Fallback>
        </mc:AlternateContent>
      </w:r>
      <w:r>
        <w:rPr>
          <w:noProof/>
          <w:lang w:val="en-US"/>
        </w:rPr>
        <mc:AlternateContent>
          <mc:Choice Requires="wps">
            <w:drawing>
              <wp:anchor distT="0" distB="0" distL="114300" distR="114300" simplePos="0" relativeHeight="251671552" behindDoc="0" locked="0" layoutInCell="1" allowOverlap="1" wp14:anchorId="39F34F9A" wp14:editId="716EA2F9">
                <wp:simplePos x="0" y="0"/>
                <wp:positionH relativeFrom="column">
                  <wp:posOffset>2513330</wp:posOffset>
                </wp:positionH>
                <wp:positionV relativeFrom="paragraph">
                  <wp:posOffset>951865</wp:posOffset>
                </wp:positionV>
                <wp:extent cx="1692275" cy="738505"/>
                <wp:effectExtent l="0" t="0" r="9525" b="10795"/>
                <wp:wrapNone/>
                <wp:docPr id="45" name="Text Box 45"/>
                <wp:cNvGraphicFramePr/>
                <a:graphic xmlns:a="http://schemas.openxmlformats.org/drawingml/2006/main">
                  <a:graphicData uri="http://schemas.microsoft.com/office/word/2010/wordprocessingShape">
                    <wps:wsp>
                      <wps:cNvSpPr txBox="1"/>
                      <wps:spPr>
                        <a:xfrm>
                          <a:off x="0" y="0"/>
                          <a:ext cx="1692275" cy="738505"/>
                        </a:xfrm>
                        <a:prstGeom prst="rect">
                          <a:avLst/>
                        </a:prstGeom>
                        <a:solidFill>
                          <a:schemeClr val="lt1"/>
                        </a:solidFill>
                        <a:ln w="6350">
                          <a:solidFill>
                            <a:prstClr val="black"/>
                          </a:solidFill>
                        </a:ln>
                      </wps:spPr>
                      <wps:txbx>
                        <w:txbxContent>
                          <w:p w14:paraId="0F6EF9A4" w14:textId="77777777" w:rsidR="00FA0744" w:rsidRPr="00EA6383" w:rsidRDefault="00FA0744" w:rsidP="00FA0744">
                            <w:pPr>
                              <w:rPr>
                                <w:sz w:val="22"/>
                                <w:szCs w:val="22"/>
                              </w:rPr>
                            </w:pPr>
                            <w:r w:rsidRPr="00EA6383">
                              <w:rPr>
                                <w:sz w:val="22"/>
                                <w:szCs w:val="22"/>
                              </w:rPr>
                              <w:t>Train numerical model of mangrove carbon stocks using combined dataset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34F9A" id="Text Box 45" o:spid="_x0000_s1033" type="#_x0000_t202" style="position:absolute;margin-left:197.9pt;margin-top:74.95pt;width:133.25pt;height:58.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" fillcolor="white [3201]" strokeweight=".5pt">
                <v:textbox>
                  <w:txbxContent>
                    <w:p w14:paraId="0F6EF9A4" w14:textId="77777777" w:rsidR="00FA0744" w:rsidRPr="00EA6383" w:rsidRDefault="00FA0744" w:rsidP="00FA0744">
                      <w:pPr>
                        <w:rPr>
                          <w:sz w:val="22"/>
                          <w:szCs w:val="22"/>
                        </w:rPr>
                      </w:pPr>
                      <w:r w:rsidRPr="00EA6383">
                        <w:rPr>
                          <w:sz w:val="22"/>
                          <w:szCs w:val="22"/>
                        </w:rPr>
                        <w:t>Train numerical model of mangrove carbon stocks using combined dataset</w:t>
                      </w:r>
                    </w:p>
                  </w:txbxContent>
                </v:textbox>
              </v:shape>
            </w:pict>
          </mc:Fallback>
        </mc:AlternateContent>
      </w:r>
    </w:p>
    <w:p w14:paraId="2D7474F8" w14:textId="79C88CB9" w:rsidR="00FA0744" w:rsidRDefault="00EA6383" w:rsidP="00FA0744">
      <w:pPr>
        <w:spacing w:line="480" w:lineRule="auto"/>
        <w:rPr>
          <w:lang w:val="en-US"/>
        </w:rPr>
      </w:pPr>
      <w:r>
        <w:rPr>
          <w:noProof/>
          <w:lang w:val="en-US"/>
        </w:rPr>
        <mc:AlternateContent>
          <mc:Choice Requires="wps">
            <w:drawing>
              <wp:anchor distT="0" distB="0" distL="114300" distR="114300" simplePos="0" relativeHeight="251675648" behindDoc="0" locked="0" layoutInCell="1" allowOverlap="1" wp14:anchorId="77CD8C14" wp14:editId="4CF3AC4E">
                <wp:simplePos x="0" y="0"/>
                <wp:positionH relativeFrom="column">
                  <wp:posOffset>2018665</wp:posOffset>
                </wp:positionH>
                <wp:positionV relativeFrom="paragraph">
                  <wp:posOffset>151186</wp:posOffset>
                </wp:positionV>
                <wp:extent cx="417830" cy="573405"/>
                <wp:effectExtent l="0" t="12700" r="39370" b="74295"/>
                <wp:wrapNone/>
                <wp:docPr id="51" name="Elbow Connector 51"/>
                <wp:cNvGraphicFramePr/>
                <a:graphic xmlns:a="http://schemas.openxmlformats.org/drawingml/2006/main">
                  <a:graphicData uri="http://schemas.microsoft.com/office/word/2010/wordprocessingShape">
                    <wps:wsp>
                      <wps:cNvCnPr/>
                      <wps:spPr>
                        <a:xfrm>
                          <a:off x="0" y="0"/>
                          <a:ext cx="417830" cy="573405"/>
                        </a:xfrm>
                        <a:prstGeom prst="bentConnector3">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A8E64DD" id="Elbow Connector 51" o:spid="_x0000_s1026" type="#_x0000_t34" style="position:absolute;margin-left:158.95pt;margin-top:11.9pt;width:32.9pt;height:45.15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" strokecolor="black [3200]" strokeweight="1.5pt">
                <v:stroke endarrow="block"/>
              </v:shape>
            </w:pict>
          </mc:Fallback>
        </mc:AlternateContent>
      </w:r>
      <w:r>
        <w:rPr>
          <w:noProof/>
          <w:lang w:val="en-US"/>
        </w:rPr>
        <mc:AlternateContent>
          <mc:Choice Requires="wps">
            <w:drawing>
              <wp:anchor distT="0" distB="0" distL="114300" distR="114300" simplePos="0" relativeHeight="251672576" behindDoc="0" locked="0" layoutInCell="1" allowOverlap="1" wp14:anchorId="09570234" wp14:editId="17D4DB03">
                <wp:simplePos x="0" y="0"/>
                <wp:positionH relativeFrom="column">
                  <wp:posOffset>4832430</wp:posOffset>
                </wp:positionH>
                <wp:positionV relativeFrom="paragraph">
                  <wp:posOffset>118263</wp:posOffset>
                </wp:positionV>
                <wp:extent cx="1877060" cy="810228"/>
                <wp:effectExtent l="0" t="0" r="15240" b="15875"/>
                <wp:wrapNone/>
                <wp:docPr id="46" name="Text Box 46"/>
                <wp:cNvGraphicFramePr/>
                <a:graphic xmlns:a="http://schemas.openxmlformats.org/drawingml/2006/main">
                  <a:graphicData uri="http://schemas.microsoft.com/office/word/2010/wordprocessingShape">
                    <wps:wsp>
                      <wps:cNvSpPr txBox="1"/>
                      <wps:spPr>
                        <a:xfrm>
                          <a:off x="0" y="0"/>
                          <a:ext cx="1877060" cy="810228"/>
                        </a:xfrm>
                        <a:prstGeom prst="rect">
                          <a:avLst/>
                        </a:prstGeom>
                        <a:solidFill>
                          <a:schemeClr val="lt1"/>
                        </a:solidFill>
                        <a:ln w="6350">
                          <a:solidFill>
                            <a:prstClr val="black"/>
                          </a:solidFill>
                        </a:ln>
                      </wps:spPr>
                      <wps:txbx>
                        <w:txbxContent>
                          <w:p w14:paraId="62D87C5A" w14:textId="77777777" w:rsidR="00FA0744" w:rsidRPr="00EA6383" w:rsidRDefault="00FA0744" w:rsidP="00FA0744">
                            <w:pPr>
                              <w:rPr>
                                <w:sz w:val="22"/>
                                <w:szCs w:val="22"/>
                              </w:rPr>
                            </w:pPr>
                            <w:r w:rsidRPr="00EA6383">
                              <w:rPr>
                                <w:sz w:val="22"/>
                                <w:szCs w:val="22"/>
                              </w:rPr>
                              <w:t>Estimate present day global mangrove carbon stocks using present day climate data (chapter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70234" id="Text Box 46" o:spid="_x0000_s1034" type="#_x0000_t202" style="position:absolute;margin-left:380.5pt;margin-top:9.3pt;width:147.8pt;height:63.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" fillcolor="white [3201]" strokeweight=".5pt">
                <v:textbox>
                  <w:txbxContent>
                    <w:p w14:paraId="62D87C5A" w14:textId="77777777" w:rsidR="00FA0744" w:rsidRPr="00EA6383" w:rsidRDefault="00FA0744" w:rsidP="00FA0744">
                      <w:pPr>
                        <w:rPr>
                          <w:sz w:val="22"/>
                          <w:szCs w:val="22"/>
                        </w:rPr>
                      </w:pPr>
                      <w:r w:rsidRPr="00EA6383">
                        <w:rPr>
                          <w:sz w:val="22"/>
                          <w:szCs w:val="22"/>
                        </w:rPr>
                        <w:t>Estimate present day global mangrove carbon stocks using present day climate data (chapter 5)</w:t>
                      </w:r>
                    </w:p>
                  </w:txbxContent>
                </v:textbox>
              </v:shape>
            </w:pict>
          </mc:Fallback>
        </mc:AlternateContent>
      </w:r>
      <w:r>
        <w:rPr>
          <w:noProof/>
          <w:lang w:val="en-US"/>
        </w:rPr>
        <mc:AlternateContent>
          <mc:Choice Requires="wps">
            <w:drawing>
              <wp:anchor distT="0" distB="0" distL="114300" distR="114300" simplePos="0" relativeHeight="251669504" behindDoc="0" locked="0" layoutInCell="1" allowOverlap="1" wp14:anchorId="5BCE12B4" wp14:editId="5BE2B531">
                <wp:simplePos x="0" y="0"/>
                <wp:positionH relativeFrom="column">
                  <wp:posOffset>5787</wp:posOffset>
                </wp:positionH>
                <wp:positionV relativeFrom="paragraph">
                  <wp:posOffset>118263</wp:posOffset>
                </wp:positionV>
                <wp:extent cx="1931469" cy="751840"/>
                <wp:effectExtent l="0" t="0" r="12065" b="10160"/>
                <wp:wrapNone/>
                <wp:docPr id="43" name="Text Box 43"/>
                <wp:cNvGraphicFramePr/>
                <a:graphic xmlns:a="http://schemas.openxmlformats.org/drawingml/2006/main">
                  <a:graphicData uri="http://schemas.microsoft.com/office/word/2010/wordprocessingShape">
                    <wps:wsp>
                      <wps:cNvSpPr txBox="1"/>
                      <wps:spPr>
                        <a:xfrm>
                          <a:off x="0" y="0"/>
                          <a:ext cx="1931469" cy="751840"/>
                        </a:xfrm>
                        <a:prstGeom prst="rect">
                          <a:avLst/>
                        </a:prstGeom>
                        <a:solidFill>
                          <a:schemeClr val="lt1"/>
                        </a:solidFill>
                        <a:ln w="6350">
                          <a:solidFill>
                            <a:prstClr val="black"/>
                          </a:solidFill>
                        </a:ln>
                      </wps:spPr>
                      <wps:txbx>
                        <w:txbxContent>
                          <w:p w14:paraId="543C89B2" w14:textId="77777777" w:rsidR="00FA0744" w:rsidRPr="00EA6383" w:rsidRDefault="00FA0744" w:rsidP="00FA0744">
                            <w:pPr>
                              <w:rPr>
                                <w:sz w:val="22"/>
                                <w:szCs w:val="22"/>
                              </w:rPr>
                            </w:pPr>
                            <w:r w:rsidRPr="00EA6383">
                              <w:rPr>
                                <w:sz w:val="22"/>
                                <w:szCs w:val="22"/>
                              </w:rPr>
                              <w:t>Field based data quantifying mangrove carbon stocks in Qatar (chapter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E12B4" id="Text Box 43" o:spid="_x0000_s1035" type="#_x0000_t202" style="position:absolute;margin-left:.45pt;margin-top:9.3pt;width:152.1pt;height:59.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" fillcolor="white [3201]" strokeweight=".5pt">
                <v:textbox>
                  <w:txbxContent>
                    <w:p w14:paraId="543C89B2" w14:textId="77777777" w:rsidR="00FA0744" w:rsidRPr="00EA6383" w:rsidRDefault="00FA0744" w:rsidP="00FA0744">
                      <w:pPr>
                        <w:rPr>
                          <w:sz w:val="22"/>
                          <w:szCs w:val="22"/>
                        </w:rPr>
                      </w:pPr>
                      <w:r w:rsidRPr="00EA6383">
                        <w:rPr>
                          <w:sz w:val="22"/>
                          <w:szCs w:val="22"/>
                        </w:rPr>
                        <w:t>Field based data quantifying mangrove carbon stocks in Qatar (chapter 4)</w:t>
                      </w:r>
                    </w:p>
                  </w:txbxContent>
                </v:textbox>
              </v:shape>
            </w:pict>
          </mc:Fallback>
        </mc:AlternateContent>
      </w:r>
    </w:p>
    <w:p w14:paraId="67B82442" w14:textId="57E63BD1" w:rsidR="00FA0744" w:rsidRDefault="00EA6383" w:rsidP="00FA0744">
      <w:pPr>
        <w:spacing w:line="480" w:lineRule="auto"/>
        <w:rPr>
          <w:lang w:val="en-US"/>
        </w:rPr>
      </w:pPr>
      <w:r>
        <w:rPr>
          <w:noProof/>
          <w:lang w:val="en-US"/>
        </w:rPr>
        <mc:AlternateContent>
          <mc:Choice Requires="wps">
            <w:drawing>
              <wp:anchor distT="0" distB="0" distL="114300" distR="114300" simplePos="0" relativeHeight="251677696" behindDoc="0" locked="0" layoutInCell="1" allowOverlap="1" wp14:anchorId="3411939C" wp14:editId="3C0AA6FF">
                <wp:simplePos x="0" y="0"/>
                <wp:positionH relativeFrom="column">
                  <wp:posOffset>4299585</wp:posOffset>
                </wp:positionH>
                <wp:positionV relativeFrom="paragraph">
                  <wp:posOffset>66096</wp:posOffset>
                </wp:positionV>
                <wp:extent cx="478155" cy="283210"/>
                <wp:effectExtent l="12700" t="25400" r="29845" b="21590"/>
                <wp:wrapNone/>
                <wp:docPr id="53" name="Straight Arrow Connector 53"/>
                <wp:cNvGraphicFramePr/>
                <a:graphic xmlns:a="http://schemas.openxmlformats.org/drawingml/2006/main">
                  <a:graphicData uri="http://schemas.microsoft.com/office/word/2010/wordprocessingShape">
                    <wps:wsp>
                      <wps:cNvCnPr/>
                      <wps:spPr>
                        <a:xfrm flipV="1">
                          <a:off x="0" y="0"/>
                          <a:ext cx="478155" cy="28321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8E477D" id="Straight Arrow Connector 53" o:spid="_x0000_s1026" type="#_x0000_t32" style="position:absolute;margin-left:338.55pt;margin-top:5.2pt;width:37.65pt;height:22.3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" strokecolor="black [3200]" strokeweight="1.5pt">
                <v:stroke endarrow="block" joinstyle="miter"/>
              </v:shape>
            </w:pict>
          </mc:Fallback>
        </mc:AlternateContent>
      </w:r>
    </w:p>
    <w:p w14:paraId="1E53F3D6" w14:textId="3691A854" w:rsidR="00FA0744" w:rsidRDefault="00EA6383" w:rsidP="00FA0744">
      <w:pPr>
        <w:spacing w:line="480" w:lineRule="auto"/>
        <w:rPr>
          <w:lang w:val="en-US"/>
        </w:rPr>
      </w:pPr>
      <w:r>
        <w:rPr>
          <w:noProof/>
          <w:lang w:val="en-US"/>
        </w:rPr>
        <mc:AlternateContent>
          <mc:Choice Requires="wps">
            <w:drawing>
              <wp:anchor distT="0" distB="0" distL="114300" distR="114300" simplePos="0" relativeHeight="251676672" behindDoc="0" locked="0" layoutInCell="1" allowOverlap="1" wp14:anchorId="5BD7E2B3" wp14:editId="3FB03C86">
                <wp:simplePos x="0" y="0"/>
                <wp:positionH relativeFrom="column">
                  <wp:posOffset>2018665</wp:posOffset>
                </wp:positionH>
                <wp:positionV relativeFrom="paragraph">
                  <wp:posOffset>167696</wp:posOffset>
                </wp:positionV>
                <wp:extent cx="417830" cy="525145"/>
                <wp:effectExtent l="0" t="63500" r="0" b="20955"/>
                <wp:wrapNone/>
                <wp:docPr id="52" name="Elbow Connector 52"/>
                <wp:cNvGraphicFramePr/>
                <a:graphic xmlns:a="http://schemas.openxmlformats.org/drawingml/2006/main">
                  <a:graphicData uri="http://schemas.microsoft.com/office/word/2010/wordprocessingShape">
                    <wps:wsp>
                      <wps:cNvCnPr/>
                      <wps:spPr>
                        <a:xfrm flipV="1">
                          <a:off x="0" y="0"/>
                          <a:ext cx="417830" cy="525145"/>
                        </a:xfrm>
                        <a:prstGeom prst="bentConnector3">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B94512D" id="Elbow Connector 52" o:spid="_x0000_s1026" type="#_x0000_t34" style="position:absolute;margin-left:158.95pt;margin-top:13.2pt;width:32.9pt;height:41.35pt;flip:y;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" strokecolor="black [3200]" strokeweight="1.5pt">
                <v:stroke endarrow="block"/>
              </v:shape>
            </w:pict>
          </mc:Fallback>
        </mc:AlternateContent>
      </w:r>
    </w:p>
    <w:p w14:paraId="15BE15E3" w14:textId="24CD9947" w:rsidR="00FA0744" w:rsidRDefault="00EA6383" w:rsidP="00FA0744">
      <w:pPr>
        <w:spacing w:line="480" w:lineRule="auto"/>
        <w:rPr>
          <w:lang w:val="en-US"/>
        </w:rPr>
      </w:pPr>
      <w:r>
        <w:rPr>
          <w:noProof/>
          <w:lang w:val="en-US"/>
        </w:rPr>
        <mc:AlternateContent>
          <mc:Choice Requires="wps">
            <w:drawing>
              <wp:anchor distT="0" distB="0" distL="114300" distR="114300" simplePos="0" relativeHeight="251673600" behindDoc="0" locked="0" layoutInCell="1" allowOverlap="1" wp14:anchorId="40F1D408" wp14:editId="3AE41756">
                <wp:simplePos x="0" y="0"/>
                <wp:positionH relativeFrom="column">
                  <wp:posOffset>4843780</wp:posOffset>
                </wp:positionH>
                <wp:positionV relativeFrom="paragraph">
                  <wp:posOffset>187180</wp:posOffset>
                </wp:positionV>
                <wp:extent cx="1896745" cy="879475"/>
                <wp:effectExtent l="0" t="0" r="8255" b="9525"/>
                <wp:wrapNone/>
                <wp:docPr id="47" name="Text Box 47"/>
                <wp:cNvGraphicFramePr/>
                <a:graphic xmlns:a="http://schemas.openxmlformats.org/drawingml/2006/main">
                  <a:graphicData uri="http://schemas.microsoft.com/office/word/2010/wordprocessingShape">
                    <wps:wsp>
                      <wps:cNvSpPr txBox="1"/>
                      <wps:spPr>
                        <a:xfrm>
                          <a:off x="0" y="0"/>
                          <a:ext cx="1896745" cy="879475"/>
                        </a:xfrm>
                        <a:prstGeom prst="rect">
                          <a:avLst/>
                        </a:prstGeom>
                        <a:solidFill>
                          <a:schemeClr val="lt1"/>
                        </a:solidFill>
                        <a:ln w="6350">
                          <a:solidFill>
                            <a:prstClr val="black"/>
                          </a:solidFill>
                        </a:ln>
                      </wps:spPr>
                      <wps:txbx>
                        <w:txbxContent>
                          <w:p w14:paraId="7772B178" w14:textId="77777777" w:rsidR="00FA0744" w:rsidRPr="00EA6383" w:rsidRDefault="00FA0744" w:rsidP="00FA0744">
                            <w:pPr>
                              <w:rPr>
                                <w:sz w:val="22"/>
                                <w:szCs w:val="22"/>
                              </w:rPr>
                            </w:pPr>
                            <w:r w:rsidRPr="00EA6383">
                              <w:rPr>
                                <w:sz w:val="22"/>
                                <w:szCs w:val="22"/>
                              </w:rPr>
                              <w:t>Estimate future global mangrove carbon stocks using weighted forecast climate data (chapter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1D408" id="Text Box 47" o:spid="_x0000_s1036" type="#_x0000_t202" style="position:absolute;margin-left:381.4pt;margin-top:14.75pt;width:149.35pt;height:69.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" fillcolor="white [3201]" strokeweight=".5pt">
                <v:textbox>
                  <w:txbxContent>
                    <w:p w14:paraId="7772B178" w14:textId="77777777" w:rsidR="00FA0744" w:rsidRPr="00EA6383" w:rsidRDefault="00FA0744" w:rsidP="00FA0744">
                      <w:pPr>
                        <w:rPr>
                          <w:sz w:val="22"/>
                          <w:szCs w:val="22"/>
                        </w:rPr>
                      </w:pPr>
                      <w:r w:rsidRPr="00EA6383">
                        <w:rPr>
                          <w:sz w:val="22"/>
                          <w:szCs w:val="22"/>
                        </w:rPr>
                        <w:t>Estimate future global mangrove carbon stocks using weighted forecast climate data (chapter 5)</w:t>
                      </w:r>
                    </w:p>
                  </w:txbxContent>
                </v:textbox>
              </v:shape>
            </w:pict>
          </mc:Fallback>
        </mc:AlternateContent>
      </w:r>
      <w:r>
        <w:rPr>
          <w:noProof/>
          <w:lang w:val="en-US"/>
        </w:rPr>
        <mc:AlternateContent>
          <mc:Choice Requires="wps">
            <w:drawing>
              <wp:anchor distT="0" distB="0" distL="114300" distR="114300" simplePos="0" relativeHeight="251678720" behindDoc="0" locked="0" layoutInCell="1" allowOverlap="1" wp14:anchorId="245F15DD" wp14:editId="3A351415">
                <wp:simplePos x="0" y="0"/>
                <wp:positionH relativeFrom="column">
                  <wp:posOffset>4299585</wp:posOffset>
                </wp:positionH>
                <wp:positionV relativeFrom="paragraph">
                  <wp:posOffset>57640</wp:posOffset>
                </wp:positionV>
                <wp:extent cx="478300" cy="376338"/>
                <wp:effectExtent l="12700" t="12700" r="42545" b="30480"/>
                <wp:wrapNone/>
                <wp:docPr id="54" name="Straight Arrow Connector 54"/>
                <wp:cNvGraphicFramePr/>
                <a:graphic xmlns:a="http://schemas.openxmlformats.org/drawingml/2006/main">
                  <a:graphicData uri="http://schemas.microsoft.com/office/word/2010/wordprocessingShape">
                    <wps:wsp>
                      <wps:cNvCnPr/>
                      <wps:spPr>
                        <a:xfrm>
                          <a:off x="0" y="0"/>
                          <a:ext cx="478300" cy="376338"/>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92CCB8" id="Straight Arrow Connector 54" o:spid="_x0000_s1026" type="#_x0000_t32" style="position:absolute;margin-left:338.55pt;margin-top:4.55pt;width:37.65pt;height:29.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" strokecolor="black [3200]" strokeweight="1.5pt">
                <v:stroke endarrow="block" joinstyle="miter"/>
              </v:shape>
            </w:pict>
          </mc:Fallback>
        </mc:AlternateContent>
      </w:r>
      <w:r w:rsidR="00FA0744">
        <w:rPr>
          <w:noProof/>
          <w:lang w:val="en-US"/>
        </w:rPr>
        <mc:AlternateContent>
          <mc:Choice Requires="wps">
            <w:drawing>
              <wp:anchor distT="0" distB="0" distL="114300" distR="114300" simplePos="0" relativeHeight="251670528" behindDoc="0" locked="0" layoutInCell="1" allowOverlap="1" wp14:anchorId="0AC0AEB2" wp14:editId="4A0EF7F3">
                <wp:simplePos x="0" y="0"/>
                <wp:positionH relativeFrom="column">
                  <wp:posOffset>40511</wp:posOffset>
                </wp:positionH>
                <wp:positionV relativeFrom="paragraph">
                  <wp:posOffset>333021</wp:posOffset>
                </wp:positionV>
                <wp:extent cx="1896745" cy="821803"/>
                <wp:effectExtent l="0" t="0" r="8255" b="16510"/>
                <wp:wrapNone/>
                <wp:docPr id="44" name="Text Box 44"/>
                <wp:cNvGraphicFramePr/>
                <a:graphic xmlns:a="http://schemas.openxmlformats.org/drawingml/2006/main">
                  <a:graphicData uri="http://schemas.microsoft.com/office/word/2010/wordprocessingShape">
                    <wps:wsp>
                      <wps:cNvSpPr txBox="1"/>
                      <wps:spPr>
                        <a:xfrm>
                          <a:off x="0" y="0"/>
                          <a:ext cx="1896745" cy="821803"/>
                        </a:xfrm>
                        <a:prstGeom prst="rect">
                          <a:avLst/>
                        </a:prstGeom>
                        <a:solidFill>
                          <a:schemeClr val="lt1"/>
                        </a:solidFill>
                        <a:ln w="6350">
                          <a:solidFill>
                            <a:prstClr val="black"/>
                          </a:solidFill>
                        </a:ln>
                      </wps:spPr>
                      <wps:txbx>
                        <w:txbxContent>
                          <w:p w14:paraId="520FBB84" w14:textId="77777777" w:rsidR="00FA0744" w:rsidRPr="00EA6383" w:rsidRDefault="00FA0744" w:rsidP="00FA0744">
                            <w:pPr>
                              <w:rPr>
                                <w:sz w:val="22"/>
                                <w:szCs w:val="22"/>
                              </w:rPr>
                            </w:pPr>
                            <w:r w:rsidRPr="00EA6383">
                              <w:rPr>
                                <w:sz w:val="22"/>
                                <w:szCs w:val="22"/>
                              </w:rPr>
                              <w:t>Data from a literature search of mangrove carbon stocks from other global locations (chapter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0AEB2" id="Text Box 44" o:spid="_x0000_s1037" type="#_x0000_t202" style="position:absolute;margin-left:3.2pt;margin-top:26.2pt;width:149.35pt;height:64.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" fillcolor="white [3201]" strokeweight=".5pt">
                <v:textbox>
                  <w:txbxContent>
                    <w:p w14:paraId="520FBB84" w14:textId="77777777" w:rsidR="00FA0744" w:rsidRPr="00EA6383" w:rsidRDefault="00FA0744" w:rsidP="00FA0744">
                      <w:pPr>
                        <w:rPr>
                          <w:sz w:val="22"/>
                          <w:szCs w:val="22"/>
                        </w:rPr>
                      </w:pPr>
                      <w:r w:rsidRPr="00EA6383">
                        <w:rPr>
                          <w:sz w:val="22"/>
                          <w:szCs w:val="22"/>
                        </w:rPr>
                        <w:t>Data from a literature search of mangrove carbon stocks from other global locations (chapter 5)</w:t>
                      </w:r>
                    </w:p>
                  </w:txbxContent>
                </v:textbox>
              </v:shape>
            </w:pict>
          </mc:Fallback>
        </mc:AlternateContent>
      </w:r>
    </w:p>
    <w:p w14:paraId="385A6155" w14:textId="7C42AC01" w:rsidR="00FA0744" w:rsidRDefault="00FA0744" w:rsidP="00FA0744">
      <w:pPr>
        <w:spacing w:line="480" w:lineRule="auto"/>
        <w:rPr>
          <w:lang w:val="en-US"/>
        </w:rPr>
      </w:pPr>
    </w:p>
    <w:p w14:paraId="7E54D8BC" w14:textId="77777777" w:rsidR="00FA0744" w:rsidRDefault="00FA0744" w:rsidP="00FA0744">
      <w:pPr>
        <w:spacing w:line="480" w:lineRule="auto"/>
        <w:rPr>
          <w:lang w:val="en-US"/>
        </w:rPr>
      </w:pPr>
    </w:p>
    <w:p w14:paraId="11735718" w14:textId="77777777" w:rsidR="00FA0744" w:rsidRDefault="00FA0744" w:rsidP="00FA0744">
      <w:pPr>
        <w:spacing w:line="480" w:lineRule="auto"/>
        <w:rPr>
          <w:lang w:val="en-US"/>
        </w:rPr>
      </w:pPr>
    </w:p>
    <w:p w14:paraId="10E0FBA7" w14:textId="77777777" w:rsidR="00FA0744" w:rsidRPr="00D5763C" w:rsidRDefault="00FA0744" w:rsidP="00FA0744">
      <w:pPr>
        <w:rPr>
          <w:b/>
          <w:bCs/>
          <w:sz w:val="20"/>
          <w:szCs w:val="20"/>
          <w:lang w:val="en-US"/>
        </w:rPr>
        <w:sectPr w:rsidR="00FA0744" w:rsidRPr="00D5763C" w:rsidSect="00175F3C">
          <w:pgSz w:w="16838" w:h="11906" w:orient="landscape"/>
          <w:pgMar w:top="720" w:right="720" w:bottom="720" w:left="720" w:header="720" w:footer="720" w:gutter="0"/>
          <w:cols w:space="720"/>
          <w:docGrid w:linePitch="360"/>
        </w:sectPr>
      </w:pPr>
      <w:r w:rsidRPr="00D5763C">
        <w:rPr>
          <w:b/>
          <w:bCs/>
          <w:sz w:val="20"/>
          <w:szCs w:val="20"/>
          <w:lang w:val="en-US"/>
        </w:rPr>
        <w:t xml:space="preserve">Figure 1.5: </w:t>
      </w:r>
      <w:r>
        <w:rPr>
          <w:b/>
          <w:bCs/>
          <w:sz w:val="20"/>
          <w:szCs w:val="20"/>
          <w:lang w:val="en-US"/>
        </w:rPr>
        <w:t xml:space="preserve"> Workflow for the present thesis. Field based data were collected from Qatari mangroves and combined with data collated from a literature search of other global regions.  These data were combined to numerically model present day and future global mangrove productivity and carbon stocks.</w:t>
      </w:r>
    </w:p>
    <w:p w14:paraId="7E648E41" w14:textId="77777777" w:rsidR="0002342A" w:rsidRDefault="0002342A" w:rsidP="00FA0744">
      <w:pPr>
        <w:widowControl w:val="0"/>
        <w:autoSpaceDE w:val="0"/>
        <w:autoSpaceDN w:val="0"/>
        <w:adjustRightInd w:val="0"/>
        <w:spacing w:line="480" w:lineRule="auto"/>
        <w:sectPr w:rsidR="0002342A">
          <w:pgSz w:w="11906" w:h="16838"/>
          <w:pgMar w:top="1440" w:right="1440" w:bottom="1440" w:left="1440" w:header="720" w:footer="720" w:gutter="0"/>
          <w:cols w:space="720"/>
          <w:docGrid w:linePitch="360"/>
        </w:sectPr>
      </w:pPr>
    </w:p>
    <w:p w14:paraId="2C876F7C" w14:textId="32B43E28" w:rsidR="0002342A" w:rsidRDefault="0002342A" w:rsidP="00E44D6C">
      <w:pPr>
        <w:pStyle w:val="Heading1"/>
        <w:ind w:left="1134" w:hanging="567"/>
        <w:rPr>
          <w:rFonts w:asciiTheme="minorHAnsi" w:hAnsiTheme="minorHAnsi" w:cstheme="minorHAnsi"/>
          <w:b/>
          <w:bCs/>
          <w:color w:val="auto"/>
          <w:sz w:val="36"/>
          <w:szCs w:val="36"/>
        </w:rPr>
      </w:pPr>
      <w:bookmarkStart w:id="10" w:name="_Toc120622099"/>
      <w:r>
        <w:rPr>
          <w:rFonts w:asciiTheme="minorHAnsi" w:hAnsiTheme="minorHAnsi" w:cstheme="minorHAnsi"/>
          <w:b/>
          <w:bCs/>
          <w:color w:val="auto"/>
          <w:sz w:val="36"/>
          <w:szCs w:val="36"/>
        </w:rPr>
        <w:lastRenderedPageBreak/>
        <w:t>2</w:t>
      </w:r>
      <w:r w:rsidRPr="00AB0EF4">
        <w:rPr>
          <w:rFonts w:asciiTheme="minorHAnsi" w:hAnsiTheme="minorHAnsi" w:cstheme="minorHAnsi"/>
          <w:b/>
          <w:bCs/>
          <w:color w:val="auto"/>
          <w:sz w:val="36"/>
          <w:szCs w:val="36"/>
        </w:rPr>
        <w:t>.</w:t>
      </w:r>
      <w:r w:rsidRPr="00AB0EF4">
        <w:rPr>
          <w:rFonts w:asciiTheme="minorHAnsi" w:hAnsiTheme="minorHAnsi" w:cstheme="minorHAnsi"/>
          <w:b/>
          <w:bCs/>
          <w:color w:val="auto"/>
          <w:sz w:val="36"/>
          <w:szCs w:val="36"/>
        </w:rPr>
        <w:tab/>
      </w:r>
      <w:r>
        <w:rPr>
          <w:rFonts w:asciiTheme="minorHAnsi" w:hAnsiTheme="minorHAnsi" w:cstheme="minorHAnsi"/>
          <w:b/>
          <w:bCs/>
          <w:color w:val="auto"/>
          <w:sz w:val="36"/>
          <w:szCs w:val="36"/>
        </w:rPr>
        <w:t>Mangrove primary productivity in an extreme environment</w:t>
      </w:r>
      <w:bookmarkEnd w:id="10"/>
    </w:p>
    <w:p w14:paraId="69AB9271" w14:textId="77777777" w:rsidR="00E44D6C" w:rsidRDefault="00E44D6C" w:rsidP="00E44D6C"/>
    <w:p w14:paraId="62C703B0" w14:textId="761DF042" w:rsidR="0002342A" w:rsidRDefault="0002342A" w:rsidP="00E44D6C">
      <w:pPr>
        <w:rPr>
          <w:vertAlign w:val="superscript"/>
        </w:rPr>
      </w:pPr>
      <w:r w:rsidRPr="0067054C">
        <w:t xml:space="preserve">Mark </w:t>
      </w:r>
      <w:proofErr w:type="spellStart"/>
      <w:proofErr w:type="gramStart"/>
      <w:r w:rsidRPr="0067054C">
        <w:t>Chatting</w:t>
      </w:r>
      <w:r w:rsidRPr="0067054C">
        <w:rPr>
          <w:vertAlign w:val="superscript"/>
        </w:rPr>
        <w:t>a,c</w:t>
      </w:r>
      <w:proofErr w:type="spellEnd"/>
      <w:proofErr w:type="gramEnd"/>
      <w:r w:rsidRPr="0067054C">
        <w:t>, Lewis Le</w:t>
      </w:r>
      <w:r>
        <w:t xml:space="preserve"> </w:t>
      </w:r>
      <w:proofErr w:type="spellStart"/>
      <w:r w:rsidRPr="0067054C">
        <w:t>Vay</w:t>
      </w:r>
      <w:r w:rsidRPr="0067054C">
        <w:rPr>
          <w:vertAlign w:val="superscript"/>
        </w:rPr>
        <w:t>b</w:t>
      </w:r>
      <w:proofErr w:type="spellEnd"/>
      <w:r w:rsidRPr="0067054C">
        <w:t xml:space="preserve">, Mark </w:t>
      </w:r>
      <w:proofErr w:type="spellStart"/>
      <w:r w:rsidRPr="0067054C">
        <w:t>Walton</w:t>
      </w:r>
      <w:r w:rsidRPr="0067054C">
        <w:rPr>
          <w:vertAlign w:val="superscript"/>
        </w:rPr>
        <w:t>b</w:t>
      </w:r>
      <w:proofErr w:type="spellEnd"/>
      <w:r w:rsidRPr="0067054C">
        <w:t xml:space="preserve">, Martin W </w:t>
      </w:r>
      <w:proofErr w:type="spellStart"/>
      <w:r w:rsidRPr="0067054C">
        <w:t>Skov</w:t>
      </w:r>
      <w:r w:rsidRPr="0067054C">
        <w:rPr>
          <w:vertAlign w:val="superscript"/>
        </w:rPr>
        <w:t>c</w:t>
      </w:r>
      <w:proofErr w:type="spellEnd"/>
      <w:r w:rsidRPr="0067054C">
        <w:t xml:space="preserve">, Hilary </w:t>
      </w:r>
      <w:proofErr w:type="spellStart"/>
      <w:r w:rsidRPr="0067054C">
        <w:t>Kennedy</w:t>
      </w:r>
      <w:r w:rsidRPr="0067054C">
        <w:rPr>
          <w:vertAlign w:val="superscript"/>
        </w:rPr>
        <w:t>c</w:t>
      </w:r>
      <w:proofErr w:type="spellEnd"/>
      <w:r>
        <w:t xml:space="preserve"> </w:t>
      </w:r>
      <w:r w:rsidRPr="0067054C">
        <w:t>and Ibrahim Al-</w:t>
      </w:r>
      <w:proofErr w:type="spellStart"/>
      <w:r w:rsidRPr="0067054C">
        <w:t>Maslamani</w:t>
      </w:r>
      <w:r>
        <w:rPr>
          <w:vertAlign w:val="superscript"/>
        </w:rPr>
        <w:t>d</w:t>
      </w:r>
      <w:proofErr w:type="spellEnd"/>
    </w:p>
    <w:p w14:paraId="759713CD" w14:textId="77777777" w:rsidR="00E44D6C" w:rsidRPr="0067054C" w:rsidRDefault="00E44D6C" w:rsidP="0002342A">
      <w:pPr>
        <w:rPr>
          <w:i/>
          <w:iCs/>
        </w:rPr>
      </w:pPr>
    </w:p>
    <w:p w14:paraId="07E56D1A" w14:textId="77777777" w:rsidR="0002342A" w:rsidRPr="00504972" w:rsidRDefault="0002342A" w:rsidP="0002342A">
      <w:pPr>
        <w:rPr>
          <w:sz w:val="18"/>
          <w:szCs w:val="18"/>
        </w:rPr>
      </w:pPr>
      <w:proofErr w:type="spellStart"/>
      <w:r w:rsidRPr="00504972">
        <w:rPr>
          <w:sz w:val="18"/>
          <w:szCs w:val="18"/>
          <w:vertAlign w:val="superscript"/>
        </w:rPr>
        <w:t>a</w:t>
      </w:r>
      <w:r w:rsidRPr="00504972">
        <w:rPr>
          <w:sz w:val="18"/>
          <w:szCs w:val="18"/>
        </w:rPr>
        <w:t>Environmental</w:t>
      </w:r>
      <w:proofErr w:type="spellEnd"/>
      <w:r w:rsidRPr="00504972">
        <w:rPr>
          <w:sz w:val="18"/>
          <w:szCs w:val="18"/>
        </w:rPr>
        <w:t xml:space="preserve"> Science Centre, Qatar University, Doha 2713, Qatar.</w:t>
      </w:r>
    </w:p>
    <w:p w14:paraId="07974315" w14:textId="77777777" w:rsidR="0002342A" w:rsidRPr="00504972" w:rsidRDefault="0002342A" w:rsidP="0002342A">
      <w:pPr>
        <w:rPr>
          <w:sz w:val="18"/>
          <w:szCs w:val="18"/>
        </w:rPr>
      </w:pPr>
      <w:proofErr w:type="spellStart"/>
      <w:r w:rsidRPr="00504972">
        <w:rPr>
          <w:sz w:val="18"/>
          <w:szCs w:val="18"/>
          <w:vertAlign w:val="superscript"/>
        </w:rPr>
        <w:t>b</w:t>
      </w:r>
      <w:r w:rsidRPr="00504972">
        <w:rPr>
          <w:sz w:val="18"/>
          <w:szCs w:val="18"/>
        </w:rPr>
        <w:t>Centre</w:t>
      </w:r>
      <w:proofErr w:type="spellEnd"/>
      <w:r w:rsidRPr="00504972">
        <w:rPr>
          <w:sz w:val="18"/>
          <w:szCs w:val="18"/>
        </w:rPr>
        <w:t xml:space="preserve"> for Applied Marine Sciences, Bangor University, Menai Bridge, Anglesey LL59 5EY, UK. </w:t>
      </w:r>
    </w:p>
    <w:p w14:paraId="50F53ECA" w14:textId="77777777" w:rsidR="0002342A" w:rsidRPr="00504972" w:rsidRDefault="0002342A" w:rsidP="0002342A">
      <w:pPr>
        <w:rPr>
          <w:sz w:val="18"/>
          <w:szCs w:val="18"/>
        </w:rPr>
      </w:pPr>
      <w:proofErr w:type="spellStart"/>
      <w:r w:rsidRPr="00504972">
        <w:rPr>
          <w:sz w:val="18"/>
          <w:szCs w:val="18"/>
          <w:vertAlign w:val="superscript"/>
        </w:rPr>
        <w:t>c</w:t>
      </w:r>
      <w:r w:rsidRPr="00504972">
        <w:rPr>
          <w:sz w:val="18"/>
          <w:szCs w:val="18"/>
        </w:rPr>
        <w:t>School</w:t>
      </w:r>
      <w:proofErr w:type="spellEnd"/>
      <w:r w:rsidRPr="00504972">
        <w:rPr>
          <w:sz w:val="18"/>
          <w:szCs w:val="18"/>
        </w:rPr>
        <w:t xml:space="preserve"> of Ocean Sciences, Bangor University, Menai Bridge, Anglesey LL59 5EY, UK.</w:t>
      </w:r>
    </w:p>
    <w:p w14:paraId="6B76B421" w14:textId="77777777" w:rsidR="0002342A" w:rsidRPr="00504972" w:rsidRDefault="0002342A" w:rsidP="0002342A">
      <w:pPr>
        <w:rPr>
          <w:sz w:val="18"/>
          <w:szCs w:val="18"/>
        </w:rPr>
      </w:pPr>
      <w:proofErr w:type="spellStart"/>
      <w:r>
        <w:rPr>
          <w:sz w:val="18"/>
          <w:szCs w:val="18"/>
          <w:vertAlign w:val="superscript"/>
        </w:rPr>
        <w:t>d</w:t>
      </w:r>
      <w:r w:rsidRPr="00504972">
        <w:rPr>
          <w:sz w:val="18"/>
          <w:szCs w:val="18"/>
        </w:rPr>
        <w:t>Office</w:t>
      </w:r>
      <w:proofErr w:type="spellEnd"/>
      <w:r w:rsidRPr="00504972">
        <w:rPr>
          <w:sz w:val="18"/>
          <w:szCs w:val="18"/>
        </w:rPr>
        <w:t xml:space="preserve"> for Research and Graduate Studies, Qatar University, Doha 2713, Qatar.</w:t>
      </w:r>
    </w:p>
    <w:p w14:paraId="43E953A5" w14:textId="77777777" w:rsidR="0002342A" w:rsidRDefault="0002342A" w:rsidP="0002342A">
      <w:pPr>
        <w:spacing w:line="360" w:lineRule="auto"/>
        <w:rPr>
          <w:sz w:val="18"/>
          <w:szCs w:val="18"/>
        </w:rPr>
      </w:pPr>
    </w:p>
    <w:p w14:paraId="693AABF1" w14:textId="77777777" w:rsidR="0002342A" w:rsidRPr="00781268" w:rsidRDefault="0002342A" w:rsidP="0002342A">
      <w:pPr>
        <w:spacing w:line="360" w:lineRule="auto"/>
      </w:pPr>
      <w:r>
        <w:t>This chapter is intended to be submitted for publication</w:t>
      </w:r>
    </w:p>
    <w:p w14:paraId="0AE335F0" w14:textId="77777777" w:rsidR="0002342A" w:rsidRDefault="0002342A" w:rsidP="0002342A">
      <w:pPr>
        <w:spacing w:line="360" w:lineRule="auto"/>
        <w:rPr>
          <w:b/>
          <w:bCs/>
        </w:rPr>
      </w:pPr>
    </w:p>
    <w:p w14:paraId="4998F58E" w14:textId="77777777" w:rsidR="0002342A" w:rsidRPr="0078266F" w:rsidRDefault="0002342A" w:rsidP="0002342A">
      <w:pPr>
        <w:spacing w:line="360" w:lineRule="auto"/>
        <w:rPr>
          <w:b/>
          <w:bCs/>
        </w:rPr>
      </w:pPr>
      <w:r w:rsidRPr="0078266F">
        <w:rPr>
          <w:b/>
          <w:bCs/>
        </w:rPr>
        <w:t>Author Contributions</w:t>
      </w:r>
    </w:p>
    <w:p w14:paraId="0C11195D" w14:textId="77777777" w:rsidR="0002342A" w:rsidRPr="00931019" w:rsidRDefault="0002342A" w:rsidP="0002342A">
      <w:pPr>
        <w:spacing w:line="360" w:lineRule="auto"/>
        <w:sectPr w:rsidR="0002342A" w:rsidRPr="00931019" w:rsidSect="001468EE">
          <w:headerReference w:type="even" r:id="rId15"/>
          <w:headerReference w:type="default" r:id="rId16"/>
          <w:footerReference w:type="even" r:id="rId17"/>
          <w:footerReference w:type="default" r:id="rId18"/>
          <w:headerReference w:type="first" r:id="rId19"/>
          <w:footerReference w:type="first" r:id="rId20"/>
          <w:pgSz w:w="11906" w:h="16838"/>
          <w:pgMar w:top="1440" w:right="1440" w:bottom="1440" w:left="1440" w:header="720" w:footer="720" w:gutter="0"/>
          <w:cols w:space="720"/>
          <w:docGrid w:linePitch="360"/>
        </w:sectPr>
      </w:pPr>
      <w:r w:rsidRPr="00FB7092">
        <w:t xml:space="preserve">MC, LL, MW and MS conceived the study and developed </w:t>
      </w:r>
      <w:r>
        <w:t>its</w:t>
      </w:r>
      <w:r w:rsidRPr="00FB7092">
        <w:t xml:space="preserve"> methodology. Formal data and laboratory analysis were performed by MC.</w:t>
      </w:r>
      <w:r>
        <w:rPr>
          <w:b/>
          <w:bCs/>
        </w:rPr>
        <w:t xml:space="preserve"> </w:t>
      </w:r>
      <w:r w:rsidRPr="00FB7092">
        <w:rPr>
          <w:rFonts w:cstheme="minorHAnsi"/>
        </w:rPr>
        <w:t>MC, wrote the manuscript draft</w:t>
      </w:r>
      <w:r>
        <w:rPr>
          <w:rFonts w:cstheme="minorHAnsi"/>
        </w:rPr>
        <w:t xml:space="preserve"> with editorial support from </w:t>
      </w:r>
      <w:r w:rsidRPr="00FB7092">
        <w:rPr>
          <w:rFonts w:cstheme="minorHAnsi"/>
        </w:rPr>
        <w:t>LL, MW, MS, HK</w:t>
      </w:r>
      <w:r>
        <w:rPr>
          <w:rFonts w:cstheme="minorHAnsi"/>
        </w:rPr>
        <w:t xml:space="preserve"> </w:t>
      </w:r>
      <w:r w:rsidRPr="00FB7092">
        <w:rPr>
          <w:rFonts w:cstheme="minorHAnsi"/>
        </w:rPr>
        <w:t>and IM. LL, MW, MS, HK</w:t>
      </w:r>
      <w:r>
        <w:rPr>
          <w:rFonts w:cstheme="minorHAnsi"/>
        </w:rPr>
        <w:t xml:space="preserve"> </w:t>
      </w:r>
      <w:r w:rsidRPr="00FB7092">
        <w:rPr>
          <w:rFonts w:cstheme="minorHAnsi"/>
        </w:rPr>
        <w:t>and IM contributed to design of the work and critical evaluation of the manuscript during the</w:t>
      </w:r>
      <w:r>
        <w:rPr>
          <w:rFonts w:cstheme="minorHAnsi"/>
        </w:rPr>
        <w:t xml:space="preserve"> </w:t>
      </w:r>
      <w:r w:rsidRPr="00FB7092">
        <w:rPr>
          <w:rFonts w:cstheme="minorHAnsi"/>
        </w:rPr>
        <w:t>extensive drafting process. All authors helped write and edit the final version of the paper.</w:t>
      </w:r>
    </w:p>
    <w:p w14:paraId="0706B0EC" w14:textId="4C5F7406" w:rsidR="0002342A" w:rsidRPr="004C47E7" w:rsidRDefault="0002342A" w:rsidP="0002342A">
      <w:pPr>
        <w:pStyle w:val="Heading2"/>
        <w:rPr>
          <w:rFonts w:asciiTheme="minorHAnsi" w:hAnsiTheme="minorHAnsi" w:cstheme="minorHAnsi"/>
          <w:b/>
          <w:bCs/>
          <w:color w:val="auto"/>
        </w:rPr>
      </w:pPr>
      <w:bookmarkStart w:id="11" w:name="_Toc120622100"/>
      <w:r w:rsidRPr="004C47E7">
        <w:rPr>
          <w:rFonts w:asciiTheme="minorHAnsi" w:hAnsiTheme="minorHAnsi" w:cstheme="minorHAnsi"/>
          <w:b/>
          <w:bCs/>
          <w:color w:val="auto"/>
        </w:rPr>
        <w:lastRenderedPageBreak/>
        <w:t>2.1</w:t>
      </w:r>
      <w:r w:rsidRPr="004C47E7">
        <w:rPr>
          <w:rFonts w:asciiTheme="minorHAnsi" w:hAnsiTheme="minorHAnsi" w:cstheme="minorHAnsi"/>
          <w:b/>
          <w:bCs/>
          <w:color w:val="auto"/>
        </w:rPr>
        <w:tab/>
        <w:t>Abstract</w:t>
      </w:r>
      <w:bookmarkEnd w:id="11"/>
    </w:p>
    <w:p w14:paraId="655D2A15" w14:textId="32585AB1" w:rsidR="004E5365" w:rsidRDefault="0002342A" w:rsidP="0002342A">
      <w:pPr>
        <w:spacing w:line="480" w:lineRule="auto"/>
        <w:sectPr w:rsidR="004E5365" w:rsidSect="00E55250">
          <w:headerReference w:type="even" r:id="rId21"/>
          <w:headerReference w:type="default" r:id="rId22"/>
          <w:footerReference w:type="even" r:id="rId23"/>
          <w:footerReference w:type="default" r:id="rId24"/>
          <w:headerReference w:type="first" r:id="rId25"/>
          <w:footerReference w:type="first" r:id="rId26"/>
          <w:pgSz w:w="11906" w:h="16838"/>
          <w:pgMar w:top="1440" w:right="1440" w:bottom="1440" w:left="1440" w:header="720" w:footer="720" w:gutter="0"/>
          <w:cols w:space="720"/>
          <w:titlePg/>
          <w:docGrid w:linePitch="360"/>
        </w:sectPr>
      </w:pPr>
      <w:r w:rsidRPr="004C47E7">
        <w:rPr>
          <w:rFonts w:cstheme="minorHAnsi"/>
        </w:rPr>
        <w:t xml:space="preserve">Mangrove ecosystems are among the most productive forests in the world and perform many important ecological functions. However, comparatively little data exists at the climatic extremities of the global distribution and the inter-stand dynamics of mangrove productivity are still generally unclear </w:t>
      </w:r>
      <w:r>
        <w:rPr>
          <w:rFonts w:cstheme="minorHAnsi"/>
        </w:rPr>
        <w:t>for</w:t>
      </w:r>
      <w:r w:rsidRPr="004C47E7">
        <w:rPr>
          <w:rFonts w:cstheme="minorHAnsi"/>
        </w:rPr>
        <w:t xml:space="preserve"> arid mangroves. The aims of this study were to quantify mangrove productivity in Qatar and</w:t>
      </w:r>
      <w:r>
        <w:rPr>
          <w:rFonts w:cstheme="minorHAnsi"/>
        </w:rPr>
        <w:t xml:space="preserve"> to</w:t>
      </w:r>
      <w:r w:rsidRPr="004C47E7">
        <w:rPr>
          <w:rFonts w:cstheme="minorHAnsi"/>
        </w:rPr>
        <w:t xml:space="preserve"> compare </w:t>
      </w:r>
      <w:r>
        <w:rPr>
          <w:rFonts w:cstheme="minorHAnsi"/>
        </w:rPr>
        <w:t>Qatari forest productivity</w:t>
      </w:r>
      <w:r w:rsidRPr="004C47E7">
        <w:rPr>
          <w:rFonts w:cstheme="minorHAnsi"/>
        </w:rPr>
        <w:t xml:space="preserve"> to </w:t>
      </w:r>
      <w:r>
        <w:rPr>
          <w:rFonts w:cstheme="minorHAnsi"/>
        </w:rPr>
        <w:t xml:space="preserve">that of </w:t>
      </w:r>
      <w:r w:rsidRPr="004C47E7">
        <w:rPr>
          <w:rFonts w:cstheme="minorHAnsi"/>
        </w:rPr>
        <w:t xml:space="preserve">tropical </w:t>
      </w:r>
      <w:r>
        <w:rPr>
          <w:rFonts w:cstheme="minorHAnsi"/>
        </w:rPr>
        <w:t>forests</w:t>
      </w:r>
      <w:r w:rsidRPr="004C47E7">
        <w:rPr>
          <w:rFonts w:cstheme="minorHAnsi"/>
        </w:rPr>
        <w:t xml:space="preserve">. </w:t>
      </w:r>
      <w:r>
        <w:rPr>
          <w:rFonts w:cstheme="minorHAnsi"/>
        </w:rPr>
        <w:t>The</w:t>
      </w:r>
      <w:r w:rsidRPr="004C47E7">
        <w:rPr>
          <w:rFonts w:cstheme="minorHAnsi"/>
        </w:rPr>
        <w:t xml:space="preserve"> study </w:t>
      </w:r>
      <w:r>
        <w:rPr>
          <w:rFonts w:cstheme="minorHAnsi"/>
        </w:rPr>
        <w:t>quantified</w:t>
      </w:r>
      <w:r w:rsidRPr="004C47E7">
        <w:rPr>
          <w:rFonts w:cstheme="minorHAnsi"/>
        </w:rPr>
        <w:t xml:space="preserve"> litterfall rates, below ground root growth and soil respiration rates in three arid mangrove stands in Qatar</w:t>
      </w:r>
      <w:r>
        <w:rPr>
          <w:rFonts w:cstheme="minorHAnsi"/>
        </w:rPr>
        <w:t xml:space="preserve"> through sampling</w:t>
      </w:r>
      <w:r w:rsidRPr="004C47E7">
        <w:rPr>
          <w:rFonts w:cstheme="minorHAnsi"/>
        </w:rPr>
        <w:t xml:space="preserve"> along the intertidal elevation gradient over a 24-month period. </w:t>
      </w:r>
      <w:r>
        <w:rPr>
          <w:rFonts w:cstheme="minorHAnsi"/>
        </w:rPr>
        <w:t>The study recorded o</w:t>
      </w:r>
      <w:r w:rsidRPr="004C47E7">
        <w:t xml:space="preserve">verall mean leaf litter and root growth rates </w:t>
      </w:r>
      <w:r>
        <w:t>of</w:t>
      </w:r>
      <w:r w:rsidRPr="004C47E7">
        <w:t xml:space="preserve"> 1.81 ± 0.09 g m</w:t>
      </w:r>
      <w:r w:rsidRPr="004C47E7">
        <w:rPr>
          <w:vertAlign w:val="superscript"/>
        </w:rPr>
        <w:t>2</w:t>
      </w:r>
      <w:r w:rsidRPr="004C47E7">
        <w:t xml:space="preserve"> d</w:t>
      </w:r>
      <w:r w:rsidRPr="004C47E7">
        <w:rPr>
          <w:vertAlign w:val="superscript"/>
        </w:rPr>
        <w:t>-1</w:t>
      </w:r>
      <w:r w:rsidRPr="004C47E7">
        <w:t xml:space="preserve"> (extrapolated to 6.60 ± 0.35 Mg ha</w:t>
      </w:r>
      <w:r w:rsidRPr="004C47E7">
        <w:rPr>
          <w:vertAlign w:val="superscript"/>
        </w:rPr>
        <w:t>-1</w:t>
      </w:r>
      <w:r w:rsidRPr="004C47E7">
        <w:t xml:space="preserve"> y</w:t>
      </w:r>
      <w:r w:rsidRPr="004C47E7">
        <w:rPr>
          <w:vertAlign w:val="superscript"/>
        </w:rPr>
        <w:t>-1</w:t>
      </w:r>
      <w:r w:rsidRPr="004C47E7">
        <w:t>) and 1.03 ± 0.03 Mg ha yr</w:t>
      </w:r>
      <w:r w:rsidRPr="004C47E7">
        <w:rPr>
          <w:vertAlign w:val="superscript"/>
        </w:rPr>
        <w:t>-1</w:t>
      </w:r>
      <w:r w:rsidRPr="004C47E7">
        <w:t xml:space="preserve">, respectively, which were </w:t>
      </w:r>
      <w:r w:rsidRPr="004C47E7">
        <w:rPr>
          <w:rFonts w:cstheme="minorHAnsi"/>
        </w:rPr>
        <w:t>comparable to mangroves in other arid regions</w:t>
      </w:r>
      <w:r>
        <w:rPr>
          <w:rFonts w:cstheme="minorHAnsi"/>
        </w:rPr>
        <w:t>,</w:t>
      </w:r>
      <w:r w:rsidRPr="004C47E7">
        <w:rPr>
          <w:rFonts w:cstheme="minorHAnsi"/>
        </w:rPr>
        <w:t xml:space="preserve"> but markedly lower than wet tropical regions. </w:t>
      </w:r>
      <w:r>
        <w:rPr>
          <w:rFonts w:cstheme="minorHAnsi"/>
        </w:rPr>
        <w:t>W</w:t>
      </w:r>
      <w:r w:rsidRPr="004C47E7">
        <w:rPr>
          <w:rFonts w:cstheme="minorHAnsi"/>
        </w:rPr>
        <w:t xml:space="preserve">inter apical tip growth </w:t>
      </w:r>
      <w:r w:rsidRPr="004C47E7">
        <w:t xml:space="preserve">was &gt;1.5 times that of summer and soil respiration in summer was significantly greater than winter. </w:t>
      </w:r>
      <w:r>
        <w:t>The observed decline in</w:t>
      </w:r>
      <w:r w:rsidRPr="004C47E7">
        <w:t xml:space="preserve"> apical tip growth and soil respiration </w:t>
      </w:r>
      <w:r>
        <w:t>during</w:t>
      </w:r>
      <w:r w:rsidRPr="004C47E7">
        <w:t xml:space="preserve"> summer suggest that the extreme </w:t>
      </w:r>
      <w:r>
        <w:t xml:space="preserve">conditions in </w:t>
      </w:r>
      <w:r w:rsidRPr="004C47E7">
        <w:t>summer restrict</w:t>
      </w:r>
      <w:r>
        <w:t>s</w:t>
      </w:r>
      <w:r w:rsidRPr="004C47E7">
        <w:t xml:space="preserve"> </w:t>
      </w:r>
      <w:r>
        <w:t xml:space="preserve">the </w:t>
      </w:r>
      <w:r w:rsidRPr="004C47E7">
        <w:t xml:space="preserve">productivity </w:t>
      </w:r>
      <w:r>
        <w:t>of</w:t>
      </w:r>
      <w:r w:rsidRPr="004C47E7">
        <w:t xml:space="preserve"> mangroves</w:t>
      </w:r>
      <w:r w:rsidRPr="00560F8A">
        <w:t xml:space="preserve"> </w:t>
      </w:r>
      <w:r w:rsidRPr="004C47E7">
        <w:t xml:space="preserve">in Qatar. </w:t>
      </w:r>
      <w:r>
        <w:t xml:space="preserve">Mangroves </w:t>
      </w:r>
      <w:r w:rsidRPr="00F66EBC">
        <w:t>expansion into higher latitudes is predicted in the 21</w:t>
      </w:r>
      <w:r w:rsidRPr="00F66EBC">
        <w:rPr>
          <w:vertAlign w:val="superscript"/>
        </w:rPr>
        <w:t>st</w:t>
      </w:r>
      <w:r w:rsidRPr="00F66EBC">
        <w:t xml:space="preserve"> century and their persistence in extreme environments is likely to become more commonplace. </w:t>
      </w:r>
      <w:r>
        <w:t>The study offers</w:t>
      </w:r>
      <w:r w:rsidRPr="00F66EBC">
        <w:t xml:space="preserve"> </w:t>
      </w:r>
      <w:r>
        <w:t>improved</w:t>
      </w:r>
      <w:r w:rsidRPr="00F66EBC">
        <w:t xml:space="preserve"> understanding of mangrove functioning at the extremities of their current global distribution, to give insights into how forests may function in </w:t>
      </w:r>
      <w:r>
        <w:t>a</w:t>
      </w:r>
      <w:r w:rsidRPr="00F66EBC">
        <w:t xml:space="preserve"> future</w:t>
      </w:r>
      <w:r>
        <w:t xml:space="preserve"> under global warming</w:t>
      </w:r>
      <w:r w:rsidRPr="00F66EBC">
        <w:t>.</w:t>
      </w:r>
      <w:r w:rsidRPr="004C47E7">
        <w:t xml:space="preserve"> </w:t>
      </w:r>
    </w:p>
    <w:p w14:paraId="79457909" w14:textId="7A746AF0" w:rsidR="0002342A" w:rsidRPr="004C47E7" w:rsidRDefault="0002342A" w:rsidP="0002342A">
      <w:pPr>
        <w:pStyle w:val="Heading2"/>
        <w:rPr>
          <w:rFonts w:asciiTheme="minorHAnsi" w:hAnsiTheme="minorHAnsi" w:cstheme="minorHAnsi"/>
          <w:b/>
          <w:bCs/>
          <w:color w:val="auto"/>
        </w:rPr>
      </w:pPr>
      <w:bookmarkStart w:id="12" w:name="_Toc120622101"/>
      <w:r w:rsidRPr="004C47E7">
        <w:rPr>
          <w:rFonts w:asciiTheme="minorHAnsi" w:hAnsiTheme="minorHAnsi" w:cstheme="minorHAnsi"/>
          <w:b/>
          <w:bCs/>
          <w:color w:val="auto"/>
        </w:rPr>
        <w:lastRenderedPageBreak/>
        <w:t>2.2</w:t>
      </w:r>
      <w:r w:rsidRPr="004C47E7">
        <w:rPr>
          <w:rFonts w:asciiTheme="minorHAnsi" w:hAnsiTheme="minorHAnsi" w:cstheme="minorHAnsi"/>
          <w:b/>
          <w:bCs/>
          <w:color w:val="auto"/>
        </w:rPr>
        <w:tab/>
        <w:t>Introduction</w:t>
      </w:r>
      <w:bookmarkEnd w:id="12"/>
    </w:p>
    <w:p w14:paraId="7941403B" w14:textId="06503699" w:rsidR="0002342A" w:rsidRPr="004C47E7" w:rsidRDefault="0002342A" w:rsidP="0002342A">
      <w:pPr>
        <w:spacing w:line="480" w:lineRule="auto"/>
        <w:rPr>
          <w:rFonts w:cstheme="minorHAnsi"/>
        </w:rPr>
      </w:pPr>
      <w:r w:rsidRPr="004C47E7">
        <w:rPr>
          <w:rFonts w:cstheme="minorHAnsi"/>
        </w:rPr>
        <w:t xml:space="preserve">Mangrove ecosystems perform many important ecological functions, which include protecting coastlines from storms and tsunamis </w:t>
      </w:r>
      <w:r w:rsidRPr="004C47E7">
        <w:rPr>
          <w:rFonts w:cstheme="minorHAnsi"/>
        </w:rPr>
        <w:fldChar w:fldCharType="begin" w:fldLock="1"/>
      </w:r>
      <w:r w:rsidR="008A48C6">
        <w:rPr>
          <w:rFonts w:cstheme="minorHAnsi"/>
        </w:rPr>
        <w:instrText>ADDIN CSL_CITATION {"citationItems":[{"id":"ITEM-1","itemData":{"abstract":"A study conducted after the 26th of December 2004 tsunami in 18 coastal hamlets along the south-east coast of India reiterates the importance of coastal mangrove vegetations and location characteristics of human inhabitation to protect lives and wealth from the fury of tsunami. The tsunami caused human death and loss of wealth and these decreased with the area of coastal vegetation, distance and elevation of human inhabitation from the sea. Human inhabitation should be encouraged more than 1 km from the shoreline in elevated places, behind dense mangroves and or other coastal vegetation. Some plant species, suitable to grow in between human inhabitation and the sea for coastal protection, are suggested. 2005 Elsevier Ltd. All rights reserved.","author":[{"dropping-particle":"","family":"Kathiresan","given":"K","non-dropping-particle":"","parse-names":false,"suffix":""},{"dropping-particle":"","family":"Rajendran","given":"N","non-dropping-particle":"","parse-names":false,"suffix":""}],"container-title":"Estuarine, Coastal and Shelf Science","id":"ITEM-1","issued":{"date-parts":[["2005"]]},"page":"601-606","title":"Coastal mangrove forests mitigated tsunami","type":"article-journal","volume":"65"},"uris":["http://www.mendeley.com/documents/?uuid=53d0f7e2-8734-4b41-a340-01f6c3427b35"]}],"mendeley":{"formattedCitation":"(Kathiresan and Rajendran, 2005)","plainTextFormattedCitation":"(Kathiresan and Rajendran, 2005)","previouslyFormattedCitation":"(Kathiresan and Rajendran, 2005)"},"properties":{"noteIndex":0},"schema":"https://github.com/citation-style-language/schema/raw/master/csl-citation.json"}</w:instrText>
      </w:r>
      <w:r w:rsidRPr="004C47E7">
        <w:rPr>
          <w:rFonts w:cstheme="minorHAnsi"/>
        </w:rPr>
        <w:fldChar w:fldCharType="separate"/>
      </w:r>
      <w:r w:rsidR="008A48C6" w:rsidRPr="008A48C6">
        <w:rPr>
          <w:rFonts w:cstheme="minorHAnsi"/>
          <w:noProof/>
        </w:rPr>
        <w:t>(Kathiresan and Rajendran, 2005)</w:t>
      </w:r>
      <w:r w:rsidRPr="004C47E7">
        <w:rPr>
          <w:rFonts w:cstheme="minorHAnsi"/>
        </w:rPr>
        <w:fldChar w:fldCharType="end"/>
      </w:r>
      <w:r w:rsidRPr="004C47E7">
        <w:rPr>
          <w:rFonts w:cstheme="minorHAnsi"/>
        </w:rPr>
        <w:t xml:space="preserve">, providing nursery and feeding grounds for juvenile fish species </w:t>
      </w:r>
      <w:r w:rsidRPr="004C47E7">
        <w:rPr>
          <w:rFonts w:cstheme="minorHAnsi"/>
        </w:rPr>
        <w:fldChar w:fldCharType="begin" w:fldLock="1"/>
      </w:r>
      <w:r w:rsidR="008A48C6">
        <w:rPr>
          <w:rFonts w:cstheme="minorHAnsi"/>
        </w:rPr>
        <w:instrText>ADDIN CSL_CITATION {"citationItems":[{"id":"ITEM-1","itemData":{"DOI":"10.1371/journal.pone.0114715","ISSN":"19326203","PMID":"25551761","abstract":"Identification of critical life-stage habitats is key to successful conservation efforts. Juveniles of some species show great flexibility in habitat use while other species rely heavily on a restricted number of juvenile habitats for protection and food. Considering the rapid degradation of coastal marine habitats worldwide, it is important to evaluate which species are more susceptible to loss of juvenile nursery habitats and how this differs across large biogeographic regions. Here we used a meta-analysis approach to investigate habitat use by juvenile reef fish species in tropical coastal ecosystems across the globe. Densities of juvenile fish species were compared among mangrove, seagrass and coral reef habitats. In the Caribbean, the majority of species showed significantly higher juvenile densities in mangroves as compared to seagrass beds and coral reefs, while for the Indo- Pacific region seagrass beds harbored the highest overall densities. Further analysis indicated that differences in tidal amplitude, irrespective of biogeographic region, appeared to be the major driver for this phenomenon. In addition, juvenile reef fish use of mangroves increased with increasing water salinity. In the Caribbean, species of specific families (e.g. Lutjanidae, Haemulidae) showed a higher reliance on mangroves or seagrass beds as juvenile habitats than other species, whereas in the Indo-Pacific family-specific trends of juvenile habitat utilization were less apparent. The findings of this study highlight the importance of incorporating region-specific tidal inundation regimes into marine spatial conservation planning and ecosystem based management. Furthermore, the significant role of water salinity and tidal access as drivers of mangrove fish habitat use implies that changes in seawater level and rainfall due to climate change may have important effects on how juvenile reef fish use nearshore seascapes in the future.","author":[{"dropping-particle":"","family":"Igulu","given":"Mathias M.","non-dropping-particle":"","parse-names":false,"suffix":""},{"dropping-particle":"","family":"Nagelkerken","given":"Ivan","non-dropping-particle":"","parse-names":false,"suffix":""},{"dropping-particle":"","family":"Dorenbosch","given":"Martijn","non-dropping-particle":"","parse-names":false,"suffix":""},{"dropping-particle":"","family":"Grol","given":"Monique G.G.","non-dropping-particle":"","parse-names":false,"suffix":""},{"dropping-particle":"","family":"Harborne","given":"Alastair R.","non-dropping-particle":"","parse-names":false,"suffix":""},{"dropping-particle":"","family":"Kimirei","given":"Ismael A.","non-dropping-particle":"","parse-names":false,"suffix":""},{"dropping-particle":"","family":"Mumby","given":"Peter J.","non-dropping-particle":"","parse-names":false,"suffix":""},{"dropping-particle":"","family":"Olds","given":"Andrew D.","non-dropping-particle":"","parse-names":false,"suffix":""},{"dropping-particle":"","family":"Mgaya","given":"Yunus D.","non-dropping-particle":"","parse-names":false,"suffix":""}],"container-title":"PLoS ONE","id":"ITEM-1","issue":"12","issued":{"date-parts":[["2014"]]},"title":"Mangrove habitat use by juvenile reef fish: Meta-analysis reveals that tidal regime matters more than biogeographic region","type":"article-journal","volume":"9"},"uris":["http://www.mendeley.com/documents/?uuid=aabb8b3d-9d43-4030-859c-ff7879c97af2"]}],"mendeley":{"formattedCitation":"(Igulu et al., 2014)","plainTextFormattedCitation":"(Igulu et al., 2014)","previouslyFormattedCitation":"(Igulu et al., 2014)"},"properties":{"noteIndex":0},"schema":"https://github.com/citation-style-language/schema/raw/master/csl-citation.json"}</w:instrText>
      </w:r>
      <w:r w:rsidRPr="004C47E7">
        <w:rPr>
          <w:rFonts w:cstheme="minorHAnsi"/>
        </w:rPr>
        <w:fldChar w:fldCharType="separate"/>
      </w:r>
      <w:r w:rsidR="008A48C6" w:rsidRPr="008A48C6">
        <w:rPr>
          <w:rFonts w:cstheme="minorHAnsi"/>
          <w:noProof/>
        </w:rPr>
        <w:t>(Igulu et al., 2014)</w:t>
      </w:r>
      <w:r w:rsidRPr="004C47E7">
        <w:rPr>
          <w:rFonts w:cstheme="minorHAnsi"/>
        </w:rPr>
        <w:fldChar w:fldCharType="end"/>
      </w:r>
      <w:r w:rsidRPr="004C47E7">
        <w:rPr>
          <w:rFonts w:cstheme="minorHAnsi"/>
        </w:rPr>
        <w:t xml:space="preserve">, supporting trophic webs in neighbouring habitats </w:t>
      </w:r>
      <w:r w:rsidRPr="004C47E7">
        <w:rPr>
          <w:rFonts w:cstheme="minorHAnsi"/>
        </w:rPr>
        <w:fldChar w:fldCharType="begin" w:fldLock="1"/>
      </w:r>
      <w:r w:rsidR="008A48C6">
        <w:rPr>
          <w:rFonts w:cstheme="minorHAnsi"/>
        </w:rPr>
        <w:instrText>ADDIN CSL_CITATION {"citationItems":[{"id":"ITEM-1","itemData":{"abstract":"Fringing the southwest coast of Florida is a mangrove belt which supports large populations of birds, gamefishes, and invertebrate species of commercial importance. A study was conducted between 1967 and 1969 in the North River basin of this mangrove region to determine the energy basis for this large population of animals and to delineate the routes by which energy is transferred through the food web. This is the first of three publications summarizing the results of this study. It consists of summaries of food habits for most of the fish and aquatic invertebrate species which occur in the North River mangrove ecosystem. In addition to our data, which include in excess of 10,000 analyses of stomach contents, information from other publications has been summarized where pertinent. Finally, for most species there is an estimate of relative importance in the North River system in terms of abundance.","author":[{"dropping-particle":"","family":"Odum","given":"William E.","non-dropping-particle":"","parse-names":false,"suffix":""},{"dropping-particle":"","family":"Heald","given":"Eric J.","non-dropping-particle":"","parse-names":false,"suffix":""}],"container-title":"Bulletin of Marine Science","id":"ITEM-1","issue":"3","issued":{"date-parts":[["1972"]]},"page":"671-738","title":"Trophic Analyses of an Estuarine Mangrove Community","type":"article-journal","volume":"22"},"uris":["http://www.mendeley.com/documents/?uuid=54493bdd-29d8-46ff-9075-34622aee5f14"]}],"mendeley":{"formattedCitation":"(Odum and Heald, 1972)","plainTextFormattedCitation":"(Odum and Heald, 1972)","previouslyFormattedCitation":"(Odum and Heald, 1972)"},"properties":{"noteIndex":0},"schema":"https://github.com/citation-style-language/schema/raw/master/csl-citation.json"}</w:instrText>
      </w:r>
      <w:r w:rsidRPr="004C47E7">
        <w:rPr>
          <w:rFonts w:cstheme="minorHAnsi"/>
        </w:rPr>
        <w:fldChar w:fldCharType="separate"/>
      </w:r>
      <w:r w:rsidR="008A48C6" w:rsidRPr="008A48C6">
        <w:rPr>
          <w:rFonts w:cstheme="minorHAnsi"/>
          <w:noProof/>
        </w:rPr>
        <w:t>(Odum and Heald, 1972)</w:t>
      </w:r>
      <w:r w:rsidRPr="004C47E7">
        <w:rPr>
          <w:rFonts w:cstheme="minorHAnsi"/>
        </w:rPr>
        <w:fldChar w:fldCharType="end"/>
      </w:r>
      <w:r w:rsidRPr="004C47E7">
        <w:rPr>
          <w:rFonts w:cstheme="minorHAnsi"/>
        </w:rPr>
        <w:t xml:space="preserve"> and acting as significant carbon sinks </w:t>
      </w:r>
      <w:r w:rsidRPr="004C47E7">
        <w:rPr>
          <w:rFonts w:cstheme="minorHAnsi"/>
        </w:rPr>
        <w:fldChar w:fldCharType="begin" w:fldLock="1"/>
      </w:r>
      <w:r w:rsidR="008A48C6">
        <w:rPr>
          <w:rFonts w:cstheme="minorHAnsi"/>
        </w:rPr>
        <w:instrText>ADDIN CSL_CITATION {"citationItems":[{"id":"ITEM-1","itemData":{"DOI":"10.1038/ngeo1123","ISBN":"1752-0894","ISSN":"1752-0894","PMID":"17701399","abstract":"Mangrove forests occur along ocean coastlines throughout the tropics, and support numerous ecosystem services, including fisheries production and nutrient cycling. However, the areal extent of mangrove forests has declined by 30–50% over the past half century as a result of coastal development, aqua- culture expansion and over-harvesting1–4. Carbon emissions resulting from mangrove loss are uncertain, owing in part to a lack of broad-scale data on the amount of carbon stored in these ecosystems, particularly below ground5. Here, we quantified whole-ecosystem carbon storage by measuring tree and dead wood biomass, soil carbon content, and soil depth in 25 mangrove forests across a broad area of the Indo-Pacific region—spanning 30◦ of latitude and 73◦ of longitude—where mangrove area and diversity are greatest4,6. These data indi- cate that mangroves are among the most carbon-rich forests in the tropics, containing on average 1,023Mg carbon per hectare. Organic-rich soils ranged from 0.5mto more than 3m in depth and accounted for 49–98% of carbon storage in these systems. Combining our data with other published information, we estimate that mangrove deforestation generates emissions of 0.02–0.12Pg carbon per year—as much as around 10% of emissions from deforestation globally, despite accounting for just 0.7%of tropical forest area.","author":[{"dropping-particle":"","family":"Donato","given":"Daniel C.","non-dropping-particle":"","parse-names":false,"suffix":""},{"dropping-particle":"","family":"Kauffman","given":"J. Boone","non-dropping-particle":"","parse-names":false,"suffix":""},{"dropping-particle":"","family":"Murdiyarso","given":"Daniel","non-dropping-particle":"","parse-names":false,"suffix":""},{"dropping-particle":"","family":"Kurnianto","given":"Sofyan","non-dropping-particle":"","parse-names":false,"suffix":""},{"dropping-particle":"","family":"Stidham","given":"Melanie","non-dropping-particle":"","parse-names":false,"suffix":""},{"dropping-particle":"","family":"Kanninen","given":"Markku","non-dropping-particle":"","parse-names":false,"suffix":""}],"container-title":"Nature Geoscience","id":"ITEM-1","issue":"5","issued":{"date-parts":[["2011"]]},"page":"293-297","title":"Mangroves among the most carbon-rich forests in the tropics","type":"article-journal","volume":"4"},"uris":["http://www.mendeley.com/documents/?uuid=490346f7-5ac8-4ae2-8d0c-30ebcec82312"]}],"mendeley":{"formattedCitation":"(Donato et al., 2011)","plainTextFormattedCitation":"(Donato et al., 2011)","previouslyFormattedCitation":"(Donato et al., 2011)"},"properties":{"noteIndex":0},"schema":"https://github.com/citation-style-language/schema/raw/master/csl-citation.json"}</w:instrText>
      </w:r>
      <w:r w:rsidRPr="004C47E7">
        <w:rPr>
          <w:rFonts w:cstheme="minorHAnsi"/>
        </w:rPr>
        <w:fldChar w:fldCharType="separate"/>
      </w:r>
      <w:r w:rsidR="008A48C6" w:rsidRPr="008A48C6">
        <w:rPr>
          <w:rFonts w:cstheme="minorHAnsi"/>
          <w:noProof/>
        </w:rPr>
        <w:t>(Donato et al., 2011)</w:t>
      </w:r>
      <w:r w:rsidRPr="004C47E7">
        <w:rPr>
          <w:rFonts w:cstheme="minorHAnsi"/>
        </w:rPr>
        <w:fldChar w:fldCharType="end"/>
      </w:r>
      <w:r w:rsidRPr="004C47E7">
        <w:rPr>
          <w:rFonts w:cstheme="minorHAnsi"/>
        </w:rPr>
        <w:t xml:space="preserve">. As a result of these ecosystem services, the economic value of mangroves is considered to be substantial. For example, the value of annual flood protection from mangroves globally is estimated to be as high as US$ 65 billion per year </w:t>
      </w:r>
      <w:r w:rsidRPr="004C47E7">
        <w:rPr>
          <w:rFonts w:cstheme="minorHAnsi"/>
        </w:rPr>
        <w:fldChar w:fldCharType="begin" w:fldLock="1"/>
      </w:r>
      <w:r w:rsidR="008A48C6">
        <w:rPr>
          <w:rFonts w:cstheme="minorHAnsi"/>
        </w:rPr>
        <w:instrText>ADDIN CSL_CITATION {"citationItems":[{"id":"ITEM-1","itemData":{"DOI":"10.1038/s41598-020-61136-6","ISSN":"20452322","PMID":"32157114","abstract":"Coastal flood risks are rising rapidly. We provide high resolution estimates of the economic value of mangroves forests for flood risk reduction every 20 km worldwide. We develop a probabilistic, process-based valuation of the effects of mangroves on averting damages to people and property. We couple spatially-explicit 2-D hydrodynamic analyses with economic models, and find that mangroves provide flood protection benefits exceeding $US 65 billion per year. If mangroves were lost, 15 million more people would be flooded annually across the world. Some of the nations that receive the greatest economic benefits include the USA, China, India and Mexico. Vietnam, India and Bangladesh receive the greatest benefits in terms of people protected. Many (&gt;45) 20-km coastal stretches particularly those near cities receive more than $US 250 million annually in flood protection benefits from mangroves. These results demonstrate the value of mangroves as natural coastal defenses at global, national and local scales, which can inform incentives for mangrove conservation and restoration in development, climate adaptation, disaster risk reduction and insurance.","author":[{"dropping-particle":"","family":"Menéndez","given":"Pelayo","non-dropping-particle":"","parse-names":false,"suffix":""},{"dropping-particle":"","family":"Losada","given":"Iñigo J.","non-dropping-particle":"","parse-names":false,"suffix":""},{"dropping-particle":"","family":"Torres-Ortega","given":"Saul","non-dropping-particle":"","parse-names":false,"suffix":""},{"dropping-particle":"","family":"Narayan","given":"Siddharth","non-dropping-particle":"","parse-names":false,"suffix":""},{"dropping-particle":"","family":"Beck","given":"Michael W.","non-dropping-particle":"","parse-names":false,"suffix":""}],"container-title":"Scientific Reports","id":"ITEM-1","issue":"1","issued":{"date-parts":[["2020"]]},"title":"The Global Flood Protection Benefits of Mangroves","type":"article-journal","volume":"10"},"uris":["http://www.mendeley.com/documents/?uuid=cb960fd1-e704-4812-958f-1b284fd9086a"]}],"mendeley":{"formattedCitation":"(Menéndez et al., 2020)","plainTextFormattedCitation":"(Menéndez et al., 2020)","previouslyFormattedCitation":"(Menéndez et al., 2020)"},"properties":{"noteIndex":0},"schema":"https://github.com/citation-style-language/schema/raw/master/csl-citation.json"}</w:instrText>
      </w:r>
      <w:r w:rsidRPr="004C47E7">
        <w:rPr>
          <w:rFonts w:cstheme="minorHAnsi"/>
        </w:rPr>
        <w:fldChar w:fldCharType="separate"/>
      </w:r>
      <w:r w:rsidR="008A48C6" w:rsidRPr="008A48C6">
        <w:rPr>
          <w:rFonts w:cstheme="minorHAnsi"/>
          <w:noProof/>
        </w:rPr>
        <w:t>(Menéndez et al., 2020)</w:t>
      </w:r>
      <w:r w:rsidRPr="004C47E7">
        <w:rPr>
          <w:rFonts w:cstheme="minorHAnsi"/>
        </w:rPr>
        <w:fldChar w:fldCharType="end"/>
      </w:r>
      <w:r w:rsidRPr="004C47E7">
        <w:rPr>
          <w:rFonts w:cstheme="minorHAnsi"/>
        </w:rPr>
        <w:t xml:space="preserve"> and investing in mangrove conservation and regeneration as a means of offsetting greenhouse gas (GHG) emissions can potentially yield up to US$ 3.7 billion per year through carbon trading, globally </w:t>
      </w:r>
      <w:r w:rsidRPr="004C47E7">
        <w:rPr>
          <w:rFonts w:cstheme="minorHAnsi"/>
        </w:rPr>
        <w:fldChar w:fldCharType="begin" w:fldLock="1"/>
      </w:r>
      <w:r w:rsidR="008A48C6">
        <w:rPr>
          <w:rFonts w:cstheme="minorHAnsi"/>
        </w:rPr>
        <w:instrText xml:space="preserve">ADDIN CSL_CITATION {"citationItems":[{"id":"ITEM-1","itemData":{"DOI":"10.1016/j.cub.2021.01.070","ISSN":"18790445","PMID":"33600768","abstract":"Despite the outsized role of mangrove forests in sustaining biodiversity, ecosystem function, and local livelihoods, the protection of these vital habitats through blue carbon financing has been limited.1,2 Here, we quantify the extent of this missed conservation and financial opportunity, showing that the protection of </w:instrText>
      </w:r>
      <w:r w:rsidR="008A48C6">
        <w:rPr>
          <w:rFonts w:ascii="Cambria Math" w:hAnsi="Cambria Math" w:cs="Cambria Math"/>
        </w:rPr>
        <w:instrText>∼</w:instrText>
      </w:r>
      <w:r w:rsidR="008A48C6">
        <w:rPr>
          <w:rFonts w:cstheme="minorHAnsi"/>
        </w:rPr>
        <w:instrText xml:space="preserve">20% of the world's mangrove forests (2.6 Mha) can be funded through carbon financing. Of these investible areas, 1.1–1.3 Mha can be financially sustainable over a 30-year time frame based on carbon prices of US$5–9.4 t−1CO2e. This contributes up to 29.8 MtCO2e year−1 and yields a return on investment of </w:instrText>
      </w:r>
      <w:r w:rsidR="008A48C6">
        <w:rPr>
          <w:rFonts w:ascii="Cambria Math" w:hAnsi="Cambria Math" w:cs="Cambria Math"/>
        </w:rPr>
        <w:instrText>∼</w:instrText>
      </w:r>
      <w:r w:rsidR="008A48C6">
        <w:rPr>
          <w:rFonts w:cstheme="minorHAnsi"/>
        </w:rPr>
        <w:instrText>US$3.7 billion per year. Our results point toward a disproportionately large potential of blue carbon finance that can be leveraged to meet national-level climate mitigation goals, particularly if combined with other conservation interventions that further safeguard carbon stocks and biodiversity in these irreplaceable forests. Robust information on return on investment highlights the potential for currently underutilized tropical coastal carbon credit projects.","author":[{"dropping-particle":"","family":"Zeng","given":"Yiwen","non-dropping-particle":"","parse-names":false,"suffix":""},{"dropping-particle":"","family":"Friess","given":"Daniel A.","non-dropping-particle":"","parse-names":false,"suffix":""},{"dropping-particle":"","family":"Sarira","given":"Tasya Vadya","non-dropping-particle":"","parse-names":false,"suffix":""},{"dropping-particle":"","family":"Siman","given":"Kelly","non-dropping-particle":"","parse-names":false,"suffix":""},{"dropping-particle":"","family":"Koh","given":"Lian Pin","non-dropping-particle":"","parse-names":false,"suffix":""}],"container-title":"Current Biology","id":"ITEM-1","issue":"8","issued":{"date-parts":[["2021"]]},"page":"1737-1743.e3","title":"Global potential and limits of mangrove blue carbon for climate change mitigation","type":"article-journal","volume":"31"},"uris":["http://www.mendeley.com/documents/?uuid=07ea0631-cb8d-4eb2-8298-6dfbbd7b03dc"]}],"mendeley":{"formattedCitation":"(Zeng et al., 2021)","plainTextFormattedCitation":"(Zeng et al., 2021)","previouslyFormattedCitation":"(Zeng et al., 2021)"},"properties":{"noteIndex":0},"schema":"https://github.com/citation-style-language/schema/raw/master/csl-citation.json"}</w:instrText>
      </w:r>
      <w:r w:rsidRPr="004C47E7">
        <w:rPr>
          <w:rFonts w:cstheme="minorHAnsi"/>
        </w:rPr>
        <w:fldChar w:fldCharType="separate"/>
      </w:r>
      <w:r w:rsidR="008A48C6" w:rsidRPr="008A48C6">
        <w:rPr>
          <w:rFonts w:cstheme="minorHAnsi"/>
          <w:noProof/>
        </w:rPr>
        <w:t>(Zeng et al., 2021)</w:t>
      </w:r>
      <w:r w:rsidRPr="004C47E7">
        <w:rPr>
          <w:rFonts w:cstheme="minorHAnsi"/>
        </w:rPr>
        <w:fldChar w:fldCharType="end"/>
      </w:r>
      <w:r w:rsidRPr="004C47E7">
        <w:rPr>
          <w:rFonts w:cstheme="minorHAnsi"/>
        </w:rPr>
        <w:t xml:space="preserve">. Much of the value mangrove ecosystems provide is derived from their primary production. It has been well documented that mangroves’ high rates of primary productivity support neighbouring trophic webs </w:t>
      </w:r>
      <w:r w:rsidRPr="004C47E7">
        <w:rPr>
          <w:rFonts w:cstheme="minorHAnsi"/>
        </w:rPr>
        <w:fldChar w:fldCharType="begin" w:fldLock="1"/>
      </w:r>
      <w:r w:rsidR="008A48C6">
        <w:rPr>
          <w:rFonts w:cstheme="minorHAnsi"/>
        </w:rPr>
        <w:instrText>ADDIN CSL_CITATION {"citationItems":[{"id":"ITEM-1","itemData":{"DOI":"10.1371/journal.pone.0114715","ISSN":"19326203","PMID":"25551761","abstract":"Identification of critical life-stage habitats is key to successful conservation efforts. Juveniles of some species show great flexibility in habitat use while other species rely heavily on a restricted number of juvenile habitats for protection and food. Considering the rapid degradation of coastal marine habitats worldwide, it is important to evaluate which species are more susceptible to loss of juvenile nursery habitats and how this differs across large biogeographic regions. Here we used a meta-analysis approach to investigate habitat use by juvenile reef fish species in tropical coastal ecosystems across the globe. Densities of juvenile fish species were compared among mangrove, seagrass and coral reef habitats. In the Caribbean, the majority of species showed significantly higher juvenile densities in mangroves as compared to seagrass beds and coral reefs, while for the Indo- Pacific region seagrass beds harbored the highest overall densities. Further analysis indicated that differences in tidal amplitude, irrespective of biogeographic region, appeared to be the major driver for this phenomenon. In addition, juvenile reef fish use of mangroves increased with increasing water salinity. In the Caribbean, species of specific families (e.g. Lutjanidae, Haemulidae) showed a higher reliance on mangroves or seagrass beds as juvenile habitats than other species, whereas in the Indo-Pacific family-specific trends of juvenile habitat utilization were less apparent. The findings of this study highlight the importance of incorporating region-specific tidal inundation regimes into marine spatial conservation planning and ecosystem based management. Furthermore, the significant role of water salinity and tidal access as drivers of mangrove fish habitat use implies that changes in seawater level and rainfall due to climate change may have important effects on how juvenile reef fish use nearshore seascapes in the future.","author":[{"dropping-particle":"","family":"Igulu","given":"Mathias M.","non-dropping-particle":"","parse-names":false,"suffix":""},{"dropping-particle":"","family":"Nagelkerken","given":"Ivan","non-dropping-particle":"","parse-names":false,"suffix":""},{"dropping-particle":"","family":"Dorenbosch","given":"Martijn","non-dropping-particle":"","parse-names":false,"suffix":""},{"dropping-particle":"","family":"Grol","given":"Monique G.G.","non-dropping-particle":"","parse-names":false,"suffix":""},{"dropping-particle":"","family":"Harborne","given":"Alastair R.","non-dropping-particle":"","parse-names":false,"suffix":""},{"dropping-particle":"","family":"Kimirei","given":"Ismael A.","non-dropping-particle":"","parse-names":false,"suffix":""},{"dropping-particle":"","family":"Mumby","given":"Peter J.","non-dropping-particle":"","parse-names":false,"suffix":""},{"dropping-particle":"","family":"Olds","given":"Andrew D.","non-dropping-particle":"","parse-names":false,"suffix":""},{"dropping-particle":"","family":"Mgaya","given":"Yunus D.","non-dropping-particle":"","parse-names":false,"suffix":""}],"container-title":"PLoS ONE","id":"ITEM-1","issue":"12","issued":{"date-parts":[["2014"]]},"title":"Mangrove habitat use by juvenile reef fish: Meta-analysis reveals that tidal regime matters more than biogeographic region","type":"article-journal","volume":"9"},"uris":["http://www.mendeley.com/documents/?uuid=aabb8b3d-9d43-4030-859c-ff7879c97af2"]}],"mendeley":{"formattedCitation":"(Igulu et al., 2014)","plainTextFormattedCitation":"(Igulu et al., 2014)","previouslyFormattedCitation":"(Igulu et al., 2014)"},"properties":{"noteIndex":0},"schema":"https://github.com/citation-style-language/schema/raw/master/csl-citation.json"}</w:instrText>
      </w:r>
      <w:r w:rsidRPr="004C47E7">
        <w:rPr>
          <w:rFonts w:cstheme="minorHAnsi"/>
        </w:rPr>
        <w:fldChar w:fldCharType="separate"/>
      </w:r>
      <w:r w:rsidR="008A48C6" w:rsidRPr="008A48C6">
        <w:rPr>
          <w:rFonts w:cstheme="minorHAnsi"/>
          <w:noProof/>
        </w:rPr>
        <w:t>(Igulu et al., 2014)</w:t>
      </w:r>
      <w:r w:rsidRPr="004C47E7">
        <w:rPr>
          <w:rFonts w:cstheme="minorHAnsi"/>
        </w:rPr>
        <w:fldChar w:fldCharType="end"/>
      </w:r>
      <w:r w:rsidRPr="004C47E7">
        <w:rPr>
          <w:rFonts w:cstheme="minorHAnsi"/>
        </w:rPr>
        <w:t>. In addition, high retention of organic material in soils and relatively low emissions from forest fires</w:t>
      </w:r>
      <w:r w:rsidR="00F43400">
        <w:rPr>
          <w:rFonts w:cstheme="minorHAnsi"/>
        </w:rPr>
        <w:t xml:space="preserve"> and </w:t>
      </w:r>
      <w:r w:rsidR="009B319F">
        <w:rPr>
          <w:rFonts w:cstheme="minorHAnsi"/>
        </w:rPr>
        <w:t xml:space="preserve">coastal </w:t>
      </w:r>
      <w:r w:rsidR="00F43400">
        <w:rPr>
          <w:rFonts w:cstheme="minorHAnsi"/>
        </w:rPr>
        <w:t>erosion</w:t>
      </w:r>
      <w:r w:rsidRPr="004C47E7">
        <w:rPr>
          <w:rFonts w:cstheme="minorHAnsi"/>
        </w:rPr>
        <w:t xml:space="preserve">, make mangroves efficient long term stores of carbon </w:t>
      </w:r>
      <w:r w:rsidRPr="004C47E7">
        <w:rPr>
          <w:rFonts w:cstheme="minorHAnsi"/>
        </w:rPr>
        <w:fldChar w:fldCharType="begin" w:fldLock="1"/>
      </w:r>
      <w:r w:rsidR="006772D9">
        <w:rPr>
          <w:rFonts w:cstheme="minorHAnsi"/>
        </w:rPr>
        <w:instrText>ADDIN CSL_CITATION {"citationItems":[{"id":"ITEM-1","itemData":{"DOI":"10.1016/S0025-3227(01)00195-5","ISBN":"0025-3227","ISSN":"00253227","abstract":"Rates of organic carbon accumulation, mineralization and burial in sediments were examined during dry and wet seasons in four mangrove forests of a shallow-water embayment (Ao Sawi) in southern Thailand. Mass sediment accumulation (MAR), estimated from 210Pb and 137Cs profiles, was rapid at all forests, ranging from 2.9 to 7.6kgm−2yr−1; mixed layer sediment thicknesses ranged from 16 to 38cm. Total inputs of organic carbon ranged from 26.4 to 40.9molCm−2yr−1 and burial rates ranged from 15.3 to 23.4molCm−2yr−1. Total rates of carbon mineralization, estimated from direct measurements of CO2 gas flux from exposed sediments, from DIC flux from submerged sediments, and from core incubations for ΣCO2, ranged from 7.0 to 16.4molCm−2yr−1 with few consistent seasonal differences among the four forests. Rates of O2 gas flux into exposed sediments ranged from 9.4 to 91.4mmolO2m−2d−1 and were significantly greater than rates of dissolved O2 flux into submerged sediments (range: 21.9–38.3mmolO2m−2d−1). Oxic respiration was the largest decomposition pathway, with sulfate reduction (range: 0.6–16.9mmolSm−2d−1) the next most important pathway. Other metabolic pathways appeared to be minor, and methane was not detected in the porewater or in the gas flux chambers. The discrepancy between rates of O2 and CO2 fluxes implies involvement in geochemical processes (e.g. sulfide oxidation, authigenic mineral formation). Sediment budgets indicate that organic carbon preservation was greatest (71% burial efficiency) in the oldest forest with equivalent burial efficiency (57–59%) in the younger forests. Mineralization efficiency ranged from 27–40% with the lowest efficiency at the oldest forest. These tropical mangrove forests are storage sites for sediment and, on average, retain approximately 60% of total input of organic carbon to the sediment.","author":[{"dropping-particle":"","family":"Alongi","given":"Daniel M.","non-dropping-particle":"","parse-names":false,"suffix":""},{"dropping-particle":"","family":"Wattayakorn","given":"G","non-dropping-particle":"","parse-names":false,"suffix":""},{"dropping-particle":"","family":"Pfitzner","given":"J","non-dropping-particle":"","parse-names":false,"suffix":""},{"dropping-particle":"","family":"Tirendi","given":"F","non-dropping-particle":"","parse-names":false,"suffix":""},{"dropping-particle":"","family":"Zagorskis","given":"I","non-dropping-particle":"","parse-names":false,"suffix":""},{"dropping-particle":"","family":"Brunskill","given":"G.J","non-dropping-particle":"","parse-names":false,"suffix":""},{"dropping-particle":"","family":"Davidson","given":"A","non-dropping-particle":"","parse-names":false,"suffix":""},{"dropping-particle":"","family":"Clough","given":"B.F","non-dropping-particle":"","parse-names":false,"suffix":""}],"container-title":"Marine Geology","id":"ITEM-1","issue":"1-2","issued":{"date-parts":[["2001"]]},"page":"85-103","title":"Organic carbon accumulation and metabolic pathways in sediments of mangrove forests in southern Thailand","type":"article-journal","volume":"179"},"uris":["http://www.mendeley.com/documents/?uuid=d29f25ae-11b4-4c23-b49d-033430efb9dd"]},{"id":"ITEM-2","itemData":{"DOI":"http://dx.doi.org/10.1016/j.aquabot.2007.12.006","ISBN":"0304-3770","abstract":"We review 72 published articles to elucidate characteristics of biomass allocation and productivity of mangrove forests and also introduce recent progress on the study of mangrove allometry to solve the site- and species-specific problems. This includes the testing of a common allometric equation, which may be applicable to mangroves worldwide. The biomass of mangrove forests varies with age, dominant species, and locality. In primary mangrove forests, the above-ground biomass tends to be relatively low near the sea and increases inland. On a global scale, mangrove forests in the tropics have much higher above-ground biomass than those in temperate areas. Mangroves often accumulate large amounts of biomass in their roots, and the above-ground biomass to below-ground biomass ratio of mangrove forests is significantly low compared to that of upland forests (ANCOVA, PP","author":[{"dropping-particle":"","family":"Komiyama","given":"A","non-dropping-particle":"","parse-names":false,"suffix":""},{"dropping-particle":"","family":"Ong","given":"JinEong","non-dropping-particle":"","parse-names":false,"suffix":""},{"dropping-particle":"","family":"Poungparn","given":"S","non-dropping-particle":"","parse-names":false,"suffix":""}],"container-title":"Aquatic Botany","id":"ITEM-2","issue":"2","issued":{"date-parts":[["2008"]]},"page":"128-137","title":"Allometry, biomass, and productivity of mangrove forests: a review. (Special Issue: Mangrove ecology - applications in forestry and coastal zone management.)","type":"article-journal","volume":"89"},"uris":["http://www.mendeley.com/documents/?uuid=54fb0cea-dac1-34bc-bc8a-04908838b429"]},{"id":"ITEM-3","itemData":{"DOI":"10.1111/gcb.15571","ISSN":"13652486","PMID":"33644947","abstract":"Mangroves have among the highest carbon densities of any tropical forest. These ‘blue carbon’ ecosystems can store large amounts of carbon for long periods, and their protection reduces greenhouse gas emissions and supports climate change mitigation. Incorporating mangroves into Nationally Determined Contributions to the Paris Agreement and their valuation on carbon markets requires predicting how the management of different land-uses can prevent future greenhouse gas emissions and increase CO2 sequestration. We integrated comprehensive global datasets for carbon stocks, mangrove distribution, deforestation rates, and land-use change drivers into a predictive model of mangrove carbon emissions. We project emissions and foregone soil carbon sequestration potential under ‘business as usual’ rates of mangrove loss. Emissions from mangrove loss could reach 2391 Tg CO2 eq by the end of the century, or 3392 Tg CO2 eq when considering foregone soil carbon sequestration. The highest emissions were predicted in southeast and south Asia (West Coral Triangle, Sunda Shelf, and the Bay of Bengal) due to conversion to aquaculture or agriculture, followed by the Caribbean (Tropical Northwest Atlantic) due to clearing and erosion, and the Andaman coast (West Myanmar) and north Brazil due to erosion. Together, these six regions accounted for 90% of the total potential CO2 eq future emissions. Mangrove loss has been slowing, and global emissions could be more than halved if reduced loss rates remain in the future. Notably, the location of global emission hotspots was consistent with every dataset used to calculate deforestation rates or with alternative assumptions about carbon storage and emissions. Our results indicate the regions in need of policy actions to address emissions arising from mangrove loss and the drivers that could be managed to prevent them.","author":[{"dropping-particle":"","family":"Adame","given":"Maria F.","non-dropping-particle":"","parse-names":false,"suffix":""},{"dropping-particle":"","family":"Connolly","given":"Rod M.","non-dropping-particle":"","parse-names":false,"suffix":""},{"dropping-particle":"","family":"Turschwell","given":"Mischa P.","non-dropping-particle":"","parse-names":false,"suffix":""},{"dropping-particle":"","family":"Lovelock","given":"Catherine E.","non-dropping-particle":"","parse-names":false,"suffix":""},{"dropping-particle":"","family":"Fatoyinbo","given":"Temilola","non-dropping-particle":"","parse-names":false,"suffix":""},{"dropping-particle":"","family":"Lagomasino","given":"David","non-dropping-particle":"","parse-names":false,"suffix":""},{"dropping-particle":"","family":"Goldberg","given":"Liza A.","non-dropping-particle":"","parse-names":false,"suffix":""},{"dropping-particle":"","family":"Holdorf","given":"Jordan","non-dropping-particle":"","parse-names":false,"suffix":""},{"dropping-particle":"","family":"Friess","given":"Daniel A.","non-dropping-particle":"","parse-names":false,"suffix":""},{"dropping-particle":"","family":"Sasmito","given":"Sigit D.","non-dropping-particle":"","parse-names":false,"suffix":""},{"dropping-particle":"","family":"Sanderman","given":"Jonathan","non-dropping-particle":"","parse-names":false,"suffix":""},{"dropping-particle":"","family":"Sievers","given":"Michael","non-dropping-particle":"","parse-names":false,"suffix":""},{"dropping-particle":"","family":"Buelow","given":"Christina","non-dropping-particle":"","parse-names":false,"suffix":""},{"dropping-particle":"","family":"Kauffman","given":"J. Boone","non-dropping-particle":"","parse-names":false,"suffix":""},{"dropping-particle":"","family":"Bryan-Brown","given":"Dale","non-dropping-particle":"","parse-names":false,"suffix":""},{"dropping-particle":"","family":"Brown","given":"Christopher J.","non-dropping-particle":"","parse-names":false,"suffix":""}],"container-title":"Global Change Biology","id":"ITEM-3","issue":"12","issued":{"date-parts":[["2021"]]},"page":"2856-2866","title":"Future carbon emissions from global mangrove forest loss","type":"article-journal","volume":"27"},"uris":["http://www.mendeley.com/documents/?uuid=fd089088-e9d1-4660-adcf-746aa4a7298e"]}],"mendeley":{"formattedCitation":"(Adame et al., 2021; Alongi et al., 2001; Komiyama et al., 2008)","plainTextFormattedCitation":"(Adame et al., 2021; Alongi et al., 2001; Komiyama et al., 2008)","previouslyFormattedCitation":"(Adame et al., 2021; Alongi et al., 2001; Komiyama et al., 2008)"},"properties":{"noteIndex":0},"schema":"https://github.com/citation-style-language/schema/raw/master/csl-citation.json"}</w:instrText>
      </w:r>
      <w:r w:rsidRPr="004C47E7">
        <w:rPr>
          <w:rFonts w:cstheme="minorHAnsi"/>
        </w:rPr>
        <w:fldChar w:fldCharType="separate"/>
      </w:r>
      <w:r w:rsidR="0092559A" w:rsidRPr="0092559A">
        <w:rPr>
          <w:rFonts w:cstheme="minorHAnsi"/>
          <w:noProof/>
        </w:rPr>
        <w:t>(Adame et al., 2021; Alongi et al., 2001; Komiyama et al., 2008)</w:t>
      </w:r>
      <w:r w:rsidRPr="004C47E7">
        <w:rPr>
          <w:rFonts w:cstheme="minorHAnsi"/>
        </w:rPr>
        <w:fldChar w:fldCharType="end"/>
      </w:r>
      <w:r w:rsidRPr="004C47E7">
        <w:rPr>
          <w:rFonts w:cstheme="minorHAnsi"/>
        </w:rPr>
        <w:t xml:space="preserve">. Thus, while mangroves comprise &lt;1% of global tropical forests </w:t>
      </w:r>
      <w:r w:rsidRPr="004C47E7">
        <w:rPr>
          <w:rFonts w:cstheme="minorHAnsi"/>
        </w:rPr>
        <w:fldChar w:fldCharType="begin" w:fldLock="1"/>
      </w:r>
      <w:r w:rsidR="008A48C6">
        <w:rPr>
          <w:rFonts w:cstheme="minorHAnsi"/>
        </w:rPr>
        <w:instrText>ADDIN CSL_CITATION {"citationItems":[{"id":"ITEM-1","itemData":{"DOI":"10.1111/j.1466-8238.2010.00584.x","ISBN":"1466-822X","ISSN":"1466822X","abstract":"Aim Our scientific understanding of the extent and distribution of mangrove forests of the world is inadequate. The available global mangrove databases, com- piled using disparate geospatial data sources and national statistics, need to be improved.Here,we mapped the status and distributions of global mangroves using recently available Global Land Survey (GLS) data and the Landsat archive. Methods We interpreted approximately 1000 Landsat scenes using hybrid super- vised and unsupervised digital image classification techniques. Each image was normalized for variation in solar angle and earth–sun distance by converting the digital number values to the top-of-the-atmosphere reflectance.Ground truth data and existing maps and databases were used to select training samples and also for iterative labelling. Results were validated using existing GIS data and the published literature to map ‘true mangroves’. Results The total area of mangroves in the year 2000 was 137,760 km2 in 118 countries and territories in the tropical and subtropical regions of the world. Approximately 75% of world’s mangroves are found in just 15 countries, and only 6.9% are protected under the existing protected areas network (IUCN I-IV). Our study confirms earlier findings that the biogeographic distribution of mangroves is generally confined to the tropical and subtropical regions and the largest percentage of mangroves is found between 5° N and 5° S latitude. Main conclusions We report that the remaining area of mangrove forest in the world is less than previously thought. Our estimate is 12.3% smaller than the most recent estimate by the Food and Agriculture Organization (FAO) of the United Nations.We present the most comprehensive, globally consistent and highest resolution (30 m) global mangrove database ever created.We developed and used better mapping techniques and data sources and mapped mangroves with better spatial and thematic details than previous studies.","author":[{"dropping-particle":"","family":"Giri","given":"C.","non-dropping-particle":"","parse-names":false,"suffix":""},{"dropping-particle":"","family":"Ochieng","given":"E.","non-dropping-particle":"","parse-names":false,"suffix":""},{"dropping-particle":"","family":"Tieszen","given":"L. L.","non-dropping-particle":"","parse-names":false,"suffix":""},{"dropping-particle":"","family":"Zhu","given":"Z.","non-dropping-particle":"","parse-names":false,"suffix":""},{"dropping-particle":"","family":"Singh","given":"A.","non-dropping-particle":"","parse-names":false,"suffix":""},{"dropping-particle":"","family":"Loveland","given":"T.","non-dropping-particle":"","parse-names":false,"suffix":""},{"dropping-particle":"","family":"Masek","given":"J.","non-dropping-particle":"","parse-names":false,"suffix":""},{"dropping-particle":"","family":"Duke","given":"N.","non-dropping-particle":"","parse-names":false,"suffix":""}],"container-title":"Global Ecology and Biogeography","id":"ITEM-1","issue":"1","issued":{"date-parts":[["2011","1"]]},"page":"154-159","title":"Status and distribution of mangrove forests of the world using earth observation satellite data","type":"article-journal","volume":"20"},"uris":["http://www.mendeley.com/documents/?uuid=d12166ad-2257-38a1-8725-93fbc824ac73"]}],"mendeley":{"formattedCitation":"(Giri et al., 2011)","plainTextFormattedCitation":"(Giri et al., 2011)","previouslyFormattedCitation":"(Giri et al., 2011)"},"properties":{"noteIndex":0},"schema":"https://github.com/citation-style-language/schema/raw/master/csl-citation.json"}</w:instrText>
      </w:r>
      <w:r w:rsidRPr="004C47E7">
        <w:rPr>
          <w:rFonts w:cstheme="minorHAnsi"/>
        </w:rPr>
        <w:fldChar w:fldCharType="separate"/>
      </w:r>
      <w:r w:rsidR="008A48C6" w:rsidRPr="008A48C6">
        <w:rPr>
          <w:rFonts w:cstheme="minorHAnsi"/>
          <w:noProof/>
        </w:rPr>
        <w:t>(Giri et al., 2011)</w:t>
      </w:r>
      <w:r w:rsidRPr="004C47E7">
        <w:rPr>
          <w:rFonts w:cstheme="minorHAnsi"/>
        </w:rPr>
        <w:fldChar w:fldCharType="end"/>
      </w:r>
      <w:r w:rsidRPr="004C47E7">
        <w:rPr>
          <w:rFonts w:cstheme="minorHAnsi"/>
        </w:rPr>
        <w:t xml:space="preserve"> they contribute up to 14% of marine organic carbon burial </w:t>
      </w:r>
      <w:r w:rsidRPr="004C47E7">
        <w:rPr>
          <w:rFonts w:cstheme="minorHAnsi"/>
        </w:rPr>
        <w:fldChar w:fldCharType="begin" w:fldLock="1"/>
      </w:r>
      <w:r w:rsidR="008A48C6">
        <w:rPr>
          <w:rFonts w:cstheme="minorHAnsi"/>
        </w:rPr>
        <w:instrText>ADDIN CSL_CITATION {"citationItems":[{"id":"ITEM-1","itemData":{"DOI":"10.4155/cmt.12.20","ISBN":"1758-3004","ISSN":"1758-3004","abstract":"Mangrove forests are highly productive, with carbon production rates\\nequivalent to tropical humid forests. Mangroves allocate proportionally\\nmore carbon belowground, and have higher below- to above-ground carbon\\nmass ratios than terrestrial trees. Most mangrove carbon is stored as\\nlarge pools in soil and dead roots. Mangroves are among the most\\ncarbon-rich biomes, containing an average of 937 tC ha(-1), facilitating\\nthe accumulation of fine particles, and fostering rapid rates of\\nsediment accretion (similar to 5 mm year(-1)) and carbon burial (174 gC\\nm(-2) year(-1)). Mangroves account for only approximately 1% (13.5 Gt\\nyear(-1)) of carbon sequestration by the world's forests, but as coastal\\nhabitats they account for 14% of carbon sequestration by the global\\nocean. If mangrove carbon stocks are disturbed, resultant gas emissions\\nmay be very high. Irrespective of uncertainties and the unique nature of\\nimplementing REDD+ and Blue Carbon projects, mangroves are prime\\necosystems for reforestation and restoration.","author":[{"dropping-particle":"","family":"Alongi","given":"Daniel M","non-dropping-particle":"","parse-names":false,"suffix":""}],"container-title":"Carbon Management","id":"ITEM-1","issue":"3","issued":{"date-parts":[["2012"]]},"page":"313-322","title":"Carbon sequestration in mangrove forests","type":"article-journal","volume":"3"},"uris":["http://www.mendeley.com/documents/?uuid=3241c1b5-0ca9-3fd5-b2e4-34aa00c78452"]}],"mendeley":{"formattedCitation":"(Alongi, 2012)","plainTextFormattedCitation":"(Alongi, 2012)","previouslyFormattedCitation":"(Alongi, 2012)"},"properties":{"noteIndex":0},"schema":"https://github.com/citation-style-language/schema/raw/master/csl-citation.json"}</w:instrText>
      </w:r>
      <w:r w:rsidRPr="004C47E7">
        <w:rPr>
          <w:rFonts w:cstheme="minorHAnsi"/>
        </w:rPr>
        <w:fldChar w:fldCharType="separate"/>
      </w:r>
      <w:r w:rsidR="008A48C6" w:rsidRPr="008A48C6">
        <w:rPr>
          <w:rFonts w:cstheme="minorHAnsi"/>
          <w:noProof/>
        </w:rPr>
        <w:t>(Alongi, 2012)</w:t>
      </w:r>
      <w:r w:rsidRPr="004C47E7">
        <w:rPr>
          <w:rFonts w:cstheme="minorHAnsi"/>
        </w:rPr>
        <w:fldChar w:fldCharType="end"/>
      </w:r>
      <w:r w:rsidRPr="004C47E7">
        <w:rPr>
          <w:rFonts w:cstheme="minorHAnsi"/>
        </w:rPr>
        <w:t>.</w:t>
      </w:r>
    </w:p>
    <w:p w14:paraId="574A2246" w14:textId="77777777" w:rsidR="0002342A" w:rsidRPr="004C47E7" w:rsidRDefault="0002342A" w:rsidP="0002342A">
      <w:pPr>
        <w:spacing w:line="480" w:lineRule="auto"/>
        <w:rPr>
          <w:rFonts w:cstheme="minorHAnsi"/>
        </w:rPr>
      </w:pPr>
    </w:p>
    <w:p w14:paraId="239F2E3A" w14:textId="77777777" w:rsidR="000E71ED" w:rsidRDefault="0002342A" w:rsidP="0002342A">
      <w:pPr>
        <w:spacing w:line="480" w:lineRule="auto"/>
        <w:rPr>
          <w:rFonts w:cstheme="minorHAnsi"/>
        </w:rPr>
      </w:pPr>
      <w:r w:rsidRPr="004C47E7">
        <w:rPr>
          <w:rFonts w:cstheme="minorHAnsi"/>
        </w:rPr>
        <w:t xml:space="preserve">Global and local scale heterogeneity in mangrove productivity can largely be attributed to coastal geomorphological and climatic forcing </w:t>
      </w:r>
      <w:r w:rsidRPr="004C47E7">
        <w:rPr>
          <w:rFonts w:cstheme="minorHAnsi"/>
        </w:rPr>
        <w:fldChar w:fldCharType="begin" w:fldLock="1"/>
      </w:r>
      <w:r w:rsidR="008A48C6">
        <w:rPr>
          <w:rFonts w:cstheme="minorHAnsi"/>
        </w:rPr>
        <w:instrText>ADDIN CSL_CITATION {"citationItems":[{"id":"ITEM-1","itemData":{"DOI":"10.1007/978-3-319-62206-4_5","ISBN":"9783319622064","abstract":"This chapter focuses on the net primary productivity and carbon (C) dynamics of mangrove wetlands as related to the potential to sequester atmospheric C in above- and belowground biomass and in the soil. We discuss the large variation in ecosystem properties across different coastal environmental settings and pay particular attention to global patterns of these ecosystem processes comparing the Atlantic-East-Pacific and Indo-West-Pacific biogeographic regions. Deltaic coasts have higher aboveground biomass (AGB) compared to other continental settings, but the highest average AGB was found in high oceanic islands. The global average rates of litter fall (NPPL) and (NPPW) wood production are about 6 t ha-1 yr-1 for aboveground net primary productivity (NPPA) of about 12 t ha-1 yr-1. The relative contribution of belowground allocation to soil C storage and wood production to total net primary productivity (NPPT) in mangrove wetlands has significant implications to net C exchange in these coastal forested wetlands. Examples are given to demonstrate that net ecosystem production (NEP) and net ecosystem carbon exchange for mangrove wetlands have implications to the debate on how coastal ecosystems influence the global C budget. Wood production is about 600 g dry mass m yr or about 300 gC m-2 yr-1. The average C sequestration in mangroves soils org(∆Sorg) is about 224 gC m yr. The sum of these two measures (NPPW + ∆Sorg) is an estimate of NEP at about 525 gC m-2 yr-1. A general conclusion based on these different approaches, and reviewing the existing global literature, is that NEP accumulates about 500 gC m-2 yr-1, equally distributed between wood production and soil C accumulation. The importance of above and belowground contributions to global estimates of C sequestration above- and belowground reinforces the need for a better understanding of biomass allocation in these systems. The net tidal exchange of inorganic and organic carbon is about 400 gC m-2 yr-1 with nearly equal distribution in these forms of carbon to coastal waters. It is not clear how the fate of this material may influence net carbon exchange in the coastal zone, which is a very active area of research. We also suggest that more information is needed on how the disturbance of mangrove wetlands, including their recovery, may influence net carbon flux in the coastal zone.","author":[{"dropping-particle":"","family":"Twilley","given":"Robert R.","non-dropping-particle":"","parse-names":false,"suffix":""},{"dropping-particle":"","family":"Castañeda-Moya","given":"Edward","non-dropping-particle":"","parse-names":false,"suffix":""},{"dropping-particle":"","family":"Rivera-Monroy","given":"Victor H.","non-dropping-particle":"","parse-names":false,"suffix":""},{"dropping-particle":"","family":"Rovai","given":"Andre","non-dropping-particle":"","parse-names":false,"suffix":""}],"container-title":"Mangrove Ecosystems: A Global Biogeographic Perspective: Structure, Function, and Services","id":"ITEM-1","issued":{"date-parts":[["2017"]]},"page":"113-162","title":"Productivity and carbon dynamics in mangrove wetlands","type":"chapter"},"uris":["http://www.mendeley.com/documents/?uuid=558d75c5-5721-4921-a5a0-772b73ae4589"]},{"id":"ITEM-2","itemData":{"DOI":"10.1002/ecs2.2841","ISSN":"21508925","abstract":"Mangroves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-2","issue":"8","issued":{"date-parts":[["2019","8","22"]]},"publisher":"John Wiley &amp; Sons, Ltd","title":"Spatial variability of mangrove primary productivity in the neotropics","type":"article-journal","volume":"10"},"uris":["http://www.mendeley.com/documents/?uuid=e62cba23-c956-306d-a48f-a25ddc004d7f"]}],"mendeley":{"formattedCitation":"(Ribeiro et al., 2019; Twilley et al., 2017)","plainTextFormattedCitation":"(Ribeiro et al., 2019; Twilley et al., 2017)","previouslyFormattedCitation":"(Ribeiro et al., 2019; Twilley et al., 2017)"},"properties":{"noteIndex":0},"schema":"https://github.com/citation-style-language/schema/raw/master/csl-citation.json"}</w:instrText>
      </w:r>
      <w:r w:rsidRPr="004C47E7">
        <w:rPr>
          <w:rFonts w:cstheme="minorHAnsi"/>
        </w:rPr>
        <w:fldChar w:fldCharType="separate"/>
      </w:r>
      <w:r w:rsidR="008A48C6" w:rsidRPr="008A48C6">
        <w:rPr>
          <w:rFonts w:cstheme="minorHAnsi"/>
          <w:noProof/>
        </w:rPr>
        <w:t>(Ribeiro et al., 2019; Twilley et al., 2017)</w:t>
      </w:r>
      <w:r w:rsidRPr="004C47E7">
        <w:rPr>
          <w:rFonts w:cstheme="minorHAnsi"/>
        </w:rPr>
        <w:fldChar w:fldCharType="end"/>
      </w:r>
      <w:r w:rsidRPr="004C47E7">
        <w:rPr>
          <w:rFonts w:cstheme="minorHAnsi"/>
        </w:rPr>
        <w:t xml:space="preserve">. Mangroves in settings with higher riverine input and greater tidal range are generally more productive than mangroves in arid and micro-tidal regions </w:t>
      </w:r>
      <w:r w:rsidRPr="004C47E7">
        <w:rPr>
          <w:rFonts w:cstheme="minorHAnsi"/>
        </w:rPr>
        <w:fldChar w:fldCharType="begin" w:fldLock="1"/>
      </w:r>
      <w:r w:rsidR="008A48C6">
        <w:rPr>
          <w:rFonts w:cstheme="minorHAnsi"/>
        </w:rPr>
        <w:instrText>ADDIN CSL_CITATION {"citationItems":[{"id":"ITEM-1","itemData":{"DOI":"10.1002/ecs2.2841","ISSN":"21508925","abstract":"Mangroves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-1","issue":"8","issued":{"date-parts":[["2019","8","22"]]},"publisher":"John Wiley &amp; Sons, Ltd","title":"Spatial variability of mangrove primary productivity in the neotropics","type":"article-journal","volume":"10"},"uris":["http://www.mendeley.com/documents/?uuid=e62cba23-c956-306d-a48f-a25ddc004d7f"]},{"id":"ITEM-2","itemData":{"DOI":"10.1111/conl.12060","ISBN":"1755-263X","ISSN":"1755263X","abstract":"Understanding spatial variation in carbon storage in natural habitats is critical for climate change mitigation efforts such as REDD. Terrestrial forests are being mapped with increasing accuracy, but the distribution of ``blue carbon'' in marine ecosystems remains poorly understood. We reviewed the literature to obtain field data on carbon storage and fluxes in mangroves world-wide. Using this material we developed a climate-based model for potential mangrove above-ground biomass (AGB) with almost four times the explanatory power of the only previous published model. From this model, we present the first ever global map of potential mangrove AGB and estimate a total global mangrove AGB of 2.83 Pg, with an average of 184.8 t ha−1. Data on other carbon stocks and fluxes confirm the importance of mangroves in carbon accounting. The map highlights the high variability in mangrove AGB and indicates areas that should be prioritised for mangrove conservation and restoration.","author":[{"dropping-particle":"","family":"Hutchison","given":"James","non-dropping-particle":"","parse-names":false,"suffix":""},{"dropping-particle":"","family":"Manica","given":"Andrea","non-dropping-particle":"","parse-names":false,"suffix":""},{"dropping-particle":"","family":"Swetnam","given":"Ruth","non-dropping-particle":"","parse-names":false,"suffix":""},{"dropping-particle":"","family":"Balmford","given":"Andrew","non-dropping-particle":"","parse-names":false,"suffix":""},{"dropping-particle":"","family":"Spalding","given":"Mark","non-dropping-particle":"","parse-names":false,"suffix":""}],"container-title":"Conservation Letters","id":"ITEM-2","issue":"3","issued":{"date-parts":[["2014","5"]]},"page":"233-240","title":"Predicting global patterns in mangrove forest biomass","type":"article-journal","volume":"7"},"uris":["http://www.mendeley.com/documents/?uuid=c0cc1011-f931-3578-8f2c-56c7f7c458c6"]}],"mendeley":{"formattedCitation":"(Hutchison et al., 2014; Ribeiro et al., 2019)","plainTextFormattedCitation":"(Hutchison et al., 2014; Ribeiro et al., 2019)","previouslyFormattedCitation":"(Hutchison et al., 2014; Ribeiro et al., 2019)"},"properties":{"noteIndex":0},"schema":"https://github.com/citation-style-language/schema/raw/master/csl-citation.json"}</w:instrText>
      </w:r>
      <w:r w:rsidRPr="004C47E7">
        <w:rPr>
          <w:rFonts w:cstheme="minorHAnsi"/>
        </w:rPr>
        <w:fldChar w:fldCharType="separate"/>
      </w:r>
      <w:r w:rsidR="008A48C6" w:rsidRPr="008A48C6">
        <w:rPr>
          <w:rFonts w:cstheme="minorHAnsi"/>
          <w:noProof/>
        </w:rPr>
        <w:t>(Hutchison et al., 2014; Ribeiro et al., 2019)</w:t>
      </w:r>
      <w:r w:rsidRPr="004C47E7">
        <w:rPr>
          <w:rFonts w:cstheme="minorHAnsi"/>
        </w:rPr>
        <w:fldChar w:fldCharType="end"/>
      </w:r>
      <w:r w:rsidRPr="004C47E7">
        <w:rPr>
          <w:rFonts w:cstheme="minorHAnsi"/>
        </w:rPr>
        <w:t xml:space="preserve">. This is because periodic flushing from river discharge and/or tidal inundation </w:t>
      </w:r>
      <w:r w:rsidRPr="004C47E7">
        <w:rPr>
          <w:rFonts w:cstheme="minorHAnsi"/>
        </w:rPr>
        <w:lastRenderedPageBreak/>
        <w:t xml:space="preserve">increases nutrient availability and reduces soil salinity to promote greater productivity </w:t>
      </w:r>
      <w:r w:rsidRPr="004C47E7">
        <w:rPr>
          <w:rFonts w:cstheme="minorHAnsi"/>
        </w:rPr>
        <w:fldChar w:fldCharType="begin" w:fldLock="1"/>
      </w:r>
      <w:r w:rsidR="008A48C6">
        <w:rPr>
          <w:rFonts w:cstheme="minorHAnsi"/>
        </w:rPr>
        <w:instrText>ADDIN CSL_CITATION {"citationItems":[{"id":"ITEM-1","itemData":{"DOI":"10.1007/BF02786526","author":[{"dropping-particle":"","family":"Castañeda-Moya","given":"E.","non-dropping-particle":"","parse-names":false,"suffix":""},{"dropping-particle":"","family":"Rivera-Monroy","given":"V.H.","non-dropping-particle":"","parse-names":false,"suffix":""},{"dropping-particle":"","family":"Twilley","given":"R.R.","non-dropping-particle":"","parse-names":false,"suffix":""}],"container-title":"Estuaries &amp; Coasts","id":"ITEM-1","issued":{"date-parts":[["2006"]]},"title":"Mangrove zonation in the dry life zone of the Gulf of Fonseca, Honduras","type":"article-journal"},"uris":["http://www.mendeley.com/documents/?uuid=42d31222-b644-44e3-b757-5447692fabc8"]},{"id":"ITEM-2","itemData":{"DOI":"10.1002/ecs2.2841","ISSN":"21508925","abstract":"Mangroves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-2","issue":"8","issued":{"date-parts":[["2019","8","22"]]},"publisher":"John Wiley &amp; Sons, Ltd","title":"Spatial variability of mangrove primary productivity in the neotropics","type":"article-journal","volume":"10"},"uris":["http://www.mendeley.com/documents/?uuid=e62cba23-c956-306d-a48f-a25ddc004d7f"]}],"mendeley":{"formattedCitation":"(Castañeda-Moya et al., 2006; Ribeiro et al., 2019)","plainTextFormattedCitation":"(Castañeda-Moya et al., 2006; Ribeiro et al., 2019)","previouslyFormattedCitation":"(Castañeda-Moya et al., 2006; Ribeiro et al., 2019)"},"properties":{"noteIndex":0},"schema":"https://github.com/citation-style-language/schema/raw/master/csl-citation.json"}</w:instrText>
      </w:r>
      <w:r w:rsidRPr="004C47E7">
        <w:rPr>
          <w:rFonts w:cstheme="minorHAnsi"/>
        </w:rPr>
        <w:fldChar w:fldCharType="separate"/>
      </w:r>
      <w:r w:rsidR="008A48C6" w:rsidRPr="008A48C6">
        <w:rPr>
          <w:rFonts w:cstheme="minorHAnsi"/>
          <w:noProof/>
        </w:rPr>
        <w:t>(Castañeda-Moya et al., 2006; Ribeiro et al., 2019)</w:t>
      </w:r>
      <w:r w:rsidRPr="004C47E7">
        <w:rPr>
          <w:rFonts w:cstheme="minorHAnsi"/>
        </w:rPr>
        <w:fldChar w:fldCharType="end"/>
      </w:r>
      <w:r w:rsidRPr="004C47E7">
        <w:rPr>
          <w:rFonts w:cstheme="minorHAnsi"/>
        </w:rPr>
        <w:t xml:space="preserve">. On a continental scale, climatic setting plays a significant role in mangrove productivity </w:t>
      </w:r>
      <w:r w:rsidRPr="004C47E7">
        <w:rPr>
          <w:rFonts w:cstheme="minorHAnsi"/>
        </w:rPr>
        <w:fldChar w:fldCharType="begin" w:fldLock="1"/>
      </w:r>
      <w:r w:rsidR="008A48C6">
        <w:rPr>
          <w:rFonts w:cstheme="minorHAnsi"/>
        </w:rPr>
        <w:instrText>ADDIN CSL_CITATION {"citationItems":[{"id":"ITEM-1","itemData":{"DOI":"10.1002/ecs2.2841","ISSN":"21508925","abstract":"Mangroves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-1","issue":"8","issued":{"date-parts":[["2019","8","22"]]},"publisher":"John Wiley &amp; Sons, Ltd","title":"Spatial variability of mangrove primary productivity in the neotropics","type":"article-journal","volume":"10"},"uris":["http://www.mendeley.com/documents/?uuid=e62cba23-c956-306d-a48f-a25ddc004d7f"]},{"id":"ITEM-2","itemData":{"DOI":"10.1016/0304-3770(96)01063-7","ISSN":"03043770","abstract":"Spatial and temporal variations in net above-ground primary production (NPP) and litter turnover rate were studied, from 1987 to 1993, in a mangrove forest bordering Laguna de Terminos, Mexico. NPP, the sum of total litter fall and wood production, was measured over the entire study period in three zones in a basin forest: zone I, where Rhizophora mangle (red mangrove) occurs but Avicennia germinans (black mangrove) is the dominant species; zone II, a scrub forest of A. germinans; zone III, where larger A. germinans trees occur. In 1991, a fringe zone dominated by A. germinans and R. mangle was added to the study. Three distinctive climatic seasons occur in the region: rainy, dry, and cold front (locally named 'nortes'). Average total litter fall in the fringe zone (793 g m-2 year-1) was significantly higher than in the basin forest (496, 307, and 410 g m-2 year-1 for basin zones I, II, and III, respectively). All zones showed significant differences among seasons with the none season having significantly lower litter fall. Litter turnover rates were about 7 months in zones I and II and 10 months in zone III, reflecting the low tidal range that occurs in the basin forest. Low litter turnover rates in the basin forest were reflected in a high organic matter standing crop. Annual average stem growth was significantly higher in zones I and III (1.27 and 1.36 kg per tree year-1, respectively) than in zone II (0.62 kg per tree year-1). Above-ground NPP rates in the basin forest (399-695 g m-2 year-1) were lower than in fringe and riverine forests, reflecting patterns of litter fall and wood production. There was no seasonal variation in soil salinity but the basin forest had significantly higher soil salinity than the fringe forest. Spatially, mean soil salinity was inversely related to litter fall. Long-term patterns in soil salinity, precipitation and air temperature explained 74% of the inter-annual litter fall variability. Over the 7 year study, productivity in zone II was more variable than in zones I and 111, and productivity (litter fall and wood growth) were less variable than litter standing crop and turnover.","author":[{"dropping-particle":"","family":"Day","given":"JW","non-dropping-particle":"","parse-names":false,"suffix":""},{"dropping-particle":"","family":"Coronado-Molina","given":"C","non-dropping-particle":"","parse-names":false,"suffix":""},{"dropping-particle":"","family":"Vera-Herrera","given":"FR","non-dropping-particle":"","parse-names":false,"suffix":""},{"dropping-particle":"","family":"Twilley","given":"R","non-dropping-particle":"","parse-names":false,"suffix":""},{"dropping-particle":"","family":"Rivera-Monroy","given":"VH","non-dropping-particle":"","parse-names":false,"suffix":""},{"dropping-particle":"","family":"Alvarez-Guillen","given":"H","non-dropping-particle":"","parse-names":false,"suffix":""},{"dropping-particle":"","family":"Day","given":"R","non-dropping-particle":"","parse-names":false,"suffix":""},{"dropping-particle":"","family":"Conner","given":"W","non-dropping-particle":"","parse-names":false,"suffix":""}],"container-title":"Aquatic Botany","id":"ITEM-2","issue":"1","issued":{"date-parts":[["1996","9","1"]]},"page":"39-60","publisher":"Elsevier","title":"A 7 year record of above-ground net primary production in a southeastern Mexican mangrove forest","type":"article-journal","volume":"55"},"uris":["http://www.mendeley.com/documents/?uuid=f0209e59-1634-30e0-bbf2-c64d0d0e9e27"]},{"id":"ITEM-3","itemData":{"abstract":"Properties of mangrove ecosystems related to the energy signature of coastal environments. Maximum power: the ideas and applications of H. T. Odum (ed. by C.A.S. Hall), pp. 43–62. University Press of Colorado, Denver, CO.","author":[{"dropping-particle":"","family":"Twilley","given":"Robert R.","non-dropping-particle":"","parse-names":false,"suffix":""}],"container-title":"Maximum power: the ideas and applications of H. T. Odum","id":"ITEM-3","issued":{"date-parts":[["1995"]]},"page":"43-62","title":"Properties of mangrove ecosystems related to the energy signature of coastal environments","type":"article-journal"},"uris":["http://www.mendeley.com/documents/?uuid=e7476701-47ef-464b-b852-504572b78134"]},{"id":"ITEM-4","itemData":{"DOI":"10.1007/978-1-4020-4271-3","ISBN":"9781402042706","abstract":"Despite their importance in sustaining livelihoods for many people living along some of the world's most populous coastlines, tropical mangrove forests are disappearing at an alarming rate. Occupying a crucial place between land and sea, these tidal ecosystems provide a valuable ecological and economic resource as important nursery grounds and breeding sites for many organisms, and as a renewable source of wood and traditional foods and medicines. Perhaps most importantly, they are accumulation sites for sediment, contaminants, carbon and nutrients, and offer significant protection against coastal erosion. This book presents a functional overview of mangrove forest ecosystems; how they live and grow at the edge of tropical seas, how they play a critical role along most of the world's tropical coasts, and how their future might look in a world affected by climate change. Such a process-oriented approach is necessary in order to further understand the role of these dynamic forests in ecosystem function, and as a first step towards developing adequate strategies for their conservation and sustainable use and management. The book will provide a valuable resource for researchers in mangrove ecology as well as reference for resource managers. © 2009 Springer Science + Business Media B.V.","author":[{"dropping-particle":"","family":"Alongi","given":"Daniel M.","non-dropping-particle":"","parse-names":false,"suffix":""}],"container-title":"The Energetics of Mangrove Forests","id":"ITEM-4","issued":{"date-parts":[["2009"]]},"number-of-pages":"1-216","publisher":"Springer Science &amp; Business Media","publisher-place":"New York","title":"The energetics of mangrove forests","type":"book"},"uris":["http://www.mendeley.com/documents/?uuid=cbb1df17-e857-4abd-95d9-5dd9e7b78cbc"]}],"mendeley":{"formattedCitation":"(Alongi, 2009; Day et al., 1996; Ribeiro et al., 2019; Twilley, 1995)","plainTextFormattedCitation":"(Alongi, 2009; Day et al., 1996; Ribeiro et al., 2019; Twilley, 1995)","previouslyFormattedCitation":"(Alongi, 2009; Day et al., 1996; Ribeiro et al., 2019; Twilley, 1995)"},"properties":{"noteIndex":0},"schema":"https://github.com/citation-style-language/schema/raw/master/csl-citation.json"}</w:instrText>
      </w:r>
      <w:r w:rsidRPr="004C47E7">
        <w:rPr>
          <w:rFonts w:cstheme="minorHAnsi"/>
        </w:rPr>
        <w:fldChar w:fldCharType="separate"/>
      </w:r>
      <w:r w:rsidR="008A48C6" w:rsidRPr="008A48C6">
        <w:rPr>
          <w:rFonts w:cstheme="minorHAnsi"/>
          <w:noProof/>
        </w:rPr>
        <w:t>(Alongi, 2009; Day et al., 1996; Ribeiro et al., 2019; Twilley, 1995)</w:t>
      </w:r>
      <w:r w:rsidRPr="004C47E7">
        <w:rPr>
          <w:rFonts w:cstheme="minorHAnsi"/>
        </w:rPr>
        <w:fldChar w:fldCharType="end"/>
      </w:r>
      <w:r w:rsidRPr="004C47E7">
        <w:rPr>
          <w:rFonts w:cstheme="minorHAnsi"/>
        </w:rPr>
        <w:t xml:space="preserve"> and regional trends in productivity have been associated with broad-scale gradients in precipitation and temperature </w:t>
      </w:r>
      <w:r w:rsidRPr="004C47E7">
        <w:rPr>
          <w:rFonts w:cstheme="minorHAnsi"/>
        </w:rPr>
        <w:fldChar w:fldCharType="begin" w:fldLock="1"/>
      </w:r>
      <w:r w:rsidR="008A48C6">
        <w:rPr>
          <w:rFonts w:cstheme="minorHAnsi"/>
        </w:rPr>
        <w:instrText>ADDIN CSL_CITATION {"citationItems":[{"id":"ITEM-1","itemData":{"DOI":"10.1002/ecs2.2841","ISSN":"21508925","abstract":"Mangroves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-1","issue":"8","issued":{"date-parts":[["2019","8","22"]]},"publisher":"John Wiley &amp; Sons, Ltd","title":"Spatial variability of mangrove primary productivity in the neotropics","type":"article-journal","volume":"10"},"uris":["http://www.mendeley.com/documents/?uuid=e62cba23-c956-306d-a48f-a25ddc004d7f"]}],"mendeley":{"formattedCitation":"(Ribeiro et al., 2019)","plainTextFormattedCitation":"(Ribeiro et al., 2019)","previouslyFormattedCitation":"(Ribeiro et al., 2019)"},"properties":{"noteIndex":0},"schema":"https://github.com/citation-style-language/schema/raw/master/csl-citation.json"}</w:instrText>
      </w:r>
      <w:r w:rsidRPr="004C47E7">
        <w:rPr>
          <w:rFonts w:cstheme="minorHAnsi"/>
        </w:rPr>
        <w:fldChar w:fldCharType="separate"/>
      </w:r>
      <w:r w:rsidR="008A48C6" w:rsidRPr="008A48C6">
        <w:rPr>
          <w:rFonts w:cstheme="minorHAnsi"/>
          <w:noProof/>
        </w:rPr>
        <w:t>(Ribeiro et al., 2019)</w:t>
      </w:r>
      <w:r w:rsidRPr="004C47E7">
        <w:rPr>
          <w:rFonts w:cstheme="minorHAnsi"/>
        </w:rPr>
        <w:fldChar w:fldCharType="end"/>
      </w:r>
      <w:r w:rsidRPr="004C47E7">
        <w:rPr>
          <w:rFonts w:cstheme="minorHAnsi"/>
        </w:rPr>
        <w:t xml:space="preserve">. For example, a combination of minimum air temperature and annual precipitation explain a significant amount of spatial variation in mangrove litterfall across the Neotropics </w:t>
      </w:r>
      <w:r w:rsidRPr="004C47E7">
        <w:rPr>
          <w:rFonts w:cstheme="minorHAnsi"/>
        </w:rPr>
        <w:fldChar w:fldCharType="begin" w:fldLock="1"/>
      </w:r>
      <w:r w:rsidR="008A48C6">
        <w:rPr>
          <w:rFonts w:cstheme="minorHAnsi"/>
        </w:rPr>
        <w:instrText>ADDIN CSL_CITATION {"citationItems":[{"id":"ITEM-1","itemData":{"DOI":"10.1002/ecs2.2841","ISSN":"21508925","abstract":"Mangroves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-1","issue":"8","issued":{"date-parts":[["2019","8","22"]]},"publisher":"John Wiley &amp; Sons, Ltd","title":"Spatial variability of mangrove primary productivity in the neotropics","type":"article-journal","volume":"10"},"uris":["http://www.mendeley.com/documents/?uuid=e62cba23-c956-306d-a48f-a25ddc004d7f"]}],"mendeley":{"formattedCitation":"(Ribeiro et al., 2019)","plainTextFormattedCitation":"(Ribeiro et al., 2019)","previouslyFormattedCitation":"(Ribeiro et al., 2019)"},"properties":{"noteIndex":0},"schema":"https://github.com/citation-style-language/schema/raw/master/csl-citation.json"}</w:instrText>
      </w:r>
      <w:r w:rsidRPr="004C47E7">
        <w:rPr>
          <w:rFonts w:cstheme="minorHAnsi"/>
        </w:rPr>
        <w:fldChar w:fldCharType="separate"/>
      </w:r>
      <w:r w:rsidR="008A48C6" w:rsidRPr="008A48C6">
        <w:rPr>
          <w:rFonts w:cstheme="minorHAnsi"/>
          <w:noProof/>
        </w:rPr>
        <w:t>(Ribeiro et al., 2019)</w:t>
      </w:r>
      <w:r w:rsidRPr="004C47E7">
        <w:rPr>
          <w:rFonts w:cstheme="minorHAnsi"/>
        </w:rPr>
        <w:fldChar w:fldCharType="end"/>
      </w:r>
      <w:r w:rsidRPr="004C47E7">
        <w:rPr>
          <w:rFonts w:cstheme="minorHAnsi"/>
        </w:rPr>
        <w:t xml:space="preserve">, with litter fall a commonly used proxy for aboveground primary production </w:t>
      </w:r>
      <w:r w:rsidRPr="004C47E7">
        <w:rPr>
          <w:rFonts w:cstheme="minorHAnsi"/>
        </w:rPr>
        <w:fldChar w:fldCharType="begin" w:fldLock="1"/>
      </w:r>
      <w:r w:rsidR="008A48C6">
        <w:rPr>
          <w:rFonts w:cstheme="minorHAnsi"/>
        </w:rPr>
        <w:instrText>ADDIN CSL_CITATION {"citationItems":[{"id":"ITEM-1","itemData":{"DOI":"10.1007/978-1-4020-4271-3","ISBN":"9781402042706","abstract":"Despite their importance in sustaining livelihoods for many people living along some of the world's most populous coastlines, tropical mangrove forests are disappearing at an alarming rate. Occupying a crucial place between land and sea, these tidal ecosystems provide a valuable ecological and economic resource as important nursery grounds and breeding sites for many organisms, and as a renewable source of wood and traditional foods and medicines. Perhaps most importantly, they are accumulation sites for sediment, contaminants, carbon and nutrients, and offer significant protection against coastal erosion. This book presents a functional overview of mangrove forest ecosystems; how they live and grow at the edge of tropical seas, how they play a critical role along most of the world's tropical coasts, and how their future might look in a world affected by climate change. Such a process-oriented approach is necessary in order to further understand the role of these dynamic forests in ecosystem function, and as a first step towards developing adequate strategies for their conservation and sustainable use and management. The book will provide a valuable resource for researchers in mangrove ecology as well as reference for resource managers. © 2009 Springer Science + Business Media B.V.","author":[{"dropping-particle":"","family":"Alongi","given":"Daniel M.","non-dropping-particle":"","parse-names":false,"suffix":""}],"container-title":"The Energetics of Mangrove Forests","id":"ITEM-1","issued":{"date-parts":[["2009"]]},"number-of-pages":"1-216","publisher":"Springer Science &amp; Business Media","publisher-place":"New York","title":"The energetics of mangrove forests","type":"book"},"uris":["http://www.mendeley.com/documents/?uuid=cbb1df17-e857-4abd-95d9-5dd9e7b78cbc"]}],"mendeley":{"formattedCitation":"(Alongi, 2009)","plainTextFormattedCitation":"(Alongi, 2009)","previouslyFormattedCitation":"(Alongi, 2009)"},"properties":{"noteIndex":0},"schema":"https://github.com/citation-style-language/schema/raw/master/csl-citation.json"}</w:instrText>
      </w:r>
      <w:r w:rsidRPr="004C47E7">
        <w:rPr>
          <w:rFonts w:cstheme="minorHAnsi"/>
        </w:rPr>
        <w:fldChar w:fldCharType="separate"/>
      </w:r>
      <w:r w:rsidR="008A48C6" w:rsidRPr="008A48C6">
        <w:rPr>
          <w:rFonts w:cstheme="minorHAnsi"/>
          <w:noProof/>
        </w:rPr>
        <w:t>(Alongi, 2009)</w:t>
      </w:r>
      <w:r w:rsidRPr="004C47E7">
        <w:rPr>
          <w:rFonts w:cstheme="minorHAnsi"/>
        </w:rPr>
        <w:fldChar w:fldCharType="end"/>
      </w:r>
      <w:r w:rsidRPr="004C47E7">
        <w:rPr>
          <w:rFonts w:cstheme="minorHAnsi"/>
        </w:rPr>
        <w:t>. Productivity in mangrove forests in tropical Brazil (3.38 g m</w:t>
      </w:r>
      <w:r w:rsidRPr="004C47E7">
        <w:rPr>
          <w:rFonts w:cstheme="minorHAnsi"/>
          <w:vertAlign w:val="superscript"/>
        </w:rPr>
        <w:t>2</w:t>
      </w:r>
      <w:r w:rsidRPr="004C47E7">
        <w:rPr>
          <w:rFonts w:cstheme="minorHAnsi"/>
        </w:rPr>
        <w:t xml:space="preserve"> d</w:t>
      </w:r>
      <w:r w:rsidRPr="004C47E7">
        <w:rPr>
          <w:rFonts w:cstheme="minorHAnsi"/>
          <w:vertAlign w:val="superscript"/>
        </w:rPr>
        <w:t>-1</w:t>
      </w:r>
      <w:r w:rsidRPr="004C47E7">
        <w:rPr>
          <w:rFonts w:cstheme="minorHAnsi"/>
        </w:rPr>
        <w:t>) and the Indo-Pacific (2.98 g m</w:t>
      </w:r>
      <w:r w:rsidRPr="004C47E7">
        <w:rPr>
          <w:rFonts w:cstheme="minorHAnsi"/>
          <w:vertAlign w:val="superscript"/>
        </w:rPr>
        <w:t>2</w:t>
      </w:r>
      <w:r w:rsidRPr="004C47E7">
        <w:rPr>
          <w:rFonts w:cstheme="minorHAnsi"/>
        </w:rPr>
        <w:t xml:space="preserve"> d</w:t>
      </w:r>
      <w:r w:rsidRPr="004C47E7">
        <w:rPr>
          <w:rFonts w:cstheme="minorHAnsi"/>
          <w:vertAlign w:val="superscript"/>
        </w:rPr>
        <w:t>-1</w:t>
      </w:r>
      <w:r w:rsidRPr="004C47E7">
        <w:rPr>
          <w:rFonts w:cstheme="minorHAnsi"/>
        </w:rPr>
        <w:t>) are almost double that of Arabia and North Africa (1.62 g m</w:t>
      </w:r>
      <w:r w:rsidRPr="004C47E7">
        <w:rPr>
          <w:rFonts w:cstheme="minorHAnsi"/>
          <w:vertAlign w:val="superscript"/>
        </w:rPr>
        <w:t>2</w:t>
      </w:r>
      <w:r w:rsidRPr="004C47E7">
        <w:rPr>
          <w:rFonts w:cstheme="minorHAnsi"/>
        </w:rPr>
        <w:t xml:space="preserve"> d</w:t>
      </w:r>
      <w:r w:rsidRPr="004C47E7">
        <w:rPr>
          <w:rFonts w:cstheme="minorHAnsi"/>
          <w:vertAlign w:val="superscript"/>
        </w:rPr>
        <w:t>-1</w:t>
      </w:r>
      <w:r w:rsidRPr="004C47E7">
        <w:rPr>
          <w:rFonts w:cstheme="minorHAnsi"/>
        </w:rPr>
        <w:t>), where rainfall can be as low as  ~40 mm yr</w:t>
      </w:r>
      <w:r w:rsidRPr="004C47E7">
        <w:rPr>
          <w:rFonts w:cstheme="minorHAnsi"/>
          <w:vertAlign w:val="superscript"/>
        </w:rPr>
        <w:t>-1</w:t>
      </w:r>
      <w:r w:rsidRPr="004C47E7">
        <w:rPr>
          <w:rFonts w:cstheme="minorHAnsi"/>
        </w:rPr>
        <w:t xml:space="preserve"> </w:t>
      </w:r>
      <w:r w:rsidRPr="004C47E7">
        <w:rPr>
          <w:rFonts w:cstheme="minorHAnsi"/>
        </w:rPr>
        <w:fldChar w:fldCharType="begin" w:fldLock="1"/>
      </w:r>
      <w:r w:rsidR="008A48C6">
        <w:rPr>
          <w:rFonts w:cstheme="minorHAnsi"/>
        </w:rPr>
        <w:instrText>ADDIN CSL_CITATION {"citationItems":[{"id":"ITEM-1","itemData":{"DOI":"10.21608/ejabf.2010.2063","ISSN":"2536-9814","abstract":"his study was conducted on a naturally growing mangrove population at Ras Mohammed and Nabq protected areas, South Sinai, during the period 2005-2006. Avicennia marina is the only growing mangrove species in South Sinai. Its structure, litterfall and seedling distribution were investigated. The total area of mangrove stands is 99.1 hectares with 42% canopy coverage, average tree height is between 1.7 -2.6 m, basal area up to 9.2 m 2 . ha -1 . Ras Mohammed represents the densest stand (428 stems ha -1). An annual litterfall of 2036.7 Kg. ha -1 . yr -1 was recorded at Rowaiseya with a maximum peak during April. Mangroves at Nabq area have well distribution of seedlings over Abu Zabad site and a localized dense aggregation of seedlings in intertidal areas at Monqataa and Gharqana sites with a seedling density up to 1848 ha -1 .","author":[{"dropping-particle":"","family":"Gab-Alla","given":"Ali","non-dropping-particle":"","parse-names":false,"suffix":""},{"dropping-particle":"","family":"Fouda","given":"Moustafa","non-dropping-particle":"","parse-names":false,"suffix":""},{"dropping-particle":"","family":"Morsy","given":"Waleed","non-dropping-particle":"","parse-names":false,"suffix":""}],"container-title":"Egyptian Journal of Aquatic Biology and Fisheries","id":"ITEM-1","issue":"2","issued":{"date-parts":[["2010"]]},"page":"79-93","title":"Ecology of Avicennia marina mangals along Gulf of Aqaba, South Sinai, Red Sea","type":"article-journal","volume":"14"},"uris":["http://www.mendeley.com/documents/?uuid=6c0f0e0d-6cfc-4d8d-91a4-2c6787b79b76"]},{"id":"ITEM-2","itemData":{"DOI":"10.1016/j.marenvres.2007.04.007","ISSN":"01411136","PMID":"17599404","abstract":"Distribution, dynamics and mass budget of phosphorus and nitrogen in a red mangrove forest were studied in the Potengi mangrove forest in northern Brazil (lat. 5°42′ and 5°53′ S, long. 35°5′ and 35°25′ W). Tidal hydrology, net primary productivity, leaf litter decomposition rate and standing stock of leaf litter in a red mangrove forest were measured. The results showed that the main reservoir for total P and total N was the sediment with 309 kg ha-1 and 4619 kg ha-1 (77% and 95% of the total P and N content in the mangrove forest), respectively, for the two elements. Total P and total N in Rhizophora mangle trees accounted for 145 ± 14 kg ha-1 and 216 ± 23 kg ha-1 (23% and 5% of the total P and N in the mangrove forest). The estimated average export rates for P and N through leaf litter are 0.5 kg ha-1 yr-1 and 1.6 kg ha-1 yr-1 respectively. Our measurements support previous results in concluding that mangrove forests efficiently retain P and N. © 2007 Elsevier Ltd. All rights reserved.","author":[{"dropping-particle":"","family":"Silva","given":"RE","non-dropping-particle":"","parse-names":false,"suffix":""},{"dropping-particle":"","family":"Carlos","given":"A","non-dropping-particle":"","parse-names":false,"suffix":""},{"dropping-particle":"","family":"Oliveira","given":"Sérgio R.","non-dropping-particle":"","parse-names":false,"suffix":""},{"dropping-particle":"","family":"Rêgo","given":"Ronaldo D.P.","non-dropping-particle":"","parse-names":false,"suffix":""},{"dropping-particle":"","family":"Mozeto","given":"Antonio A.","non-dropping-particle":"","parse-names":false,"suffix":""}],"container-title":"Marine Environmental Research","id":"ITEM-2","issue":"4","issued":{"date-parts":[["2007"]]},"page":"524-534","title":"Dynamics of phosphorus and nitrogen through litter fall and decomposition in a tropical mangrove forest","type":"article-journal","volume":"64"},"uris":["http://www.mendeley.com/documents/?uuid=d2fa14b6-e99c-49f3-b7b8-6127a7fa891d"]},{"id":"ITEM-3","itemData":{"DOI":"10.1016/0304-3770(83)90063-3","ISSN":"03043770","abstract":"Total litter fall, over a period of more than 22 months, was 4.22, 3.84 and 4.32 g dry wt. m-2 day-1 in the Avicennia, Sonneratia and Rhizophora forests, respectively. Leaves comprised 40-67% of the total. The Avicennia alba Bl. forest, however, showed a distinct peak from August to October when fruits comprised 50-65% of the total litter. Correlations of total and leaf component litters with the four meterological parameters of wind run, mean temperature, evaporation and rainfall accounted for less than 50% of the variation in litter fall. Wind run had the greatest influence in the seaward Avicennia forest while mean temperature had the greatest influence on the landward Rhizophora forest. © 1983.","author":[{"dropping-particle":"","family":"Sasekumar","given":"A.","non-dropping-particle":"","parse-names":false,"suffix":""},{"dropping-particle":"","family":"Loi","given":"J. J.","non-dropping-particle":"","parse-names":false,"suffix":""}],"container-title":"Aquatic Botany","id":"ITEM-3","issue":"3-4","issued":{"date-parts":[["1983"]]},"page":"283-290","title":"Litter production in three mangrove forest zones in the malay peninsula","type":"article-journal","volume":"17"},"uris":["http://www.mendeley.com/documents/?uuid=bde01252-cefb-49b6-9cc1-f32537eb044f"]},{"id":"ITEM-4","itemData":{"DOI":"10.1016/0378-1127(92)90135-V","ISSN":"03781127","abstract":"Perum Perhutani (The State Forestry Corporation) is establishing large-scale mangrove plantations for reforestation and/or afforestation, and the production of wood for fuel as well as other purposes in Java. The mangrove species used currently in Segara Anakan Cilacap is Rhizophora mucronata Lamarck. The above-ground biomass, litter production and litter accumulation in a 7-year-old stand in Tritih were studied. The mean diameter at breast height (DBH) or 30 cm above the highest prop root was 5.91 cm. The mean annual increment in DBH of individual trees was 0.89 cm. The total above-ground biomass of the stand was 93.726 t ha-1 of dry weight, consisting of 60.442 t of stem, 13.906 t of branch, 14.708 t of prop root and 4.670 t of leaf material. Litter production ranged from 7.058 to 10.395 t ha-1 year-1 of dry weight with leaf litter making up 73.29-84.30% of the total. Leaf litter accumulation amounted to 16.922-20.511 t ha-1 year-1 of dry weight and the turnover constant (k) of leaf litter was estimated at 0.2943-0.4082. The high productivity is discussed in relation to lower turnover (k) of litter. © 1992.","author":[{"dropping-particle":"","family":"Sukardjo","given":"Sukristijono","non-dropping-particle":"","parse-names":false,"suffix":""},{"dropping-particle":"","family":"Yamada","given":"I.","non-dropping-particle":"","parse-names":false,"suffix":""}],"container-title":"Forest Ecology and Management","id":"ITEM-4","issue":"3-4","issued":{"date-parts":[["1992"]]},"page":"195-209","title":"Biomass and productivity of a Rhizophora mucronata Lamarck plantation in Tritih, Central Java, Indonesia","type":"article-journal","volume":"49"},"uris":["http://www.mendeley.com/documents/?uuid=6f88652a-5bbc-4570-acdd-3cc339bd5a88"]}],"mendeley":{"formattedCitation":"(Gab-Alla et al., 2010; Sasekumar and Loi, 1983; Silva et al., 2007; Sukardjo and Yamada, 1992)","plainTextFormattedCitation":"(Gab-Alla et al., 2010; Sasekumar and Loi, 1983; Silva et al., 2007; Sukardjo and Yamada, 1992)","previouslyFormattedCitation":"(Gab-Alla et al., 2010; Sasekumar and Loi, 1983; Silva et al., 2007; Sukardjo and Yamada, 1992)"},"properties":{"noteIndex":0},"schema":"https://github.com/citation-style-language/schema/raw/master/csl-citation.json"}</w:instrText>
      </w:r>
      <w:r w:rsidRPr="004C47E7">
        <w:rPr>
          <w:rFonts w:cstheme="minorHAnsi"/>
        </w:rPr>
        <w:fldChar w:fldCharType="separate"/>
      </w:r>
      <w:r w:rsidR="008A48C6" w:rsidRPr="008A48C6">
        <w:rPr>
          <w:rFonts w:cstheme="minorHAnsi"/>
          <w:noProof/>
        </w:rPr>
        <w:t>(Gab-Alla et al., 2010; Sasekumar and Loi, 1983; Silva et al., 2007; Sukardjo and Yamada, 1992)</w:t>
      </w:r>
      <w:r w:rsidRPr="004C47E7">
        <w:rPr>
          <w:rFonts w:cstheme="minorHAnsi"/>
        </w:rPr>
        <w:fldChar w:fldCharType="end"/>
      </w:r>
      <w:r w:rsidRPr="004C47E7">
        <w:rPr>
          <w:rFonts w:cstheme="minorHAnsi"/>
        </w:rPr>
        <w:t xml:space="preserve">. Similar effects of rainfall can be seen even on a finer temporal scale. For instance, below ground root production more than triples during monsoon seasons compared to drier periods </w:t>
      </w:r>
      <w:r w:rsidRPr="004C47E7">
        <w:rPr>
          <w:rFonts w:cstheme="minorHAnsi"/>
        </w:rPr>
        <w:fldChar w:fldCharType="begin" w:fldLock="1"/>
      </w:r>
      <w:r w:rsidR="008A48C6">
        <w:rPr>
          <w:rFonts w:cstheme="minorHAnsi"/>
        </w:rPr>
        <w:instrText>ADDIN CSL_CITATION {"citationItems":[{"id":"ITEM-1","itemData":{"DOI":"10.1016/j.foreco.2019.04.026","ISSN":"03781127","abstract":"Mangroves often allocate a relatively large proportion of their total biomass production to their roots, and the belowground biomass of these forests contributes towards globally significant carbon sinks. However, little information is available on root production in mangroves due to the difficulties in carrying out measurements of belowground processes, particularly if there is regular flooding. In this study, we examined fine and coarse root production in the east coast of the Malaysian Peninsula. Ingrowth cores were used over the course of 17 months. In September 2014, twenty cores were randomly placed in each of five plots. Three cores were collected from each plot (fifteen cores in total), once every three months. Each core was divided into five 10 cm layers and root dry mass was recorded. Standing root biomass was also measured at the time of final collection using an additional 15 cores. There was a seasonal pattern in root production, which peaked in March and December 2015, after and during the monsoon season. Root biomass in the cores peaked at 33.23 ± 6.3 t ha−1 and 21.46 ± 7.3 t ha−1 in March and December respectively. Standing root biomass in February 2016 in the forest was 20.81 ± 2.8 t ha−1. After 17 months, the final root biomass in the cores was 14% less than the standing root biomass. These data suggest surprisingly rapid growth rates and turnover for mangrove roots. Total root biomass significantly increased with root depth and 78% of the roots, in all soil layers, consisted of fine roots (&lt;3 mm diameter). Soil carbon, nitrogen and phosphorous concentrations were investigated in relation to belowground production, as were soil temperature, salinity and dissolved oxygen. A data review of global studies reporting similar work was carried out. The results are discussed with consideration to the significance of monsoon rainfall for mangrove ecology.","author":[{"dropping-particle":"","family":"Muhammad-Nor","given":"Siti Mariam","non-dropping-particle":"","parse-names":false,"suffix":""},{"dropping-particle":"","family":"Huxham","given":"Mark","non-dropping-particle":"","parse-names":false,"suffix":""},{"dropping-particle":"","family":"Salmon","given":"Yann","non-dropping-particle":"","parse-names":false,"suffix":""},{"dropping-particle":"","family":"Duddy","given":"Symone Jade","non-dropping-particle":"","parse-names":false,"suffix":""},{"dropping-particle":"","family":"Mazars-Simon","given":"Alban","non-dropping-particle":"","parse-names":false,"suffix":""},{"dropping-particle":"","family":"Mencuccini","given":"Maurizio","non-dropping-particle":"","parse-names":false,"suffix":""},{"dropping-particle":"","family":"Meir","given":"Patrick","non-dropping-particle":"","parse-names":false,"suffix":""},{"dropping-particle":"","family":"Jackson","given":"Gail","non-dropping-particle":"","parse-names":false,"suffix":""}],"container-title":"Forest Ecology and Management","id":"ITEM-1","issued":{"date-parts":[["2019"]]},"page":"214-224","title":"Exceptionally high mangrove root production rates in the Kelantan Delta, Malaysia; An experimental and comparative study","type":"article-journal","volume":"444"},"uris":["http://www.mendeley.com/documents/?uuid=b8bea125-be3b-4dea-8066-5375d399692e"]}],"mendeley":{"formattedCitation":"(Muhammad-Nor et al., 2019)","plainTextFormattedCitation":"(Muhammad-Nor et al., 2019)","previouslyFormattedCitation":"(Muhammad-Nor et al., 2019)"},"properties":{"noteIndex":0},"schema":"https://github.com/citation-style-language/schema/raw/master/csl-citation.json"}</w:instrText>
      </w:r>
      <w:r w:rsidRPr="004C47E7">
        <w:rPr>
          <w:rFonts w:cstheme="minorHAnsi"/>
        </w:rPr>
        <w:fldChar w:fldCharType="separate"/>
      </w:r>
      <w:r w:rsidR="008A48C6" w:rsidRPr="008A48C6">
        <w:rPr>
          <w:rFonts w:cstheme="minorHAnsi"/>
          <w:noProof/>
        </w:rPr>
        <w:t>(Muhammad-Nor et al., 2019)</w:t>
      </w:r>
      <w:r w:rsidRPr="004C47E7">
        <w:rPr>
          <w:rFonts w:cstheme="minorHAnsi"/>
        </w:rPr>
        <w:fldChar w:fldCharType="end"/>
      </w:r>
      <w:r w:rsidRPr="004C47E7">
        <w:rPr>
          <w:rFonts w:cstheme="minorHAnsi"/>
        </w:rPr>
        <w:t>.</w:t>
      </w:r>
    </w:p>
    <w:p w14:paraId="677352E4" w14:textId="77777777" w:rsidR="000E71ED" w:rsidRDefault="000E71ED" w:rsidP="0002342A">
      <w:pPr>
        <w:spacing w:line="480" w:lineRule="auto"/>
        <w:rPr>
          <w:rFonts w:cstheme="minorHAnsi"/>
        </w:rPr>
      </w:pPr>
    </w:p>
    <w:p w14:paraId="5211C799" w14:textId="09DC5C2E" w:rsidR="0002342A" w:rsidRPr="004C47E7" w:rsidRDefault="0002342A" w:rsidP="0002342A">
      <w:pPr>
        <w:spacing w:line="480" w:lineRule="auto"/>
        <w:rPr>
          <w:rFonts w:cstheme="minorHAnsi"/>
          <w:highlight w:val="yellow"/>
        </w:rPr>
      </w:pPr>
      <w:r w:rsidRPr="004C47E7">
        <w:rPr>
          <w:rFonts w:cstheme="minorHAnsi"/>
        </w:rPr>
        <w:t xml:space="preserve">Soil respiration, which is an important component of mangrove forest carbon budgets, is the combination of root respiration and heterotrophic soil respiration from microbial decomposition of organic matter </w:t>
      </w:r>
      <w:r w:rsidRPr="004C47E7">
        <w:rPr>
          <w:rFonts w:cstheme="minorHAnsi"/>
        </w:rPr>
        <w:fldChar w:fldCharType="begin" w:fldLock="1"/>
      </w:r>
      <w:r w:rsidR="008A48C6">
        <w:rPr>
          <w:rFonts w:cstheme="minorHAnsi"/>
        </w:rPr>
        <w:instrText>ADDIN CSL_CITATION {"citationItems":[{"id":"ITEM-1","itemData":{"DOI":"10.1007/s11104-014-2036-6","ISSN":"0032079X","abstract":"Background and Aims: Mangrove forests are globally important sites of carbon burial that are increasingly exposed to nutrient pollution. Here we assessed the response of soil respiration, an important component of forest carbon budgets, to nutrient enrichment over a wide range of mangrove forests. Methods: We assessed the response of soil respiration to nutrient enrichment using fertilization experiments within 22 mangrove forests over ten sites. We used boosted regression tree (BRT) models to determine the importance of environmental and plant factors for soil respiration and its responsiveness to fertilizer treatments. Results: Leaf area index explained the largest proportion of variation in soil respiration rates (LAI, 45.9 %) followed by those of site, which had a relative influence of 39.9 % in the BRT model. Nutrient enrichment enhanced soil respiration only in nine out of 22 forests. Soil respiration in scrub forests showed a positive response to nutrient addition more frequently than taller fringing forests. The response of soil respiration to nutrient enrichment varied with changes in specific leaf area (SLA) and stem extension, with relative influences of 14.4 %, 13.6 % in the BRT model respectively. Conclusions: Soil respiration in mangroves varied with LAI, but other site specific factors also influenced soil respiration and its response to nutrient enrichment. Strong enhancements in aboveground growth but moderate increases in soil respiration with nutrient enrichment indicated that nutrient enrichment of mangrove forests has likely increased net ecosystem production. © 2014 Springer International Publishing Switzerland.","author":[{"dropping-particle":"","family":"Lovelock","given":"Catherine E.","non-dropping-particle":"","parse-names":false,"suffix":""},{"dropping-particle":"","family":"Feller","given":"Ilka C.","non-dropping-particle":"","parse-names":false,"suffix":""},{"dropping-particle":"","family":"Reef","given":"Ruth","non-dropping-particle":"","parse-names":false,"suffix":""},{"dropping-particle":"","family":"Ruess","given":"Roger W.","non-dropping-particle":"","parse-names":false,"suffix":""}],"container-title":"Plant and Soil","id":"ITEM-1","issue":"1-2","issued":{"date-parts":[["2014"]]},"page":"135-148","title":"Variable effects of nutrient enrichment on soil respiration in mangrove forests","type":"article-journal","volume":"379"},"uris":["http://www.mendeley.com/documents/?uuid=733e7d34-f804-4c9f-a0b3-c49dcec57207"]},{"id":"ITEM-2","itemData":{"DOI":"10.1016/j.ecss.2020.106877","ISSN":"02727714","abstract":"Due to reductions in freeze events, mangroves have been rapidly encroaching into previously salt marsh-dominated coastal wetlands along the northeastern shores of Florida, USA. This shift in dominant wetland vegetation type may have significant implications for belowground processes such as soil organic matter decomposition and respiration. Using a full factorial greenhouse mesocosm experiment, we investigated the effects of plant type (no plant, Avicennia germinans, or Spartina alterniflora) and soil type (sand, mangrove-derived soil, or marsh-derived soil) on estimated heterotrophic soil respiration rates. While we predicted that A. germinans mangrove seedlings would increase heterotrophic respiration, we found that mangrove seedlings did not increase heterotrophic respiration when compared to control (no plant) treatments. Additionally, we found that heterotrophic respiration was higher in marsh-derived soils than in mangrove-derived soils for both control and mangrove plant treatments. Our findings suggest that the stage of mangrove invasion and the level of root development may influence changes in heterotrophic soil respiration.","author":[{"dropping-particle":"","family":"Geoghegan","given":"Emily K.","non-dropping-particle":"","parse-names":false,"suffix":""},{"dropping-particle":"","family":"Langley","given":"J. Adam","non-dropping-particle":"","parse-names":false,"suffix":""},{"dropping-particle":"","family":"Chapman","given":"Samantha K.","non-dropping-particle":"","parse-names":false,"suffix":""}],"container-title":"Estuarine, Coastal and Shelf Science","id":"ITEM-2","issued":{"date-parts":[["2021"]]},"title":"A comparison of mangrove and marsh influences on soil respiration rates: A mesocosm study","type":"article-journal","volume":"248"},"uris":["http://www.mendeley.com/documents/?uuid=cb91dae0-53a1-49ca-8750-003a0d0fe449"]}],"mendeley":{"formattedCitation":"(Geoghegan et al., 2021; Lovelock et al., 2014)","plainTextFormattedCitation":"(Geoghegan et al., 2021; Lovelock et al., 2014)","previouslyFormattedCitation":"(Geoghegan et al., 2021; Lovelock et al., 2014)"},"properties":{"noteIndex":0},"schema":"https://github.com/citation-style-language/schema/raw/master/csl-citation.json"}</w:instrText>
      </w:r>
      <w:r w:rsidRPr="004C47E7">
        <w:rPr>
          <w:rFonts w:cstheme="minorHAnsi"/>
        </w:rPr>
        <w:fldChar w:fldCharType="separate"/>
      </w:r>
      <w:r w:rsidR="008A48C6" w:rsidRPr="008A48C6">
        <w:rPr>
          <w:rFonts w:cstheme="minorHAnsi"/>
          <w:noProof/>
        </w:rPr>
        <w:t>(Geoghegan et al., 2021; Lovelock et al., 2014)</w:t>
      </w:r>
      <w:r w:rsidRPr="004C47E7">
        <w:rPr>
          <w:rFonts w:cstheme="minorHAnsi"/>
        </w:rPr>
        <w:fldChar w:fldCharType="end"/>
      </w:r>
      <w:r w:rsidRPr="004C47E7">
        <w:rPr>
          <w:rFonts w:cstheme="minorHAnsi"/>
        </w:rPr>
        <w:t xml:space="preserve">. </w:t>
      </w:r>
      <w:r w:rsidR="00D732FC">
        <w:rPr>
          <w:rFonts w:cstheme="minorHAnsi"/>
        </w:rPr>
        <w:t>Research</w:t>
      </w:r>
      <w:r w:rsidR="00C3529E">
        <w:rPr>
          <w:rFonts w:cstheme="minorHAnsi"/>
        </w:rPr>
        <w:t xml:space="preserve"> has shown that soil</w:t>
      </w:r>
      <w:r w:rsidR="00D732FC">
        <w:rPr>
          <w:rFonts w:cstheme="minorHAnsi"/>
        </w:rPr>
        <w:t xml:space="preserve"> </w:t>
      </w:r>
      <w:r w:rsidR="00C3529E">
        <w:rPr>
          <w:rFonts w:cstheme="minorHAnsi"/>
        </w:rPr>
        <w:t xml:space="preserve">respiration rates can be correlated with </w:t>
      </w:r>
      <w:r w:rsidR="00D732FC">
        <w:rPr>
          <w:rFonts w:cstheme="minorHAnsi"/>
        </w:rPr>
        <w:t xml:space="preserve">litterfall, but their </w:t>
      </w:r>
      <w:r w:rsidR="00FF13B9">
        <w:rPr>
          <w:rFonts w:cstheme="minorHAnsi"/>
        </w:rPr>
        <w:t xml:space="preserve">association is largely driven by comparable nutrient levels and soil redox </w:t>
      </w:r>
      <w:r w:rsidR="006772D9">
        <w:rPr>
          <w:rFonts w:cstheme="minorHAnsi"/>
        </w:rPr>
        <w:fldChar w:fldCharType="begin" w:fldLock="1"/>
      </w:r>
      <w:r w:rsidR="00632C9A">
        <w:rPr>
          <w:rFonts w:cstheme="minorHAnsi"/>
        </w:rPr>
        <w:instrText>ADDIN CSL_CITATION {"citationItems":[{"id":"ITEM-1","itemData":{"DOI":"10.1007/s10021-008-9125-4","ISBN":"1432-9840","ISSN":"14329840","PMID":"210419909","abstract":"Mangrove forests cover large areas of tropical and subtropical coastlines. They provide a wide range of ecosystem services that includes carbon storage in above- and below ground biomass and in soils. Carbon dioxide (CO2) emissions from soil, or soil respiration is important in the global carbon budget and is sensitive to increasing global temperature. To understand the magnitude of mangrove soil respi- ration and the influence of forest structure and temperature on the variation in mangrove soil respiration I assessed soil respiration at eleven mangrove sites, ranging from latitude 27?Nto 37?S. Mangrove soil respiration was similar to those ob- served for terrestrial forest soils. Soil respiration was correlated with leaf area index (LAI) and aboveground net primary production (litterfall), which should aid scaling up to regional and global estimates of soil respiration. Using a carbon balance model, total belowground carbon allocation (TBCA) per unit litterfall was similar in tall man- grove forests as observed in terrestrial forests, but in scrub mangrove forests TBCA per unit litter fall was greater than in terrestrial forests, suggesting man- groves allocate a large proportion of their fixed carbon below ground under unfavorable environ- mental conditions. The response of soil respiration to soil temperature was not a linear function of temperature. At temperatures below 26?C Q10 of mangrove soil respiration was 2.6, similar to that reported for terrestrial forest soils. However in scrub forests soil respiration declined with increasing soil temperature, largely because of reduced canopy cover and enhanced activity of photosynthetic benthic microbial communities.","author":[{"dropping-particle":"","family":"Lovelock","given":"Catherine E.","non-dropping-particle":"","parse-names":false,"suffix":""}],"container-title":"Ecosystems","id":"ITEM-1","issue":"2","issued":{"date-parts":[["2008"]]},"page":"342-354","title":"Soil respiration and belowground carbon allocation in mangrove forests","type":"article-journal","volume":"11"},"uris":["http://www.mendeley.com/documents/?uuid=d86c2059-d4c1-43e5-9afe-2eb68bf8ab4a"]}],"mendeley":{"formattedCitation":"(Lovelock, 2008)","plainTextFormattedCitation":"(Lovelock, 2008)","previouslyFormattedCitation":"(Lovelock, 2008)"},"properties":{"noteIndex":0},"schema":"https://github.com/citation-style-language/schema/raw/master/csl-citation.json"}</w:instrText>
      </w:r>
      <w:r w:rsidR="006772D9">
        <w:rPr>
          <w:rFonts w:cstheme="minorHAnsi"/>
        </w:rPr>
        <w:fldChar w:fldCharType="separate"/>
      </w:r>
      <w:r w:rsidR="006772D9" w:rsidRPr="006772D9">
        <w:rPr>
          <w:rFonts w:cstheme="minorHAnsi"/>
          <w:noProof/>
        </w:rPr>
        <w:t>(Lovelock, 2008)</w:t>
      </w:r>
      <w:r w:rsidR="006772D9">
        <w:rPr>
          <w:rFonts w:cstheme="minorHAnsi"/>
        </w:rPr>
        <w:fldChar w:fldCharType="end"/>
      </w:r>
      <w:r w:rsidR="006772D9">
        <w:rPr>
          <w:rFonts w:cstheme="minorHAnsi"/>
        </w:rPr>
        <w:t xml:space="preserve">. </w:t>
      </w:r>
      <w:r w:rsidR="008B535D">
        <w:rPr>
          <w:rFonts w:cstheme="minorHAnsi"/>
        </w:rPr>
        <w:t xml:space="preserve">Despite this </w:t>
      </w:r>
      <w:r w:rsidR="00F8556A">
        <w:rPr>
          <w:rFonts w:cstheme="minorHAnsi"/>
        </w:rPr>
        <w:t>relationship, s</w:t>
      </w:r>
      <w:r w:rsidRPr="004C47E7">
        <w:rPr>
          <w:rFonts w:cstheme="minorHAnsi"/>
        </w:rPr>
        <w:t xml:space="preserve">oil respiration rates </w:t>
      </w:r>
      <w:r w:rsidR="00165CC4">
        <w:rPr>
          <w:rFonts w:cstheme="minorHAnsi"/>
        </w:rPr>
        <w:t xml:space="preserve">are highly variable in space and time, making extrapolation to larger scales difficult </w:t>
      </w:r>
      <w:r w:rsidR="00165CC4">
        <w:rPr>
          <w:rFonts w:cstheme="minorHAnsi"/>
        </w:rPr>
        <w:fldChar w:fldCharType="begin" w:fldLock="1"/>
      </w:r>
      <w:r w:rsidR="00165CC4">
        <w:rPr>
          <w:rFonts w:cstheme="minorHAnsi"/>
        </w:rPr>
        <w:instrText>ADDIN CSL_CITATION {"citationItems":[{"id":"ITEM-1","itemData":{"DOI":"10.1146/annurev-marine-010213-135020","ISBN":"1941-1405\\r1941-0611","ISSN":"1941-1405","PMID":"24405426","abstract":"Mangroves are ecologically and economically important forests of the trop-ics. They are highly productive ecosystems with rates of primary production equal to those of tropical humid evergreen forests and coral reefs. Although mangroves occupy only 0.5% of the global coastal area, they contribute 10– 15% (24 Tg C y −1) to coastal sediment carbon storage and export 10–11% of the particulate terrestrial carbon to the ocean. Their disproportionate contri-bution to carbon sequestration is now perceived as a means for conservation and restoration and a way to help ameliorate greenhouse gas emissions. Of immediate concern are potential carbon losses to deforestation (90–970 Tg C y −1) that are greater than these ecosystems' rates of carbon storage. Large reservoirs of dissolved inorganic carbon in deep soils, pumped via subsurface pathways to adjacent waterways, are a large loss of carbon, at a potential rate up to 40% of annual primary production. Patterns of carbon allocation and rates of carbon flux in mangrove forests are nearly identical to those of other tropical forests.","author":[{"dropping-particle":"","family":"Alongi","given":"Daniel M.","non-dropping-particle":"","parse-names":false,"suffix":""}],"container-title":"Annual Review of Marine Science","id":"ITEM-1","issue":"1","issued":{"date-parts":[["2014","1","3"]]},"page":"195-219","title":"Carbon Cycling and Storage in Mangrove Forests","type":"article-journal","volume":"6"},"uris":["http://www.mendeley.com/documents/?uuid=a161dc53-c151-4439-84f4-beba0eb3b1dc"]}],"mendeley":{"formattedCitation":"(Alongi, 2014)","plainTextFormattedCitation":"(Alongi, 2014)","previouslyFormattedCitation":"(Alongi, 2014)"},"properties":{"noteIndex":0},"schema":"https://github.com/citation-style-language/schema/raw/master/csl-citation.json"}</w:instrText>
      </w:r>
      <w:r w:rsidR="00165CC4">
        <w:rPr>
          <w:rFonts w:cstheme="minorHAnsi"/>
        </w:rPr>
        <w:fldChar w:fldCharType="separate"/>
      </w:r>
      <w:r w:rsidR="00165CC4" w:rsidRPr="000B64B4">
        <w:rPr>
          <w:rFonts w:cstheme="minorHAnsi"/>
          <w:noProof/>
        </w:rPr>
        <w:t>(Alongi, 2014)</w:t>
      </w:r>
      <w:r w:rsidR="00165CC4">
        <w:rPr>
          <w:rFonts w:cstheme="minorHAnsi"/>
        </w:rPr>
        <w:fldChar w:fldCharType="end"/>
      </w:r>
      <w:r w:rsidR="00165CC4">
        <w:rPr>
          <w:rFonts w:cstheme="minorHAnsi"/>
        </w:rPr>
        <w:t xml:space="preserve"> and </w:t>
      </w:r>
      <w:r w:rsidRPr="004C47E7">
        <w:rPr>
          <w:rFonts w:cstheme="minorHAnsi"/>
        </w:rPr>
        <w:t xml:space="preserve">have received little attention until recently, despite representing up to 13% of total carbon lost from mangrove forests </w:t>
      </w:r>
      <w:r w:rsidRPr="004C47E7">
        <w:rPr>
          <w:rFonts w:cstheme="minorHAnsi"/>
        </w:rPr>
        <w:fldChar w:fldCharType="begin" w:fldLock="1"/>
      </w:r>
      <w:r w:rsidR="008A48C6">
        <w:rPr>
          <w:rFonts w:cstheme="minorHAnsi"/>
        </w:rPr>
        <w:instrText>ADDIN CSL_CITATION {"citationItems":[{"id":"ITEM-1","itemData":{"DOI":"10.3390/f6103528","ISSN":"19994907","abstract":"There are few detailed carbon (C) budgets of mangrove forests, yet these are important for understanding C sequestration in mangrove forests, how they support the productivity of the coast and their vulnerability to environmental change. Here, we develop C budgets for mangroves on the islands of Twin Cays, Belize. We consider seaward fringing forests and interior scrub forests that have been fertilized with phosphorus (P), which severely limits growth of trees in the scrub forests. We found that respiration of the aboveground biomass accounted for 60%-80% of the fixed C and that respiration of the canopy and aboveground roots were important components of respiration. Soil respiration accounted for only 7%-11% of total gross primary production (GPP) while burial of C in soils was ~4% of GPP. Respiration by roots can account for the majority of soil respiration in fringing forests, while microbial processes may account 80% of respiration in scrub forests. Fertilization of scrub forests with P enhanced GPP but the proportion of C buried declined to ~2% of GPP. Net ecosystem production was 17%-27% of GPP similar to that reported for other mangrove forests. Carbon isotope signatures of adjacent seagrass suggest that dissolved C from mangroves is exported into the adjacent ecosystems. Our data indicate that C budgets can vary among mangrove forest types and with nutrient enrichment and that low productivity mangroves provide a disproportionate share of exported C.","author":[{"dropping-particle":"","family":"Lovelock","given":"Catherine E.","non-dropping-particle":"","parse-names":false,"suffix":""},{"dropping-particle":"","family":"Simpson","given":"Lorae T.","non-dropping-particle":"","parse-names":false,"suffix":""},{"dropping-particle":"","family":"Duckett","given":"Lisa J.","non-dropping-particle":"","parse-names":false,"suffix":""},{"dropping-particle":"","family":"Feller","given":"Ilka C.","non-dropping-particle":"","parse-names":false,"suffix":""}],"container-title":"Forests","id":"ITEM-1","issue":"10","issued":{"date-parts":[["2015"]]},"page":"3528-3546","title":"Carbon budgets for Caribbean mangrove forests of varying structure and with phosphorus enrichment","type":"article-journal","volume":"6"},"uris":["http://www.mendeley.com/documents/?uuid=c879c58c-6b06-4daf-868f-bedb5cf9c170"]}],"mendeley":{"formattedCitation":"(Lovelock et al., 2015b)","plainTextFormattedCitation":"(Lovelock et al., 2015b)","previouslyFormattedCitation":"(Lovelock et al., 2015b)"},"properties":{"noteIndex":0},"schema":"https://github.com/citation-style-language/schema/raw/master/csl-citation.json"}</w:instrText>
      </w:r>
      <w:r w:rsidRPr="004C47E7">
        <w:rPr>
          <w:rFonts w:cstheme="minorHAnsi"/>
        </w:rPr>
        <w:fldChar w:fldCharType="separate"/>
      </w:r>
      <w:r w:rsidR="008A48C6" w:rsidRPr="008A48C6">
        <w:rPr>
          <w:rFonts w:cstheme="minorHAnsi"/>
          <w:noProof/>
        </w:rPr>
        <w:t>(Lovelock et al., 2015b)</w:t>
      </w:r>
      <w:r w:rsidRPr="004C47E7">
        <w:rPr>
          <w:rFonts w:cstheme="minorHAnsi"/>
        </w:rPr>
        <w:fldChar w:fldCharType="end"/>
      </w:r>
      <w:r w:rsidRPr="004C47E7">
        <w:rPr>
          <w:rFonts w:cstheme="minorHAnsi"/>
        </w:rPr>
        <w:t xml:space="preserve">. </w:t>
      </w:r>
      <w:r w:rsidR="00954766">
        <w:rPr>
          <w:rFonts w:cstheme="minorHAnsi"/>
        </w:rPr>
        <w:t>S</w:t>
      </w:r>
      <w:r w:rsidR="006F5162">
        <w:rPr>
          <w:rFonts w:cstheme="minorHAnsi"/>
        </w:rPr>
        <w:t>easonal increases in soil respiration in one location by over one-</w:t>
      </w:r>
      <w:r w:rsidR="006F5162">
        <w:rPr>
          <w:rFonts w:cstheme="minorHAnsi"/>
        </w:rPr>
        <w:lastRenderedPageBreak/>
        <w:t xml:space="preserve">fifth have been shown </w:t>
      </w:r>
      <w:r w:rsidR="00782F67">
        <w:rPr>
          <w:rFonts w:cstheme="minorHAnsi"/>
        </w:rPr>
        <w:t xml:space="preserve">(Arnaud </w:t>
      </w:r>
      <w:r w:rsidR="00B829A5">
        <w:rPr>
          <w:rFonts w:cstheme="minorHAnsi"/>
        </w:rPr>
        <w:t xml:space="preserve">et al. </w:t>
      </w:r>
      <w:r w:rsidR="00782F67">
        <w:rPr>
          <w:rFonts w:cstheme="minorHAnsi"/>
        </w:rPr>
        <w:t xml:space="preserve">2020). </w:t>
      </w:r>
      <w:r w:rsidR="00A60ED9">
        <w:rPr>
          <w:rFonts w:cstheme="minorHAnsi"/>
        </w:rPr>
        <w:t xml:space="preserve">Similarly to tree productivity, soil respiration has been shown to vary with heterogeneity in temperature and precipitation </w:t>
      </w:r>
      <w:r w:rsidR="00A60ED9">
        <w:rPr>
          <w:rFonts w:cstheme="minorHAnsi"/>
        </w:rPr>
        <w:fldChar w:fldCharType="begin" w:fldLock="1"/>
      </w:r>
      <w:r w:rsidR="00A60ED9">
        <w:rPr>
          <w:rFonts w:cstheme="minorHAnsi"/>
        </w:rPr>
        <w:instrText>ADDIN CSL_CITATION {"citationItems":[{"id":"ITEM-1","itemData":{"DOI":"10.1007/s10021-008-9125-4","ISBN":"1432-9840","ISSN":"14329840","PMID":"210419909","abstract":"Mangrove forests cover large areas of tropical and subtropical coastlines. They provide a wide range of ecosystem services that includes carbon storage in above- and below ground biomass and in soils. Carbon dioxide (CO2) emissions from soil, or soil respiration is important in the global carbon budget and is sensitive to increasing global temperature. To understand the magnitude of mangrove soil respi- ration and the influence of forest structure and temperature on the variation in mangrove soil respiration I assessed soil respiration at eleven mangrove sites, ranging from latitude 27?Nto 37?S. Mangrove soil respiration was similar to those ob- served for terrestrial forest soils. Soil respiration was correlated with leaf area index (LAI) and aboveground net primary production (litterfall), which should aid scaling up to regional and global estimates of soil respiration. Using a carbon balance model, total belowground carbon allocation (TBCA) per unit litterfall was similar in tall man- grove forests as observed in terrestrial forests, but in scrub mangrove forests TBCA per unit litter fall was greater than in terrestrial forests, suggesting man- groves allocate a large proportion of their fixed carbon below ground under unfavorable environ- mental conditions. The response of soil respiration to soil temperature was not a linear function of temperature. At temperatures below 26?C Q10 of mangrove soil respiration was 2.6, similar to that reported for terrestrial forest soils. However in scrub forests soil respiration declined with increasing soil temperature, largely because of reduced canopy cover and enhanced activity of photosynthetic benthic microbial communities.","author":[{"dropping-particle":"","family":"Lovelock","given":"Catherine E.","non-dropping-particle":"","parse-names":false,"suffix":""}],"container-title":"Ecosystems","id":"ITEM-1","issue":"2","issued":{"date-parts":[["2008"]]},"page":"342-354","title":"Soil respiration and belowground carbon allocation in mangrove forests","type":"article-journal","volume":"11"},"uris":["http://www.mendeley.com/documents/?uuid=d86c2059-d4c1-43e5-9afe-2eb68bf8ab4a"]}],"mendeley":{"formattedCitation":"(Lovelock, 2008)","plainTextFormattedCitation":"(Lovelock, 2008)","previouslyFormattedCitation":"(Lovelock, 2008)"},"properties":{"noteIndex":0},"schema":"https://github.com/citation-style-language/schema/raw/master/csl-citation.json"}</w:instrText>
      </w:r>
      <w:r w:rsidR="00A60ED9">
        <w:rPr>
          <w:rFonts w:cstheme="minorHAnsi"/>
        </w:rPr>
        <w:fldChar w:fldCharType="separate"/>
      </w:r>
      <w:r w:rsidR="00A60ED9" w:rsidRPr="00CE2AD7">
        <w:rPr>
          <w:rFonts w:cstheme="minorHAnsi"/>
          <w:noProof/>
        </w:rPr>
        <w:t>(Lovelock, 2008)</w:t>
      </w:r>
      <w:r w:rsidR="00A60ED9">
        <w:rPr>
          <w:rFonts w:cstheme="minorHAnsi"/>
        </w:rPr>
        <w:fldChar w:fldCharType="end"/>
      </w:r>
      <w:r w:rsidR="00A60ED9">
        <w:rPr>
          <w:rFonts w:cstheme="minorHAnsi"/>
        </w:rPr>
        <w:t xml:space="preserve">. </w:t>
      </w:r>
      <w:r w:rsidR="00DD17D5">
        <w:rPr>
          <w:rFonts w:cstheme="minorHAnsi"/>
        </w:rPr>
        <w:t xml:space="preserve">In addition, </w:t>
      </w:r>
      <w:r w:rsidR="00810243">
        <w:rPr>
          <w:rFonts w:cstheme="minorHAnsi"/>
        </w:rPr>
        <w:t xml:space="preserve">as relatively few soil respiration rates have been measured from the extremities of global mangrove distribution </w:t>
      </w:r>
      <w:r w:rsidR="007E1FE4">
        <w:rPr>
          <w:rFonts w:cstheme="minorHAnsi"/>
        </w:rPr>
        <w:fldChar w:fldCharType="begin" w:fldLock="1"/>
      </w:r>
      <w:r w:rsidR="00FC535A">
        <w:rPr>
          <w:rFonts w:cstheme="minorHAnsi"/>
        </w:rPr>
        <w:instrText>ADDIN CSL_CITATION {"citationItems":[{"id":"ITEM-1","itemData":{"DOI":"10.1016/j.atmosenv.2018.12.049","ISSN":"18732844","abstract":"Despite being organic-rich, mangrove soils are usually characterized by low rates of CO2 emissions due to waterlogged conditions, mangroves being thus considered as valuable blue carbon sinks. However, these emissions are highly variable, notably depending on climatic parameters. Can Gio mangrove is a tropical one, being the largest in Vietnam, having being replanted after the war in the late 70's. The main objectives of this study were to quantify the seasonal variability of CO2 emissions at different interfaces (soil-air, water-air, and trunk-air) within a mature Rhizophora stand, and to assess the influence of these emissions on the vertical CO2 concentration profiles in the canopy. CO2 emissions from the soil in the dark were the highest of the different interfaces studied, and were among the highest measured for a mangrove soil, with a mean yearly value reaching more than 270 mmol CO2 m−2 d−1. We suggest that the very high temperatures characterizing Southern Vietnam all year round were responsible for these elevated CO2 emissions. In addition to temperature, the first rainfall pulse of the monsoon resulted in the highest CO2 fluxes both from the soil, reaching up to 500 mmol CO2 m−2 d−1, and from the trunks, reaching almost 230 mmol CO2 m−2 d−1. Because rainfall pulses are usually followed by a period of increasing rates of ecosystem photosynthesis, and a decrease of ecosystem respiration, we measured lower CO2 fluxes during the middle of the wet season. Additionally, it is possible that, during the rainy season, part of the CO2 produced within the soil was exported trough pore-water seepage, which was enhanced because of the higher level of the river. Concerning CO2 emissions at high tide within the Rhizophora stand, the seasonal trend followed the one of precipitation. During the rainy season, estuarine waters are enriched in organic matter and CO2 due to increased runoff in watersheds, and consequently CO2 fluxes from the water column were the highest. However, these emissions were much lower than those from the soil at low tide or from the trunks. Eventually, CO2 concentrations profiles in the canopy varied with the season, the tide, and the night-day alternation. Elevated CO2 concentrations at the root level may imply that prop roots can produce high amount of CO2 but also that they may trap gas emitted from the soil or the water column, possibly acting as physical barriers to air movement. Further studies using eddy-covariance technique shou…","author":[{"dropping-particle":"Van","family":"Vinh","given":"Truong","non-dropping-particle":"","parse-names":false,"suffix":""},{"dropping-particle":"","family":"Allenbach","given":"Michel","non-dropping-particle":"","parse-names":false,"suffix":""},{"dropping-particle":"","family":"Joanne","given":"Aimé","non-dropping-particle":"","parse-names":false,"suffix":""},{"dropping-particle":"","family":"Marchand","given":"Cyril","non-dropping-particle":"","parse-names":false,"suffix":""}],"container-title":"Atmospheric Environment","id":"ITEM-1","issued":{"date-parts":[["2019"]]},"page":"301-309","title":"Seasonal variability of CO2 fluxes at different interfaces and vertical CO2 concentration profiles within a Rhizophora mangrove forest (Can Gio, Viet Nam)","type":"article-journal","volume":"201"},"uris":["http://www.mendeley.com/documents/?uuid=5934bc00-ddce-4b68-ac9a-387ddbdc1566"]},{"id":"ITEM-2","itemData":{"DOI":"10.1007/s11104-014-2036-6","ISSN":"0032079X","abstract":"Background and Aims: Mangrove forests are globally important sites of carbon burial that are increasingly exposed to nutrient pollution. Here we assessed the response of soil respiration, an important component of forest carbon budgets, to nutrient enrichment over a wide range of mangrove forests. Methods: We assessed the response of soil respiration to nutrient enrichment using fertilization experiments within 22 mangrove forests over ten sites. We used boosted regression tree (BRT) models to determine the importance of environmental and plant factors for soil respiration and its responsiveness to fertilizer treatments. Results: Leaf area index explained the largest proportion of variation in soil respiration rates (LAI, 45.9 %) followed by those of site, which had a relative influence of 39.9 % in the BRT model. Nutrient enrichment enhanced soil respiration only in nine out of 22 forests. Soil respiration in scrub forests showed a positive response to nutrient addition more frequently than taller fringing forests. The response of soil respiration to nutrient enrichment varied with changes in specific leaf area (SLA) and stem extension, with relative influences of 14.4 %, 13.6 % in the BRT model respectively. Conclusions: Soil respiration in mangroves varied with LAI, but other site specific factors also influenced soil respiration and its response to nutrient enrichment. Strong enhancements in aboveground growth but moderate increases in soil respiration with nutrient enrichment indicated that nutrient enrichment of mangrove forests has likely increased net ecosystem production. © 2014 Springer International Publishing Switzerland.","author":[{"dropping-particle":"","family":"Lovelock","given":"Catherine E.","non-dropping-particle":"","parse-names":false,"suffix":""},{"dropping-particle":"","family":"Feller","given":"Ilka C.","non-dropping-particle":"","parse-names":false,"suffix":""},{"dropping-particle":"","family":"Reef","given":"Ruth","non-dropping-particle":"","parse-names":false,"suffix":""},{"dropping-particle":"","family":"Ruess","given":"Roger W.","non-dropping-particle":"","parse-names":false,"suffix":""}],"container-title":"Plant and Soil","id":"ITEM-2","issue":"1-2","issued":{"date-parts":[["2014"]]},"page":"135-148","title":"Variable effects of nutrient enrichment on soil respiration in mangrove forests","type":"article-journal","volume":"379"},"uris":["http://www.mendeley.com/documents/?uuid=733e7d34-f804-4c9f-a0b3-c49dcec57207"]},{"id":"ITEM-3","itemData":{"DOI":"10.1016/j.ecss.2020.106877","ISSN":"02727714","abstract":"Due to reductions in freeze events, mangroves have been rapidly encroaching into previously salt marsh-dominated coastal wetlands along the northeastern shores of Florida, USA. This shift in dominant wetland vegetation type may have significant implications for belowground processes such as soil organic matter decomposition and respiration. Using a full factorial greenhouse mesocosm experiment, we investigated the effects of plant type (no plant, Avicennia germinans, or Spartina alterniflora) and soil type (sand, mangrove-derived soil, or marsh-derived soil) on estimated heterotrophic soil respiration rates. While we predicted that A. germinans mangrove seedlings would increase heterotrophic respiration, we found that mangrove seedlings did not increase heterotrophic respiration when compared to control (no plant) treatments. Additionally, we found that heterotrophic respiration was higher in marsh-derived soils than in mangrove-derived soils for both control and mangrove plant treatments. Our findings suggest that the stage of mangrove invasion and the level of root development may influence changes in heterotrophic soil respiration.","author":[{"dropping-particle":"","family":"Geoghegan","given":"Emily K.","non-dropping-particle":"","parse-names":false,"suffix":""},{"dropping-particle":"","family":"Langley","given":"J. Adam","non-dropping-particle":"","parse-names":false,"suffix":""},{"dropping-particle":"","family":"Chapman","given":"Samantha K.","non-dropping-particle":"","parse-names":false,"suffix":""}],"container-title":"Estuarine, Coastal and Shelf Science","id":"ITEM-3","issued":{"date-parts":[["2021"]]},"title":"A comparison of mangrove and marsh influences on soil respiration rates: A mesocosm study","type":"article-journal","volume":"248"},"uris":["http://www.mendeley.com/documents/?uuid=cb91dae0-53a1-49ca-8750-003a0d0fe449"]}],"mendeley":{"formattedCitation":"(Geoghegan et al., 2021; Lovelock et al., 2014; Vinh et al., 2019)","plainTextFormattedCitation":"(Geoghegan et al., 2021; Lovelock et al., 2014; Vinh et al., 2019)","previouslyFormattedCitation":"(Geoghegan et al., 2021; Lovelock et al., 2014; Vinh et al., 2019)"},"properties":{"noteIndex":0},"schema":"https://github.com/citation-style-language/schema/raw/master/csl-citation.json"}</w:instrText>
      </w:r>
      <w:r w:rsidR="007E1FE4">
        <w:rPr>
          <w:rFonts w:cstheme="minorHAnsi"/>
        </w:rPr>
        <w:fldChar w:fldCharType="separate"/>
      </w:r>
      <w:r w:rsidR="007E1FE4" w:rsidRPr="007E1FE4">
        <w:rPr>
          <w:rFonts w:cstheme="minorHAnsi"/>
          <w:noProof/>
        </w:rPr>
        <w:t>(Geoghegan et al., 2021; Lovelock et al., 2014; Vinh et al., 2019)</w:t>
      </w:r>
      <w:r w:rsidR="007E1FE4">
        <w:rPr>
          <w:rFonts w:cstheme="minorHAnsi"/>
        </w:rPr>
        <w:fldChar w:fldCharType="end"/>
      </w:r>
      <w:r w:rsidR="007E4304">
        <w:rPr>
          <w:rFonts w:cstheme="minorHAnsi"/>
        </w:rPr>
        <w:t>, the</w:t>
      </w:r>
      <w:r w:rsidR="00A60ED9">
        <w:rPr>
          <w:rFonts w:cstheme="minorHAnsi"/>
        </w:rPr>
        <w:t>re is a</w:t>
      </w:r>
      <w:r w:rsidR="007E4304">
        <w:rPr>
          <w:rFonts w:cstheme="minorHAnsi"/>
        </w:rPr>
        <w:t xml:space="preserve"> need to better understand soil respiration rates under a wider range of climatic environments.</w:t>
      </w:r>
      <w:r w:rsidR="00EA011A">
        <w:rPr>
          <w:rFonts w:cstheme="minorHAnsi"/>
        </w:rPr>
        <w:t xml:space="preserve"> Of particular interest is the soil respiration rates in hot environments as </w:t>
      </w:r>
      <w:r w:rsidRPr="004C47E7">
        <w:rPr>
          <w:rFonts w:cstheme="minorHAnsi"/>
        </w:rPr>
        <w:t>increased temperatures have been shown to increase soil respiration rates and turn mangrove soils into net emitters of CO</w:t>
      </w:r>
      <w:r w:rsidRPr="004C47E7">
        <w:rPr>
          <w:rFonts w:cstheme="minorHAnsi"/>
          <w:vertAlign w:val="subscript"/>
        </w:rPr>
        <w:t>2</w:t>
      </w:r>
      <w:r w:rsidRPr="004C47E7">
        <w:rPr>
          <w:rFonts w:cstheme="minorHAnsi"/>
        </w:rPr>
        <w:t xml:space="preserve"> </w:t>
      </w:r>
      <w:r w:rsidRPr="004C47E7">
        <w:rPr>
          <w:rFonts w:cstheme="minorHAnsi"/>
        </w:rPr>
        <w:fldChar w:fldCharType="begin" w:fldLock="1"/>
      </w:r>
      <w:r w:rsidR="008A48C6">
        <w:rPr>
          <w:rFonts w:cstheme="minorHAnsi"/>
        </w:rPr>
        <w:instrText>ADDIN CSL_CITATION {"citationItems":[{"id":"ITEM-1","itemData":{"DOI":"10.1016/j.ecss.2011.11.002","ISBN":"0272-7714","ISSN":"02727714","PMID":"23134757","abstract":"Tidal saline wetlands (TSW), such as mangrove and salt marsh systems, provide many valuable ecosystem services, but continue to suffer disturbance, degradation and deforestation. Tropical mangroves perform a critical role in the exchange and storage of terrestrial-marine carbon but can function as a source of methane (CH4) and nitrous oxide (N2O). However, little is known of biogeochemical processes in temperate mangrove and salt marsh systems in the southern hemisphere. In this study, the soil/sediment exchange of CO2, CH4and N2O was measured seasonally along a natural transition from melaleuca woodland, salt marsh and into mangroves along the Mornington Peninsula edge of Westernport Bay, Victoria, Australia. Soil/sediment physiochemical properties and sediment C density were measured concurrently. The melaleuca woodland soil was a constant CH4sink of approximately-25μgCm-2h-1but along the transect this rapidly switched to a weak CH4source (&lt;5μgCm-2h-1) in the salt marsh which increased further in the mangrove sediments where emissions of up to 375μgCm-2h-1were measured in summer. Sediment CH4exchange correlated with salinity, pneumatophore number and the redox potential of sediment water at depth. All three ecosystems were a small N2O source of &lt;10μgNm-2h-1. Soil-atmosphere exchange was dominated by CO2which showed a significant response according to ecosystem and season along with soil temperature and salinity. Sediment C density was significantly greater in the salt marsh than the mangrove. Salt marsh sediment C density was 168MgCha-1which is comparable with that measured globally, whereas the mangrove sediment C density of 145MgCha-1is among the lowest reported. Contrary to global patterns in terrestrial soil C content and salt marsh sediment C content, data from our study indicate that mangrove sediments from a cooler, drier temperate latitude may store less C than mangroves in warmer and wetter tropical latitudes. Understanding both C storage and the greenhouse gas balance of TSWs will help us to better value these vulnerable ecosystems and manage them accordingly. © 2011 Elsevier Ltd.","author":[{"dropping-particle":"","family":"Livesley","given":"Stephen J.","non-dropping-particle":"","parse-names":false,"suffix":""},{"dropping-particle":"","family":"Andrusiak","given":"Sascha M.","non-dropping-particle":"","parse-names":false,"suffix":""}],"container-title":"Estuarine, Coastal and Shelf Science","id":"ITEM-1","issued":{"date-parts":[["2012","1","20"]]},"page":"19-27","publisher":"Academic Press","title":"Temperate mangrove and salt marsh sediments are a small methane and nitrous oxide source but important carbon store","type":"article-journal","volume":"97"},"uris":["http://www.mendeley.com/documents/?uuid=cf7f7eb2-258c-3aac-bdd4-4ec63b35d128"]}],"mendeley":{"formattedCitation":"(Livesley and Andrusiak, 2012)","plainTextFormattedCitation":"(Livesley and Andrusiak, 2012)","previouslyFormattedCitation":"(Livesley and Andrusiak, 2012)"},"properties":{"noteIndex":0},"schema":"https://github.com/citation-style-language/schema/raw/master/csl-citation.json"}</w:instrText>
      </w:r>
      <w:r w:rsidRPr="004C47E7">
        <w:rPr>
          <w:rFonts w:cstheme="minorHAnsi"/>
        </w:rPr>
        <w:fldChar w:fldCharType="separate"/>
      </w:r>
      <w:r w:rsidR="008A48C6" w:rsidRPr="008A48C6">
        <w:rPr>
          <w:rFonts w:cstheme="minorHAnsi"/>
          <w:noProof/>
        </w:rPr>
        <w:t>(Livesley and Andrusiak, 2012)</w:t>
      </w:r>
      <w:r w:rsidRPr="004C47E7">
        <w:rPr>
          <w:rFonts w:cstheme="minorHAnsi"/>
        </w:rPr>
        <w:fldChar w:fldCharType="end"/>
      </w:r>
      <w:r w:rsidR="005B3168">
        <w:rPr>
          <w:rFonts w:cstheme="minorHAnsi"/>
        </w:rPr>
        <w:t xml:space="preserve">. Therefore, </w:t>
      </w:r>
      <w:r w:rsidRPr="004C47E7">
        <w:rPr>
          <w:rFonts w:cstheme="minorHAnsi"/>
        </w:rPr>
        <w:t xml:space="preserve">it stands to reason that mangrove soils in hot, arid climates could potentially act as a significant source of carbon to the atmosphere. </w:t>
      </w:r>
    </w:p>
    <w:p w14:paraId="0F230F34" w14:textId="77777777" w:rsidR="0002342A" w:rsidRPr="004C47E7" w:rsidRDefault="0002342A" w:rsidP="0002342A">
      <w:pPr>
        <w:spacing w:line="480" w:lineRule="auto"/>
        <w:rPr>
          <w:rFonts w:cstheme="minorHAnsi"/>
        </w:rPr>
      </w:pPr>
    </w:p>
    <w:p w14:paraId="4F0AF077" w14:textId="71260FFB" w:rsidR="0002342A" w:rsidRPr="004C47E7" w:rsidRDefault="0002342A" w:rsidP="0002342A">
      <w:pPr>
        <w:spacing w:line="480" w:lineRule="auto"/>
        <w:rPr>
          <w:rFonts w:cstheme="minorHAnsi"/>
        </w:rPr>
      </w:pPr>
      <w:r w:rsidRPr="004C47E7">
        <w:rPr>
          <w:rFonts w:cstheme="minorHAnsi"/>
        </w:rPr>
        <w:t xml:space="preserve">Despite extensive global research on the aboveground productivity in global mangroves </w:t>
      </w:r>
      <w:r w:rsidRPr="004C47E7">
        <w:rPr>
          <w:rFonts w:cstheme="minorHAnsi"/>
        </w:rPr>
        <w:fldChar w:fldCharType="begin" w:fldLock="1"/>
      </w:r>
      <w:r w:rsidR="008A48C6">
        <w:rPr>
          <w:rFonts w:cstheme="minorHAnsi"/>
        </w:rPr>
        <w:instrText>ADDIN CSL_CITATION {"citationItems":[{"id":"ITEM-1","itemData":{"DOI":"http://dx.doi.org/10.1016/j.aquabot.2007.12.006","ISBN":"0304-3770","abstract":"We review 72 published articles to elucidate characteristics of biomass allocation and productivity of mangrove forests and also introduce recent progress on the study of mangrove allometry to solve the site- and species-specific problems. This includes the testing of a common allometric equation, which may be applicable to mangroves worldwide. The biomass of mangrove forests varies with age, dominant species, and locality. In primary mangrove forests, the above-ground biomass tends to be relatively low near the sea and increases inland. On a global scale, mangrove forests in the tropics have much higher above-ground biomass than those in temperate areas. Mangroves often accumulate large amounts of biomass in their roots, and the above-ground biomass to below-ground biomass ratio of mangrove forests is significantly low compared to that of upland forests (ANCOVA, PP","author":[{"dropping-particle":"","family":"Komiyama","given":"A","non-dropping-particle":"","parse-names":false,"suffix":""},{"dropping-particle":"","family":"Ong","given":"JinEong","non-dropping-particle":"","parse-names":false,"suffix":""},{"dropping-particle":"","family":"Poungparn","given":"S","non-dropping-particle":"","parse-names":false,"suffix":""}],"container-title":"Aquatic Botany","id":"ITEM-1","issue":"2","issued":{"date-parts":[["2008"]]},"page":"128-137","title":"Allometry, biomass, and productivity of mangrove forests: a review. (Special Issue: Mangrove ecology - applications in forestry and coastal zone management.)","type":"article-journal","volume":"89"},"uris":["http://www.mendeley.com/documents/?uuid=54fb0cea-dac1-34bc-bc8a-04908838b429"]}],"mendeley":{"formattedCitation":"(Komiyama et al., 2008)","plainTextFormattedCitation":"(Komiyama et al., 2008)","previouslyFormattedCitation":"(Komiyama et al., 2008)"},"properties":{"noteIndex":0},"schema":"https://github.com/citation-style-language/schema/raw/master/csl-citation.json"}</w:instrText>
      </w:r>
      <w:r w:rsidRPr="004C47E7">
        <w:rPr>
          <w:rFonts w:cstheme="minorHAnsi"/>
        </w:rPr>
        <w:fldChar w:fldCharType="separate"/>
      </w:r>
      <w:r w:rsidR="008A48C6" w:rsidRPr="008A48C6">
        <w:rPr>
          <w:rFonts w:cstheme="minorHAnsi"/>
          <w:noProof/>
        </w:rPr>
        <w:t>(Komiyama et al., 2008)</w:t>
      </w:r>
      <w:r w:rsidRPr="004C47E7">
        <w:rPr>
          <w:rFonts w:cstheme="minorHAnsi"/>
        </w:rPr>
        <w:fldChar w:fldCharType="end"/>
      </w:r>
      <w:r w:rsidRPr="004C47E7">
        <w:rPr>
          <w:rFonts w:cstheme="minorHAnsi"/>
        </w:rPr>
        <w:t xml:space="preserve">, </w:t>
      </w:r>
      <w:r w:rsidR="00F54785">
        <w:rPr>
          <w:rFonts w:cstheme="minorHAnsi"/>
        </w:rPr>
        <w:t xml:space="preserve">mangroves at the extremities of their climatic distribution </w:t>
      </w:r>
      <w:r w:rsidR="00F54785" w:rsidRPr="004C47E7">
        <w:rPr>
          <w:rFonts w:cstheme="minorHAnsi"/>
        </w:rPr>
        <w:t>remain under-studied</w:t>
      </w:r>
      <w:r w:rsidR="00F54785">
        <w:rPr>
          <w:rFonts w:cstheme="minorHAnsi"/>
        </w:rPr>
        <w:t xml:space="preserve">. The </w:t>
      </w:r>
      <w:r w:rsidRPr="004C47E7">
        <w:rPr>
          <w:rFonts w:cstheme="minorHAnsi"/>
        </w:rPr>
        <w:t>mangroves</w:t>
      </w:r>
      <w:r w:rsidR="00F54785">
        <w:rPr>
          <w:rFonts w:cstheme="minorHAnsi"/>
        </w:rPr>
        <w:t xml:space="preserve"> of the </w:t>
      </w:r>
      <w:r w:rsidRPr="004C47E7">
        <w:rPr>
          <w:rFonts w:cstheme="minorHAnsi"/>
        </w:rPr>
        <w:t>Arabian/Persian Gulf (hereafter referred to as ‘the Gulf’)</w:t>
      </w:r>
      <w:r w:rsidR="00F54785">
        <w:rPr>
          <w:rFonts w:cstheme="minorHAnsi"/>
        </w:rPr>
        <w:t xml:space="preserve"> </w:t>
      </w:r>
      <w:r w:rsidR="00F54785" w:rsidRPr="004C47E7">
        <w:rPr>
          <w:rFonts w:cstheme="minorHAnsi"/>
        </w:rPr>
        <w:t xml:space="preserve">offer an example of how forests cope with extreme salinity, heat and reduced rainfall </w:t>
      </w:r>
      <w:r w:rsidR="00F54785" w:rsidRPr="004C47E7">
        <w:rPr>
          <w:rFonts w:cstheme="minorHAnsi"/>
        </w:rPr>
        <w:fldChar w:fldCharType="begin" w:fldLock="1"/>
      </w:r>
      <w:r w:rsidR="00F54785">
        <w:rPr>
          <w:rFonts w:cstheme="minorHAnsi"/>
        </w:rPr>
        <w:instrText>ADDIN CSL_CITATION {"citationItems":[{"id":"ITEM-1","itemData":{"DOI":"10.1016/j.marpolbul.2009.10.017","ISBN":"0025-326X","ISSN":"0025326X","PMID":"20005533","abstract":"This review examines the substantial changes that have taken place in marine habitats and resources of the Gulf over the past decade. The habitats are especially interesting because of the naturally high levels of temperature and salinity stress they experience, which is important in a changing world climate. However, the extent of all natural habitats is changing and their condition deteriorating because of the rapid development of the region and, in some cases from severe, episodic warming episodes. Major impacts come from numerous industrial, infrastructure-based, and residential and tourism development activities, which together combine, synergistically in some cases, to cause the observed deterioration in most benthic habitats. Substantial sea bottom dredging for material and its deposition in shallow water to extend land or to form a basis for huge developments, directly removes large areas of shallow, productive habitat, though in some cases the most important effect is the accompanying sedimentation or changes to water flows and conditions. The large scale of the activities compared to the relatively shallow and small size of the water body is a particularly important issue. Important from the perspective of controlling damaging effects is the limited cross-border collaboration and even intra-country collaboration among government agencies and large projects. Along with the accumulative nature of impacts that occur, even where each project receives environmental assessment or attention, each is treated more or less alone, rarely in combination. However, their combination in such a small, biologically interacting sea exacerbates the overall deterioration. Very few similar areas exist which face such a high concentration of disturbance, and the prognosis for the Gulf continuing to provide abundant natural resources is poor. © 2009.","author":[{"dropping-particle":"","family":"Sheppard","given":"Charles","non-dropping-particle":"","parse-names":false,"suffix":""},{"dropping-particle":"","family":"Al-Husiani","given":"Mohsen","non-dropping-particle":"","parse-names":false,"suffix":""},{"dropping-particle":"","family":"Al-Jamali","given":"F.","non-dropping-particle":"","parse-names":false,"suffix":""},{"dropping-particle":"","family":"Al-Yamani","given":"Faiza","non-dropping-particle":"","parse-names":false,"suffix":""},{"dropping-particle":"","family":"Baldwin","given":"Rob","non-dropping-particle":"","parse-names":false,"suffix":""},{"dropping-particle":"","family":"Bishop","given":"James","non-dropping-particle":"","parse-names":false,"suffix":""},{"dropping-particle":"","family":"Benzoni","given":"Francesca","non-dropping-particle":"","parse-names":false,"suffix":""},{"dropping-particle":"","family":"Dutrieux","given":"Eric","non-dropping-particle":"","parse-names":false,"suffix":""},{"dropping-particle":"","family":"Dulvy","given":"Nicholas K.","non-dropping-particle":"","parse-names":false,"suffix":""},{"dropping-particle":"V.","family":"Durvasula","given":"Subba Rao","non-dropping-particle":"","parse-names":false,"suffix":""},{"dropping-particle":"","family":"Jones","given":"David A.","non-dropping-particle":"","parse-names":false,"suffix":""},{"dropping-particle":"","family":"Loughland","given":"Ron","non-dropping-particle":"","parse-names":false,"suffix":""},{"dropping-particle":"","family":"Medio","given":"David","non-dropping-particle":"","parse-names":false,"suffix":""},{"dropping-particle":"","family":"Nithyanandan","given":"M.","non-dropping-particle":"","parse-names":false,"suffix":""},{"dropping-particle":"","family":"Pilling","given":"Graham M.","non-dropping-particle":"","parse-names":false,"suffix":""},{"dropping-particle":"","family":"Polikarpov","given":"Igor","non-dropping-particle":"","parse-names":false,"suffix":""},{"dropping-particle":"","family":"Price","given":"Andrew R.G.","non-dropping-particle":"","parse-names":false,"suffix":""},{"dropping-particle":"","family":"Purkis","given":"Sam","non-dropping-particle":"","parse-names":false,"suffix":""},{"dropping-particle":"","family":"Riegl","given":"Bernhard","non-dropping-particle":"","parse-names":false,"suffix":""},{"dropping-particle":"","family":"Saburova","given":"Maria","non-dropping-particle":"","parse-names":false,"suffix":""},{"dropping-particle":"","family":"Namin","given":"Kaveh Samimi","non-dropping-particle":"","parse-names":false,"suffix":""},{"dropping-particle":"","family":"Taylor","given":"Oliver","non-dropping-particle":"","parse-names":false,"suffix":""},{"dropping-particle":"","family":"Wilson","given":"Simon","non-dropping-particle":"","parse-names":false,"suffix":""},{"dropping-particle":"","family":"Zainal","given":"Khadija","non-dropping-particle":"","parse-names":false,"suffix":""}],"container-title":"Marine Pollution Bulletin","id":"ITEM-1","issue":"1","issued":{"date-parts":[["2010"]]},"page":"13-38","publisher":"Elsevier Ltd","title":"The Gulf: A young sea in decline","type":"article-journal","volume":"60"},"uris":["http://www.mendeley.com/documents/?uuid=1647bbab-52e7-4753-8ec7-22fb5f58df7f"]}],"mendeley":{"formattedCitation":"(Sheppard et al., 2010)","plainTextFormattedCitation":"(Sheppard et al., 2010)","previouslyFormattedCitation":"(Sheppard et al., 2010)"},"properties":{"noteIndex":0},"schema":"https://github.com/citation-style-language/schema/raw/master/csl-citation.json"}</w:instrText>
      </w:r>
      <w:r w:rsidR="00F54785" w:rsidRPr="004C47E7">
        <w:rPr>
          <w:rFonts w:cstheme="minorHAnsi"/>
        </w:rPr>
        <w:fldChar w:fldCharType="separate"/>
      </w:r>
      <w:r w:rsidR="00F54785" w:rsidRPr="008A48C6">
        <w:rPr>
          <w:rFonts w:cstheme="minorHAnsi"/>
          <w:noProof/>
        </w:rPr>
        <w:t>(Sheppard et al., 2010)</w:t>
      </w:r>
      <w:r w:rsidR="00F54785" w:rsidRPr="004C47E7">
        <w:rPr>
          <w:rFonts w:cstheme="minorHAnsi"/>
        </w:rPr>
        <w:fldChar w:fldCharType="end"/>
      </w:r>
      <w:r w:rsidR="00F54785" w:rsidRPr="004C47E7">
        <w:rPr>
          <w:rFonts w:cstheme="minorHAnsi"/>
        </w:rPr>
        <w:t xml:space="preserve">. Summer air temperatures in the region regularly exceed 50°C and annual rainfall in Qatar, where the present study takes place, </w:t>
      </w:r>
      <w:r w:rsidR="003D14E9">
        <w:rPr>
          <w:rFonts w:cstheme="minorHAnsi"/>
        </w:rPr>
        <w:t xml:space="preserve">can be ~2% of tropical mangroves </w:t>
      </w:r>
      <w:r w:rsidR="00F54785" w:rsidRPr="004C47E7">
        <w:rPr>
          <w:rFonts w:cstheme="minorHAnsi"/>
        </w:rPr>
        <w:fldChar w:fldCharType="begin" w:fldLock="1"/>
      </w:r>
      <w:r w:rsidR="00F54785">
        <w:rPr>
          <w:rFonts w:cstheme="minorHAnsi"/>
        </w:rPr>
        <w:instrText>ADDIN CSL_CITATION {"citationItems":[{"id":"ITEM-1","itemData":{"DOI":"10.1007/s11069-016-2576-6","ISSN":"15730840","abstract":"In this paper, we investigate the spatial and temporal distributions of rainfall in Qatar, which falls in the arid region of the middle-east. We use rainfall data from 29 rain gauges covering the period of 1962–2010. Fifteen different rainfall indices are used in the assessment. A combination of Mann–Kendall and Spearman’s Rho tests is adopted to identify trends in the rainfall data. The average annual rainfall values are found to be in the range of 55.5–99 mm. A sharp gradient in average annual rainfall is noticed, with north having much higher values than the south. A mixed trend, both increasing (upward) and decreasing (downward) for most of the rainfall indices, is identified. Annual total and maximum daily rainfalls show mixed trends, while rainy days show an increasing trend. For the rainy seasons, the total rainfall during the months of December–January–February shows an increasing trend and March–April rainfall shows a decreasing trend, reflecting that seasonal rainfall in Qatar is changing. The findings of this study provide important insights into the nature of rainfall variability in Qatar, which will be useful in water resources planning tasks in Qatar and nearby countries.","author":[{"dropping-particle":"Al","family":"Mamoon","given":"Abdullah","non-dropping-particle":"","parse-names":false,"suffix":""},{"dropping-particle":"","family":"Rahman","given":"Ataur","non-dropping-particle":"","parse-names":false,"suffix":""}],"container-title":"Natural Hazards","id":"ITEM-1","issue":"1","issued":{"date-parts":[["2017"]]},"page":"453-470","title":"Rainfall in Qatar: Is it changing?","type":"article-journal","volume":"85"},"uris":["http://www.mendeley.com/documents/?uuid=aab8643f-3916-401c-aab4-94af19a8787f"]}],"mendeley":{"formattedCitation":"(Mamoon and Rahman, 2017)","plainTextFormattedCitation":"(Mamoon and Rahman, 2017)","previouslyFormattedCitation":"(Mamoon and Rahman, 2017)"},"properties":{"noteIndex":0},"schema":"https://github.com/citation-style-language/schema/raw/master/csl-citation.json"}</w:instrText>
      </w:r>
      <w:r w:rsidR="00F54785" w:rsidRPr="004C47E7">
        <w:rPr>
          <w:rFonts w:cstheme="minorHAnsi"/>
        </w:rPr>
        <w:fldChar w:fldCharType="separate"/>
      </w:r>
      <w:r w:rsidR="00F54785" w:rsidRPr="008A48C6">
        <w:rPr>
          <w:rFonts w:cstheme="minorHAnsi"/>
          <w:noProof/>
        </w:rPr>
        <w:t>(Mamoon and Rahman, 2017)</w:t>
      </w:r>
      <w:r w:rsidR="00F54785" w:rsidRPr="004C47E7">
        <w:rPr>
          <w:rFonts w:cstheme="minorHAnsi"/>
        </w:rPr>
        <w:fldChar w:fldCharType="end"/>
      </w:r>
      <w:r w:rsidR="00F54785" w:rsidRPr="004C47E7">
        <w:rPr>
          <w:rFonts w:cstheme="minorHAnsi"/>
        </w:rPr>
        <w:t>.</w:t>
      </w:r>
      <w:r w:rsidRPr="004C47E7">
        <w:rPr>
          <w:rFonts w:cstheme="minorHAnsi"/>
        </w:rPr>
        <w:t xml:space="preserve"> </w:t>
      </w:r>
      <w:r w:rsidR="007A6E04">
        <w:rPr>
          <w:rFonts w:cstheme="minorHAnsi"/>
        </w:rPr>
        <w:t>As a result of reduced research focus on arid mangroves, i</w:t>
      </w:r>
      <w:r w:rsidRPr="004C47E7">
        <w:rPr>
          <w:rFonts w:cstheme="minorHAnsi"/>
        </w:rPr>
        <w:t xml:space="preserve">t is generally unclear how the ecological functioning of </w:t>
      </w:r>
      <w:r w:rsidR="007A6E04">
        <w:rPr>
          <w:rFonts w:cstheme="minorHAnsi"/>
        </w:rPr>
        <w:t>these</w:t>
      </w:r>
      <w:r w:rsidR="007A6E04" w:rsidRPr="004C47E7">
        <w:rPr>
          <w:rFonts w:cstheme="minorHAnsi"/>
        </w:rPr>
        <w:t xml:space="preserve"> </w:t>
      </w:r>
      <w:r w:rsidRPr="004C47E7">
        <w:rPr>
          <w:rFonts w:cstheme="minorHAnsi"/>
        </w:rPr>
        <w:t xml:space="preserve">systems and those at the extremities of global distribution compare to tropical locations </w:t>
      </w:r>
      <w:r w:rsidRPr="004C47E7">
        <w:rPr>
          <w:rFonts w:cstheme="minorHAnsi"/>
        </w:rPr>
        <w:fldChar w:fldCharType="begin" w:fldLock="1"/>
      </w:r>
      <w:r w:rsidR="008A48C6">
        <w:rPr>
          <w:rFonts w:cstheme="minorHAnsi"/>
        </w:rPr>
        <w:instrText>ADDIN CSL_CITATION {"citationItems":[{"id":"ITEM-1","itemData":{"DOI":"10.1002/2016JG003510","ISBN":"2169-9291","ISSN":"21698961","PMID":"26213675","abstract":"Mangrove forests produce significant amounts of organic carbon and maintain large carbon stocks in tidally inundated, anoxic soils. This work analyses new and published data from 17 regions spanning a latitudinal gradient from 22°N to 38°S to assess some of the global drivers (temperature, tidal range, latitude and rainfall) of mangrove carbon stocks. Mangrove forests from the tropics have larger carbon stocks (895 ± 90 t C ha−1) than the subtropics and temperate regions (547 ± 66 t C ha−1). A multiple regression model showed that 86% of the observed variability is associated with annual rainfall, which is the best predictor of mangrove ecosystem carbon stocks. Therefore a predicted increase in rainfall along the tropical Indo-Pacific may increase mangrove forest carbon stocks. However, there are other potentially important factors that may regulate organic matter diagenesis, such as nutrient availability porewater salinity. Our predictive model shows that if mangrove deforestation is halted, global mangrove forest carbon stocks could increase by almost 10% by 2115 as a result of increased rain in the tropics.","author":[{"dropping-particle":"","family":"Sanders","given":"Christian J.","non-dropping-particle":"","parse-names":false,"suffix":""},{"dropping-particle":"","family":"Maher","given":"Damien T.","non-dropping-particle":"","parse-names":false,"suffix":""},{"dropping-particle":"","family":"Tait","given":"Douglas R.","non-dropping-particle":"","parse-names":false,"suffix":""},{"dropping-particle":"","family":"Williams","given":"Darren","non-dropping-particle":"","parse-names":false,"suffix":""},{"dropping-particle":"","family":"Holloway","given":"Ceylena","non-dropping-particle":"","parse-names":false,"suffix":""},{"dropping-particle":"","family":"Sippo","given":"James Z.","non-dropping-particle":"","parse-names":false,"suffix":""},{"dropping-particle":"","family":"Santos","given":"Isaac R.","non-dropping-particle":"","parse-names":false,"suffix":""}],"container-title":"Journal of Geophysical Research: Biogeosciences","id":"ITEM-1","issue":"10","issued":{"date-parts":[["2016"]]},"page":"2600-2609","title":"Are global mangrove carbon stocks driven by rainfall?","type":"article-journal","volume":"121"},"uris":["http://www.mendeley.com/documents/?uuid=a73b1913-9e67-3871-83dd-83b904763801"]},{"id":"ITEM-2","itemData":{"DOI":"10.1371/journal.pone.0169096","ISBN":"1111111111","ISSN":"19326203","abstract":"Mangroves provide extensive ecosystem services that support local livelihoods and international environmental goals, including coastal protection, biodiversity conservation and the sequestration of carbon (C). While voluntary C market projects seeking to preserve and enhance forest C stocks offer a potential means of generating finance for mangrove conservation, their implementation faces barriers due to the high costs of quantifying C stocks through field inventories. To streamline C quantification in mangrove conservation projects, we develop predictive models for (i) biomass-based C stocks, and (ii) soil-based C stocks for the mangroves of the Asia-Pacific. We compile datasets of mangrove biomass C (197 observations from 48 sites) and soil organic C (99 observations from 27 sites) to parameterize the predictive models, and use linear mixed effect models to model the expected C as a function of stand attributes. The most parsimonious biomass model predicts total biomass C stocks as a function of both basal area and the interaction between latitude and basal area, whereas the most parsimonious soil C model predicts soil C stocks as a function of the logarithmic transformations of both latitude and basal area. Random effects are specified by site for both models, which are found to explain a substantial proportion of variance within the estimation datasets and indicate significant heterogeneity across-sites within the region. The root mean square error (RMSE) of the biomass C model is approximated at 24.6 Mg/ha (18.4% of mean biomass C in the dataset), whereas the RMSE of the soil C model is estimated at 4.9 mg C/cm3 (14.1% of mean soil C). The results point to a need for standardization of forest metrics to facilitate meta-analyses, as well as provide important considerations for refining ecosystem C stock models in mangroves.","author":[{"dropping-particle":"","family":"Bukoski","given":"Jacob J.","non-dropping-particle":"","parse-names":false,"suffix":""},{"dropping-particle":"","family":"Broadhead","given":"Jeremy S.","non-dropping-particle":"","parse-names":false,"suffix":""},{"dropping-particle":"","family":"Donato","given":"Daniel C.","non-dropping-particle":"","parse-names":false,"suffix":""},{"dropping-particle":"","family":"Murdiyarso","given":"Daniel","non-dropping-particle":"","parse-names":false,"suffix":""},{"dropping-particle":"","family":"Gregoire","given":"Timothy G.","non-dropping-particle":"","parse-names":false,"suffix":""}],"container-title":"PLoS ONE","editor":[{"dropping-particle":"","family":"Lee","given":"Shing Yip","non-dropping-particle":"","parse-names":false,"suffix":""}],"id":"ITEM-2","issue":"1","issued":{"date-parts":[["2017","1","9"]]},"page":"e0169096","publisher":"Public Library of Science","title":"The use of mixed effects models for obtaining low-cost ecosystem carbon stock estimates in mangroves of the Asia-Pacific","type":"article-journal","volume":"12"},"uris":["http://www.mendeley.com/documents/?uuid=eea01053-d2a3-3caa-a474-145f01d4b776"]}],"mendeley":{"formattedCitation":"(Bukoski et al., 2017; Sanders et al., 2016)","plainTextFormattedCitation":"(Bukoski et al., 2017; Sanders et al., 2016)","previouslyFormattedCitation":"(Bukoski et al., 2017; Sanders et al., 2016)"},"properties":{"noteIndex":0},"schema":"https://github.com/citation-style-language/schema/raw/master/csl-citation.json"}</w:instrText>
      </w:r>
      <w:r w:rsidRPr="004C47E7">
        <w:rPr>
          <w:rFonts w:cstheme="minorHAnsi"/>
        </w:rPr>
        <w:fldChar w:fldCharType="separate"/>
      </w:r>
      <w:r w:rsidR="008A48C6" w:rsidRPr="008A48C6">
        <w:rPr>
          <w:rFonts w:cstheme="minorHAnsi"/>
          <w:noProof/>
        </w:rPr>
        <w:t>(Bukoski et al., 2017; Sanders et al., 2016)</w:t>
      </w:r>
      <w:r w:rsidRPr="004C47E7">
        <w:rPr>
          <w:rFonts w:cstheme="minorHAnsi"/>
        </w:rPr>
        <w:fldChar w:fldCharType="end"/>
      </w:r>
      <w:r w:rsidRPr="004C47E7">
        <w:rPr>
          <w:rFonts w:cstheme="minorHAnsi"/>
        </w:rPr>
        <w:t>. At the southernmost limit of global mangrove distribution (1.79 g m</w:t>
      </w:r>
      <w:r w:rsidRPr="004C47E7">
        <w:rPr>
          <w:rFonts w:cstheme="minorHAnsi"/>
          <w:vertAlign w:val="superscript"/>
        </w:rPr>
        <w:t>2</w:t>
      </w:r>
      <w:r w:rsidRPr="004C47E7">
        <w:rPr>
          <w:rFonts w:cstheme="minorHAnsi"/>
        </w:rPr>
        <w:t xml:space="preserve"> d</w:t>
      </w:r>
      <w:r w:rsidRPr="004C47E7">
        <w:rPr>
          <w:rFonts w:cstheme="minorHAnsi"/>
          <w:vertAlign w:val="superscript"/>
        </w:rPr>
        <w:t>-1</w:t>
      </w:r>
      <w:r w:rsidRPr="004C47E7">
        <w:rPr>
          <w:rFonts w:cstheme="minorHAnsi"/>
        </w:rPr>
        <w:t xml:space="preserve">) </w:t>
      </w:r>
      <w:r w:rsidRPr="004C47E7">
        <w:rPr>
          <w:rFonts w:cstheme="minorHAnsi"/>
        </w:rPr>
        <w:fldChar w:fldCharType="begin" w:fldLock="1"/>
      </w:r>
      <w:r w:rsidR="008A48C6">
        <w:rPr>
          <w:rFonts w:cstheme="minorHAnsi"/>
        </w:rPr>
        <w:instrText>ADDIN CSL_CITATION {"citationItems":[{"id":"ITEM-1","itemData":{"DOI":"10.1016/0022-0981(92)90073-J","ISSN":"00220981","abstract":"Consumption of Avicennia marina (Forks.) Vierh. leaves by the large detritivorous mangrove grapsid Sesarma meinerti de Man was measured in the laboratory. This was compared with abscission rates for this mangrove species in the field (Mgazana estuary, Transkei, southern Africa) to estimate how much leaf material was directly utilised by this ecologically dominant crab. Although a significant correlation was found between crab size and dry litter massingested per day, no correlation was found between crab size and assimilation efficiency, which was high (82.44%). A seasonal trend in leaf litter fall was discernable with a mean annual rate of 1.79 g m-2d-1(653.4 g m-2y-1). With amean crab density of 4 m-2 and mean crab size of 40 g, leaf consumption was calculated at 0.78 g m-2d-1DM (284.7 g m-2y-1 or 6462 kJ m 2y-1), accounting for 43.58% of the leaf fall. For the entire mangrove area (150 ha) a total of 75t of frasse 955 kJ m-2y-1) enters the estuary per annum. This is considerable contribution to the detrital pool of the estuary and increases leaf turnover an estimated four-fold. © 1992.","author":[{"dropping-particle":"","family":"Emmerson","given":"W. D.","non-dropping-particle":"","parse-names":false,"suffix":""},{"dropping-particle":"","family":"McGwynne","given":"L. E.","non-dropping-particle":"","parse-names":false,"suffix":""}],"container-title":"Journal of Experimental Marine Biology and Ecology","id":"ITEM-1","issue":"1","issued":{"date-parts":[["1992"]]},"page":"41-53","title":"Feeding and assimilation of mangrove leaves by the crab Sesarma meinerti de Man in relation to leaf-litter production in Mgazana, a warm-temperate southern African mangrove swamp","type":"article-journal","volume":"157"},"uris":["http://www.mendeley.com/documents/?uuid=c09a35c2-bf2a-4dfc-968a-db808f44d88b"]}],"mendeley":{"formattedCitation":"(Emmerson and McGwynne, 1992)","plainTextFormattedCitation":"(Emmerson and McGwynne, 1992)","previouslyFormattedCitation":"(Emmerson and McGwynne, 1992)"},"properties":{"noteIndex":0},"schema":"https://github.com/citation-style-language/schema/raw/master/csl-citation.json"}</w:instrText>
      </w:r>
      <w:r w:rsidRPr="004C47E7">
        <w:rPr>
          <w:rFonts w:cstheme="minorHAnsi"/>
        </w:rPr>
        <w:fldChar w:fldCharType="separate"/>
      </w:r>
      <w:r w:rsidR="008A48C6" w:rsidRPr="008A48C6">
        <w:rPr>
          <w:rFonts w:cstheme="minorHAnsi"/>
          <w:noProof/>
        </w:rPr>
        <w:t>(Emmerson and McGwynne, 1992)</w:t>
      </w:r>
      <w:r w:rsidRPr="004C47E7">
        <w:rPr>
          <w:rFonts w:cstheme="minorHAnsi"/>
        </w:rPr>
        <w:fldChar w:fldCharType="end"/>
      </w:r>
      <w:r w:rsidRPr="004C47E7">
        <w:rPr>
          <w:rFonts w:cstheme="minorHAnsi"/>
        </w:rPr>
        <w:t xml:space="preserve">, where minimum air temperatures reach as low as 10.5°C </w:t>
      </w:r>
      <w:r w:rsidRPr="004C47E7">
        <w:rPr>
          <w:rFonts w:cstheme="minorHAnsi"/>
        </w:rPr>
        <w:fldChar w:fldCharType="begin" w:fldLock="1"/>
      </w:r>
      <w:r w:rsidR="008A48C6">
        <w:rPr>
          <w:rFonts w:cstheme="minorHAnsi"/>
        </w:rPr>
        <w:instrText>ADDIN CSL_CITATION {"citationItems":[{"id":"ITEM-1","itemData":{"DOI":"10.1007/s11273-012-9254-6","ISSN":"09234861","abstract":"This study investigated the effects of environmental variables on mortality and growth of three mangrove species at Mngazana Estuary-Eastern Cape, South Africa, to determine the sustainability of harvesting at this estuary. Environmental variables changed with the sediment composition in the estuary, whereby moisture content and organic matter were positively correlated to silt content. A decrease in sediment pH increased the mortality of Avicennia marina seedlings (r = -0.71, p &lt; 0. 05) and decreased the growth of Rhizophoramucronata and Bruguiera gymnorrhiza seedlings (r = -0. 8, r = 0. 52, p &lt; 0. 05, respectively). The mortality of B. gymnorrhiza showed a positive correlation with sediment moisture content indicating that this species prefers drier conditions. The vertical growth rate of A. marina individuals increased from seedlings (0. 31 ± 0. 07 cm month -1) to adults (1. 2 ± 0. 2 cm month -1) whereas the growth of B. gymnorrhiza was not significantly different for trees of 150 cm height and taller (0. 65 ± 0. 1 cm month -1). The vertical growth of R. mucronata peaked at 0. 72 ± 0. 1 cm month -1 at a height of 151-250 cm. If the differences in vertical growth rate for each size class were taken into account, it will take approximately 13 years for R. mucronata seedlings, the preferred species for harvesting, to grow to a height of 390 cm. This is the preferred height at which trees are selected for harvesting at this estuary. Mangroves are harvested for building material (poles) and firewood. This is 2. 6 times slower than those individuals growing in Gazi Bay situated in southern Kenya, along the east coast of Africa. Data from this study indicate that it is not sustainable to harvest mangroves from the forest due to the slow (vertical and horizontal) growth rate of individuals and the length of time required for new individuals to grow to the preferred height for harvesting. © 2012 Springer Science+Business Media B.V.","author":[{"dropping-particle":"","family":"Rajkaran","given":"Anusha","non-dropping-particle":"","parse-names":false,"suffix":""},{"dropping-particle":"","family":"Adams","given":"Janine","non-dropping-particle":"","parse-names":false,"suffix":""}],"container-title":"Wetlands Ecology and Management","id":"ITEM-1","issue":"4","issued":{"date-parts":[["2012"]]},"page":"297-312","title":"The effects of environmental variables on mortality and growth of mangroves at Mngazana Estuary, Eastern Cape, South Africa","type":"article-journal","volume":"20"},"uris":["http://www.mendeley.com/documents/?uuid=2916ea6f-20e1-4655-a633-9dd32e546b92"]}],"mendeley":{"formattedCitation":"(Rajkaran and Adams, 2012)","plainTextFormattedCitation":"(Rajkaran and Adams, 2012)","previouslyFormattedCitation":"(Rajkaran and Adams, 2012)"},"properties":{"noteIndex":0},"schema":"https://github.com/citation-style-language/schema/raw/master/csl-citation.json"}</w:instrText>
      </w:r>
      <w:r w:rsidRPr="004C47E7">
        <w:rPr>
          <w:rFonts w:cstheme="minorHAnsi"/>
        </w:rPr>
        <w:fldChar w:fldCharType="separate"/>
      </w:r>
      <w:r w:rsidR="008A48C6" w:rsidRPr="008A48C6">
        <w:rPr>
          <w:rFonts w:cstheme="minorHAnsi"/>
          <w:noProof/>
        </w:rPr>
        <w:t>(Rajkaran and Adams, 2012)</w:t>
      </w:r>
      <w:r w:rsidRPr="004C47E7">
        <w:rPr>
          <w:rFonts w:cstheme="minorHAnsi"/>
        </w:rPr>
        <w:fldChar w:fldCharType="end"/>
      </w:r>
      <w:r w:rsidRPr="004C47E7">
        <w:rPr>
          <w:rFonts w:cstheme="minorHAnsi"/>
        </w:rPr>
        <w:t>, the litter fall rates are comparable to some mangroves of tropical Indonesia (ranging from 1.93 to 2.84 g m</w:t>
      </w:r>
      <w:r w:rsidRPr="004C47E7">
        <w:rPr>
          <w:rFonts w:cstheme="minorHAnsi"/>
          <w:vertAlign w:val="superscript"/>
        </w:rPr>
        <w:t>2</w:t>
      </w:r>
      <w:r w:rsidRPr="004C47E7">
        <w:rPr>
          <w:rFonts w:cstheme="minorHAnsi"/>
        </w:rPr>
        <w:t xml:space="preserve"> d</w:t>
      </w:r>
      <w:r w:rsidRPr="004C47E7">
        <w:rPr>
          <w:rFonts w:cstheme="minorHAnsi"/>
          <w:vertAlign w:val="superscript"/>
        </w:rPr>
        <w:t>-1</w:t>
      </w:r>
      <w:r w:rsidRPr="004C47E7">
        <w:rPr>
          <w:rFonts w:cstheme="minorHAnsi"/>
        </w:rPr>
        <w:t xml:space="preserve">) </w:t>
      </w:r>
      <w:r w:rsidRPr="004C47E7">
        <w:rPr>
          <w:rFonts w:cstheme="minorHAnsi"/>
        </w:rPr>
        <w:fldChar w:fldCharType="begin" w:fldLock="1"/>
      </w:r>
      <w:r w:rsidR="008A48C6">
        <w:rPr>
          <w:rFonts w:cstheme="minorHAnsi"/>
        </w:rPr>
        <w:instrText>ADDIN CSL_CITATION {"citationItems":[{"id":"ITEM-1","itemData":{"DOI":"10.1016/0378-1127(92)90135-V","ISSN":"03781127","abstract":"Perum Perhutani (The State Forestry Corporation) is establishing large-scale mangrove plantations for reforestation and/or afforestation, and the production of wood for fuel as well as other purposes in Java. The mangrove species used currently in Segara Anakan Cilacap is Rhizophora mucronata Lamarck. The above-ground biomass, litter production and litter accumulation in a 7-year-old stand in Tritih were studied. The mean diameter at breast height (DBH) or 30 cm above the highest prop root was 5.91 cm. The mean annual increment in DBH of individual trees was 0.89 cm. The total above-ground biomass of the stand was 93.726 t ha-1 of dry weight, consisting of 60.442 t of stem, 13.906 t of branch, 14.708 t of prop root and 4.670 t of leaf material. Litter production ranged from 7.058 to 10.395 t ha-1 year-1 of dry weight with leaf litter making up 73.29-84.30% of the total. Leaf litter accumulation amounted to 16.922-20.511 t ha-1 year-1 of dry weight and the turnover constant (k) of leaf litter was estimated at 0.2943-0.4082. The high productivity is discussed in relation to lower turnover (k) of litter. © 1992.","author":[{"dropping-particle":"","family":"Sukardjo","given":"Sukristijono","non-dropping-particle":"","parse-names":false,"suffix":""},{"dropping-particle":"","family":"Yamada","given":"I.","non-dropping-particle":"","parse-names":false,"suffix":""}],"container-title":"Forest Ecology and Management","id":"ITEM-1","issue":"3-4","issued":{"date-parts":[["1992"]]},"page":"195-209","title":"Biomass and productivity of a Rhizophora mucronata Lamarck plantation in Tritih, Central Java, Indonesia","type":"article-journal","volume":"49"},"uris":["http://www.mendeley.com/documents/?uuid=6f88652a-5bbc-4570-acdd-3cc339bd5a88"]}],"mendeley":{"formattedCitation":"(Sukardjo and Yamada, 1992)","plainTextFormattedCitation":"(Sukardjo and Yamada, 1992)","previouslyFormattedCitation":"(Sukardjo and Yamada, 1992)"},"properties":{"noteIndex":0},"schema":"https://github.com/citation-style-language/schema/raw/master/csl-citation.json"}</w:instrText>
      </w:r>
      <w:r w:rsidRPr="004C47E7">
        <w:rPr>
          <w:rFonts w:cstheme="minorHAnsi"/>
        </w:rPr>
        <w:fldChar w:fldCharType="separate"/>
      </w:r>
      <w:r w:rsidR="008A48C6" w:rsidRPr="008A48C6">
        <w:rPr>
          <w:rFonts w:cstheme="minorHAnsi"/>
          <w:noProof/>
        </w:rPr>
        <w:t>(Sukardjo and Yamada, 1992)</w:t>
      </w:r>
      <w:r w:rsidRPr="004C47E7">
        <w:rPr>
          <w:rFonts w:cstheme="minorHAnsi"/>
        </w:rPr>
        <w:fldChar w:fldCharType="end"/>
      </w:r>
      <w:r w:rsidRPr="004C47E7">
        <w:rPr>
          <w:rFonts w:cstheme="minorHAnsi"/>
        </w:rPr>
        <w:t xml:space="preserve">, </w:t>
      </w:r>
      <w:r w:rsidRPr="004C47E7">
        <w:rPr>
          <w:rFonts w:cstheme="minorHAnsi"/>
        </w:rPr>
        <w:lastRenderedPageBreak/>
        <w:t xml:space="preserve">where minimum air temperatures are &gt;12°C higher (22.8°C) </w:t>
      </w:r>
      <w:r w:rsidRPr="004C47E7">
        <w:rPr>
          <w:rFonts w:cstheme="minorHAnsi"/>
        </w:rPr>
        <w:fldChar w:fldCharType="begin" w:fldLock="1"/>
      </w:r>
      <w:r w:rsidR="008A48C6">
        <w:rPr>
          <w:rFonts w:cstheme="minorHAnsi"/>
        </w:rPr>
        <w:instrText>ADDIN CSL_CITATION {"citationItems":[{"id":"ITEM-1","itemData":{"ISBN":"0049-6979","abstract":"About 60% of the nearly 40 x 106 t of rice produced in Indonesia are from the island of Java. However, the rice self-sufficiency that has been attained and maintained since 1984 could be threatened by changing climate, and has been affected by the climate variability effects of the El Nino/Southern Oscillation phenomenon. To aid policy makers and planners in formulating strategic policy options, the effects of recurring droughts and possible climate change on rice yields were studied using climate and crop models. Three models were used to simulate climate change: those of the Goddard Institute for Space Studies, Geophysical Fluid Dynamics Laboratory, and the United Kingdom Meteorological Office. Several climate scenarios were generated for Ngawi, in East Java, and Sukamandi, in West Java. These models indicate that doubling greenhouse gases would increase solar radiation by 1.2-2.1%, minimum and maximum temperatures by 7.6-16.8degreeC, and precipitation by 20.5-91.7%. The Goddard Institute for Space Studies transient climate change scenarios indicate that maximum and minimum temperatures would increase by 3.5 and 4.9%, respectively, in 2010, 6.9 and 9.8%, respectively, in 2030, and 11.1 and 15.7%, respectively, in 2050. The rainfall increase varies from 7.0% for West Java in 2010 to 8.7% for East Java in 2050. The Decision Support System for Agrotechnology Transfer crop model slightly under-predicts lowland rice yields of several experimental plots in three sites in Java and one site in Sumatra, but the results are almost equal to or a little higher than farm level yields. Nevertheless, the simulation outputs and experimental plots yields are closely related with a coefficient of determination value of 87%. Changes in climate in the decades of 2010, 2030, and 2050 could drastically reduce rice yield: the rice yield is estimated to decrease by about 1% annually in East Java and less in West Java. Currently, the rice yields in dry years are about one half those of normal years.","author":[{"dropping-particle":"","family":"Amien","given":"I","non-dropping-particle":"","parse-names":false,"suffix":""},{"dropping-particle":"","family":"Rejekiningrum","given":"P","non-dropping-particle":"","parse-names":false,"suffix":""},{"dropping-particle":"","family":"Pramudia","given":"A","non-dropping-particle":"","parse-names":false,"suffix":""},{"dropping-particle":"","family":"Susanti","given":"E","non-dropping-particle":"","parse-names":false,"suffix":""}],"container-title":"Water, Air, and Soil Pollution","id":"ITEM-1","issue":"1-2","issued":{"date-parts":[["1996"]]},"page":"29-39","title":"Effects of interannual climate variability and climate change on rice yield in Java, Indonesia","type":"article-journal","volume":"92"},"uris":["http://www.mendeley.com/documents/?uuid=0221e8cd-1c3a-4c14-abb1-c7ad97e3c2ba"]}],"mendeley":{"formattedCitation":"(Amien et al., 1996)","plainTextFormattedCitation":"(Amien et al., 1996)","previouslyFormattedCitation":"(Amien et al., 1996)"},"properties":{"noteIndex":0},"schema":"https://github.com/citation-style-language/schema/raw/master/csl-citation.json"}</w:instrText>
      </w:r>
      <w:r w:rsidRPr="004C47E7">
        <w:rPr>
          <w:rFonts w:cstheme="minorHAnsi"/>
        </w:rPr>
        <w:fldChar w:fldCharType="separate"/>
      </w:r>
      <w:r w:rsidR="008A48C6" w:rsidRPr="008A48C6">
        <w:rPr>
          <w:rFonts w:cstheme="minorHAnsi"/>
          <w:noProof/>
        </w:rPr>
        <w:t>(Amien et al., 1996)</w:t>
      </w:r>
      <w:r w:rsidRPr="004C47E7">
        <w:rPr>
          <w:rFonts w:cstheme="minorHAnsi"/>
        </w:rPr>
        <w:fldChar w:fldCharType="end"/>
      </w:r>
      <w:r w:rsidRPr="004C47E7">
        <w:rPr>
          <w:rFonts w:cstheme="minorHAnsi"/>
        </w:rPr>
        <w:t xml:space="preserve">. </w:t>
      </w:r>
      <w:r w:rsidR="00E67BD0">
        <w:rPr>
          <w:rFonts w:cstheme="minorHAnsi"/>
        </w:rPr>
        <w:t xml:space="preserve">In addition, </w:t>
      </w:r>
      <w:r w:rsidRPr="004C47E7">
        <w:rPr>
          <w:rFonts w:cstheme="minorHAnsi"/>
        </w:rPr>
        <w:t xml:space="preserve">little data exists globally on below ground productivity, let alone at the climatic extremities of global mangrove distribution. Logistical difficulties associated with sampling mangrove roots hamper data collection </w:t>
      </w:r>
      <w:r w:rsidRPr="004C47E7">
        <w:rPr>
          <w:rFonts w:cstheme="minorHAnsi"/>
        </w:rPr>
        <w:fldChar w:fldCharType="begin" w:fldLock="1"/>
      </w:r>
      <w:r w:rsidR="008A48C6">
        <w:rPr>
          <w:rFonts w:cstheme="minorHAnsi"/>
        </w:rPr>
        <w:instrText>ADDIN CSL_CITATION {"citationItems":[{"id":"ITEM-1","itemData":{"DOI":"10.1071/BT04162","ISBN":"0067-1924","ISSN":"00671924","abstract":"Mangrove forests are an integral part of tropical coastal ecosystems, particularly in northern Australia. In the Northern Territory, studies have determined the extent and species diversity of these associations but little is known of biomass or productivity. We sampled the above- and below-ground biomass of the four most abundant species, Avicennia marina, Bruguiera exaristata, Ceriops australis and Rhizophora stylosa, developed allometric relationships and examined partitioning. Unlike many other studies, we sampled below-ground biomass, which constituted a substantial proportion (0.29–0.57) of the total dry weight. Our results should be valuable in modelling potential changes in carbon allocation resulting from small- and large-scale ecosystem changes.","author":[{"dropping-particle":"","family":"Comley","given":"B. W T","non-dropping-particle":"","parse-names":false,"suffix":""},{"dropping-particle":"","family":"McGuinness","given":"K. A.","non-dropping-particle":"","parse-names":false,"suffix":""}],"container-title":"Australian Journal of Botany","id":"ITEM-1","issue":"5","issued":{"date-parts":[["2005"]]},"page":"431-436","title":"Above- and below-ground biomass, and allometry, of four common northern Australian mangroves","type":"article-journal","volume":"53"},"uris":["http://www.mendeley.com/documents/?uuid=d9846ebf-2311-34c8-bdd3-4f6e17651f49"]},{"id":"ITEM-2","itemData":{"DOI":"http://dx.doi.org/10.1016/j.aquabot.2007.12.006","ISBN":"0304-3770","abstract":"We review 72 published articles to elucidate characteristics of biomass allocation and productivity of mangrove forests and also introduce recent progress on the study of mangrove allometry to solve the site- and species-specific problems. This includes the testing of a common allometric equation, which may be applicable to mangroves worldwide. The biomass of mangrove forests varies with age, dominant species, and locality. In primary mangrove forests, the above-ground biomass tends to be relatively low near the sea and increases inland. On a global scale, mangrove forests in the tropics have much higher above-ground biomass than those in temperate areas. Mangroves often accumulate large amounts of biomass in their roots, and the above-ground biomass to below-ground biomass ratio of mangrove forests is significantly low compared to that of upland forests (ANCOVA, PP","author":[{"dropping-particle":"","family":"Komiyama","given":"A","non-dropping-particle":"","parse-names":false,"suffix":""},{"dropping-particle":"","family":"Ong","given":"JinEong","non-dropping-particle":"","parse-names":false,"suffix":""},{"dropping-particle":"","family":"Poungparn","given":"S","non-dropping-particle":"","parse-names":false,"suffix":""}],"container-title":"Aquatic Botany","id":"ITEM-2","issue":"2","issued":{"date-parts":[["2008"]]},"page":"128-137","title":"Allometry, biomass, and productivity of mangrove forests: a review. (Special Issue: Mangrove ecology - applications in forestry and coastal zone management.)","type":"article-journal","volume":"89"},"uris":["http://www.mendeley.com/documents/?uuid=54fb0cea-dac1-34bc-bc8a-04908838b429"]}],"mendeley":{"formattedCitation":"(Comley and McGuinness, 2005; Komiyama et al., 2008)","plainTextFormattedCitation":"(Comley and McGuinness, 2005; Komiyama et al., 2008)","previouslyFormattedCitation":"(Comley and McGuinness, 2005; Komiyama et al., 2008)"},"properties":{"noteIndex":0},"schema":"https://github.com/citation-style-language/schema/raw/master/csl-citation.json"}</w:instrText>
      </w:r>
      <w:r w:rsidRPr="004C47E7">
        <w:rPr>
          <w:rFonts w:cstheme="minorHAnsi"/>
        </w:rPr>
        <w:fldChar w:fldCharType="separate"/>
      </w:r>
      <w:r w:rsidR="008A48C6" w:rsidRPr="008A48C6">
        <w:rPr>
          <w:rFonts w:cstheme="minorHAnsi"/>
          <w:noProof/>
        </w:rPr>
        <w:t>(Comley and McGuinness, 2005; Komiyama et al., 2008)</w:t>
      </w:r>
      <w:r w:rsidRPr="004C47E7">
        <w:rPr>
          <w:rFonts w:cstheme="minorHAnsi"/>
        </w:rPr>
        <w:fldChar w:fldCharType="end"/>
      </w:r>
      <w:r w:rsidRPr="004C47E7">
        <w:rPr>
          <w:rFonts w:cstheme="minorHAnsi"/>
        </w:rPr>
        <w:t>. Comley and McGuiness (2005)</w:t>
      </w:r>
      <w:r w:rsidR="00F24049">
        <w:rPr>
          <w:rFonts w:cstheme="minorHAnsi"/>
        </w:rPr>
        <w:t xml:space="preserve">, the only previous attempt to develop an </w:t>
      </w:r>
      <w:r w:rsidR="00F24049" w:rsidRPr="00906EF9">
        <w:rPr>
          <w:rFonts w:cstheme="minorHAnsi"/>
          <w:i/>
          <w:iCs/>
        </w:rPr>
        <w:t>A. marina</w:t>
      </w:r>
      <w:r w:rsidR="00F24049">
        <w:rPr>
          <w:rFonts w:cstheme="minorHAnsi"/>
        </w:rPr>
        <w:t xml:space="preserve"> below ground biomass allometric model, </w:t>
      </w:r>
      <w:r w:rsidRPr="004C47E7">
        <w:rPr>
          <w:rFonts w:cstheme="minorHAnsi"/>
        </w:rPr>
        <w:t xml:space="preserve">only sampled root material within a 2m radius of sampled trees, as they were unable to follow the full extent of roots. Such approaches likely significantly underestimate total below-ground biomass, as mangrove roots can reach &gt;10m  from the main stem </w:t>
      </w:r>
      <w:r w:rsidRPr="004C47E7">
        <w:rPr>
          <w:rFonts w:cstheme="minorHAnsi"/>
        </w:rPr>
        <w:fldChar w:fldCharType="begin" w:fldLock="1"/>
      </w:r>
      <w:r w:rsidR="008A48C6">
        <w:rPr>
          <w:rFonts w:cstheme="minorHAnsi"/>
        </w:rPr>
        <w:instrText>ADDIN CSL_CITATION {"citationItems":[{"id":"ITEM-1","itemData":{"DOI":"10.3759/tropics.13.249","ISSN":"0917-415X","author":[{"dropping-particle":"","family":"Poungparn","given":"Sasitorn","non-dropping-particle":"","parse-names":false,"suffix":""},{"dropping-particle":"","family":"Komiyama","given":"Akira","non-dropping-particle":"","parse-names":false,"suffix":""},{"dropping-particle":"","family":"Patanaponpaiboon","given":"Pipat","non-dropping-particle":"","parse-names":false,"suffix":""},{"dropping-particle":"","family":"Maknual","given":"Chatree","non-dropping-particle":"","parse-names":false,"suffix":""},{"dropping-particle":"","family":"Sangtiean","given":"Tanuwong","non-dropping-particle":"","parse-names":false,"suffix":""},{"dropping-particle":"","family":"Kato","given":"Shogo","non-dropping-particle":"","parse-names":false,"suffix":""}],"container-title":"Tropics","id":"ITEM-1","issue":"4","issued":{"date-parts":[["2004"]]},"page":"249-253","title":"A quantitative analysis of the root system of a mangrove, Sonneratia caseolaris (L.) Engler, with reference to the pipe model","type":"article-journal","volume":"13"},"uris":["http://www.mendeley.com/documents/?uuid=95be4f81-e227-41ec-a658-101c76abf522"]}],"mendeley":{"formattedCitation":"(Poungparn et al., 2004)","plainTextFormattedCitation":"(Poungparn et al., 2004)","previouslyFormattedCitation":"(Poungparn et al., 2004)"},"properties":{"noteIndex":0},"schema":"https://github.com/citation-style-language/schema/raw/master/csl-citation.json"}</w:instrText>
      </w:r>
      <w:r w:rsidRPr="004C47E7">
        <w:rPr>
          <w:rFonts w:cstheme="minorHAnsi"/>
        </w:rPr>
        <w:fldChar w:fldCharType="separate"/>
      </w:r>
      <w:r w:rsidR="008A48C6" w:rsidRPr="008A48C6">
        <w:rPr>
          <w:rFonts w:cstheme="minorHAnsi"/>
          <w:noProof/>
        </w:rPr>
        <w:t>(Poungparn et al., 2004)</w:t>
      </w:r>
      <w:r w:rsidRPr="004C47E7">
        <w:rPr>
          <w:rFonts w:cstheme="minorHAnsi"/>
        </w:rPr>
        <w:fldChar w:fldCharType="end"/>
      </w:r>
      <w:r w:rsidRPr="004C47E7">
        <w:rPr>
          <w:rFonts w:cstheme="minorHAnsi"/>
        </w:rPr>
        <w:t>. There are also few data on seasonal fluctuations in soil CO</w:t>
      </w:r>
      <w:r w:rsidRPr="004C47E7">
        <w:rPr>
          <w:rFonts w:cstheme="minorHAnsi"/>
          <w:vertAlign w:val="subscript"/>
        </w:rPr>
        <w:t>2</w:t>
      </w:r>
      <w:r w:rsidRPr="004C47E7">
        <w:rPr>
          <w:rFonts w:cstheme="minorHAnsi"/>
        </w:rPr>
        <w:t xml:space="preserve"> flux in arid settings. Seasonal fluctuation can be significant in less harsh localities: in tropical mangroves, soil CO</w:t>
      </w:r>
      <w:r w:rsidRPr="004C47E7">
        <w:rPr>
          <w:rFonts w:cstheme="minorHAnsi"/>
          <w:vertAlign w:val="subscript"/>
        </w:rPr>
        <w:t>2</w:t>
      </w:r>
      <w:r w:rsidRPr="004C47E7">
        <w:rPr>
          <w:rFonts w:cstheme="minorHAnsi"/>
        </w:rPr>
        <w:t xml:space="preserve"> emissions in the same location can be up to four times greater in hotter, drier periods than colder, wetter seasons </w:t>
      </w:r>
      <w:r w:rsidRPr="004C47E7">
        <w:rPr>
          <w:rFonts w:cstheme="minorHAnsi"/>
        </w:rPr>
        <w:fldChar w:fldCharType="begin" w:fldLock="1"/>
      </w:r>
      <w:r w:rsidR="008A48C6">
        <w:rPr>
          <w:rFonts w:cstheme="minorHAnsi"/>
        </w:rPr>
        <w:instrText>ADDIN CSL_CITATION {"citationItems":[{"id":"ITEM-1","itemData":{"DOI":"10.1007/s10661-019-7407-2","ISSN":"15732959","PMID":"30929086","abstract":"The diurnal and seasonal variation of soil carbon dioxide (CO 2 ) flux was measured in the Pichavaram mangrove forest, the Southeast coast of India from February 2016 to October 2016 using an automated soil CO 2 flux chamber system. Maximum soil CO 2 efflux reached at 14:00 h and minimum at 00:00 h. The surface soil CO 2 concentration ranged from 375 to 532 ppm with the mean 405 ± 18 ppm. The daily soil CO 2 flux varied from near zero to about 7 μmol m −2  s −1 with a mean value of 2.4 ± 1.3 μmol m −2  s −1 . The highest seasonal CO 2 efflux from soil was during the summer and premonsoon seasons, whereas low flux values were recorded during the monsoon season. Soil CO 2 efflux values were highly correlated with soil temperature. Tidal inundation during monsoon season, extreme drought condition in summer, and unusual precipitation are the major factors controlling the soil CO 2 flux.","author":[{"dropping-particle":"","family":"Gnanamoorthy","given":"P.","non-dropping-particle":"","parse-names":false,"suffix":""},{"dropping-particle":"","family":"Selvam","given":"V.","non-dropping-particle":"","parse-names":false,"suffix":""},{"dropping-particle":"","family":"Ramasubramanian","given":"R.","non-dropping-particle":"","parse-names":false,"suffix":""},{"dropping-particle":"","family":"Nagarajan","given":"R.","non-dropping-particle":"","parse-names":false,"suffix":""},{"dropping-particle":"","family":"Chakraborty","given":"S.","non-dropping-particle":"","parse-names":false,"suffix":""},{"dropping-particle":"","family":"Deb Burman","given":"Pramit Kumar","non-dropping-particle":"","parse-names":false,"suffix":""},{"dropping-particle":"","family":"Karipot","given":"A.","non-dropping-particle":"","parse-names":false,"suffix":""}],"container-title":"Environmental Monitoring and Assessment","id":"ITEM-1","issue":"4","issued":{"date-parts":[["2019"]]},"title":"Diurnal and seasonal patterns of soil CO 2 efflux from the Pichavaram mangroves, India","type":"article-journal","volume":"191"},"uris":["http://www.mendeley.com/documents/?uuid=fc12b731-6e53-448e-ae14-3fe5b4e0d931"]}],"mendeley":{"formattedCitation":"(Gnanamoorthy et al., 2019)","plainTextFormattedCitation":"(Gnanamoorthy et al., 2019)","previouslyFormattedCitation":"(Gnanamoorthy et al., 2019)"},"properties":{"noteIndex":0},"schema":"https://github.com/citation-style-language/schema/raw/master/csl-citation.json"}</w:instrText>
      </w:r>
      <w:r w:rsidRPr="004C47E7">
        <w:rPr>
          <w:rFonts w:cstheme="minorHAnsi"/>
        </w:rPr>
        <w:fldChar w:fldCharType="separate"/>
      </w:r>
      <w:r w:rsidR="008A48C6" w:rsidRPr="008A48C6">
        <w:rPr>
          <w:rFonts w:cstheme="minorHAnsi"/>
          <w:noProof/>
        </w:rPr>
        <w:t>(Gnanamoorthy et al., 2019)</w:t>
      </w:r>
      <w:r w:rsidRPr="004C47E7">
        <w:rPr>
          <w:rFonts w:cstheme="minorHAnsi"/>
        </w:rPr>
        <w:fldChar w:fldCharType="end"/>
      </w:r>
      <w:r w:rsidRPr="004C47E7">
        <w:rPr>
          <w:rFonts w:cstheme="minorHAnsi"/>
        </w:rPr>
        <w:t>.  CO</w:t>
      </w:r>
      <w:r w:rsidRPr="004C47E7">
        <w:rPr>
          <w:rFonts w:cstheme="minorHAnsi"/>
          <w:vertAlign w:val="subscript"/>
        </w:rPr>
        <w:t xml:space="preserve">2 </w:t>
      </w:r>
      <w:r w:rsidRPr="004C47E7">
        <w:rPr>
          <w:rFonts w:cstheme="minorHAnsi"/>
        </w:rPr>
        <w:t>flux is, nevertheless, highly variable on small spatial scales, making extrapolation and interpretation of data difficult. For example, a single study of mangrove soils in Hong Kong reported a &gt;13 fold difference between minimum to maximum measurements of CO</w:t>
      </w:r>
      <w:r w:rsidRPr="004C47E7">
        <w:rPr>
          <w:rFonts w:cstheme="minorHAnsi"/>
          <w:vertAlign w:val="subscript"/>
        </w:rPr>
        <w:t>2</w:t>
      </w:r>
      <w:r w:rsidRPr="004C47E7">
        <w:rPr>
          <w:rFonts w:cstheme="minorHAnsi"/>
        </w:rPr>
        <w:t xml:space="preserve"> flux </w:t>
      </w:r>
      <w:r w:rsidRPr="004C47E7">
        <w:rPr>
          <w:rFonts w:cstheme="minorHAnsi"/>
        </w:rPr>
        <w:fldChar w:fldCharType="begin" w:fldLock="1"/>
      </w:r>
      <w:r w:rsidR="008A48C6">
        <w:rPr>
          <w:rFonts w:cstheme="minorHAnsi"/>
        </w:rPr>
        <w:instrText>ADDIN CSL_CITATION {"citationItems":[{"id":"ITEM-1","itemData":{"DOI":"10.1016/j.soilbio.2012.01.029","ISSN":"00380717","abstract":"Marine ecosystems are a known net source of greenhouse gases emissions but the atmospheric gas fluxes, particularly from the mangrove swamps occupying inter-tidal zones, are characterized poorly. Spatial and seasonal fluxes of nitrous oxide (N2O) and carbon dioxide (CO2) from soil in Mai Po mangrove swamp in Hong Kong, South China and their relationships with soil characteristics were investigated. The N2O fluxes averaged from 32.1 to 533.7μgm-2h-1 and the CO2 fluxes were between 10.6 and 1374.1mgm-2h-1. Both N2O and CO2 fluxes in this swamp showed large spatial and seasonal variations. The fluxes were higher at the landward site than the foreshore bare mudflat, and higher fluxes were recorded in warm, rather than cold, seasons. The landward site had the highest content of soil organic carbon (OC), total Kjeldahl nitrogen (TKN), nitrate (NO3--N) and total phosphorus (TP), while the bare mudflat had the highest ammonium nitrogen (NH4+-N) concentration and soil denitrification potential activity. The N2O flux was related, positively, to CO2 flux. Soil NO3--N and TP increased N2O flux, while soil OC and TP concentrations contributed to the CO2 flux. The results indicated that the Mai Po mangrove swamp emitted significant amounts of greenhouse gases, and the N2O emission was probably due to soil denitrifcation. © 2012 Elsevier Ltd.","author":[{"dropping-particle":"","family":"Chen","given":"Guang C.","non-dropping-particle":"","parse-names":false,"suffix":""},{"dropping-particle":"","family":"Tam","given":"Nora F.Y.","non-dropping-particle":"","parse-names":false,"suffix":""},{"dropping-particle":"","family":"Ye","given":"Yong","non-dropping-particle":"","parse-names":false,"suffix":""}],"container-title":"Soil Biology and Biochemistry","id":"ITEM-1","issued":{"date-parts":[["2012"]]},"page":"175-181","title":"Spatial and seasonal variations of atmospheric N2O and CO2 fluxes from a subtropical mangrove swamp and their relationships with soil characteristics","type":"article-journal","volume":"48"},"uris":["http://www.mendeley.com/documents/?uuid=de757123-7f26-413e-80d9-59c3993f3ee0"]}],"mendeley":{"formattedCitation":"(Chen et al., 2012)","plainTextFormattedCitation":"(Chen et al., 2012)","previouslyFormattedCitation":"(Chen et al., 2012)"},"properties":{"noteIndex":0},"schema":"https://github.com/citation-style-language/schema/raw/master/csl-citation.json"}</w:instrText>
      </w:r>
      <w:r w:rsidRPr="004C47E7">
        <w:rPr>
          <w:rFonts w:cstheme="minorHAnsi"/>
        </w:rPr>
        <w:fldChar w:fldCharType="separate"/>
      </w:r>
      <w:r w:rsidR="008A48C6" w:rsidRPr="008A48C6">
        <w:rPr>
          <w:rFonts w:cstheme="minorHAnsi"/>
          <w:noProof/>
        </w:rPr>
        <w:t>(Chen et al., 2012)</w:t>
      </w:r>
      <w:r w:rsidRPr="004C47E7">
        <w:rPr>
          <w:rFonts w:cstheme="minorHAnsi"/>
        </w:rPr>
        <w:fldChar w:fldCharType="end"/>
      </w:r>
      <w:r w:rsidRPr="004C47E7">
        <w:rPr>
          <w:rFonts w:cstheme="minorHAnsi"/>
        </w:rPr>
        <w:t>. In the absence of data from arid settings, it is still not clear whether mangrove soils in arid geographical regions, such as the Arabian Gulf, are net emitters or sinks of CO</w:t>
      </w:r>
      <w:r w:rsidRPr="004C47E7">
        <w:rPr>
          <w:rFonts w:cstheme="minorHAnsi"/>
          <w:vertAlign w:val="subscript"/>
        </w:rPr>
        <w:t xml:space="preserve">2 </w:t>
      </w:r>
      <w:r w:rsidRPr="004C47E7">
        <w:rPr>
          <w:rFonts w:cstheme="minorHAnsi"/>
        </w:rPr>
        <w:t>and whether there are seasonal patterns in CO</w:t>
      </w:r>
      <w:r w:rsidRPr="004C47E7">
        <w:rPr>
          <w:rFonts w:cstheme="minorHAnsi"/>
          <w:vertAlign w:val="subscript"/>
        </w:rPr>
        <w:t xml:space="preserve">2 </w:t>
      </w:r>
      <w:r w:rsidRPr="004C47E7">
        <w:rPr>
          <w:rFonts w:cstheme="minorHAnsi"/>
        </w:rPr>
        <w:t>flux.</w:t>
      </w:r>
    </w:p>
    <w:p w14:paraId="71B7F65F" w14:textId="77777777" w:rsidR="0002342A" w:rsidRPr="004C47E7" w:rsidRDefault="0002342A" w:rsidP="0002342A">
      <w:pPr>
        <w:spacing w:line="480" w:lineRule="auto"/>
        <w:rPr>
          <w:rFonts w:cstheme="minorHAnsi"/>
        </w:rPr>
      </w:pPr>
    </w:p>
    <w:p w14:paraId="39737EFE" w14:textId="77777777" w:rsidR="0002342A" w:rsidRPr="0080148E" w:rsidRDefault="0002342A" w:rsidP="0002342A">
      <w:pPr>
        <w:spacing w:line="480" w:lineRule="auto"/>
      </w:pPr>
      <w:r w:rsidRPr="004C47E7">
        <w:rPr>
          <w:rFonts w:cstheme="minorHAnsi"/>
        </w:rPr>
        <w:t xml:space="preserve">The aims of this study were to estimate litterfall rates, below ground root growth and soil respiration rates in arid mangroves of Qatar and to investigate their spatial and seasonal variations. We hypothesized that mangrove litterfall and soil respiration rates would be lower in the summer compared to the winter due to extreme summer temperatures experienced in Qatar. The present study provides data measured </w:t>
      </w:r>
      <w:r w:rsidRPr="004C47E7">
        <w:rPr>
          <w:rFonts w:cstheme="minorHAnsi"/>
          <w:i/>
          <w:iCs/>
        </w:rPr>
        <w:t>in situ</w:t>
      </w:r>
      <w:r w:rsidRPr="004C47E7">
        <w:rPr>
          <w:rFonts w:cstheme="minorHAnsi"/>
        </w:rPr>
        <w:t xml:space="preserve"> for mangroves in an </w:t>
      </w:r>
      <w:r w:rsidRPr="004C47E7">
        <w:rPr>
          <w:rFonts w:cstheme="minorHAnsi"/>
        </w:rPr>
        <w:lastRenderedPageBreak/>
        <w:t xml:space="preserve">under-studied region of the world that can add to current understanding of mangroves at the extremities of their climatic distribution. Study data can also be included as representative of arid mangrove settings in global modelling of mangroves’ response to projected climate change, such as that done in chapter 3: </w:t>
      </w:r>
      <w:r w:rsidRPr="004C47E7">
        <w:rPr>
          <w:rFonts w:cstheme="minorHAnsi"/>
          <w:i/>
          <w:iCs/>
        </w:rPr>
        <w:t>Global modelling of mangrove productivity under climate change.</w:t>
      </w:r>
      <w:r w:rsidRPr="004C47E7">
        <w:rPr>
          <w:rFonts w:cstheme="minorHAnsi"/>
        </w:rPr>
        <w:t xml:space="preserve"> </w:t>
      </w:r>
    </w:p>
    <w:p w14:paraId="1EDBA015" w14:textId="77777777" w:rsidR="0002342A" w:rsidRDefault="0002342A" w:rsidP="0002342A">
      <w:pPr>
        <w:spacing w:line="480" w:lineRule="auto"/>
        <w:rPr>
          <w:b/>
          <w:bCs/>
        </w:rPr>
      </w:pPr>
    </w:p>
    <w:p w14:paraId="6A98F5E1" w14:textId="33370599" w:rsidR="0002342A" w:rsidRPr="004C47E7" w:rsidRDefault="0002342A" w:rsidP="0002342A">
      <w:pPr>
        <w:pStyle w:val="Heading2"/>
        <w:rPr>
          <w:rFonts w:asciiTheme="minorHAnsi" w:hAnsiTheme="minorHAnsi" w:cstheme="minorHAnsi"/>
          <w:b/>
          <w:bCs/>
          <w:color w:val="auto"/>
        </w:rPr>
      </w:pPr>
      <w:bookmarkStart w:id="13" w:name="_Toc120622102"/>
      <w:r w:rsidRPr="004C47E7">
        <w:rPr>
          <w:rFonts w:asciiTheme="minorHAnsi" w:hAnsiTheme="minorHAnsi" w:cstheme="minorHAnsi"/>
          <w:b/>
          <w:bCs/>
          <w:color w:val="auto"/>
        </w:rPr>
        <w:t>2.3</w:t>
      </w:r>
      <w:r w:rsidRPr="004C47E7">
        <w:rPr>
          <w:rFonts w:asciiTheme="minorHAnsi" w:hAnsiTheme="minorHAnsi" w:cstheme="minorHAnsi"/>
          <w:b/>
          <w:bCs/>
          <w:color w:val="auto"/>
        </w:rPr>
        <w:tab/>
        <w:t>Methods</w:t>
      </w:r>
      <w:bookmarkEnd w:id="13"/>
    </w:p>
    <w:p w14:paraId="091DB80C" w14:textId="43EDD41D" w:rsidR="0002342A" w:rsidRPr="004F7CD4" w:rsidRDefault="0002342A" w:rsidP="0002342A">
      <w:pPr>
        <w:pStyle w:val="Heading3"/>
        <w:rPr>
          <w:rFonts w:asciiTheme="minorHAnsi" w:hAnsiTheme="minorHAnsi" w:cstheme="minorHAnsi"/>
          <w:b/>
          <w:bCs/>
          <w:color w:val="auto"/>
        </w:rPr>
      </w:pPr>
      <w:bookmarkStart w:id="14" w:name="_Toc120622103"/>
      <w:r w:rsidRPr="004F7CD4">
        <w:rPr>
          <w:rFonts w:asciiTheme="minorHAnsi" w:hAnsiTheme="minorHAnsi" w:cstheme="minorHAnsi"/>
          <w:b/>
          <w:bCs/>
          <w:color w:val="auto"/>
        </w:rPr>
        <w:t>2.3.1</w:t>
      </w:r>
      <w:r w:rsidRPr="004F7CD4">
        <w:rPr>
          <w:rFonts w:asciiTheme="minorHAnsi" w:hAnsiTheme="minorHAnsi" w:cstheme="minorHAnsi"/>
          <w:b/>
          <w:bCs/>
          <w:color w:val="auto"/>
        </w:rPr>
        <w:tab/>
        <w:t>Study locations</w:t>
      </w:r>
      <w:bookmarkEnd w:id="14"/>
    </w:p>
    <w:p w14:paraId="542A48C6" w14:textId="31226C03" w:rsidR="0002342A" w:rsidRDefault="0002342A" w:rsidP="0002342A">
      <w:pPr>
        <w:spacing w:line="480" w:lineRule="auto"/>
        <w:rPr>
          <w:rFonts w:cstheme="minorHAnsi"/>
        </w:rPr>
      </w:pPr>
      <w:r w:rsidRPr="004C47E7">
        <w:rPr>
          <w:rFonts w:cstheme="minorHAnsi"/>
        </w:rPr>
        <w:t>Three mangrove sites were selected for study on the north-east coast of Qatar (N 25.726251°, E 51.565021°, Fig</w:t>
      </w:r>
      <w:r>
        <w:rPr>
          <w:rFonts w:cstheme="minorHAnsi"/>
        </w:rPr>
        <w:t>ure</w:t>
      </w:r>
      <w:r w:rsidRPr="004C47E7">
        <w:rPr>
          <w:rFonts w:cstheme="minorHAnsi"/>
        </w:rPr>
        <w:t xml:space="preserve"> </w:t>
      </w:r>
      <w:r>
        <w:rPr>
          <w:rFonts w:cstheme="minorHAnsi"/>
        </w:rPr>
        <w:t>2.</w:t>
      </w:r>
      <w:r w:rsidRPr="004C47E7">
        <w:rPr>
          <w:rFonts w:cstheme="minorHAnsi"/>
        </w:rPr>
        <w:t xml:space="preserve">1). Seagrass beds and supra-tidal salt flats, known locally as “sabkha”, fringed the seaward and terrestrial sides of study sites, respectively. Mangrove forests in Qatar and the wider Gulf are monospecific </w:t>
      </w:r>
      <w:proofErr w:type="spellStart"/>
      <w:r w:rsidRPr="004C47E7">
        <w:rPr>
          <w:rFonts w:cstheme="minorHAnsi"/>
          <w:i/>
          <w:iCs/>
        </w:rPr>
        <w:t>Avicennia</w:t>
      </w:r>
      <w:proofErr w:type="spellEnd"/>
      <w:r w:rsidRPr="004C47E7">
        <w:rPr>
          <w:rFonts w:cstheme="minorHAnsi"/>
          <w:i/>
          <w:iCs/>
        </w:rPr>
        <w:t xml:space="preserve"> marina</w:t>
      </w:r>
      <w:r w:rsidRPr="004C47E7">
        <w:rPr>
          <w:rFonts w:cstheme="minorHAnsi"/>
        </w:rPr>
        <w:t xml:space="preserve"> stands. All stands in the country occur along the eastern and northern coasts, with just a few isolated</w:t>
      </w:r>
      <w:r w:rsidRPr="004C47E7">
        <w:rPr>
          <w:rFonts w:cstheme="minorHAnsi"/>
          <w:i/>
          <w:iCs/>
        </w:rPr>
        <w:t xml:space="preserve"> A. marina </w:t>
      </w:r>
      <w:r w:rsidRPr="004C47E7">
        <w:rPr>
          <w:rFonts w:cstheme="minorHAnsi"/>
        </w:rPr>
        <w:t xml:space="preserve">trees on the western coast. Sites around Al Khor and Al </w:t>
      </w:r>
      <w:proofErr w:type="spellStart"/>
      <w:r w:rsidRPr="004C47E7">
        <w:rPr>
          <w:rFonts w:cstheme="minorHAnsi"/>
        </w:rPr>
        <w:t>Dhakhira</w:t>
      </w:r>
      <w:proofErr w:type="spellEnd"/>
      <w:r w:rsidRPr="004C47E7">
        <w:rPr>
          <w:rFonts w:cstheme="minorHAnsi"/>
        </w:rPr>
        <w:t xml:space="preserve"> bays were selected for study as these stands comprise approximately 80% of total mangrove area in Qatar </w:t>
      </w:r>
      <w:r w:rsidRPr="004C47E7">
        <w:rPr>
          <w:rFonts w:cstheme="minorHAnsi"/>
        </w:rPr>
        <w:fldChar w:fldCharType="begin" w:fldLock="1"/>
      </w:r>
      <w:r w:rsidR="008A48C6">
        <w:rPr>
          <w:rFonts w:cstheme="minorHAnsi"/>
        </w:rPr>
        <w:instrText>ADDIN CSL_CITATION {"citationItems":[{"id":"ITEM-1","itemData":{"author":[{"dropping-particle":"","family":"Al-Khayat","given":"JA","non-dropping-particle":"","parse-names":false,"suffix":""},{"dropping-particle":"","family":"Balakrishnan","given":"P","non-dropping-particle":"","parse-names":false,"suffix":""}],"container-title":"International Journal of Sciences","id":"ITEM-1","issue":"5","issued":{"date-parts":[["2014"]]},"page":"18-27","title":"Avicennia Marina around Qatar: Tree, Seedling and Pneumatophore Densities in Natural and Planted Mangroves using Remote Sensing","type":"article-journal","volume":"3"},"uris":["http://www.mendeley.com/documents/?uuid=1419d27f-a5c9-426a-912e-4d460b776a10"]}],"mendeley":{"formattedCitation":"(Al-Khayat and Balakrishnan, 2014)","plainTextFormattedCitation":"(Al-Khayat and Balakrishnan, 2014)","previouslyFormattedCitation":"(Al-Khayat and Balakrishnan, 2014)"},"properties":{"noteIndex":0},"schema":"https://github.com/citation-style-language/schema/raw/master/csl-citation.json"}</w:instrText>
      </w:r>
      <w:r w:rsidRPr="004C47E7">
        <w:rPr>
          <w:rFonts w:cstheme="minorHAnsi"/>
        </w:rPr>
        <w:fldChar w:fldCharType="separate"/>
      </w:r>
      <w:r w:rsidR="008A48C6" w:rsidRPr="008A48C6">
        <w:rPr>
          <w:rFonts w:cstheme="minorHAnsi"/>
          <w:noProof/>
        </w:rPr>
        <w:t>(Al-Khayat and Balakrishnan, 2014)</w:t>
      </w:r>
      <w:r w:rsidRPr="004C47E7">
        <w:rPr>
          <w:rFonts w:cstheme="minorHAnsi"/>
        </w:rPr>
        <w:fldChar w:fldCharType="end"/>
      </w:r>
      <w:r w:rsidRPr="004C47E7">
        <w:rPr>
          <w:rFonts w:cstheme="minorHAnsi"/>
        </w:rPr>
        <w:t xml:space="preserve">. These stands have an aerial extent of ~680 ha and provided a large enough area to study the effects of intertidal elevation throughout the mangroves. The Al Khor site was in the northern part of Al Khor bay and 4 km from Al Khor town. South and West Al </w:t>
      </w:r>
      <w:proofErr w:type="spellStart"/>
      <w:r w:rsidRPr="004C47E7">
        <w:rPr>
          <w:rFonts w:cstheme="minorHAnsi"/>
        </w:rPr>
        <w:t>Dhakhira</w:t>
      </w:r>
      <w:proofErr w:type="spellEnd"/>
      <w:r w:rsidRPr="004C47E7">
        <w:rPr>
          <w:rFonts w:cstheme="minorHAnsi"/>
        </w:rPr>
        <w:t xml:space="preserve"> sites were situated in southern and western portions of Al </w:t>
      </w:r>
      <w:proofErr w:type="spellStart"/>
      <w:r w:rsidRPr="004C47E7">
        <w:rPr>
          <w:rFonts w:cstheme="minorHAnsi"/>
        </w:rPr>
        <w:t>Dhakhira</w:t>
      </w:r>
      <w:proofErr w:type="spellEnd"/>
      <w:r w:rsidRPr="004C47E7">
        <w:rPr>
          <w:rFonts w:cstheme="minorHAnsi"/>
        </w:rPr>
        <w:t xml:space="preserve"> bay respectively and were separated by Al </w:t>
      </w:r>
      <w:proofErr w:type="spellStart"/>
      <w:r w:rsidRPr="004C47E7">
        <w:rPr>
          <w:rFonts w:cstheme="minorHAnsi"/>
        </w:rPr>
        <w:t>Dhakhira</w:t>
      </w:r>
      <w:proofErr w:type="spellEnd"/>
      <w:r w:rsidRPr="004C47E7">
        <w:rPr>
          <w:rFonts w:cstheme="minorHAnsi"/>
        </w:rPr>
        <w:t xml:space="preserve"> town and 3 km of sandy beach.</w:t>
      </w:r>
    </w:p>
    <w:p w14:paraId="7536B868" w14:textId="77777777" w:rsidR="0002342A" w:rsidRDefault="0002342A" w:rsidP="0002342A">
      <w:pPr>
        <w:spacing w:line="480" w:lineRule="auto"/>
        <w:rPr>
          <w:rFonts w:cstheme="minorHAnsi"/>
        </w:rPr>
      </w:pPr>
    </w:p>
    <w:p w14:paraId="4F4D5DE0" w14:textId="77777777" w:rsidR="0002342A" w:rsidRDefault="0002342A" w:rsidP="0002342A">
      <w:pPr>
        <w:spacing w:line="480" w:lineRule="auto"/>
        <w:rPr>
          <w:rFonts w:cstheme="minorHAnsi"/>
          <w:i/>
          <w:iCs/>
        </w:rPr>
      </w:pPr>
      <w:r>
        <w:rPr>
          <w:noProof/>
          <w:lang w:eastAsia="en-GB"/>
        </w:rPr>
        <w:lastRenderedPageBreak/>
        <w:drawing>
          <wp:inline distT="0" distB="0" distL="0" distR="0" wp14:anchorId="09ED4457" wp14:editId="7C0BA2F4">
            <wp:extent cx="5462851" cy="5178669"/>
            <wp:effectExtent l="0" t="0" r="0" b="3175"/>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76308" cy="5191426"/>
                    </a:xfrm>
                    <a:prstGeom prst="rect">
                      <a:avLst/>
                    </a:prstGeom>
                  </pic:spPr>
                </pic:pic>
              </a:graphicData>
            </a:graphic>
          </wp:inline>
        </w:drawing>
      </w:r>
    </w:p>
    <w:p w14:paraId="66172A06" w14:textId="77777777" w:rsidR="0002342A" w:rsidRPr="00B659E2" w:rsidRDefault="0002342A" w:rsidP="0002342A">
      <w:pPr>
        <w:spacing w:line="480" w:lineRule="auto"/>
        <w:rPr>
          <w:b/>
          <w:bCs/>
          <w:sz w:val="18"/>
          <w:szCs w:val="18"/>
        </w:rPr>
      </w:pPr>
      <w:r>
        <w:rPr>
          <w:b/>
          <w:bCs/>
          <w:sz w:val="18"/>
          <w:szCs w:val="18"/>
        </w:rPr>
        <w:t>Figure. 2.1</w:t>
      </w:r>
      <w:r w:rsidRPr="00535022">
        <w:rPr>
          <w:b/>
          <w:bCs/>
          <w:sz w:val="18"/>
          <w:szCs w:val="18"/>
        </w:rPr>
        <w:t xml:space="preserve">: </w:t>
      </w:r>
      <w:r>
        <w:rPr>
          <w:b/>
          <w:bCs/>
          <w:sz w:val="18"/>
          <w:szCs w:val="18"/>
        </w:rPr>
        <w:t>Map of study sites.</w:t>
      </w:r>
    </w:p>
    <w:p w14:paraId="21B4053E" w14:textId="77777777" w:rsidR="0002342A" w:rsidRPr="004C47E7" w:rsidRDefault="0002342A" w:rsidP="0002342A">
      <w:pPr>
        <w:spacing w:line="480" w:lineRule="auto"/>
        <w:rPr>
          <w:rFonts w:cstheme="minorHAnsi"/>
          <w:i/>
          <w:iCs/>
        </w:rPr>
      </w:pPr>
    </w:p>
    <w:p w14:paraId="1239E5EE" w14:textId="0EA08BFA" w:rsidR="0002342A" w:rsidRPr="004F7CD4" w:rsidRDefault="0002342A" w:rsidP="0002342A">
      <w:pPr>
        <w:pStyle w:val="Heading3"/>
        <w:rPr>
          <w:rFonts w:asciiTheme="minorHAnsi" w:hAnsiTheme="minorHAnsi" w:cstheme="minorHAnsi"/>
          <w:b/>
          <w:bCs/>
          <w:color w:val="auto"/>
        </w:rPr>
      </w:pPr>
      <w:bookmarkStart w:id="15" w:name="_Toc120622104"/>
      <w:r w:rsidRPr="004F7CD4">
        <w:rPr>
          <w:rFonts w:asciiTheme="minorHAnsi" w:hAnsiTheme="minorHAnsi" w:cstheme="minorHAnsi"/>
          <w:b/>
          <w:bCs/>
          <w:color w:val="auto"/>
        </w:rPr>
        <w:t>2.3.2</w:t>
      </w:r>
      <w:r w:rsidRPr="004F7CD4">
        <w:rPr>
          <w:rFonts w:asciiTheme="minorHAnsi" w:hAnsiTheme="minorHAnsi" w:cstheme="minorHAnsi"/>
          <w:b/>
          <w:bCs/>
          <w:color w:val="auto"/>
        </w:rPr>
        <w:tab/>
        <w:t>Sampling design</w:t>
      </w:r>
      <w:bookmarkEnd w:id="15"/>
    </w:p>
    <w:p w14:paraId="52369D19" w14:textId="77777777" w:rsidR="0002342A" w:rsidRPr="004C47E7" w:rsidRDefault="0002342A" w:rsidP="0002342A">
      <w:pPr>
        <w:spacing w:line="480" w:lineRule="auto"/>
        <w:rPr>
          <w:rFonts w:cstheme="minorHAnsi"/>
          <w:i/>
          <w:iCs/>
        </w:rPr>
      </w:pPr>
      <w:r w:rsidRPr="004C47E7">
        <w:rPr>
          <w:rFonts w:cstheme="minorHAnsi"/>
        </w:rPr>
        <w:t>Three mangrove sites were each sampled by nine 10m x 10m plots: three plots along the lowest (seaward) and highest (landward) mangrove fringes, respectively, and three plots in the mid-mangrove that were placed at roughly equal distances along a transect running perpendicular to the shoreline (</w:t>
      </w:r>
      <w:r w:rsidRPr="00CA38AE">
        <w:rPr>
          <w:rFonts w:cstheme="minorHAnsi"/>
        </w:rPr>
        <w:t>Figure A1</w:t>
      </w:r>
      <w:r w:rsidRPr="004C47E7">
        <w:rPr>
          <w:rFonts w:cstheme="minorHAnsi"/>
        </w:rPr>
        <w:t>). Transects ranged from 350m to 850m in length and, collectively, plot distribution sampled the effect of the intertidal elevation on productivity, leaving scope for contrasts between the low (n=3), mid (n=3) and high (n=3) mangrove (</w:t>
      </w:r>
      <w:r w:rsidRPr="00CA38AE">
        <w:rPr>
          <w:rFonts w:cstheme="minorHAnsi"/>
        </w:rPr>
        <w:t>Figure A1</w:t>
      </w:r>
      <w:r w:rsidRPr="004C47E7">
        <w:rPr>
          <w:rFonts w:cstheme="minorHAnsi"/>
        </w:rPr>
        <w:t>).</w:t>
      </w:r>
    </w:p>
    <w:p w14:paraId="1435A66B" w14:textId="77777777" w:rsidR="0002342A" w:rsidRPr="004C47E7" w:rsidRDefault="0002342A" w:rsidP="0002342A">
      <w:pPr>
        <w:spacing w:line="480" w:lineRule="auto"/>
        <w:rPr>
          <w:rFonts w:cstheme="minorHAnsi"/>
        </w:rPr>
      </w:pPr>
    </w:p>
    <w:p w14:paraId="693E24A5" w14:textId="5589641D" w:rsidR="0002342A" w:rsidRPr="00F23BDF" w:rsidRDefault="0002342A" w:rsidP="0002342A">
      <w:pPr>
        <w:pStyle w:val="Heading3"/>
        <w:rPr>
          <w:rFonts w:asciiTheme="minorHAnsi" w:hAnsiTheme="minorHAnsi" w:cstheme="minorHAnsi"/>
          <w:b/>
          <w:bCs/>
          <w:color w:val="auto"/>
        </w:rPr>
      </w:pPr>
      <w:bookmarkStart w:id="16" w:name="_Toc120622105"/>
      <w:r w:rsidRPr="00F23BDF">
        <w:rPr>
          <w:rFonts w:asciiTheme="minorHAnsi" w:hAnsiTheme="minorHAnsi" w:cstheme="minorHAnsi"/>
          <w:b/>
          <w:bCs/>
          <w:color w:val="auto"/>
        </w:rPr>
        <w:t>2.3.3</w:t>
      </w:r>
      <w:r w:rsidRPr="00F23BDF">
        <w:rPr>
          <w:rFonts w:asciiTheme="minorHAnsi" w:hAnsiTheme="minorHAnsi" w:cstheme="minorHAnsi"/>
          <w:b/>
          <w:bCs/>
          <w:color w:val="auto"/>
        </w:rPr>
        <w:tab/>
        <w:t>Above and below ground production</w:t>
      </w:r>
      <w:bookmarkEnd w:id="16"/>
    </w:p>
    <w:p w14:paraId="1010BC9D" w14:textId="52A09830" w:rsidR="0002342A" w:rsidRPr="004C47E7" w:rsidRDefault="0002342A" w:rsidP="0002342A">
      <w:pPr>
        <w:spacing w:line="480" w:lineRule="auto"/>
        <w:rPr>
          <w:rFonts w:cstheme="minorHAnsi"/>
        </w:rPr>
      </w:pPr>
      <w:r w:rsidRPr="004C47E7">
        <w:rPr>
          <w:rFonts w:cstheme="minorHAnsi"/>
        </w:rPr>
        <w:t xml:space="preserve">Mangrove tree litterfall, which is a commonly used metric, was sampled as a relative index for above ground mangrove production </w:t>
      </w:r>
      <w:r w:rsidRPr="004C47E7">
        <w:rPr>
          <w:rFonts w:cstheme="minorHAnsi"/>
        </w:rPr>
        <w:fldChar w:fldCharType="begin" w:fldLock="1"/>
      </w:r>
      <w:r w:rsidR="008A48C6">
        <w:rPr>
          <w:rFonts w:cstheme="minorHAnsi"/>
        </w:rPr>
        <w:instrText>ADDIN CSL_CITATION {"citationItems":[{"id":"ITEM-1","itemData":{"DOI":"http://dx.doi.org/10.1016/j.aquabot.2007.12.006","ISBN":"0304-3770","abstract":"We review 72 published articles to elucidate characteristics of biomass allocation and productivity of mangrove forests and also introduce recent progress on the study of mangrove allometry to solve the site- and species-specific problems. This includes the testing of a common allometric equation, which may be applicable to mangroves worldwide. The biomass of mangrove forests varies with age, dominant species, and locality. In primary mangrove forests, the above-ground biomass tends to be relatively low near the sea and increases inland. On a global scale, mangrove forests in the tropics have much higher above-ground biomass than those in temperate areas. Mangroves often accumulate large amounts of biomass in their roots, and the above-ground biomass to below-ground biomass ratio of mangrove forests is significantly low compared to that of upland forests (ANCOVA, PP","author":[{"dropping-particle":"","family":"Komiyama","given":"A","non-dropping-particle":"","parse-names":false,"suffix":""},{"dropping-particle":"","family":"Ong","given":"JinEong","non-dropping-particle":"","parse-names":false,"suffix":""},{"dropping-particle":"","family":"Poungparn","given":"S","non-dropping-particle":"","parse-names":false,"suffix":""}],"container-title":"Aquatic Botany","id":"ITEM-1","issue":"2","issued":{"date-parts":[["2008"]]},"page":"128-137","title":"Allometry, biomass, and productivity of mangrove forests: a review. (Special Issue: Mangrove ecology - applications in forestry and coastal zone management.)","type":"article-journal","volume":"89"},"uris":["http://www.mendeley.com/documents/?uuid=54fb0cea-dac1-34bc-bc8a-04908838b429"]},{"id":"ITEM-2","itemData":{"author":[{"dropping-particle":"","family":"Alongi","given":"D.M","non-dropping-particle":"","parse-names":false,"suffix":""},{"dropping-particle":"","family":"Dixon","given":"P","non-dropping-particle":"","parse-names":false,"suffix":""}],"container-title":"Phuk","id":"ITEM-2","issue":"3","issued":{"date-parts":[["2000"]]},"page":"31-38","title":"Mangrove primary production and above-and belowground biomass in Sawi Bay, Southern Thailand","type":"article-journal","volume":"38"},"uris":["http://www.mendeley.com/documents/?uuid=37253b83-d098-4204-bc62-beb01776f23d"]},{"id":"ITEM-3","itemData":{"DOI":"10.1007/s11273-012-9249-3","ISSN":"09234861","abstract":"From 1996 to 2002, we measured litterfall, standing litter crop, and litter turnover rates in scrub, basin, fringe and riverine forests in two contrasting mangrove ecosystems: a carbonate-dominated system in the Southeastern Everglades and a terrigenous-dominated system in Laguna de Terminos (LT), Mexico. We hypothesized that litter dynamics is driven by latitude, geomorphology, hydrology, soil fertility and soil salinity stress. There were significant temporal patterns in LT with litterfall rates higher during the rainy season (2.4 g m-2 day-1) than during the dry season (1.8 g m-2 day-1). Total annual litterfall was significantly higher in the riverine forest (12.8 Mg ha-2 year-1) than in the fringe and basin forests (9.7 and 5.2 Mg ha-2 year-1, respectively). In Southeastern Everglades, total annual litterfall was also significantly higher during the rainy season than during the dry season. Spatially, the scrub forest had the lowest annual litterfall (2.5 Mg ha-2 year-1), while the fringe and basin had the highest (9.1 and 6.5 Mg ha-2 year-1, respectively). In LT, annual standing litter crop was 3.3 Mg ha-1 in the fringe and 2.2 Mg ha-1 in the basin. Litter turnover rates were significantly higher in the fringe mangrove forest (4.1 year-1) relative to the basin forests (2.2 year-1). At Southeastern Everglades there were significant differences in annual standing litter crop: 1.9, 3.3 and 4.5 Mg ha-1 at scrub, basin and fringe mangrove sites, respectively. Furthermore, turnover rates were similar at both basin and fringe mangrove types (2.1 and 2.0 year-1, respectively) but significantly higher than scrub mangrove forest (1.3 year-1). These findings suggest that litter export is important in regulating litter turnover rates in frequently flooded riverine and fringe forests, while in infrequently flooded basin forests, in situ litter decomposition controls litter turnover rates. © 2012 Springer Science+Business Media B.V.","author":[{"dropping-particle":"","family":"Coronado-Molina","given":"Carlos","non-dropping-particle":"","parse-names":false,"suffix":""},{"dropping-particle":"","family":"Alvarez-Guillen","given":"H.","non-dropping-particle":"","parse-names":false,"suffix":""},{"dropping-particle":"","family":"Day","given":"J. W.","non-dropping-particle":"","parse-names":false,"suffix":""},{"dropping-particle":"","family":"Reyes","given":"E.","non-dropping-particle":"","parse-names":false,"suffix":""},{"dropping-particle":"","family":"Perez","given":"B. C.","non-dropping-particle":"","parse-names":false,"suffix":""},{"dropping-particle":"","family":"Vera-Herrera","given":"F.","non-dropping-particle":"","parse-names":false,"suffix":""},{"dropping-particle":"","family":"Twilley","given":"R.","non-dropping-particle":"","parse-names":false,"suffix":""}],"container-title":"Wetlands Ecology and Management","id":"ITEM-3","issue":"2","issued":{"date-parts":[["2012"]]},"page":"123-136","title":"Litterfall dynamics in carbonate and deltaic mangrove ecosystems in the Gulf of Mexico","type":"article-journal","volume":"20"},"uris":["http://www.mendeley.com/documents/?uuid=29581208-eed5-4f00-a268-5420a41f3686"]},{"id":"ITEM-4","itemData":{"DOI":"https://doi.org/10.1016/j.ecss.2010.07.005","abstract":"This study shows results on litterfall dynamics and decay in mangrove stands of Avicennia germinans distributed along a latitudinal gradient (three forest sites) in the Gulf of California, in order to assess whether internal sources could support the observed mangrove ecosystem organic deficit in this arid tropic. Total mean annual litterfall production increased southward (712.6 \u0001 53.3, 1501.3 \u0001 145.1 and 1506.2 \u0001 280.5 g DW m2 y1 , in the Yaqui, Mayo and Fuerte areas respectively), leaves being the main component of litter in all locations during the entire year, followed by fruits. The wet season (JuneeSeptember) showed the highest litterfall rates through fruits. The temporal trend of litterfall production was significantly explained through mean air temperature (R2 ¼ 68%) whilst total annual litter production in the entire region showed a statistically significant relationship with total soil phosphorus, salinity, total nitrogen, organic matter and tree height (R2 ¼ 0.67). Throughout 117 days of the decomposition experiment, the litter lost 50% of its original dry weight in 5.8 days (average decay rate of 0.032 \u0001 0.04 g DW d1 ) and there were not significant differences in the remaining mass after 6 days. The percentage of both C and P released from the litter correlated significantly with the ratio of tidal inundated days to total experiment days (R2 ¼ 0.62, p ¼ 0.03 and R2 ¼ 0.67, p ¼ 0.02, respectively); however, the frequency of tidal inundation only showed a significant increase in C release from Avicennia litter after 6 and above 48 days of decomposition. Whereas the total C content of litter bags decreased linearly over the decomposition to (% Total C ¼ 5.52 0.46 days, R2 ¼ 0.81, p ¼ 0.0005), N content displayed an irregular pattern with a significant increase of decay between 48 and 76 days from the beginning of the experiment. The pattern for relative P content of litter revealed reductions of up to 99% of the original (%tot-P ¼ 9.77 to 1.004 days, R2 ¼ 0.72, p ¼ 0.01) although most of the P reduction occurred between 17 and 34 days after the experiment started . Soil N and P contents, which exhibited significant differences in the course of the decomposition experiment, appeared to show significant differences between sampling sites, although they were not related to tidal influence, nor by leaf and nutrient leaching. In a global basis, C/N litter ratios decreased linearly (C/N ¼ 32.86 0.1006 days, R2 ¼ 0.62, p ¼ 0.02), showing a strong a…","author":[{"dropping-particle":"","family":"Sanchez-Andres","given":"R","non-dropping-particle":"","parse-names":false,"suffix":""},{"dropping-particle":"","family":"Sanchez-Carillo","given":"S","non-dropping-particle":"","parse-names":false,"suffix":""},{"dropping-particle":"","family":"Alatorre","given":"LC","non-dropping-particle":"","parse-names":false,"suffix":""},{"dropping-particle":"","family":"Cirujano","given":"S","non-dropping-particle":"","parse-names":false,"suffix":""},{"dropping-particle":"","family":"Alvarez-Cobelas","given":"M","non-dropping-particle":"","parse-names":false,"suffix":""}],"container-title":"Estuarine, Coastal and Shelf Science","id":"ITEM-4","issued":{"date-parts":[["2010"]]},"page":"191-199","title":"Litterfall dynamics and nutrient decomposition of arid mangroves in the Gulf of California: Their role sustaining ecosystem heterotrophy","type":"article-journal","volume":"89"},"uris":["http://www.mendeley.com/documents/?uuid=c89f8be9-5749-4404-8298-f8bcc50c42dd"]}],"mendeley":{"formattedCitation":"(Alongi and Dixon, 2000; Coronado-Molina et al., 2012; Komiyama et al., 2008; Sanchez-Andres et al., 2010)","plainTextFormattedCitation":"(Alongi and Dixon, 2000; Coronado-Molina et al., 2012; Komiyama et al., 2008; Sanchez-Andres et al., 2010)","previouslyFormattedCitation":"(Alongi and Dixon, 2000; Coronado-Molina et al., 2012; Komiyama et al., 2008; Sanchez-Andres et al., 2010)"},"properties":{"noteIndex":0},"schema":"https://github.com/citation-style-language/schema/raw/master/csl-citation.json"}</w:instrText>
      </w:r>
      <w:r w:rsidRPr="004C47E7">
        <w:rPr>
          <w:rFonts w:cstheme="minorHAnsi"/>
        </w:rPr>
        <w:fldChar w:fldCharType="separate"/>
      </w:r>
      <w:r w:rsidR="008A48C6" w:rsidRPr="008A48C6">
        <w:rPr>
          <w:rFonts w:cstheme="minorHAnsi"/>
          <w:noProof/>
        </w:rPr>
        <w:t>(Alongi and Dixon, 2000; Coronado-Molina et al., 2012; Komiyama et al., 2008; Sanchez-Andres et al., 2010)</w:t>
      </w:r>
      <w:r w:rsidRPr="004C47E7">
        <w:rPr>
          <w:rFonts w:cstheme="minorHAnsi"/>
        </w:rPr>
        <w:fldChar w:fldCharType="end"/>
      </w:r>
      <w:r w:rsidRPr="004C47E7">
        <w:rPr>
          <w:rFonts w:cstheme="minorHAnsi"/>
        </w:rPr>
        <w:t>. In the forests, 0.25m</w:t>
      </w:r>
      <w:r w:rsidRPr="004C47E7">
        <w:rPr>
          <w:rFonts w:cstheme="minorHAnsi"/>
          <w:vertAlign w:val="superscript"/>
        </w:rPr>
        <w:t xml:space="preserve">2 </w:t>
      </w:r>
      <w:r w:rsidRPr="004C47E7">
        <w:rPr>
          <w:rFonts w:cstheme="minorHAnsi"/>
        </w:rPr>
        <w:t xml:space="preserve">nets were hung below the leaf canopy and above the highest tidal level, in the central-most tree of each plot. Leaf litter from each net was collected once a month for 12 months. Apical tip growth of the same trees was also measured to quantify change over time in the length of five marked shoot tips through measuring shoot length every three months over a 24-month period </w:t>
      </w:r>
      <w:r w:rsidRPr="004C47E7">
        <w:rPr>
          <w:rFonts w:cstheme="minorHAnsi"/>
        </w:rPr>
        <w:fldChar w:fldCharType="begin" w:fldLock="1"/>
      </w:r>
      <w:r w:rsidR="008A48C6">
        <w:rPr>
          <w:rFonts w:cstheme="minorHAnsi"/>
        </w:rPr>
        <w:instrText>ADDIN CSL_CITATION {"citationItems":[{"id":"ITEM-1","itemData":{"DOI":"10.1007/s00442-002-1117-z","ISBN":"1443482226","ISSN":"00298549","PMID":"12647149","abstract":"The objectives of this study were to determine effects of nutrient enrichment on plant growth, nutrient dynamics, and photosynthesis in a disturbed mangrove forest in an abandoned mosquito impoundment in Florida. Impounding altered the hydrology and soil chemistry of the site. In 1997, we established a factorial experiment along a tree-height gradient with three zones, i.e., fringe, transition, dwarf, and three fertilizer treatment levels, i.e., nitrogen (N), phosphorus (P), control, in Mosquito Impoundment 23 on the eastern side of Indian River. Transects traversed the forest perpendicular to the shore-line, from a Rhizophora mangle-dominated fringe through an Avicennia germinans stand of intermediate height, and into a scrub or dwarf stand of A. germinans in the hinterland. Growth rates increased significantly in re-sponse to N fertilization. Our growth data indicated that this site is N-limited along the tree-height gradient. After 2 years of N addition, dwarf trees resembled vigorously growing saplings. Addition of N also affected internal dynamics of N and P and caused increases in rates of photosynthesis. These findings contrast with results for a R. mangle-dominated forest in Belize where the fringe is N-limited, but the dwarf zone is P-limited and the transition zone is co-limited by N and P. This study demonstrated that patterns of nutrient limitation in mangrove ecosystems are complex, that not all processes respond similarly to the same nutrient, and that similar habitats are not limited by the same nutrient when different mangrove forests are compared.","author":[{"dropping-particle":"","family":"Feller","given":"Ilka C.","non-dropping-particle":"","parse-names":false,"suffix":""},{"dropping-particle":"","family":"Whigham","given":"Dennis F.","non-dropping-particle":"","parse-names":false,"suffix":""},{"dropping-particle":"","family":"McKee","given":"Karen L.","non-dropping-particle":"","parse-names":false,"suffix":""},{"dropping-particle":"","family":"Lovelock","given":"Catherine E.","non-dropping-particle":"","parse-names":false,"suffix":""}],"container-title":"Oecologia","id":"ITEM-1","issue":"3","issued":{"date-parts":[["2003","2","8"]]},"page":"405-414","title":"Nitrogen limitation of growth and nutrient dynamics in a disturbed mangrove forest, Indian River Lagoon, Florida","type":"article-journal","volume":"134"},"uris":["http://www.mendeley.com/documents/?uuid=18d8a9cf-ffee-3acf-86ac-07886bd11c62"]}],"mendeley":{"formattedCitation":"(Feller et al., 2003)","plainTextFormattedCitation":"(Feller et al., 2003)","previouslyFormattedCitation":"(Feller et al., 2003)"},"properties":{"noteIndex":0},"schema":"https://github.com/citation-style-language/schema/raw/master/csl-citation.json"}</w:instrText>
      </w:r>
      <w:r w:rsidRPr="004C47E7">
        <w:rPr>
          <w:rFonts w:cstheme="minorHAnsi"/>
        </w:rPr>
        <w:fldChar w:fldCharType="separate"/>
      </w:r>
      <w:r w:rsidR="008A48C6" w:rsidRPr="008A48C6">
        <w:rPr>
          <w:rFonts w:cstheme="minorHAnsi"/>
          <w:noProof/>
        </w:rPr>
        <w:t>(Feller et al., 2003)</w:t>
      </w:r>
      <w:r w:rsidRPr="004C47E7">
        <w:rPr>
          <w:rFonts w:cstheme="minorHAnsi"/>
        </w:rPr>
        <w:fldChar w:fldCharType="end"/>
      </w:r>
      <w:r w:rsidRPr="004C47E7">
        <w:rPr>
          <w:rFonts w:cstheme="minorHAnsi"/>
        </w:rPr>
        <w:t xml:space="preserve">. To estimate below ground production, root growth was measured using implanted mesh bags in the soil, at the base of the same trees where leaf litter nets had been deployed </w:t>
      </w:r>
      <w:r w:rsidRPr="004C47E7">
        <w:rPr>
          <w:rFonts w:cstheme="minorHAnsi"/>
        </w:rPr>
        <w:fldChar w:fldCharType="begin" w:fldLock="1"/>
      </w:r>
      <w:r w:rsidR="008A48C6">
        <w:rPr>
          <w:rFonts w:cstheme="minorHAnsi"/>
        </w:rPr>
        <w:instrText>ADDIN CSL_CITATION {"citationItems":[{"id":"ITEM-1","itemData":{"abstract":"Studies in belowground dynamics are limited mainly due to the difficulty of studying roots despite wide recognition of its importance. This dissertation focused on methods for analyzing mangrove roots, root responses to phosphorus and flooding, and variation in root production between forest types. Techniques to separate live and dead roots such as colorimetric, fluorescence, buoyancy, and visual assessment were compared. The traditional method of visual assessment combined with root buoyancy was accurate, fast, and applicable to larger samples. Additionally, techniques such as rhizotrons, root ingrowth cores, and root image analysis were useful to study mangrove roots. Root and litter production, and hydro-edaphic conditions were determined seasonally for one year at eight sites (fringe, basin, and scrub forest types) in Southwest Florida. Root production was equal or greater than litter production showing spatial variation, especially in biomass allocation. Correlations with soil variables indicated that above and belowground processes respond differently to environmental conditions. The combined root+litter production was a good predictor of flooding and nutrient stress. Mangrove root production and morphology responded to nutrient enrichment (additions of nitrogen or phosphorus) depending upon forest type and stress factors interacting with resource acquisition. Root production increased with low nutrient availability and high flooding, and decreased with high salinity and nutrient availability. Nutrient enrichment increased the specific root length and surface area at the basin-monospecific site, and decreased the specific surface area at the scrub forest. Greenhouse experiments were conducted to study root dynamics of Rhizophora mangle and Avicennia germinans seedlings in response to phosphorus availability and flooding regimes. Mangrove species differed in their tolerance of flooding, and their plasticity to nutrients availability. The more flood tolerant species, R. mangle, was slower growing. The faster- growing species, A. germinans, exhibited limitations to flooding and changes in root morphology that altered the surface area for absorption of nutrients. These results indicate a trade-off between root strategies to tolerate flooding and to acquire nutrients. This study contributes to a better understanding of how mangrove ecosystems function. Additional work in other geographic areas and sedimentary settings is needed to provide a broader per…","author":[{"dropping-particle":"","family":"Sánchez","given":"B.G.","non-dropping-particle":"","parse-names":false,"suffix":""}],"container-title":"Dissertation","id":"ITEM-1","issued":{"date-parts":[["2005","1","1"]]},"title":"Belowground Productivity of Mangrove Forests in Southwest Florida Department of Oceanography and Coastal Sciences","type":"article-journal"},"uris":["http://www.mendeley.com/documents/?uuid=61ecadad-6fd3-33f7-99ae-5037778fb404"]}],"mendeley":{"formattedCitation":"(Sánchez, 2005)","plainTextFormattedCitation":"(Sánchez, 2005)","previouslyFormattedCitation":"(Sánchez, 2005)"},"properties":{"noteIndex":0},"schema":"https://github.com/citation-style-language/schema/raw/master/csl-citation.json"}</w:instrText>
      </w:r>
      <w:r w:rsidRPr="004C47E7">
        <w:rPr>
          <w:rFonts w:cstheme="minorHAnsi"/>
        </w:rPr>
        <w:fldChar w:fldCharType="separate"/>
      </w:r>
      <w:r w:rsidR="008A48C6" w:rsidRPr="008A48C6">
        <w:rPr>
          <w:rFonts w:cstheme="minorHAnsi"/>
          <w:noProof/>
        </w:rPr>
        <w:t>(Sánchez, 2005)</w:t>
      </w:r>
      <w:r w:rsidRPr="004C47E7">
        <w:rPr>
          <w:rFonts w:cstheme="minorHAnsi"/>
        </w:rPr>
        <w:fldChar w:fldCharType="end"/>
      </w:r>
      <w:r w:rsidRPr="004C47E7">
        <w:rPr>
          <w:rFonts w:cstheme="minorHAnsi"/>
        </w:rPr>
        <w:t>. Root bags were a 3mm nylon mesh bag (30 cm long and 5.5 cm diameter) filled with root free mangrove soil and buried in the mangrove sediment approximately 1m from the stem of the tree. Roots were allowed to grow into the bag over a period of two years before root bags were retrieved. In the laboratory, leaf litter was sorted into somatic (leaves, stipules and stems) and reproductive (flowers and seeds) material. Somatic and reproductive components were oven dried to a constant weight at 60</w:t>
      </w:r>
      <w:r w:rsidRPr="004C47E7">
        <w:rPr>
          <w:rFonts w:cstheme="minorHAnsi"/>
          <w:vertAlign w:val="superscript"/>
        </w:rPr>
        <w:t>o</w:t>
      </w:r>
      <w:r w:rsidRPr="004C47E7">
        <w:rPr>
          <w:rFonts w:cstheme="minorHAnsi"/>
        </w:rPr>
        <w:t xml:space="preserve">C and weighed to obtain dry weight biomass </w:t>
      </w:r>
      <w:r w:rsidRPr="004C47E7">
        <w:rPr>
          <w:rFonts w:cstheme="minorHAnsi"/>
        </w:rPr>
        <w:fldChar w:fldCharType="begin" w:fldLock="1"/>
      </w:r>
      <w:r w:rsidR="008A48C6">
        <w:rPr>
          <w:rFonts w:cstheme="minorHAnsi"/>
        </w:rPr>
        <w:instrText>ADDIN CSL_CITATION {"citationItems":[{"id":"ITEM-1","itemData":{"DOI":"10.1016/j.marenvres.2007.04.007","ISSN":"01411136","PMID":"17599404","abstract":"Distribution, dynamics and mass budget of phosphorus and nitrogen in a red mangrove forest were studied in the Potengi mangrove forest in northern Brazil (lat. 5°42′ and 5°53′ S, long. 35°5′ and 35°25′ W). Tidal hydrology, net primary productivity, leaf litter decomposition rate and standing stock of leaf litter in a red mangrove forest were measured. The results showed that the main reservoir for total P and total N was the sediment with 309 kg ha-1 and 4619 kg ha-1 (77% and 95% of the total P and N content in the mangrove forest), respectively, for the two elements. Total P and total N in Rhizophora mangle trees accounted for 145 ± 14 kg ha-1 and 216 ± 23 kg ha-1 (23% and 5% of the total P and N in the mangrove forest). The estimated average export rates for P and N through leaf litter are 0.5 kg ha-1 yr-1 and 1.6 kg ha-1 yr-1 respectively. Our measurements support previous results in concluding that mangrove forests efficiently retain P and N. © 2007 Elsevier Ltd. All rights reserved.","author":[{"dropping-particle":"","family":"Silva","given":"RE","non-dropping-particle":"","parse-names":false,"suffix":""},{"dropping-particle":"","family":"Carlos","given":"A","non-dropping-particle":"","parse-names":false,"suffix":""},{"dropping-particle":"","family":"Oliveira","given":"Sérgio R.","non-dropping-particle":"","parse-names":false,"suffix":""},{"dropping-particle":"","family":"Rêgo","given":"Ronaldo D.P.","non-dropping-particle":"","parse-names":false,"suffix":""},{"dropping-particle":"","family":"Mozeto","given":"Antonio A.","non-dropping-particle":"","parse-names":false,"suffix":""}],"container-title":"Marine Environmental Research","id":"ITEM-1","issue":"4","issued":{"date-parts":[["2007"]]},"page":"524-534","title":"Dynamics of phosphorus and nitrogen through litter fall and decomposition in a tropical mangrove forest","type":"article-journal","volume":"64"},"uris":["http://www.mendeley.com/documents/?uuid=d2fa14b6-e99c-49f3-b7b8-6127a7fa891d"]}],"mendeley":{"formattedCitation":"(Silva et al., 2007)","plainTextFormattedCitation":"(Silva et al., 2007)","previouslyFormattedCitation":"(Silva et al., 2007)"},"properties":{"noteIndex":0},"schema":"https://github.com/citation-style-language/schema/raw/master/csl-citation.json"}</w:instrText>
      </w:r>
      <w:r w:rsidRPr="004C47E7">
        <w:rPr>
          <w:rFonts w:cstheme="minorHAnsi"/>
        </w:rPr>
        <w:fldChar w:fldCharType="separate"/>
      </w:r>
      <w:r w:rsidR="008A48C6" w:rsidRPr="008A48C6">
        <w:rPr>
          <w:rFonts w:cstheme="minorHAnsi"/>
          <w:noProof/>
        </w:rPr>
        <w:t>(Silva et al., 2007)</w:t>
      </w:r>
      <w:r w:rsidRPr="004C47E7">
        <w:rPr>
          <w:rFonts w:cstheme="minorHAnsi"/>
        </w:rPr>
        <w:fldChar w:fldCharType="end"/>
      </w:r>
      <w:r w:rsidRPr="004C47E7">
        <w:rPr>
          <w:rFonts w:cstheme="minorHAnsi"/>
        </w:rPr>
        <w:t xml:space="preserve">. Root material was washed and sieved to separate soil from roots </w:t>
      </w:r>
      <w:r w:rsidRPr="004C47E7">
        <w:rPr>
          <w:rFonts w:cstheme="minorHAnsi"/>
        </w:rPr>
        <w:fldChar w:fldCharType="begin" w:fldLock="1"/>
      </w:r>
      <w:r w:rsidR="008A48C6">
        <w:rPr>
          <w:rFonts w:cstheme="minorHAnsi"/>
        </w:rPr>
        <w:instrText>ADDIN CSL_CITATION {"citationItems":[{"id":"ITEM-1","itemData":{"DOI":"10.1007/s13157-014-0514-5","ISBN":"1315701405","ISSN":"19436246","PMID":"25246403","abstract":"Root production influences a range of belowground processes, such as soil accretion, carbon sequestration and nutrient acquisition. Here, we measured biomass and root production of mangroves surrounding a karstic oligotrophic lagoon that spans a nutrient and salinity gradient. We also measured forest structure and soil physicochemical conditions (salinity, bulk density, carbon, nitrogen (N) and phosphorus (P)) in order to determine factors associated with root production. We tested the following hypotheses: 1) root biomass and production increase at low soil P and N in order to maximize resource utilization, and 2) root biomass and production increase with high interstitial salinity. Root biomass (947-3,040 g m(-2)) and production (0.46-1.85 g m(-2) day(-1)) increased where soil P and interstitial salinity were relatively high. Thus, we rejected the first hypothesis and confirmed the second. The larger root fraction (5-20 mm) was the major contributor to root biomass and production. Our findings suggest that root production and thus capacity for belowground carbon storage in karstic regions, where P is often limiting, is greater where interstitial salinity and P are higher. This contrasts with past assessments indicating that P-deficiency stimulates root growth, suggesting wide variation in belowground responses in mangroves.","author":[{"dropping-particle":"","family":"Adame","given":"Maria Fernanda","non-dropping-particle":"","parse-names":false,"suffix":""},{"dropping-particle":"","family":"Teutli","given":"Claudia","non-dropping-particle":"","parse-names":false,"suffix":""},{"dropping-particle":"","family":"Santini","given":"Nadia S.","non-dropping-particle":"","parse-names":false,"suffix":""},{"dropping-particle":"","family":"Caamal","given":"Juan P.","non-dropping-particle":"","parse-names":false,"suffix":""},{"dropping-particle":"","family":"Zaldívar-Jiménez","given":"Arturo","non-dropping-particle":"","parse-names":false,"suffix":""},{"dropping-particle":"","family":"Herńndez","given":"Raquel","non-dropping-particle":"","parse-names":false,"suffix":""},{"dropping-particle":"","family":"Herrera-Silveira","given":"Jorge A.","non-dropping-particle":"","parse-names":false,"suffix":""}],"container-title":"Wetlands","id":"ITEM-1","issue":"3","issued":{"date-parts":[["2014"]]},"page":"479-488","title":"Root biomass and production of mangroves surrounding a karstic oligotrophic coastal lagoon","type":"article-journal","volume":"34"},"uris":["http://www.mendeley.com/documents/?uuid=c7b053c9-03df-38c0-914f-8ed1c580b549"]},{"id":"ITEM-2","itemData":{"DOI":"10.1073/pnas.1519774113","ISBN":"0027-8424","ISSN":"0027-8424","PMID":"27035950","abstract":"Given their relatively small area, mangroves and their organic sediments are of disproportionate importance to global carbon sequestration and carbon storage. Peat deposition and preservation allows some mangroves to accrete vertically and keep pace with sea-level rise by growing on their own root remains. In this study we show that mangroves in desert inlets in the coasts of the Baja California have been accumulating root peat for nearly 2,000 y and harbor a belowground carbon content of 900-34,00 Mg C/ha, with an average value of 1,130 (± 128) Mg C/ha, and a belowground carbon accumulation similar to that found under some of the tallest tropical mangroves in the Mexican Pacific coast. The depth-age curve for the mangrove sediments of Baja California indicates that sea level in the peninsula has been rising at a mean rate of 0.70 mm/y (± 0.07) during the last 17 centuries, a value similar to the rates of sea-level rise estimated for the Caribbean during a comparable period. By accreting on their own accumulated peat, these desert mangroves store large amounts of carbon in their sediments. We estimate that mangroves and halophyte scrubs in Mexico's arid northwest, with less than 1% of the terrestrial area, store in their belowground sediments around 28% of the total belowground carbon pool of the whole region.","author":[{"dropping-particle":"","family":"Ezcurra","given":"Paula","non-dropping-particle":"","parse-names":false,"suffix":""},{"dropping-particle":"","family":"Ezcurra","given":"Exequiel","non-dropping-particle":"","parse-names":false,"suffix":""},{"dropping-particle":"","family":"Garcillán","given":"Pedro P","non-dropping-particle":"","parse-names":false,"suffix":""},{"dropping-particle":"","family":"Costa","given":"Matthew T","non-dropping-particle":"","parse-names":false,"suffix":""},{"dropping-particle":"","family":"Aburto-Oropeza","given":"Octavio","non-dropping-particle":"","parse-names":false,"suffix":""}],"container-title":"Proceedings of the National Academy of Sciences","id":"ITEM-2","issue":"16","issued":{"date-parts":[["2016","4","19"]]},"page":"4404-4409","publisher":"National Academy of Sciences","title":"Coastal landforms and accumulation of mangrove peat increase carbon sequestration and storage","type":"article-journal","volume":"113"},"uris":["http://www.mendeley.com/documents/?uuid=9c7cf961-d14c-37bd-be1d-ac6c656367ca"]}],"mendeley":{"formattedCitation":"(Adame et al., 2014; Ezcurra et al., 2016)","plainTextFormattedCitation":"(Adame et al., 2014; Ezcurra et al., 2016)","previouslyFormattedCitation":"(Adame et al., 2014; Ezcurra et al., 2016)"},"properties":{"noteIndex":0},"schema":"https://github.com/citation-style-language/schema/raw/master/csl-citation.json"}</w:instrText>
      </w:r>
      <w:r w:rsidRPr="004C47E7">
        <w:rPr>
          <w:rFonts w:cstheme="minorHAnsi"/>
        </w:rPr>
        <w:fldChar w:fldCharType="separate"/>
      </w:r>
      <w:r w:rsidR="008A48C6" w:rsidRPr="008A48C6">
        <w:rPr>
          <w:rFonts w:cstheme="minorHAnsi"/>
          <w:noProof/>
        </w:rPr>
        <w:t>(Adame et al., 2014; Ezcurra et al., 2016)</w:t>
      </w:r>
      <w:r w:rsidRPr="004C47E7">
        <w:rPr>
          <w:rFonts w:cstheme="minorHAnsi"/>
        </w:rPr>
        <w:fldChar w:fldCharType="end"/>
      </w:r>
      <w:r w:rsidRPr="004C47E7">
        <w:rPr>
          <w:rFonts w:cstheme="minorHAnsi"/>
        </w:rPr>
        <w:t>. Separated roots were dried to constant weight at 60</w:t>
      </w:r>
      <w:r w:rsidRPr="004C47E7">
        <w:rPr>
          <w:rFonts w:cstheme="minorHAnsi"/>
          <w:vertAlign w:val="superscript"/>
        </w:rPr>
        <w:t>o</w:t>
      </w:r>
      <w:r w:rsidRPr="004C47E7">
        <w:rPr>
          <w:rFonts w:cstheme="minorHAnsi"/>
        </w:rPr>
        <w:t>C and then weighed to obtain dry weight biomass.</w:t>
      </w:r>
    </w:p>
    <w:p w14:paraId="6D209160" w14:textId="77777777" w:rsidR="0002342A" w:rsidRPr="004C47E7" w:rsidRDefault="0002342A" w:rsidP="0002342A">
      <w:pPr>
        <w:spacing w:line="480" w:lineRule="auto"/>
        <w:rPr>
          <w:rFonts w:cstheme="minorHAnsi"/>
        </w:rPr>
      </w:pPr>
    </w:p>
    <w:p w14:paraId="1575EE83" w14:textId="39351B4A" w:rsidR="0002342A" w:rsidRPr="00AE1949" w:rsidRDefault="0002342A" w:rsidP="0002342A">
      <w:pPr>
        <w:pStyle w:val="Heading3"/>
        <w:rPr>
          <w:rFonts w:asciiTheme="minorHAnsi" w:hAnsiTheme="minorHAnsi" w:cstheme="minorHAnsi"/>
          <w:b/>
          <w:bCs/>
          <w:color w:val="auto"/>
        </w:rPr>
      </w:pPr>
      <w:bookmarkStart w:id="17" w:name="_Toc120622106"/>
      <w:r w:rsidRPr="00AE1949">
        <w:rPr>
          <w:rFonts w:asciiTheme="minorHAnsi" w:hAnsiTheme="minorHAnsi" w:cstheme="minorHAnsi"/>
          <w:b/>
          <w:bCs/>
          <w:color w:val="auto"/>
        </w:rPr>
        <w:t>2.3.4</w:t>
      </w:r>
      <w:r w:rsidRPr="00AE1949">
        <w:rPr>
          <w:rFonts w:asciiTheme="minorHAnsi" w:hAnsiTheme="minorHAnsi" w:cstheme="minorHAnsi"/>
          <w:b/>
          <w:bCs/>
          <w:color w:val="auto"/>
        </w:rPr>
        <w:tab/>
        <w:t>Soil respiration</w:t>
      </w:r>
      <w:bookmarkEnd w:id="17"/>
    </w:p>
    <w:p w14:paraId="684BDAF3" w14:textId="7AC641F1" w:rsidR="0002342A" w:rsidRPr="004C47E7" w:rsidRDefault="0002342A" w:rsidP="0002342A">
      <w:pPr>
        <w:spacing w:line="480" w:lineRule="auto"/>
        <w:jc w:val="both"/>
        <w:rPr>
          <w:rFonts w:cstheme="minorHAnsi"/>
        </w:rPr>
      </w:pPr>
      <w:r w:rsidRPr="004C47E7">
        <w:rPr>
          <w:rFonts w:cstheme="minorHAnsi"/>
        </w:rPr>
        <w:t xml:space="preserve">Measurements of benthic respiration were taken </w:t>
      </w:r>
      <w:r w:rsidRPr="004C47E7">
        <w:rPr>
          <w:rFonts w:cstheme="minorHAnsi"/>
          <w:i/>
          <w:iCs/>
        </w:rPr>
        <w:t>in situ</w:t>
      </w:r>
      <w:r w:rsidRPr="004C47E7">
        <w:rPr>
          <w:rFonts w:cstheme="minorHAnsi"/>
        </w:rPr>
        <w:t xml:space="preserve"> at low tide using a respiration chamber (PP Systems, TPS-2-CO</w:t>
      </w:r>
      <w:r w:rsidRPr="004C47E7">
        <w:rPr>
          <w:rFonts w:cstheme="minorHAnsi"/>
          <w:vertAlign w:val="subscript"/>
        </w:rPr>
        <w:t>2</w:t>
      </w:r>
      <w:r w:rsidRPr="004C47E7">
        <w:rPr>
          <w:rFonts w:cstheme="minorHAnsi"/>
        </w:rPr>
        <w:t>/H</w:t>
      </w:r>
      <w:r w:rsidRPr="004C47E7">
        <w:rPr>
          <w:rFonts w:cstheme="minorHAnsi"/>
          <w:vertAlign w:val="subscript"/>
        </w:rPr>
        <w:t>2</w:t>
      </w:r>
      <w:r w:rsidRPr="004C47E7">
        <w:rPr>
          <w:rFonts w:cstheme="minorHAnsi"/>
        </w:rPr>
        <w:t xml:space="preserve">O Analyser). Three benthic respiration measurements </w:t>
      </w:r>
      <w:r w:rsidRPr="004C47E7">
        <w:rPr>
          <w:rFonts w:cstheme="minorHAnsi"/>
        </w:rPr>
        <w:lastRenderedPageBreak/>
        <w:t>each at low, mid and high mangrove tidal heights at each site were taken. The respiration chamber was mounted onto the sediment over custom made PVC rings and a rubber sealant to form an airtight seal on the soil. Before sampling commenced, the PVC rings were carefully pushed 3 cm into the sediment and left for 10 minutes to allow for any disturbance to benthic communities to subside</w:t>
      </w:r>
      <w:r w:rsidR="00632C9A">
        <w:rPr>
          <w:rFonts w:cstheme="minorHAnsi"/>
        </w:rPr>
        <w:t xml:space="preserve"> </w:t>
      </w:r>
      <w:r w:rsidR="00632C9A">
        <w:rPr>
          <w:rFonts w:cstheme="minorHAnsi"/>
        </w:rPr>
        <w:fldChar w:fldCharType="begin" w:fldLock="1"/>
      </w:r>
      <w:r w:rsidR="008D142D">
        <w:rPr>
          <w:rFonts w:cstheme="minorHAnsi"/>
        </w:rPr>
        <w:instrText>ADDIN CSL_CITATION {"citationItems":[{"id":"ITEM-1","itemData":{"DOI":"10.1017/S0266467409006154","ISSN":"02664674","abstract":"Carbon dioxide emission through soil respiration is an important component of the carbon balance in forest ecosystems. However, little information is available on the rates of soil respiration in mangrove forests. We studied the rate of soil respiration in a secondary mangrove forest in eastern Thailand on an estuary of the Trat River during both the wet and dry seasons. A study site of 40 110 m was established and a series of vegetation zones identified: Sonneratia, Avicennia, Rhizophora and Xylocarpus, in order of increasing elevation inland. Soil respiration was measured during low tide, using an infrared gas analyser connected to a respiratory chamber, by excluding the respiration of above-ground roots from the chamber. At least 19 measurements were performed in each zone for each season. The rate of soil respiration significantly increased with increasing soil temperature. The soil temperature which was usually lower than that of sea water showed a trend that decreased with distance from the river in both wet and dry seasons. The relative land elevation causes different periods of inundation among the vegetation zones. The period was longest in the Sonneratia zone located on the river fringe, and became shorter moving inland. Thus, the elevation and relevant period of inundation are considered to be causal factors warming the soil. Consequently, the difference in soil temperature caused significantly different rates of soil respiration among the vegetation zones in the mangrove forest. Overall, the average rate of soil respiration ranged from 0.456 to 0.876 mol CO2 m 2 s1, supporting the view that mangrove forests have lower rates of soil respiration than do upland forests. © Cambridge University Press 2009.","author":[{"dropping-particle":"","family":"Poungparn","given":"Sasitorn","non-dropping-particle":"","parse-names":false,"suffix":""},{"dropping-particle":"","family":"Komiyama","given":"Akira","non-dropping-particle":"","parse-names":false,"suffix":""},{"dropping-particle":"","family":"Tanaka","given":"Aki","non-dropping-particle":"","parse-names":false,"suffix":""},{"dropping-particle":"","family":"Sangtiean","given":"Tanuwong","non-dropping-particle":"","parse-names":false,"suffix":""},{"dropping-particle":"","family":"Maknual","given":"Chatree","non-dropping-particle":"","parse-names":false,"suffix":""},{"dropping-particle":"","family":"Kato","given":"Shogo","non-dropping-particle":"","parse-names":false,"suffix":""},{"dropping-particle":"","family":"Tanapermpool","given":"Paisarn","non-dropping-particle":"","parse-names":false,"suffix":""},{"dropping-particle":"","family":"Patanaponpaiboon","given":"Pipat","non-dropping-particle":"","parse-names":false,"suffix":""}],"container-title":"Journal of Tropical Ecology","id":"ITEM-1","issue":"4","issued":{"date-parts":[["2009"]]},"page":"393-400","title":"Carbon dioxide emission through soil respiration in a secondary mangrove forest of eastern Thailand","type":"article-journal","volume":"25"},"uris":["http://www.mendeley.com/documents/?uuid=799640f6-413a-4cfa-a2a9-ce0279bc1547"]}],"mendeley":{"formattedCitation":"(Poungparn et al., 2009)","plainTextFormattedCitation":"(Poungparn et al., 2009)","previouslyFormattedCitation":"(Poungparn et al., 2009)"},"properties":{"noteIndex":0},"schema":"https://github.com/citation-style-language/schema/raw/master/csl-citation.json"}</w:instrText>
      </w:r>
      <w:r w:rsidR="00632C9A">
        <w:rPr>
          <w:rFonts w:cstheme="minorHAnsi"/>
        </w:rPr>
        <w:fldChar w:fldCharType="separate"/>
      </w:r>
      <w:r w:rsidR="00632C9A" w:rsidRPr="00632C9A">
        <w:rPr>
          <w:rFonts w:cstheme="minorHAnsi"/>
          <w:noProof/>
        </w:rPr>
        <w:t>(Poungparn et al., 2009)</w:t>
      </w:r>
      <w:r w:rsidR="00632C9A">
        <w:rPr>
          <w:rFonts w:cstheme="minorHAnsi"/>
        </w:rPr>
        <w:fldChar w:fldCharType="end"/>
      </w:r>
      <w:r w:rsidRPr="004C47E7">
        <w:rPr>
          <w:rFonts w:cstheme="minorHAnsi"/>
        </w:rPr>
        <w:t>. The respiration chamber was placed on each PVC ring and CO</w:t>
      </w:r>
      <w:r w:rsidRPr="004C47E7">
        <w:rPr>
          <w:rFonts w:cstheme="minorHAnsi"/>
          <w:vertAlign w:val="subscript"/>
        </w:rPr>
        <w:t>2</w:t>
      </w:r>
      <w:r w:rsidRPr="004C47E7">
        <w:rPr>
          <w:rFonts w:cstheme="minorHAnsi"/>
        </w:rPr>
        <w:t xml:space="preserve"> flux measurements were taken and timed for 20 minutes </w:t>
      </w:r>
      <w:r w:rsidRPr="004C47E7">
        <w:rPr>
          <w:rFonts w:cstheme="minorHAnsi"/>
        </w:rPr>
        <w:fldChar w:fldCharType="begin" w:fldLock="1"/>
      </w:r>
      <w:r w:rsidR="008A48C6">
        <w:rPr>
          <w:rFonts w:cstheme="minorHAnsi"/>
        </w:rPr>
        <w:instrText>ADDIN CSL_CITATION {"citationItems":[{"id":"ITEM-1","itemData":{"DOI":"10.1007/s00227-001-0741-1","ISBN":"0025-3162","ISSN":"0025-3162","abstract":"This paper describes a closed-chamber method for measuring CO2 fluxes in intertidal soft sediments during periods of emersion. The method relies on closed- circuit incubations of undisturbed sediment and measurement of CO2 exchanges using an infrared gas analyser. The method was assessed during field experi- ments, both in light and dark conditions, on an exposed sandy beach and in an estuary. The rates of gross community production measured under moderate irra- diance (4.2 mg C m–2 h–1 on the exposed sandy beach and 35 mg C m–2 h–1 in the estuary) are in good agree- ment with rates reported in the literature. In conjunction with appropriate sampling strategies, this method can be useful for estimating and comparing production of intertidal areas or for assessing factors that influence production.","author":[{"dropping-particle":"","family":"Migné","given":"A","non-dropping-particle":"","parse-names":false,"suffix":""},{"dropping-particle":"","family":"Davoult","given":"D","non-dropping-particle":"","parse-names":false,"suffix":""},{"dropping-particle":"","family":"Spilmont","given":"N","non-dropping-particle":"","parse-names":false,"suffix":""},{"dropping-particle":"","family":"Menu","given":"D","non-dropping-particle":"","parse-names":false,"suffix":""},{"dropping-particle":"","family":"Boucher","given":"G","non-dropping-particle":"","parse-names":false,"suffix":""},{"dropping-particle":"","family":"Gattuso","given":"JP","non-dropping-particle":"","parse-names":false,"suffix":""},{"dropping-particle":"","family":"Rybarczyk","given":"H","non-dropping-particle":"","parse-names":false,"suffix":""}],"container-title":"Marine Biology","id":"ITEM-1","issued":{"date-parts":[["2002"]]},"page":"865-869","title":"A closed-chamber CO 2 -flux method for estimating intertidal primary production and respiration under emersed conditions","type":"article-journal","volume":"140"},"uris":["http://www.mendeley.com/documents/?uuid=eed32889-2fea-440d-a01a-8eca66d08953"]},{"id":"ITEM-2","itemData":{"DOI":"10.1016/j.jembe.2004.11.010","ISBN":"0022-0981","ISSN":"00220981","abstract":"The photosynthetic productivity of the intertidal communities dominated by the seagrass Zostera noltii and the cordgrass Spartina maritima was assessed in two contrasting situations during a tidal cycle, i.e., air exposure and water immersion. Two complementary methods were used: infra red gas analysis of CO2 flux measurements in whole communities and chlorophyll a fluorescence measurements of individual plants photosynthetic activity. Higher photosynthetic rates of Z. noltii in air were observed both at the individual plants response level determined by chlorophyll fluorescence and at the community level measured as gas exchange (CO2 uptake). S. maritima plants consistently showed low photosynthetic response when immersed. Gross community production (GCP) measured as carbon dioxide uptake was always higher in air than in water for both communities. When immersed, the GCP of both communities was similar. However, when exposed to the air, the GCP of the S. maritima community was higher than the one of Z. noltii's. The key factor in CO2 assimilation by air-exposed Z. noltii was the retention of water in sediment microdepressions. During low tide, depressions in the sediment retain a considerable amount of water, enough to maintain leaf hydration. In these conditions, rapid air-water CO2 diffusion occurs, making it readily available to plants. The community gas exchange measurements compared well with the fluorescence indications. Both Z. noltii and S. maritima were shown to be responsible for the overall pattern of photosynthetic carbon fixation within their respective communities, both during submersion and emersion periods. The short-term incubations method described in this report proved to be a valuable tool for field measurements of intertidal lagoon productivity. It provides fast and precise values of carbon dioxide fixation, both in submerged and air-exposed communities. © 2004 Elsevier B.V. All rights reserved.","author":[{"dropping-particle":"","family":"Silva","given":"João","non-dropping-particle":"","parse-names":false,"suffix":""},{"dropping-particle":"","family":"Santos","given":"Rui","non-dropping-particle":"","parse-names":false,"suffix":""},{"dropping-particle":"","family":"Calleja","given":"Maria Ll","non-dropping-particle":"","parse-names":false,"suffix":""},{"dropping-particle":"","family":"Duarte","given":"Carlos M.","non-dropping-particle":"","parse-names":false,"suffix":""}],"container-title":"Journal of Experimental Marine Biology and Ecology","id":"ITEM-2","issue":"1","issued":{"date-parts":[["2005"]]},"page":"87-95","title":"Submerged versus air-exposed intertidal macrophyte productivity: From physiological to community-level assessments","type":"article-journal","volume":"317"},"uris":["http://www.mendeley.com/documents/?uuid=d4924b29-9c27-4981-b193-205fdf11b501"]}],"mendeley":{"formattedCitation":"(Migné et al., 2002; Silva et al., 2005)","plainTextFormattedCitation":"(Migné et al., 2002; Silva et al., 2005)","previouslyFormattedCitation":"(Migné et al., 2002; Silva et al., 2005)"},"properties":{"noteIndex":0},"schema":"https://github.com/citation-style-language/schema/raw/master/csl-citation.json"}</w:instrText>
      </w:r>
      <w:r w:rsidRPr="004C47E7">
        <w:rPr>
          <w:rFonts w:cstheme="minorHAnsi"/>
        </w:rPr>
        <w:fldChar w:fldCharType="separate"/>
      </w:r>
      <w:r w:rsidR="008A48C6" w:rsidRPr="008A48C6">
        <w:rPr>
          <w:rFonts w:cstheme="minorHAnsi"/>
          <w:noProof/>
        </w:rPr>
        <w:t>(Migné et al., 2002; Silva et al., 2005)</w:t>
      </w:r>
      <w:r w:rsidRPr="004C47E7">
        <w:rPr>
          <w:rFonts w:cstheme="minorHAnsi"/>
        </w:rPr>
        <w:fldChar w:fldCharType="end"/>
      </w:r>
      <w:r w:rsidRPr="004C47E7">
        <w:rPr>
          <w:rFonts w:cstheme="minorHAnsi"/>
        </w:rPr>
        <w:t xml:space="preserve">. The respiration chamber was equipped with Photosynthetically Active Radiation (PAR) and light sensors. A thermometer probe was inserted 5 cm into the sediment to measure soil temperature </w:t>
      </w:r>
      <w:r w:rsidRPr="004C47E7">
        <w:rPr>
          <w:rFonts w:cstheme="minorHAnsi"/>
        </w:rPr>
        <w:fldChar w:fldCharType="begin" w:fldLock="1"/>
      </w:r>
      <w:r w:rsidR="008A48C6">
        <w:rPr>
          <w:rFonts w:cstheme="minorHAnsi"/>
        </w:rPr>
        <w:instrText>ADDIN CSL_CITATION {"citationItems":[{"id":"ITEM-1","itemData":{"DOI":"10.1017/S0266467409006154","ISSN":"02664674","abstract":"Carbon dioxide emission through soil respiration is an important component of the carbon balance in forest ecosystems. However, little information is available on the rates of soil respiration in mangrove forests. We studied the rate of soil respiration in a secondary mangrove forest in eastern Thailand on an estuary of the Trat River during both the wet and dry seasons. A study site of 40 110 m was established and a series of vegetation zones identified: Sonneratia, Avicennia, Rhizophora and Xylocarpus, in order of increasing elevation inland. Soil respiration was measured during low tide, using an infrared gas analyser connected to a respiratory chamber, by excluding the respiration of above-ground roots from the chamber. At least 19 measurements were performed in each zone for each season. The rate of soil respiration significantly increased with increasing soil temperature. The soil temperature which was usually lower than that of sea water showed a trend that decreased with distance from the river in both wet and dry seasons. The relative land elevation causes different periods of inundation among the vegetation zones. The period was longest in the Sonneratia zone located on the river fringe, and became shorter moving inland. Thus, the elevation and relevant period of inundation are considered to be causal factors warming the soil. Consequently, the difference in soil temperature caused significantly different rates of soil respiration among the vegetation zones in the mangrove forest. Overall, the average rate of soil respiration ranged from 0.456 to 0.876 mol CO2 m 2 s1, supporting the view that mangrove forests have lower rates of soil respiration than do upland forests. © Cambridge University Press 2009.","author":[{"dropping-particle":"","family":"Poungparn","given":"Sasitorn","non-dropping-particle":"","parse-names":false,"suffix":""},{"dropping-particle":"","family":"Komiyama","given":"Akira","non-dropping-particle":"","parse-names":false,"suffix":""},{"dropping-particle":"","family":"Tanaka","given":"Aki","non-dropping-particle":"","parse-names":false,"suffix":""},{"dropping-particle":"","family":"Sangtiean","given":"Tanuwong","non-dropping-particle":"","parse-names":false,"suffix":""},{"dropping-particle":"","family":"Maknual","given":"Chatree","non-dropping-particle":"","parse-names":false,"suffix":""},{"dropping-particle":"","family":"Kato","given":"Shogo","non-dropping-particle":"","parse-names":false,"suffix":""},{"dropping-particle":"","family":"Tanapermpool","given":"Paisarn","non-dropping-particle":"","parse-names":false,"suffix":""},{"dropping-particle":"","family":"Patanaponpaiboon","given":"Pipat","non-dropping-particle":"","parse-names":false,"suffix":""}],"container-title":"Journal of Tropical Ecology","id":"ITEM-1","issue":"4","issued":{"date-parts":[["2009"]]},"page":"393-400","title":"Carbon dioxide emission through soil respiration in a secondary mangrove forest of eastern Thailand","type":"article-journal","volume":"25"},"uris":["http://www.mendeley.com/documents/?uuid=799640f6-413a-4cfa-a2a9-ce0279bc1547"]}],"mendeley":{"formattedCitation":"(Poungparn et al., 2009)","plainTextFormattedCitation":"(Poungparn et al., 2009)","previouslyFormattedCitation":"(Poungparn et al., 2009)"},"properties":{"noteIndex":0},"schema":"https://github.com/citation-style-language/schema/raw/master/csl-citation.json"}</w:instrText>
      </w:r>
      <w:r w:rsidRPr="004C47E7">
        <w:rPr>
          <w:rFonts w:cstheme="minorHAnsi"/>
        </w:rPr>
        <w:fldChar w:fldCharType="separate"/>
      </w:r>
      <w:r w:rsidR="008A48C6" w:rsidRPr="008A48C6">
        <w:rPr>
          <w:rFonts w:cstheme="minorHAnsi"/>
          <w:noProof/>
        </w:rPr>
        <w:t>(Poungparn et al., 2009)</w:t>
      </w:r>
      <w:r w:rsidRPr="004C47E7">
        <w:rPr>
          <w:rFonts w:cstheme="minorHAnsi"/>
        </w:rPr>
        <w:fldChar w:fldCharType="end"/>
      </w:r>
      <w:r w:rsidRPr="004C47E7">
        <w:rPr>
          <w:rFonts w:cstheme="minorHAnsi"/>
        </w:rPr>
        <w:t>. An air pump mounted within the chamber ensured adequate mixing of air inside the chamber during sampling. Incubations were performed under ambient (Net Community Primary Production NCP) and dark (Community Respiration CR: chambers were wrapped in aluminium foil to keep light out) light conditions. Light and dark incubations were performed consecutively halfway through the 20-minute sampling period. CO</w:t>
      </w:r>
      <w:r w:rsidRPr="004C47E7">
        <w:rPr>
          <w:rFonts w:cstheme="minorHAnsi"/>
          <w:vertAlign w:val="subscript"/>
        </w:rPr>
        <w:t xml:space="preserve">2 </w:t>
      </w:r>
      <w:r w:rsidRPr="004C47E7">
        <w:rPr>
          <w:rFonts w:cstheme="minorHAnsi"/>
        </w:rPr>
        <w:t>flux, measured as ΔCO</w:t>
      </w:r>
      <w:r w:rsidRPr="004C47E7">
        <w:rPr>
          <w:rFonts w:cstheme="minorHAnsi"/>
          <w:vertAlign w:val="subscript"/>
        </w:rPr>
        <w:t xml:space="preserve">2 </w:t>
      </w:r>
      <w:r w:rsidRPr="004C47E7">
        <w:rPr>
          <w:rFonts w:cstheme="minorHAnsi"/>
        </w:rPr>
        <w:t>mmol mol</w:t>
      </w:r>
      <w:r w:rsidRPr="004C47E7">
        <w:rPr>
          <w:rFonts w:cstheme="minorHAnsi"/>
          <w:vertAlign w:val="superscript"/>
        </w:rPr>
        <w:t>-1</w:t>
      </w:r>
      <w:r w:rsidRPr="004C47E7">
        <w:rPr>
          <w:rFonts w:cstheme="minorHAnsi"/>
        </w:rPr>
        <w:t xml:space="preserve"> min</w:t>
      </w:r>
      <w:r w:rsidRPr="004C47E7">
        <w:rPr>
          <w:rFonts w:cstheme="minorHAnsi"/>
          <w:vertAlign w:val="superscript"/>
        </w:rPr>
        <w:t>-1</w:t>
      </w:r>
      <w:r w:rsidRPr="004C47E7">
        <w:rPr>
          <w:rFonts w:cstheme="minorHAnsi"/>
        </w:rPr>
        <w:t>,  was calculated by regressing CO</w:t>
      </w:r>
      <w:r w:rsidRPr="004C47E7">
        <w:rPr>
          <w:rFonts w:cstheme="minorHAnsi"/>
          <w:vertAlign w:val="subscript"/>
        </w:rPr>
        <w:t xml:space="preserve">2 </w:t>
      </w:r>
      <w:r w:rsidRPr="004C47E7">
        <w:rPr>
          <w:rFonts w:cstheme="minorHAnsi"/>
        </w:rPr>
        <w:t xml:space="preserve">concentration and time during light and dark incubations </w:t>
      </w:r>
      <w:r w:rsidRPr="004C47E7">
        <w:rPr>
          <w:rFonts w:cstheme="minorHAnsi"/>
        </w:rPr>
        <w:fldChar w:fldCharType="begin" w:fldLock="1"/>
      </w:r>
      <w:r w:rsidR="008A48C6">
        <w:rPr>
          <w:rFonts w:cstheme="minorHAnsi"/>
        </w:rPr>
        <w:instrText>ADDIN CSL_CITATION {"citationItems":[{"id":"ITEM-1","itemData":{"DOI":"10.1007/s00227-001-0741-1","ISBN":"0025-3162","ISSN":"0025-3162","abstract":"This paper describes a closed-chamber method for measuring CO2 fluxes in intertidal soft sediments during periods of emersion. The method relies on closed- circuit incubations of undisturbed sediment and measurement of CO2 exchanges using an infrared gas analyser. The method was assessed during field experi- ments, both in light and dark conditions, on an exposed sandy beach and in an estuary. The rates of gross community production measured under moderate irra- diance (4.2 mg C m–2 h–1 on the exposed sandy beach and 35 mg C m–2 h–1 in the estuary) are in good agree- ment with rates reported in the literature. In conjunction with appropriate sampling strategies, this method can be useful for estimating and comparing production of intertidal areas or for assessing factors that influence production.","author":[{"dropping-particle":"","family":"Migné","given":"A","non-dropping-particle":"","parse-names":false,"suffix":""},{"dropping-particle":"","family":"Davoult","given":"D","non-dropping-particle":"","parse-names":false,"suffix":""},{"dropping-particle":"","family":"Spilmont","given":"N","non-dropping-particle":"","parse-names":false,"suffix":""},{"dropping-particle":"","family":"Menu","given":"D","non-dropping-particle":"","parse-names":false,"suffix":""},{"dropping-particle":"","family":"Boucher","given":"G","non-dropping-particle":"","parse-names":false,"suffix":""},{"dropping-particle":"","family":"Gattuso","given":"JP","non-dropping-particle":"","parse-names":false,"suffix":""},{"dropping-particle":"","family":"Rybarczyk","given":"H","non-dropping-particle":"","parse-names":false,"suffix":""}],"container-title":"Marine Biology","id":"ITEM-1","issued":{"date-parts":[["2002"]]},"page":"865-869","title":"A closed-chamber CO 2 -flux method for estimating intertidal primary production and respiration under emersed conditions","type":"article-journal","volume":"140"},"uris":["http://www.mendeley.com/documents/?uuid=eed32889-2fea-440d-a01a-8eca66d08953"]},{"id":"ITEM-2","itemData":{"DOI":"10.1016/j.jembe.2004.11.010","ISBN":"0022-0981","ISSN":"00220981","abstract":"The photosynthetic productivity of the intertidal communities dominated by the seagrass Zostera noltii and the cordgrass Spartina maritima was assessed in two contrasting situations during a tidal cycle, i.e., air exposure and water immersion. Two complementary methods were used: infra red gas analysis of CO2 flux measurements in whole communities and chlorophyll a fluorescence measurements of individual plants photosynthetic activity. Higher photosynthetic rates of Z. noltii in air were observed both at the individual plants response level determined by chlorophyll fluorescence and at the community level measured as gas exchange (CO2 uptake). S. maritima plants consistently showed low photosynthetic response when immersed. Gross community production (GCP) measured as carbon dioxide uptake was always higher in air than in water for both communities. When immersed, the GCP of both communities was similar. However, when exposed to the air, the GCP of the S. maritima community was higher than the one of Z. noltii's. The key factor in CO2 assimilation by air-exposed Z. noltii was the retention of water in sediment microdepressions. During low tide, depressions in the sediment retain a considerable amount of water, enough to maintain leaf hydration. In these conditions, rapid air-water CO2 diffusion occurs, making it readily available to plants. The community gas exchange measurements compared well with the fluorescence indications. Both Z. noltii and S. maritima were shown to be responsible for the overall pattern of photosynthetic carbon fixation within their respective communities, both during submersion and emersion periods. The short-term incubations method described in this report proved to be a valuable tool for field measurements of intertidal lagoon productivity. It provides fast and precise values of carbon dioxide fixation, both in submerged and air-exposed communities. © 2004 Elsevier B.V. All rights reserved.","author":[{"dropping-particle":"","family":"Silva","given":"João","non-dropping-particle":"","parse-names":false,"suffix":""},{"dropping-particle":"","family":"Santos","given":"Rui","non-dropping-particle":"","parse-names":false,"suffix":""},{"dropping-particle":"","family":"Calleja","given":"Maria Ll","non-dropping-particle":"","parse-names":false,"suffix":""},{"dropping-particle":"","family":"Duarte","given":"Carlos M.","non-dropping-particle":"","parse-names":false,"suffix":""}],"container-title":"Journal of Experimental Marine Biology and Ecology","id":"ITEM-2","issue":"1","issued":{"date-parts":[["2005"]]},"page":"87-95","title":"Submerged versus air-exposed intertidal macrophyte productivity: From physiological to community-level assessments","type":"article-journal","volume":"317"},"uris":["http://www.mendeley.com/documents/?uuid=d4924b29-9c27-4981-b193-205fdf11b501"]}],"mendeley":{"formattedCitation":"(Migné et al., 2002; Silva et al., 2005)","plainTextFormattedCitation":"(Migné et al., 2002; Silva et al., 2005)","previouslyFormattedCitation":"(Migné et al., 2002; Silva et al., 2005)"},"properties":{"noteIndex":0},"schema":"https://github.com/citation-style-language/schema/raw/master/csl-citation.json"}</w:instrText>
      </w:r>
      <w:r w:rsidRPr="004C47E7">
        <w:rPr>
          <w:rFonts w:cstheme="minorHAnsi"/>
        </w:rPr>
        <w:fldChar w:fldCharType="separate"/>
      </w:r>
      <w:r w:rsidR="008A48C6" w:rsidRPr="008A48C6">
        <w:rPr>
          <w:rFonts w:cstheme="minorHAnsi"/>
          <w:noProof/>
        </w:rPr>
        <w:t>(Migné et al., 2002; Silva et al., 2005)</w:t>
      </w:r>
      <w:r w:rsidRPr="004C47E7">
        <w:rPr>
          <w:rFonts w:cstheme="minorHAnsi"/>
        </w:rPr>
        <w:fldChar w:fldCharType="end"/>
      </w:r>
      <w:r w:rsidRPr="004C47E7">
        <w:rPr>
          <w:rFonts w:cstheme="minorHAnsi"/>
        </w:rPr>
        <w:t xml:space="preserve">. From this Gross Community Primary Production (GCP) was calculated as GCP = NCP – CR </w:t>
      </w:r>
      <w:r w:rsidRPr="004C47E7">
        <w:rPr>
          <w:rFonts w:cstheme="minorHAnsi"/>
        </w:rPr>
        <w:fldChar w:fldCharType="begin" w:fldLock="1"/>
      </w:r>
      <w:r w:rsidR="008A48C6">
        <w:rPr>
          <w:rFonts w:cstheme="minorHAnsi"/>
        </w:rPr>
        <w:instrText>ADDIN CSL_CITATION {"citationItems":[{"id":"ITEM-1","itemData":{"DOI":"10.1007/s00227-001-0741-1","ISBN":"0025-3162","ISSN":"0025-3162","abstract":"This paper describes a closed-chamber method for measuring CO2 fluxes in intertidal soft sediments during periods of emersion. The method relies on closed- circuit incubations of undisturbed sediment and measurement of CO2 exchanges using an infrared gas analyser. The method was assessed during field experi- ments, both in light and dark conditions, on an exposed sandy beach and in an estuary. The rates of gross community production measured under moderate irra- diance (4.2 mg C m–2 h–1 on the exposed sandy beach and 35 mg C m–2 h–1 in the estuary) are in good agree- ment with rates reported in the literature. In conjunction with appropriate sampling strategies, this method can be useful for estimating and comparing production of intertidal areas or for assessing factors that influence production.","author":[{"dropping-particle":"","family":"Migné","given":"A","non-dropping-particle":"","parse-names":false,"suffix":""},{"dropping-particle":"","family":"Davoult","given":"D","non-dropping-particle":"","parse-names":false,"suffix":""},{"dropping-particle":"","family":"Spilmont","given":"N","non-dropping-particle":"","parse-names":false,"suffix":""},{"dropping-particle":"","family":"Menu","given":"D","non-dropping-particle":"","parse-names":false,"suffix":""},{"dropping-particle":"","family":"Boucher","given":"G","non-dropping-particle":"","parse-names":false,"suffix":""},{"dropping-particle":"","family":"Gattuso","given":"JP","non-dropping-particle":"","parse-names":false,"suffix":""},{"dropping-particle":"","family":"Rybarczyk","given":"H","non-dropping-particle":"","parse-names":false,"suffix":""}],"container-title":"Marine Biology","id":"ITEM-1","issued":{"date-parts":[["2002"]]},"page":"865-869","title":"A closed-chamber CO 2 -flux method for estimating intertidal primary production and respiration under emersed conditions","type":"article-journal","volume":"140"},"uris":["http://www.mendeley.com/documents/?uuid=eed32889-2fea-440d-a01a-8eca66d08953"]}],"mendeley":{"formattedCitation":"(Migné et al., 2002)","plainTextFormattedCitation":"(Migné et al., 2002)","previouslyFormattedCitation":"(Migné et al., 2002)"},"properties":{"noteIndex":0},"schema":"https://github.com/citation-style-language/schema/raw/master/csl-citation.json"}</w:instrText>
      </w:r>
      <w:r w:rsidRPr="004C47E7">
        <w:rPr>
          <w:rFonts w:cstheme="minorHAnsi"/>
        </w:rPr>
        <w:fldChar w:fldCharType="separate"/>
      </w:r>
      <w:r w:rsidR="008A48C6" w:rsidRPr="008A48C6">
        <w:rPr>
          <w:rFonts w:cstheme="minorHAnsi"/>
          <w:noProof/>
        </w:rPr>
        <w:t>(Migné et al., 2002)</w:t>
      </w:r>
      <w:r w:rsidRPr="004C47E7">
        <w:rPr>
          <w:rFonts w:cstheme="minorHAnsi"/>
        </w:rPr>
        <w:fldChar w:fldCharType="end"/>
      </w:r>
      <w:r w:rsidRPr="004C47E7">
        <w:rPr>
          <w:rFonts w:cstheme="minorHAnsi"/>
        </w:rPr>
        <w:t>. Positive values indicate a net production of CO</w:t>
      </w:r>
      <w:r w:rsidRPr="004C47E7">
        <w:rPr>
          <w:rFonts w:cstheme="minorHAnsi"/>
          <w:vertAlign w:val="subscript"/>
        </w:rPr>
        <w:t>2</w:t>
      </w:r>
      <w:r w:rsidRPr="004C47E7">
        <w:rPr>
          <w:rFonts w:cstheme="minorHAnsi"/>
        </w:rPr>
        <w:t xml:space="preserve"> from sampled soils, while negative values represent an overall sink of CO</w:t>
      </w:r>
      <w:r w:rsidRPr="004C47E7">
        <w:rPr>
          <w:rFonts w:cstheme="minorHAnsi"/>
          <w:vertAlign w:val="subscript"/>
        </w:rPr>
        <w:t>2</w:t>
      </w:r>
      <w:r w:rsidRPr="004C47E7">
        <w:rPr>
          <w:rFonts w:cstheme="minorHAnsi"/>
        </w:rPr>
        <w:t xml:space="preserve"> to soils. </w:t>
      </w:r>
    </w:p>
    <w:p w14:paraId="411B816E" w14:textId="77777777" w:rsidR="0002342A" w:rsidRPr="004C47E7" w:rsidRDefault="0002342A" w:rsidP="0002342A">
      <w:pPr>
        <w:spacing w:line="480" w:lineRule="auto"/>
        <w:jc w:val="both"/>
        <w:rPr>
          <w:rFonts w:cstheme="minorHAnsi"/>
        </w:rPr>
      </w:pPr>
    </w:p>
    <w:p w14:paraId="57413B0A" w14:textId="439437CE" w:rsidR="0002342A" w:rsidRPr="00AE1949" w:rsidRDefault="0002342A" w:rsidP="0002342A">
      <w:pPr>
        <w:pStyle w:val="Heading3"/>
        <w:rPr>
          <w:rFonts w:asciiTheme="minorHAnsi" w:hAnsiTheme="minorHAnsi" w:cstheme="minorHAnsi"/>
          <w:b/>
          <w:bCs/>
          <w:color w:val="auto"/>
        </w:rPr>
      </w:pPr>
      <w:bookmarkStart w:id="18" w:name="_Toc120622107"/>
      <w:r w:rsidRPr="00AE1949">
        <w:rPr>
          <w:rFonts w:asciiTheme="minorHAnsi" w:hAnsiTheme="minorHAnsi" w:cstheme="minorHAnsi"/>
          <w:b/>
          <w:bCs/>
          <w:color w:val="auto"/>
        </w:rPr>
        <w:t>2.3.5</w:t>
      </w:r>
      <w:r w:rsidRPr="00AE1949">
        <w:rPr>
          <w:rFonts w:asciiTheme="minorHAnsi" w:hAnsiTheme="minorHAnsi" w:cstheme="minorHAnsi"/>
          <w:b/>
          <w:bCs/>
          <w:color w:val="auto"/>
        </w:rPr>
        <w:tab/>
        <w:t>Data analysis</w:t>
      </w:r>
      <w:bookmarkEnd w:id="18"/>
    </w:p>
    <w:p w14:paraId="7C82E5EA" w14:textId="433CD520" w:rsidR="0002342A" w:rsidRPr="004C47E7" w:rsidRDefault="0002342A" w:rsidP="0002342A">
      <w:pPr>
        <w:spacing w:line="480" w:lineRule="auto"/>
        <w:rPr>
          <w:rFonts w:cs="Times New Roman"/>
        </w:rPr>
      </w:pPr>
      <w:r w:rsidRPr="004C47E7">
        <w:rPr>
          <w:rFonts w:cstheme="minorHAnsi"/>
        </w:rPr>
        <w:t xml:space="preserve">A mixed effects </w:t>
      </w:r>
      <w:r w:rsidR="001E1B80" w:rsidRPr="004C47E7">
        <w:rPr>
          <w:rFonts w:cstheme="minorHAnsi"/>
        </w:rPr>
        <w:t>modelling</w:t>
      </w:r>
      <w:r w:rsidRPr="004C47E7">
        <w:rPr>
          <w:rFonts w:cstheme="minorHAnsi"/>
        </w:rPr>
        <w:t xml:space="preserve"> approach was used to test which predictors of sampling location, tidal height and season best explained variance in litterfall, root growth and soil respiration. Summer months were considered to be from June to September, while winter was from December to March </w:t>
      </w:r>
      <w:r w:rsidRPr="004C47E7">
        <w:rPr>
          <w:rFonts w:cstheme="minorHAnsi"/>
        </w:rPr>
        <w:fldChar w:fldCharType="begin" w:fldLock="1"/>
      </w:r>
      <w:r w:rsidR="008A48C6">
        <w:rPr>
          <w:rFonts w:cstheme="minorHAnsi"/>
        </w:rPr>
        <w:instrText>ADDIN CSL_CITATION {"citationItems":[{"id":"ITEM-1","itemData":{"abstract":"locations in the Western Arabian Gulf. High temperatures, excessive evaporation, and limited mixing and transport with Western Arabian Gulf waters result in hypersaline conditions in the Gulf of Salwah, in the southernmost sector of the study area. Salinities in the Gulf of Salwah were among the highest that have been measured in marine waters. Surface salinities reached 57.7, during winter and bottom salinities were as high as 59.2 during summer. The highest salinities occurred in this area during summer months when nearshore evaporation was at its maximum. Offshore salinities north of the Gulf of Salwah generally varied from 38-45. High-salinity bottom water masses from the Gulf of Salwah could be traced during summer as far as Ras Tanura, about 92 km north of the entrance to the Gulf of Salwah. Surface salinities at stations further north along the Saudi Arabian coast were as low as 37.9 during spring months when southeastward currents and strong northwest winds bring low-salinity water from the northern gulf. The highest surface temperature in the Gulf of Salwah waters was 34.9·c during the summer of 1985. However, the highest surface temperature 35.5 • c occurred further north, near Abu Ali island during the same season. The lowest surface temperature (15.9 • q occurred in the Gulf of Salwah during the winter of 1988, while the lowest surface temperature reached 17.5·c in the northern part of the study area. The thermocline and pycnocline are poorly developed in most areas of the western Arabian Gulf except in the area immediately north of the entrance to the Gulf of Salwah. Here, a strong pycnocline occurs due to the northward movement of highly saline Gulf of Salwah bottom water into the open gulf. Otherwise, stratification is absent in the western gulf; this is due to shallow depths, high and persistent winds, moderate waves, and strong currents which rapidly destabilize any density gradient. Oceanologica Acta, 1990, 13, 3, 273-281. Cycles saisonniers de température, salinité et masses d'eau dans l'ouest du Golfe Arabique La température et la salinité ont été mesurées de mai 1985 à avril 1988 en quinze stations, dans l'ouest du Golfe Arabique. Des températures élevées, une forte évapora-tion et les échanges limités avec les eaux du Golfe Arabique, créent des conditions hypersalines dans le secteur le plus méridional de la région étudiée, le Golfe de Salwah : 57,7 pour les eaux superficielles en hiver et 59,2 pour les eaux de fond en été. Les sal…","author":[{"dropping-particle":"V","family":"John","given":"Chandy","non-dropping-particle":"","parse-names":false,"suffix":""},{"dropping-particle":"","family":"Coles","given":"Stephen L","non-dropping-particle":"","parse-names":false,"suffix":""},{"dropping-particle":"","family":"Abozed","given":"Abobaker","non-dropping-particle":"","parse-names":false,"suffix":""}],"container-title":"Oceanologica Acta","id":"ITEM-1","issue":"3","issued":{"date-parts":[["1990"]]},"page":"273-281","title":"Seasonal cycles of temperature, salinity and water masses  of the Western Arabian Gulf ","type":"article-journal","volume":"13"},"uris":["http://www.mendeley.com/documents/?uuid=f436e905-2d9e-380c-a7ae-94537cdd4fe5"]}],"mendeley":{"formattedCitation":"(John et al., 1990)","plainTextFormattedCitation":"(John et al., 1990)","previouslyFormattedCitation":"(John et al., 1990)"},"properties":{"noteIndex":0},"schema":"https://github.com/citation-style-language/schema/raw/master/csl-citation.json"}</w:instrText>
      </w:r>
      <w:r w:rsidRPr="004C47E7">
        <w:rPr>
          <w:rFonts w:cstheme="minorHAnsi"/>
        </w:rPr>
        <w:fldChar w:fldCharType="separate"/>
      </w:r>
      <w:r w:rsidR="008A48C6" w:rsidRPr="008A48C6">
        <w:rPr>
          <w:rFonts w:cstheme="minorHAnsi"/>
          <w:noProof/>
        </w:rPr>
        <w:t>(John et al., 1990)</w:t>
      </w:r>
      <w:r w:rsidRPr="004C47E7">
        <w:rPr>
          <w:rFonts w:cstheme="minorHAnsi"/>
        </w:rPr>
        <w:fldChar w:fldCharType="end"/>
      </w:r>
      <w:r w:rsidRPr="004C47E7">
        <w:rPr>
          <w:rFonts w:cstheme="minorHAnsi"/>
        </w:rPr>
        <w:t xml:space="preserve">. Average winter and summer air temperatures can </w:t>
      </w:r>
      <w:r w:rsidRPr="004C47E7">
        <w:rPr>
          <w:rFonts w:cstheme="minorHAnsi"/>
        </w:rPr>
        <w:lastRenderedPageBreak/>
        <w:t>be 18</w:t>
      </w:r>
      <w:r w:rsidRPr="004C47E7">
        <w:rPr>
          <w:rFonts w:cstheme="minorHAnsi"/>
        </w:rPr>
        <w:sym w:font="Symbol" w:char="F0B0"/>
      </w:r>
      <w:r w:rsidRPr="004C47E7">
        <w:rPr>
          <w:rFonts w:cstheme="minorHAnsi"/>
        </w:rPr>
        <w:t>C and 34</w:t>
      </w:r>
      <w:r w:rsidRPr="004C47E7">
        <w:rPr>
          <w:rFonts w:cstheme="minorHAnsi"/>
        </w:rPr>
        <w:sym w:font="Symbol" w:char="F0B0"/>
      </w:r>
      <w:r w:rsidRPr="004C47E7">
        <w:rPr>
          <w:rFonts w:cstheme="minorHAnsi"/>
        </w:rPr>
        <w:t xml:space="preserve">C, respectively. Repeated measurements of leaf litter were taken monthly, which violated the independence assumption of linear regression modelling. To determine the most suited random effects structure for leaf litter rate, three models only containing random effects were contrasted. Random effects compared were sampling month (factor, 12 levels), sampling plot (factor, 9 levels) and a combination of sampling month and plot. The random effects only model was selected based on the lowest Akaike Information Criterion (AIC) value </w:t>
      </w:r>
      <w:r w:rsidRPr="004C47E7">
        <w:rPr>
          <w:rFonts w:cstheme="minorHAnsi"/>
        </w:rPr>
        <w:fldChar w:fldCharType="begin" w:fldLock="1"/>
      </w:r>
      <w:r w:rsidR="008A48C6">
        <w:rPr>
          <w:rFonts w:cstheme="minorHAnsi"/>
        </w:rPr>
        <w:instrText>ADDIN CSL_CITATION {"citationItems":[{"id":"ITEM-1","itemData":{"ISBN":"978-0-9571741-3-9","abstract":"This book presents Generalized Linear Models (GLM) and Generalized Linear Mixed Models (GLMM) based on both frequency-based and Bayesian concepts.","author":[{"dropping-particle":"","family":"Zuur","given":"Alain F","non-dropping-particle":"","parse-names":false,"suffix":""},{"dropping-particle":"","family":"Hilbe","given":"Joseph M","non-dropping-particle":"","parse-names":false,"suffix":""},{"dropping-particle":"","family":"Ieno","given":"Elena N","non-dropping-particle":"","parse-names":false,"suffix":""}],"container-title":"Beginner's Guide Series","id":"ITEM-1","issued":{"date-parts":[["2013"]]},"number-of-pages":"253","title":"A Beginner’s Guide to GLM and GLMM with R","type":"book"},"uris":["http://www.mendeley.com/documents/?uuid=dcfe2837-be58-40f5-bb15-8f6244a8704e"]},{"id":"ITEM-2","itemData":{"DOI":"10.1111/gcb.15142","ISSN":"13652486","PMID":"32364624","abstract":"Arctic ecosystems are changing rapidly in response to climate warming. While Arctic mammals are highly evolved to these extreme environments, particularly with respect to their stress axis, some species may have limited capacity to adapt to this change. We examined changes in key components of the stress axis (cortisol and its carrier protein—corticosteroid binding globulin [CBG]) in polar bears (Ursus maritimus) from western Hudson Bay (N = 300) over a 33 year period (1983–2015) during which time the ice-free period was increasing. Changing sea ice phenology limits spring hunting opportunities and extends the period of onshore fasting. We assessed the response of polar bears to a standardized stressor (helicopter pursuit, darting, and immobilization) during their onshore fasting period (late summer–autumn) and quantified the serum levels of the maximum corticosteroid binding capacity (MCBC) of CBG, the serum protein that binds cortisol strongly, and free cortisol (FC). We quantified bear condition (age, sex, female with cubs or not, fat condition), sea ice (breakup in spring–summer, 1 year lagged freeze-up in autumn), and duration of fasting until sample collection as well as cumulative impacts of the latter environmental traits from the previous year. Data were separated into “good” years (1983–1990) when conditions were thought to be optimal and “poor” years (1991–2015) when sea ice conditions deteriorated and fasting on land was extended. MCBC explained 39.4% of the variation in the good years, but only 28.1% in the poor ones, using both biological and environmental variables. MCBC levels decreased with age. Changes in FC were complex, but more poorly explained. Counterintuitively, MCBC levels increased with increased time onshore, 1 year lag effects, and in poor ice years. We conclude that MCBC is a biomarker of stress in polar bears and that the changes we document are a consequence of climate warming.","author":[{"dropping-particle":"","family":"Boonstra","given":"Rudy","non-dropping-particle":"","parse-names":false,"suffix":""},{"dropping-particle":"","family":"Bodner","given":"Korryn","non-dropping-particle":"","parse-names":false,"suffix":""},{"dropping-particle":"","family":"Bosson","given":"Curtis","non-dropping-particle":"","parse-names":false,"suffix":""},{"dropping-particle":"","family":"Delehanty","given":"Brendan","non-dropping-particle":"","parse-names":false,"suffix":""},{"dropping-particle":"","family":"Richardson","given":"Evan S.","non-dropping-particle":"","parse-names":false,"suffix":""},{"dropping-particle":"","family":"Lunn","given":"Nicholas J.","non-dropping-particle":"","parse-names":false,"suffix":""},{"dropping-particle":"","family":"Derocher","given":"Andrew E.","non-dropping-particle":"","parse-names":false,"suffix":""},{"dropping-particle":"","family":"Molnár","given":"Péter K.","non-dropping-particle":"","parse-names":false,"suffix":""}],"container-title":"Global Change Biology","id":"ITEM-2","issue":"8","issued":{"date-parts":[["2020"]]},"page":"4197-4214","title":"The stress of Arctic warming on polar bears","type":"article-journal","volume":"26"},"uris":["http://www.mendeley.com/documents/?uuid=77baa730-73dd-4b3d-902c-b4dc9d848cf6"]}],"mendeley":{"formattedCitation":"(Boonstra et al., 2020; Zuur et al., 2013)","plainTextFormattedCitation":"(Boonstra et al., 2020; Zuur et al., 2013)","previouslyFormattedCitation":"(Boonstra et al., 2020; Zuur et al., 2013)"},"properties":{"noteIndex":0},"schema":"https://github.com/citation-style-language/schema/raw/master/csl-citation.json"}</w:instrText>
      </w:r>
      <w:r w:rsidRPr="004C47E7">
        <w:rPr>
          <w:rFonts w:cstheme="minorHAnsi"/>
        </w:rPr>
        <w:fldChar w:fldCharType="separate"/>
      </w:r>
      <w:r w:rsidR="008A48C6" w:rsidRPr="008A48C6">
        <w:rPr>
          <w:rFonts w:cstheme="minorHAnsi"/>
          <w:noProof/>
        </w:rPr>
        <w:t>(Boonstra et al., 2020; Zuur et al., 2013)</w:t>
      </w:r>
      <w:r w:rsidRPr="004C47E7">
        <w:rPr>
          <w:rFonts w:cstheme="minorHAnsi"/>
        </w:rPr>
        <w:fldChar w:fldCharType="end"/>
      </w:r>
      <w:r w:rsidRPr="004C47E7">
        <w:rPr>
          <w:rFonts w:cstheme="minorHAnsi"/>
        </w:rPr>
        <w:t xml:space="preserve">. All combinations of fixed effects were then added to the previously selected random effects only model. Fixed effects were added in a forward selection fashion </w:t>
      </w:r>
      <w:r w:rsidRPr="004C47E7">
        <w:rPr>
          <w:rFonts w:cstheme="minorHAnsi"/>
        </w:rPr>
        <w:fldChar w:fldCharType="begin" w:fldLock="1"/>
      </w:r>
      <w:r w:rsidR="008A48C6">
        <w:rPr>
          <w:rFonts w:cstheme="minorHAnsi"/>
        </w:rPr>
        <w:instrText>ADDIN CSL_CITATION {"citationItems":[{"id":"ITEM-1","itemData":{"DOI":"10.1111/gcb.14931","ISSN":"13652486","PMID":"31750606","abstract":"Mangroves are among the world's most carbon-dense ecosystems, but they are threatened by rapid climate change and rising sea levels. The accumulation and decomposition of soil organic matter (SOM) are closely tied to mangroves' carbon sink functions and resistance to rising sea levels. However, few studies have investigated the response of mangrove SOM dynamics to likely future environmental conditions. We quantified how mangrove SOM decay is affected by predicted global warming (+4°C), sea level changes (simulated by altering of the inundation duration to 0, 2, and 6 hr/day), and their interaction. Whilst changes in inundation duration between 2 and 6 hr/day did not affect SOM decay, the treatment without inundation led to a 60% increase. A warming of 4°C caused SOM decay to increase by 21%, but longer inundation moderated this temperature-driven increase. Our results indicate that (a) sea level rise is unlikely to decrease the SOM decay rate, suggesting that previous mangrove elevation gain, which has allowed mangroves to persist in areas of sea level rise, might result from changes in root production and/or mineral sedimentation; (b) sea level fall events, predicted to double in frequency and area, will cause periods of intensified SOM decay; (c) changing tidal regimes in mangroves due to sea level rise might attenuate increases in SOM decay caused by global warming. Our results have important implications for forecasting mangrove carbon dynamics and the persistence of mangroves and other coastal wetlands under future scenarios of climate change.","author":[{"dropping-particle":"","family":"Arnaud","given":"Marie","non-dropping-particle":"","parse-names":false,"suffix":""},{"dropping-particle":"","family":"Baird","given":"Andy J.","non-dropping-particle":"","parse-names":false,"suffix":""},{"dropping-particle":"","family":"Morris","given":"Paul J.","non-dropping-particle":"","parse-names":false,"suffix":""},{"dropping-particle":"","family":"Dang","given":"Thuong Huyen","non-dropping-particle":"","parse-names":false,"suffix":""},{"dropping-particle":"","family":"Nguyen","given":"Tai Tue","non-dropping-particle":"","parse-names":false,"suffix":""}],"container-title":"Global Change Biology","id":"ITEM-1","issue":"3","issued":{"date-parts":[["2020"]]},"page":"1899-1907","title":"Sensitivity of mangrove soil organic matter decay to warming and sea level change","type":"article-journal","volume":"26"},"uris":["http://www.mendeley.com/documents/?uuid=0346f321-3151-48b6-96c9-cc41ba564fe1"]}],"mendeley":{"formattedCitation":"(Arnaud et al., 2020)","plainTextFormattedCitation":"(Arnaud et al., 2020)","previouslyFormattedCitation":"(Arnaud et al., 2020)"},"properties":{"noteIndex":0},"schema":"https://github.com/citation-style-language/schema/raw/master/csl-citation.json"}</w:instrText>
      </w:r>
      <w:r w:rsidRPr="004C47E7">
        <w:rPr>
          <w:rFonts w:cstheme="minorHAnsi"/>
        </w:rPr>
        <w:fldChar w:fldCharType="separate"/>
      </w:r>
      <w:r w:rsidR="008A48C6" w:rsidRPr="008A48C6">
        <w:rPr>
          <w:rFonts w:cstheme="minorHAnsi"/>
          <w:noProof/>
        </w:rPr>
        <w:t>(Arnaud et al., 2020)</w:t>
      </w:r>
      <w:r w:rsidRPr="004C47E7">
        <w:rPr>
          <w:rFonts w:cstheme="minorHAnsi"/>
        </w:rPr>
        <w:fldChar w:fldCharType="end"/>
      </w:r>
      <w:r w:rsidRPr="004C47E7">
        <w:rPr>
          <w:rFonts w:cstheme="minorHAnsi"/>
        </w:rPr>
        <w:t xml:space="preserve"> and consisted of sampling site (factor, 3 levels), tidal height (factor, 3 levels) and an interactive term of the two. Again, the final model was selected based on the lowest AIC value </w:t>
      </w:r>
      <w:r w:rsidRPr="004C47E7">
        <w:rPr>
          <w:rFonts w:cstheme="minorHAnsi"/>
        </w:rPr>
        <w:fldChar w:fldCharType="begin" w:fldLock="1"/>
      </w:r>
      <w:r w:rsidR="008A48C6">
        <w:rPr>
          <w:rFonts w:cstheme="minorHAnsi"/>
        </w:rPr>
        <w:instrText>ADDIN CSL_CITATION {"citationItems":[{"id":"ITEM-1","itemData":{"ISBN":"978-0-9571741-3-9","abstract":"This book presents Generalized Linear Models (GLM) and Generalized Linear Mixed Models (GLMM) based on both frequency-based and Bayesian concepts.","author":[{"dropping-particle":"","family":"Zuur","given":"Alain F","non-dropping-particle":"","parse-names":false,"suffix":""},{"dropping-particle":"","family":"Hilbe","given":"Joseph M","non-dropping-particle":"","parse-names":false,"suffix":""},{"dropping-particle":"","family":"Ieno","given":"Elena N","non-dropping-particle":"","parse-names":false,"suffix":""}],"container-title":"Beginner's Guide Series","id":"ITEM-1","issued":{"date-parts":[["2013"]]},"number-of-pages":"253","title":"A Beginner’s Guide to GLM and GLMM with R","type":"book"},"uris":["http://www.mendeley.com/documents/?uuid=dcfe2837-be58-40f5-bb15-8f6244a8704e"]},{"id":"ITEM-2","itemData":{"DOI":"10.1111/gcb.15142","ISSN":"13652486","PMID":"32364624","abstract":"Arctic ecosystems are changing rapidly in response to climate warming. While Arctic mammals are highly evolved to these extreme environments, particularly with respect to their stress axis, some species may have limited capacity to adapt to this change. We examined changes in key components of the stress axis (cortisol and its carrier protein—corticosteroid binding globulin [CBG]) in polar bears (Ursus maritimus) from western Hudson Bay (N = 300) over a 33 year period (1983–2015) during which time the ice-free period was increasing. Changing sea ice phenology limits spring hunting opportunities and extends the period of onshore fasting. We assessed the response of polar bears to a standardized stressor (helicopter pursuit, darting, and immobilization) during their onshore fasting period (late summer–autumn) and quantified the serum levels of the maximum corticosteroid binding capacity (MCBC) of CBG, the serum protein that binds cortisol strongly, and free cortisol (FC). We quantified bear condition (age, sex, female with cubs or not, fat condition), sea ice (breakup in spring–summer, 1 year lagged freeze-up in autumn), and duration of fasting until sample collection as well as cumulative impacts of the latter environmental traits from the previous year. Data were separated into “good” years (1983–1990) when conditions were thought to be optimal and “poor” years (1991–2015) when sea ice conditions deteriorated and fasting on land was extended. MCBC explained 39.4% of the variation in the good years, but only 28.1% in the poor ones, using both biological and environmental variables. MCBC levels decreased with age. Changes in FC were complex, but more poorly explained. Counterintuitively, MCBC levels increased with increased time onshore, 1 year lag effects, and in poor ice years. We conclude that MCBC is a biomarker of stress in polar bears and that the changes we document are a consequence of climate warming.","author":[{"dropping-particle":"","family":"Boonstra","given":"Rudy","non-dropping-particle":"","parse-names":false,"suffix":""},{"dropping-particle":"","family":"Bodner","given":"Korryn","non-dropping-particle":"","parse-names":false,"suffix":""},{"dropping-particle":"","family":"Bosson","given":"Curtis","non-dropping-particle":"","parse-names":false,"suffix":""},{"dropping-particle":"","family":"Delehanty","given":"Brendan","non-dropping-particle":"","parse-names":false,"suffix":""},{"dropping-particle":"","family":"Richardson","given":"Evan S.","non-dropping-particle":"","parse-names":false,"suffix":""},{"dropping-particle":"","family":"Lunn","given":"Nicholas J.","non-dropping-particle":"","parse-names":false,"suffix":""},{"dropping-particle":"","family":"Derocher","given":"Andrew E.","non-dropping-particle":"","parse-names":false,"suffix":""},{"dropping-particle":"","family":"Molnár","given":"Péter K.","non-dropping-particle":"","parse-names":false,"suffix":""}],"container-title":"Global Change Biology","id":"ITEM-2","issue":"8","issued":{"date-parts":[["2020"]]},"page":"4197-4214","title":"The stress of Arctic warming on polar bears","type":"article-journal","volume":"26"},"uris":["http://www.mendeley.com/documents/?uuid=77baa730-73dd-4b3d-902c-b4dc9d848cf6"]}],"mendeley":{"formattedCitation":"(Boonstra et al., 2020; Zuur et al., 2013)","plainTextFormattedCitation":"(Boonstra et al., 2020; Zuur et al., 2013)","previouslyFormattedCitation":"(Boonstra et al., 2020; Zuur et al., 2013)"},"properties":{"noteIndex":0},"schema":"https://github.com/citation-style-language/schema/raw/master/csl-citation.json"}</w:instrText>
      </w:r>
      <w:r w:rsidRPr="004C47E7">
        <w:rPr>
          <w:rFonts w:cstheme="minorHAnsi"/>
        </w:rPr>
        <w:fldChar w:fldCharType="separate"/>
      </w:r>
      <w:r w:rsidR="008A48C6" w:rsidRPr="008A48C6">
        <w:rPr>
          <w:rFonts w:cstheme="minorHAnsi"/>
          <w:noProof/>
        </w:rPr>
        <w:t>(Boonstra et al., 2020; Zuur et al., 2013)</w:t>
      </w:r>
      <w:r w:rsidRPr="004C47E7">
        <w:rPr>
          <w:rFonts w:cstheme="minorHAnsi"/>
        </w:rPr>
        <w:fldChar w:fldCharType="end"/>
      </w:r>
      <w:r w:rsidRPr="004C47E7">
        <w:rPr>
          <w:rFonts w:cstheme="minorHAnsi"/>
        </w:rPr>
        <w:t xml:space="preserve"> and contained the most suited random effects and fixed effects structure. This model selection process was repeated for apical tip growth, below ground root growth and soil respiration where random effects tested were sampling root bag replicate (root growth: factor, 2 levels; soil respiration: factor, 3 levels) and sampling plot (root growth: factor, 9 levels). Fixed effects contrasted for root growth and soil respiration were the same as leaf litter, while for apical tip growth and soil respiration the fixed effect of season was also investigated. Data were log10 transformed, where appropriate, to comply with model assumptions and residuals were visually inspected to determine if they met model assumptions. Mixed effects modelling was implemented in R’s lme4 package (1.1.21) and significance values were calculated from </w:t>
      </w:r>
      <w:proofErr w:type="spellStart"/>
      <w:r w:rsidRPr="004C47E7">
        <w:rPr>
          <w:rFonts w:cstheme="minorHAnsi"/>
        </w:rPr>
        <w:t>Satterthwaites’s</w:t>
      </w:r>
      <w:proofErr w:type="spellEnd"/>
      <w:r w:rsidRPr="004C47E7">
        <w:rPr>
          <w:rFonts w:cstheme="minorHAnsi"/>
        </w:rPr>
        <w:t xml:space="preserve"> method using the </w:t>
      </w:r>
      <w:proofErr w:type="spellStart"/>
      <w:r w:rsidRPr="004C47E7">
        <w:rPr>
          <w:rFonts w:cstheme="minorHAnsi"/>
        </w:rPr>
        <w:t>lmerTest</w:t>
      </w:r>
      <w:proofErr w:type="spellEnd"/>
      <w:r w:rsidRPr="004C47E7">
        <w:rPr>
          <w:rFonts w:cstheme="minorHAnsi"/>
        </w:rPr>
        <w:t xml:space="preserve"> package in R (3.1.3) </w:t>
      </w:r>
      <w:r w:rsidRPr="004C47E7">
        <w:rPr>
          <w:rFonts w:cstheme="minorHAnsi"/>
        </w:rPr>
        <w:fldChar w:fldCharType="begin" w:fldLock="1"/>
      </w:r>
      <w:r w:rsidR="008A48C6">
        <w:rPr>
          <w:rFonts w:cstheme="minorHAnsi"/>
        </w:rPr>
        <w:instrText>ADDIN CSL_CITATION {"citationItems":[{"id":"ITEM-1","itemData":{"DOI":"10.1111/gcb.15142","ISSN":"13652486","PMID":"32364624","abstract":"Arctic ecosystems are changing rapidly in response to climate warming. While Arctic mammals are highly evolved to these extreme environments, particularly with respect to their stress axis, some species may have limited capacity to adapt to this change. We examined changes in key components of the stress axis (cortisol and its carrier protein—corticosteroid binding globulin [CBG]) in polar bears (Ursus maritimus) from western Hudson Bay (N = 300) over a 33 year period (1983–2015) during which time the ice-free period was increasing. Changing sea ice phenology limits spring hunting opportunities and extends the period of onshore fasting. We assessed the response of polar bears to a standardized stressor (helicopter pursuit, darting, and immobilization) during their onshore fasting period (late summer–autumn) and quantified the serum levels of the maximum corticosteroid binding capacity (MCBC) of CBG, the serum protein that binds cortisol strongly, and free cortisol (FC). We quantified bear condition (age, sex, female with cubs or not, fat condition), sea ice (breakup in spring–summer, 1 year lagged freeze-up in autumn), and duration of fasting until sample collection as well as cumulative impacts of the latter environmental traits from the previous year. Data were separated into “good” years (1983–1990) when conditions were thought to be optimal and “poor” years (1991–2015) when sea ice conditions deteriorated and fasting on land was extended. MCBC explained 39.4% of the variation in the good years, but only 28.1% in the poor ones, using both biological and environmental variables. MCBC levels decreased with age. Changes in FC were complex, but more poorly explained. Counterintuitively, MCBC levels increased with increased time onshore, 1 year lag effects, and in poor ice years. We conclude that MCBC is a biomarker of stress in polar bears and that the changes we document are a consequence of climate warming.","author":[{"dropping-particle":"","family":"Boonstra","given":"Rudy","non-dropping-particle":"","parse-names":false,"suffix":""},{"dropping-particle":"","family":"Bodner","given":"Korryn","non-dropping-particle":"","parse-names":false,"suffix":""},{"dropping-particle":"","family":"Bosson","given":"Curtis","non-dropping-particle":"","parse-names":false,"suffix":""},{"dropping-particle":"","family":"Delehanty","given":"Brendan","non-dropping-particle":"","parse-names":false,"suffix":""},{"dropping-particle":"","family":"Richardson","given":"Evan S.","non-dropping-particle":"","parse-names":false,"suffix":""},{"dropping-particle":"","family":"Lunn","given":"Nicholas J.","non-dropping-particle":"","parse-names":false,"suffix":""},{"dropping-particle":"","family":"Derocher","given":"Andrew E.","non-dropping-particle":"","parse-names":false,"suffix":""},{"dropping-particle":"","family":"Molnár","given":"Péter K.","non-dropping-particle":"","parse-names":false,"suffix":""}],"container-title":"Global Change Biology","id":"ITEM-1","issue":"8","issued":{"date-parts":[["2020"]]},"page":"4197-4214","title":"The stress of Arctic warming on polar bears","type":"article-journal","volume":"26"},"uris":["http://www.mendeley.com/documents/?uuid=77baa730-73dd-4b3d-902c-b4dc9d848cf6"]}],"mendeley":{"formattedCitation":"(Boonstra et al., 2020)","plainTextFormattedCitation":"(Boonstra et al., 2020)","previouslyFormattedCitation":"(Boonstra et al., 2020)"},"properties":{"noteIndex":0},"schema":"https://github.com/citation-style-language/schema/raw/master/csl-citation.json"}</w:instrText>
      </w:r>
      <w:r w:rsidRPr="004C47E7">
        <w:rPr>
          <w:rFonts w:cstheme="minorHAnsi"/>
        </w:rPr>
        <w:fldChar w:fldCharType="separate"/>
      </w:r>
      <w:r w:rsidR="008A48C6" w:rsidRPr="008A48C6">
        <w:rPr>
          <w:rFonts w:cstheme="minorHAnsi"/>
          <w:noProof/>
        </w:rPr>
        <w:t>(Boonstra et al., 2020)</w:t>
      </w:r>
      <w:r w:rsidRPr="004C47E7">
        <w:rPr>
          <w:rFonts w:cstheme="minorHAnsi"/>
        </w:rPr>
        <w:fldChar w:fldCharType="end"/>
      </w:r>
      <w:r w:rsidRPr="004C47E7">
        <w:rPr>
          <w:rFonts w:cstheme="minorHAnsi"/>
        </w:rPr>
        <w:t>.</w:t>
      </w:r>
      <w:r w:rsidRPr="004C47E7">
        <w:rPr>
          <w:rFonts w:cstheme="minorHAnsi"/>
          <w:noProof/>
        </w:rPr>
        <w:t xml:space="preserve"> </w:t>
      </w:r>
      <w:r w:rsidRPr="004C47E7">
        <w:rPr>
          <w:rFonts w:cstheme="minorHAnsi"/>
        </w:rPr>
        <w:t>All statistical analyses were performed using R 3.6.1 software.</w:t>
      </w:r>
    </w:p>
    <w:p w14:paraId="44BB48CE" w14:textId="77777777" w:rsidR="0002342A" w:rsidRPr="004C47E7" w:rsidRDefault="0002342A" w:rsidP="0002342A">
      <w:pPr>
        <w:spacing w:line="480" w:lineRule="auto"/>
      </w:pPr>
    </w:p>
    <w:p w14:paraId="5FE4D7FB" w14:textId="5F5BBF7F" w:rsidR="0002342A" w:rsidRPr="00AE1949" w:rsidRDefault="0002342A" w:rsidP="0002342A">
      <w:pPr>
        <w:pStyle w:val="Heading2"/>
        <w:rPr>
          <w:rFonts w:asciiTheme="minorHAnsi" w:hAnsiTheme="minorHAnsi" w:cstheme="minorHAnsi"/>
          <w:b/>
          <w:bCs/>
          <w:color w:val="auto"/>
        </w:rPr>
      </w:pPr>
      <w:bookmarkStart w:id="19" w:name="_Toc120622108"/>
      <w:r w:rsidRPr="00AE1949">
        <w:rPr>
          <w:rFonts w:asciiTheme="minorHAnsi" w:hAnsiTheme="minorHAnsi" w:cstheme="minorHAnsi"/>
          <w:b/>
          <w:bCs/>
          <w:color w:val="auto"/>
        </w:rPr>
        <w:lastRenderedPageBreak/>
        <w:t>2.</w:t>
      </w:r>
      <w:r>
        <w:rPr>
          <w:rFonts w:asciiTheme="minorHAnsi" w:hAnsiTheme="minorHAnsi" w:cstheme="minorHAnsi"/>
          <w:b/>
          <w:bCs/>
          <w:color w:val="auto"/>
        </w:rPr>
        <w:t>4</w:t>
      </w:r>
      <w:r w:rsidRPr="00AE1949">
        <w:rPr>
          <w:rFonts w:asciiTheme="minorHAnsi" w:hAnsiTheme="minorHAnsi" w:cstheme="minorHAnsi"/>
          <w:b/>
          <w:bCs/>
          <w:color w:val="auto"/>
        </w:rPr>
        <w:tab/>
        <w:t>Results</w:t>
      </w:r>
      <w:bookmarkEnd w:id="19"/>
    </w:p>
    <w:p w14:paraId="693EAD85" w14:textId="443ABAED" w:rsidR="0002342A" w:rsidRPr="0015358A" w:rsidRDefault="0002342A" w:rsidP="0002342A">
      <w:pPr>
        <w:pStyle w:val="Heading3"/>
        <w:rPr>
          <w:rFonts w:asciiTheme="minorHAnsi" w:hAnsiTheme="minorHAnsi" w:cstheme="minorHAnsi"/>
          <w:b/>
          <w:bCs/>
          <w:color w:val="auto"/>
        </w:rPr>
      </w:pPr>
      <w:bookmarkStart w:id="20" w:name="_Toc120622109"/>
      <w:r w:rsidRPr="0015358A">
        <w:rPr>
          <w:rFonts w:asciiTheme="minorHAnsi" w:hAnsiTheme="minorHAnsi" w:cstheme="minorHAnsi"/>
          <w:b/>
          <w:bCs/>
          <w:color w:val="auto"/>
        </w:rPr>
        <w:t>2.4.1</w:t>
      </w:r>
      <w:r w:rsidRPr="0015358A">
        <w:rPr>
          <w:rFonts w:asciiTheme="minorHAnsi" w:hAnsiTheme="minorHAnsi" w:cstheme="minorHAnsi"/>
          <w:b/>
          <w:bCs/>
          <w:color w:val="auto"/>
        </w:rPr>
        <w:tab/>
        <w:t>Litterfall</w:t>
      </w:r>
      <w:bookmarkEnd w:id="20"/>
    </w:p>
    <w:p w14:paraId="2493B264" w14:textId="77777777" w:rsidR="0002342A" w:rsidRDefault="0002342A" w:rsidP="0002342A">
      <w:pPr>
        <w:spacing w:line="480" w:lineRule="auto"/>
      </w:pPr>
      <w:r w:rsidRPr="008726D7">
        <w:t>Overall mean leaf litter rate was 1.81 ± 0.09 g m</w:t>
      </w:r>
      <w:r w:rsidRPr="008726D7">
        <w:rPr>
          <w:vertAlign w:val="superscript"/>
        </w:rPr>
        <w:t>2</w:t>
      </w:r>
      <w:r w:rsidRPr="008726D7">
        <w:t xml:space="preserve"> d</w:t>
      </w:r>
      <w:r w:rsidRPr="008726D7">
        <w:rPr>
          <w:vertAlign w:val="superscript"/>
        </w:rPr>
        <w:t>-1</w:t>
      </w:r>
      <w:r w:rsidRPr="008726D7">
        <w:t xml:space="preserve"> (extrapolated to 6.60 ± 0.35 Mg ha</w:t>
      </w:r>
      <w:r w:rsidRPr="008726D7">
        <w:rPr>
          <w:vertAlign w:val="superscript"/>
        </w:rPr>
        <w:t>-1</w:t>
      </w:r>
      <w:r w:rsidRPr="008726D7">
        <w:t xml:space="preserve"> y</w:t>
      </w:r>
      <w:r w:rsidRPr="008726D7">
        <w:rPr>
          <w:vertAlign w:val="superscript"/>
        </w:rPr>
        <w:t>-1</w:t>
      </w:r>
      <w:r w:rsidRPr="008726D7">
        <w:t>). Somatic litter comprised 81.5 ± 0.8% of total litterfall, while the remaining 18.5 ± 0.8% was reproductive litter. For eleven months of the year somatic growth comprised a greater proportion of the total than reproductive litter. However, in June reproductive litter comprised 62.9 ± 1.8% of total litter. Both somatic and reproductive litter production showed two peaks throughout the year, each time reproductive litter peaking after somatic litter (Fig</w:t>
      </w:r>
      <w:r>
        <w:t>ure</w:t>
      </w:r>
      <w:r w:rsidRPr="008726D7">
        <w:t xml:space="preserve"> </w:t>
      </w:r>
      <w:r>
        <w:t>2.</w:t>
      </w:r>
      <w:r w:rsidRPr="008726D7">
        <w:t>2). Somatic litter peaked during March and April (averaging 1.75 ± 0.09 g m</w:t>
      </w:r>
      <w:r w:rsidRPr="008726D7">
        <w:rPr>
          <w:vertAlign w:val="superscript"/>
        </w:rPr>
        <w:t>2</w:t>
      </w:r>
      <w:r w:rsidRPr="008726D7">
        <w:t xml:space="preserve"> d</w:t>
      </w:r>
      <w:r w:rsidRPr="008726D7">
        <w:rPr>
          <w:vertAlign w:val="superscript"/>
        </w:rPr>
        <w:t>-1</w:t>
      </w:r>
      <w:r w:rsidRPr="008726D7">
        <w:t>), and again between September and November (averaging 1.44 ± 0.17 g m</w:t>
      </w:r>
      <w:r w:rsidRPr="008726D7">
        <w:rPr>
          <w:vertAlign w:val="superscript"/>
        </w:rPr>
        <w:t>2</w:t>
      </w:r>
      <w:r w:rsidRPr="008726D7">
        <w:t xml:space="preserve"> d</w:t>
      </w:r>
      <w:r w:rsidRPr="008726D7">
        <w:rPr>
          <w:vertAlign w:val="superscript"/>
        </w:rPr>
        <w:t>-1</w:t>
      </w:r>
      <w:r w:rsidRPr="008726D7">
        <w:t>) (Fig</w:t>
      </w:r>
      <w:r>
        <w:t>ure</w:t>
      </w:r>
      <w:r w:rsidRPr="008726D7">
        <w:t xml:space="preserve"> </w:t>
      </w:r>
      <w:r>
        <w:t>2.</w:t>
      </w:r>
      <w:r w:rsidRPr="008726D7">
        <w:t>2). Reproductive litter peaked between June and July (averaging 1.14 ± 0.03 g m</w:t>
      </w:r>
      <w:r w:rsidRPr="008726D7">
        <w:rPr>
          <w:vertAlign w:val="superscript"/>
        </w:rPr>
        <w:t>2</w:t>
      </w:r>
      <w:r w:rsidRPr="008726D7">
        <w:t xml:space="preserve"> d</w:t>
      </w:r>
      <w:r w:rsidRPr="008726D7">
        <w:rPr>
          <w:vertAlign w:val="superscript"/>
        </w:rPr>
        <w:t>-1</w:t>
      </w:r>
      <w:r w:rsidRPr="008726D7">
        <w:t>) and again in November (averaging 1.00 ± 0.25g m</w:t>
      </w:r>
      <w:r w:rsidRPr="008726D7">
        <w:rPr>
          <w:vertAlign w:val="superscript"/>
        </w:rPr>
        <w:t>2</w:t>
      </w:r>
      <w:r w:rsidRPr="008726D7">
        <w:t xml:space="preserve"> d</w:t>
      </w:r>
      <w:r w:rsidRPr="008726D7">
        <w:rPr>
          <w:vertAlign w:val="superscript"/>
        </w:rPr>
        <w:t>-1</w:t>
      </w:r>
      <w:r w:rsidRPr="008726D7">
        <w:t>) (Fig</w:t>
      </w:r>
      <w:r>
        <w:t>ure</w:t>
      </w:r>
      <w:r w:rsidRPr="008726D7">
        <w:t xml:space="preserve"> </w:t>
      </w:r>
      <w:r>
        <w:t>2.</w:t>
      </w:r>
      <w:r w:rsidRPr="008726D7">
        <w:t>2). Total litter production peaked from September to November, at 3.17 ± 0.32 g m</w:t>
      </w:r>
      <w:r w:rsidRPr="008726D7">
        <w:rPr>
          <w:vertAlign w:val="superscript"/>
        </w:rPr>
        <w:t>2</w:t>
      </w:r>
      <w:r w:rsidRPr="008726D7">
        <w:t xml:space="preserve"> d</w:t>
      </w:r>
      <w:r w:rsidRPr="008726D7">
        <w:rPr>
          <w:vertAlign w:val="superscript"/>
        </w:rPr>
        <w:t>-1</w:t>
      </w:r>
      <w:r w:rsidRPr="008726D7">
        <w:t>, and coincided with the end of the summer in Qatar. During this time, somatic and reproductive litter averaged 1.85 ±0.17 g m</w:t>
      </w:r>
      <w:r w:rsidRPr="008726D7">
        <w:rPr>
          <w:vertAlign w:val="superscript"/>
        </w:rPr>
        <w:t>2</w:t>
      </w:r>
      <w:r w:rsidRPr="008726D7">
        <w:t xml:space="preserve"> d</w:t>
      </w:r>
      <w:r w:rsidRPr="008726D7">
        <w:rPr>
          <w:vertAlign w:val="superscript"/>
        </w:rPr>
        <w:t>-1</w:t>
      </w:r>
      <w:r w:rsidRPr="008726D7">
        <w:t xml:space="preserve"> (58.4 ± 0.05%) and 1.32 ± 0.16 g m</w:t>
      </w:r>
      <w:r w:rsidRPr="008726D7">
        <w:rPr>
          <w:vertAlign w:val="superscript"/>
        </w:rPr>
        <w:t>2</w:t>
      </w:r>
      <w:r w:rsidRPr="008726D7">
        <w:t xml:space="preserve"> d</w:t>
      </w:r>
      <w:r w:rsidRPr="008726D7">
        <w:rPr>
          <w:vertAlign w:val="superscript"/>
        </w:rPr>
        <w:t>-1</w:t>
      </w:r>
      <w:r w:rsidRPr="008726D7">
        <w:t xml:space="preserve"> (41.6 ± 0.05%) of the daily total respectively. The lowest period for total litter production was from December to February (Fig</w:t>
      </w:r>
      <w:r>
        <w:t>ure</w:t>
      </w:r>
      <w:r w:rsidRPr="008726D7">
        <w:t xml:space="preserve"> </w:t>
      </w:r>
      <w:r>
        <w:t>2.</w:t>
      </w:r>
      <w:r w:rsidRPr="008726D7">
        <w:t>2), when total litter averaged 0.94 ± 0.07 g m</w:t>
      </w:r>
      <w:r w:rsidRPr="008726D7">
        <w:rPr>
          <w:vertAlign w:val="superscript"/>
        </w:rPr>
        <w:t>2</w:t>
      </w:r>
      <w:r w:rsidRPr="008726D7">
        <w:t xml:space="preserve"> d</w:t>
      </w:r>
      <w:r w:rsidRPr="008726D7">
        <w:rPr>
          <w:vertAlign w:val="superscript"/>
        </w:rPr>
        <w:t>-1</w:t>
      </w:r>
      <w:r w:rsidRPr="008726D7">
        <w:t xml:space="preserve"> and 98.9% of the litter was somatic material. When grouped into winter and summer seasons, no significant difference in litterfall was detected in either the total (F</w:t>
      </w:r>
      <w:r w:rsidRPr="008726D7">
        <w:rPr>
          <w:vertAlign w:val="subscript"/>
        </w:rPr>
        <w:t>2,11</w:t>
      </w:r>
      <w:r w:rsidRPr="008726D7">
        <w:t>=0.29, p=0.75), somatic (F</w:t>
      </w:r>
      <w:r w:rsidRPr="008726D7">
        <w:rPr>
          <w:vertAlign w:val="subscript"/>
        </w:rPr>
        <w:t>2,11</w:t>
      </w:r>
      <w:r w:rsidRPr="008726D7">
        <w:t>=0.49, p=0.62) or reproductive (F</w:t>
      </w:r>
      <w:r w:rsidRPr="008726D7">
        <w:rPr>
          <w:vertAlign w:val="subscript"/>
        </w:rPr>
        <w:t>2,11</w:t>
      </w:r>
      <w:r w:rsidRPr="008726D7">
        <w:t>=2.50, p=0.13) litter. Mixed effects analysis revealed inter-tidal zone alone was the best fixed effects predictor of monthly total, somatic and reproductive litter (Fig</w:t>
      </w:r>
      <w:r>
        <w:t>ure 2.</w:t>
      </w:r>
      <w:r w:rsidRPr="008726D7">
        <w:t>3). Total litter rates in low and mid tidal zones were both significantly higher than those in high tidal areas (F</w:t>
      </w:r>
      <w:r w:rsidRPr="008726D7">
        <w:rPr>
          <w:vertAlign w:val="subscript"/>
        </w:rPr>
        <w:t>2,25</w:t>
      </w:r>
      <w:r w:rsidRPr="008726D7">
        <w:t>=13.35, p&lt;0.01</w:t>
      </w:r>
      <w:r>
        <w:t>, Figure 2.3a</w:t>
      </w:r>
      <w:r w:rsidRPr="008726D7">
        <w:t>). Total litterfall in low and mid tidal zones were on average 0.56 ± 0.08 g m</w:t>
      </w:r>
      <w:r w:rsidRPr="008726D7">
        <w:rPr>
          <w:vertAlign w:val="superscript"/>
        </w:rPr>
        <w:t>2</w:t>
      </w:r>
      <w:r w:rsidRPr="008726D7">
        <w:t xml:space="preserve"> d</w:t>
      </w:r>
      <w:r w:rsidRPr="008726D7">
        <w:rPr>
          <w:vertAlign w:val="superscript"/>
        </w:rPr>
        <w:t xml:space="preserve">-1 </w:t>
      </w:r>
      <w:r w:rsidRPr="008726D7">
        <w:t>and 0.40 ± 0.01 g m</w:t>
      </w:r>
      <w:r w:rsidRPr="008726D7">
        <w:rPr>
          <w:vertAlign w:val="superscript"/>
        </w:rPr>
        <w:t>2</w:t>
      </w:r>
      <w:r w:rsidRPr="008726D7">
        <w:t xml:space="preserve"> d</w:t>
      </w:r>
      <w:r w:rsidRPr="008726D7">
        <w:rPr>
          <w:vertAlign w:val="superscript"/>
        </w:rPr>
        <w:t xml:space="preserve">-1 </w:t>
      </w:r>
      <w:r w:rsidRPr="008726D7">
        <w:t xml:space="preserve">greater than those in high tidal areas. Similarly, somatic and reproductive litterfall in low and mid tidal zones were significantly </w:t>
      </w:r>
      <w:r w:rsidRPr="008726D7">
        <w:lastRenderedPageBreak/>
        <w:t>greater than those in high tidal zones</w:t>
      </w:r>
      <w:r>
        <w:t xml:space="preserve"> (Figures 2.3b and 2.3c)</w:t>
      </w:r>
      <w:r w:rsidRPr="008726D7">
        <w:t>. Somatic litterfall was on average 0.50 ± 0.09 g m</w:t>
      </w:r>
      <w:r w:rsidRPr="008726D7">
        <w:rPr>
          <w:vertAlign w:val="superscript"/>
        </w:rPr>
        <w:t>2</w:t>
      </w:r>
      <w:r w:rsidRPr="008726D7">
        <w:t xml:space="preserve"> d</w:t>
      </w:r>
      <w:r w:rsidRPr="008726D7">
        <w:rPr>
          <w:vertAlign w:val="superscript"/>
        </w:rPr>
        <w:t xml:space="preserve">-1 </w:t>
      </w:r>
      <w:r w:rsidRPr="008726D7">
        <w:t>and 0.40 ± 0.09 g m</w:t>
      </w:r>
      <w:r w:rsidRPr="008726D7">
        <w:rPr>
          <w:vertAlign w:val="superscript"/>
        </w:rPr>
        <w:t>2</w:t>
      </w:r>
      <w:r w:rsidRPr="008726D7">
        <w:t xml:space="preserve"> d</w:t>
      </w:r>
      <w:r w:rsidRPr="008726D7">
        <w:rPr>
          <w:vertAlign w:val="superscript"/>
        </w:rPr>
        <w:t xml:space="preserve">-1 </w:t>
      </w:r>
      <w:r w:rsidRPr="008726D7">
        <w:t>greater than those in high tidal areas, while reproductive litter rates were on average 0.26 ± 0.13 g m</w:t>
      </w:r>
      <w:r w:rsidRPr="008726D7">
        <w:rPr>
          <w:vertAlign w:val="superscript"/>
        </w:rPr>
        <w:t>2</w:t>
      </w:r>
      <w:r w:rsidRPr="008726D7">
        <w:t xml:space="preserve"> d</w:t>
      </w:r>
      <w:r w:rsidRPr="008726D7">
        <w:rPr>
          <w:vertAlign w:val="superscript"/>
        </w:rPr>
        <w:t xml:space="preserve">-1 </w:t>
      </w:r>
      <w:r w:rsidRPr="008726D7">
        <w:t>and 0.01 ± 0.13 g m</w:t>
      </w:r>
      <w:r w:rsidRPr="008726D7">
        <w:rPr>
          <w:vertAlign w:val="superscript"/>
        </w:rPr>
        <w:t>2</w:t>
      </w:r>
      <w:r w:rsidRPr="008726D7">
        <w:t xml:space="preserve"> d</w:t>
      </w:r>
      <w:r w:rsidRPr="008726D7">
        <w:rPr>
          <w:vertAlign w:val="superscript"/>
        </w:rPr>
        <w:t xml:space="preserve">-1 </w:t>
      </w:r>
      <w:r w:rsidRPr="008726D7">
        <w:t>greater than those in high tidal areas.</w:t>
      </w:r>
    </w:p>
    <w:p w14:paraId="512F6F75" w14:textId="77777777" w:rsidR="0002342A" w:rsidRDefault="0002342A" w:rsidP="0002342A">
      <w:pPr>
        <w:spacing w:line="480" w:lineRule="auto"/>
        <w:sectPr w:rsidR="0002342A" w:rsidSect="00E55250">
          <w:pgSz w:w="11906" w:h="16838"/>
          <w:pgMar w:top="1440" w:right="1440" w:bottom="1440" w:left="1440" w:header="720" w:footer="720" w:gutter="0"/>
          <w:cols w:space="720"/>
          <w:titlePg/>
          <w:docGrid w:linePitch="360"/>
        </w:sectPr>
      </w:pPr>
    </w:p>
    <w:p w14:paraId="23D3C022" w14:textId="77777777" w:rsidR="0002342A" w:rsidRDefault="0002342A" w:rsidP="0002342A">
      <w:pPr>
        <w:spacing w:line="480" w:lineRule="auto"/>
      </w:pPr>
      <w:r>
        <w:rPr>
          <w:b/>
          <w:bCs/>
          <w:noProof/>
          <w:sz w:val="18"/>
          <w:szCs w:val="18"/>
          <w:lang w:eastAsia="en-GB"/>
        </w:rPr>
        <w:lastRenderedPageBreak/>
        <w:drawing>
          <wp:inline distT="0" distB="0" distL="0" distR="0" wp14:anchorId="7AA7E542" wp14:editId="16131D46">
            <wp:extent cx="8573359" cy="5715000"/>
            <wp:effectExtent l="0" t="0" r="0" b="0"/>
            <wp:docPr id="8" name="Picture 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line char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641016" cy="5760100"/>
                    </a:xfrm>
                    <a:prstGeom prst="rect">
                      <a:avLst/>
                    </a:prstGeom>
                  </pic:spPr>
                </pic:pic>
              </a:graphicData>
            </a:graphic>
          </wp:inline>
        </w:drawing>
      </w:r>
    </w:p>
    <w:p w14:paraId="0D7EB005" w14:textId="33D5B9F0" w:rsidR="0002342A" w:rsidRDefault="0002342A" w:rsidP="0002342A">
      <w:pPr>
        <w:rPr>
          <w:b/>
          <w:bCs/>
          <w:sz w:val="18"/>
          <w:szCs w:val="18"/>
        </w:rPr>
        <w:sectPr w:rsidR="0002342A" w:rsidSect="0039408E">
          <w:pgSz w:w="16838" w:h="11906" w:orient="landscape"/>
          <w:pgMar w:top="720" w:right="720" w:bottom="720" w:left="720" w:header="720" w:footer="720" w:gutter="0"/>
          <w:cols w:space="720"/>
          <w:docGrid w:linePitch="360"/>
        </w:sectPr>
      </w:pPr>
      <w:r>
        <w:rPr>
          <w:b/>
          <w:bCs/>
          <w:sz w:val="18"/>
          <w:szCs w:val="18"/>
        </w:rPr>
        <w:t>Figure 2.2</w:t>
      </w:r>
      <w:r w:rsidRPr="00535022">
        <w:rPr>
          <w:b/>
          <w:bCs/>
          <w:sz w:val="18"/>
          <w:szCs w:val="18"/>
        </w:rPr>
        <w:t xml:space="preserve">: </w:t>
      </w:r>
      <w:r>
        <w:rPr>
          <w:b/>
          <w:bCs/>
          <w:sz w:val="18"/>
          <w:szCs w:val="18"/>
        </w:rPr>
        <w:t>Lines and shadowed areas represent m</w:t>
      </w:r>
      <w:r w:rsidRPr="00535022">
        <w:rPr>
          <w:b/>
          <w:bCs/>
          <w:sz w:val="18"/>
          <w:szCs w:val="18"/>
        </w:rPr>
        <w:t>ean ±</w:t>
      </w:r>
      <w:r>
        <w:rPr>
          <w:b/>
          <w:bCs/>
          <w:sz w:val="18"/>
          <w:szCs w:val="18"/>
        </w:rPr>
        <w:t xml:space="preserve"> SE</w:t>
      </w:r>
      <w:r w:rsidRPr="00535022">
        <w:rPr>
          <w:b/>
          <w:bCs/>
          <w:sz w:val="18"/>
          <w:szCs w:val="18"/>
        </w:rPr>
        <w:t xml:space="preserve"> </w:t>
      </w:r>
      <w:r>
        <w:rPr>
          <w:b/>
          <w:bCs/>
          <w:sz w:val="18"/>
          <w:szCs w:val="18"/>
        </w:rPr>
        <w:t xml:space="preserve">daily somatic and reproductive litterfall rate across different months averaged over all three sampling sites and faded points are sampling data points. </w:t>
      </w:r>
      <w:r w:rsidR="004636FB">
        <w:rPr>
          <w:b/>
          <w:bCs/>
          <w:sz w:val="18"/>
          <w:szCs w:val="18"/>
        </w:rPr>
        <w:t xml:space="preserve"> Lines are smoothed using a second order </w:t>
      </w:r>
      <w:r w:rsidR="00686AEE">
        <w:rPr>
          <w:b/>
          <w:bCs/>
          <w:sz w:val="18"/>
          <w:szCs w:val="18"/>
        </w:rPr>
        <w:t>polynomial function</w:t>
      </w:r>
      <w:r w:rsidR="004636FB">
        <w:rPr>
          <w:b/>
          <w:bCs/>
          <w:sz w:val="18"/>
          <w:szCs w:val="18"/>
        </w:rPr>
        <w:t>.</w:t>
      </w:r>
    </w:p>
    <w:p w14:paraId="50337739" w14:textId="5C401554" w:rsidR="0002342A" w:rsidRDefault="009C0B9D" w:rsidP="0002342A">
      <w:pPr>
        <w:spacing w:line="480" w:lineRule="auto"/>
        <w:rPr>
          <w:b/>
          <w:bCs/>
          <w:sz w:val="18"/>
          <w:szCs w:val="18"/>
        </w:rPr>
      </w:pPr>
      <w:r>
        <w:rPr>
          <w:b/>
          <w:bCs/>
          <w:noProof/>
          <w:sz w:val="18"/>
          <w:szCs w:val="18"/>
        </w:rPr>
        <w:lastRenderedPageBreak/>
        <mc:AlternateContent>
          <mc:Choice Requires="wps">
            <w:drawing>
              <wp:anchor distT="0" distB="0" distL="114300" distR="114300" simplePos="0" relativeHeight="251715584" behindDoc="0" locked="0" layoutInCell="1" allowOverlap="1" wp14:anchorId="4C1AE555" wp14:editId="77B03BA2">
                <wp:simplePos x="0" y="0"/>
                <wp:positionH relativeFrom="column">
                  <wp:posOffset>4133090</wp:posOffset>
                </wp:positionH>
                <wp:positionV relativeFrom="paragraph">
                  <wp:posOffset>295910</wp:posOffset>
                </wp:positionV>
                <wp:extent cx="434541" cy="344031"/>
                <wp:effectExtent l="0" t="0" r="0" b="0"/>
                <wp:wrapNone/>
                <wp:docPr id="11" name="Text Box 11"/>
                <wp:cNvGraphicFramePr/>
                <a:graphic xmlns:a="http://schemas.openxmlformats.org/drawingml/2006/main">
                  <a:graphicData uri="http://schemas.microsoft.com/office/word/2010/wordprocessingShape">
                    <wps:wsp>
                      <wps:cNvSpPr txBox="1"/>
                      <wps:spPr>
                        <a:xfrm>
                          <a:off x="0" y="0"/>
                          <a:ext cx="434541" cy="344031"/>
                        </a:xfrm>
                        <a:prstGeom prst="rect">
                          <a:avLst/>
                        </a:prstGeom>
                        <a:solidFill>
                          <a:schemeClr val="lt1"/>
                        </a:solidFill>
                        <a:ln w="6350">
                          <a:noFill/>
                        </a:ln>
                      </wps:spPr>
                      <wps:txbx>
                        <w:txbxContent>
                          <w:p w14:paraId="772E5D3B" w14:textId="0C68D3CA" w:rsidR="00BE2DDF" w:rsidRPr="00C13EAA" w:rsidRDefault="00BE2DDF" w:rsidP="00BE2DDF">
                            <w:pPr>
                              <w:rPr>
                                <w:sz w:val="32"/>
                                <w:szCs w:val="32"/>
                              </w:rPr>
                            </w:pPr>
                            <w:r>
                              <w:rPr>
                                <w:sz w:val="32"/>
                                <w:szCs w:val="32"/>
                              </w:rPr>
                              <w:t>c</w:t>
                            </w:r>
                            <w:r w:rsidRPr="00C13EAA">
                              <w:rPr>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AE555" id="Text Box 11" o:spid="_x0000_s1038" type="#_x0000_t202" style="position:absolute;margin-left:325.45pt;margin-top:23.3pt;width:34.2pt;height:27.1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" fillcolor="white [3201]" stroked="f" strokeweight=".5pt">
                <v:textbox>
                  <w:txbxContent>
                    <w:p w14:paraId="772E5D3B" w14:textId="0C68D3CA" w:rsidR="00BE2DDF" w:rsidRPr="00C13EAA" w:rsidRDefault="00BE2DDF" w:rsidP="00BE2DDF">
                      <w:pPr>
                        <w:rPr>
                          <w:sz w:val="32"/>
                          <w:szCs w:val="32"/>
                        </w:rPr>
                      </w:pPr>
                      <w:r>
                        <w:rPr>
                          <w:sz w:val="32"/>
                          <w:szCs w:val="32"/>
                        </w:rPr>
                        <w:t>c</w:t>
                      </w:r>
                      <w:r w:rsidRPr="00C13EAA">
                        <w:rPr>
                          <w:sz w:val="32"/>
                          <w:szCs w:val="32"/>
                        </w:rPr>
                        <w:t>)</w:t>
                      </w:r>
                    </w:p>
                  </w:txbxContent>
                </v:textbox>
              </v:shape>
            </w:pict>
          </mc:Fallback>
        </mc:AlternateContent>
      </w:r>
      <w:r>
        <w:rPr>
          <w:b/>
          <w:bCs/>
          <w:noProof/>
          <w:sz w:val="18"/>
          <w:szCs w:val="18"/>
        </w:rPr>
        <mc:AlternateContent>
          <mc:Choice Requires="wps">
            <w:drawing>
              <wp:anchor distT="0" distB="0" distL="114300" distR="114300" simplePos="0" relativeHeight="251713536" behindDoc="0" locked="0" layoutInCell="1" allowOverlap="1" wp14:anchorId="3FFDA2DE" wp14:editId="1A27A65A">
                <wp:simplePos x="0" y="0"/>
                <wp:positionH relativeFrom="column">
                  <wp:posOffset>2016288</wp:posOffset>
                </wp:positionH>
                <wp:positionV relativeFrom="paragraph">
                  <wp:posOffset>297180</wp:posOffset>
                </wp:positionV>
                <wp:extent cx="434541" cy="344031"/>
                <wp:effectExtent l="0" t="0" r="0" b="0"/>
                <wp:wrapNone/>
                <wp:docPr id="7" name="Text Box 7"/>
                <wp:cNvGraphicFramePr/>
                <a:graphic xmlns:a="http://schemas.openxmlformats.org/drawingml/2006/main">
                  <a:graphicData uri="http://schemas.microsoft.com/office/word/2010/wordprocessingShape">
                    <wps:wsp>
                      <wps:cNvSpPr txBox="1"/>
                      <wps:spPr>
                        <a:xfrm>
                          <a:off x="0" y="0"/>
                          <a:ext cx="434541" cy="344031"/>
                        </a:xfrm>
                        <a:prstGeom prst="rect">
                          <a:avLst/>
                        </a:prstGeom>
                        <a:solidFill>
                          <a:schemeClr val="lt1"/>
                        </a:solidFill>
                        <a:ln w="6350">
                          <a:noFill/>
                        </a:ln>
                      </wps:spPr>
                      <wps:txbx>
                        <w:txbxContent>
                          <w:p w14:paraId="6FDFD458" w14:textId="1744D1B0" w:rsidR="00C13EAA" w:rsidRPr="00C13EAA" w:rsidRDefault="00C13EAA" w:rsidP="00C13EAA">
                            <w:pPr>
                              <w:rPr>
                                <w:sz w:val="32"/>
                                <w:szCs w:val="32"/>
                              </w:rPr>
                            </w:pPr>
                            <w:r>
                              <w:rPr>
                                <w:sz w:val="32"/>
                                <w:szCs w:val="32"/>
                              </w:rPr>
                              <w:t>b</w:t>
                            </w:r>
                            <w:r w:rsidRPr="00C13EAA">
                              <w:rPr>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DA2DE" id="Text Box 7" o:spid="_x0000_s1039" type="#_x0000_t202" style="position:absolute;margin-left:158.75pt;margin-top:23.4pt;width:34.2pt;height:27.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" fillcolor="white [3201]" stroked="f" strokeweight=".5pt">
                <v:textbox>
                  <w:txbxContent>
                    <w:p w14:paraId="6FDFD458" w14:textId="1744D1B0" w:rsidR="00C13EAA" w:rsidRPr="00C13EAA" w:rsidRDefault="00C13EAA" w:rsidP="00C13EAA">
                      <w:pPr>
                        <w:rPr>
                          <w:sz w:val="32"/>
                          <w:szCs w:val="32"/>
                        </w:rPr>
                      </w:pPr>
                      <w:r>
                        <w:rPr>
                          <w:sz w:val="32"/>
                          <w:szCs w:val="32"/>
                        </w:rPr>
                        <w:t>b</w:t>
                      </w:r>
                      <w:r w:rsidRPr="00C13EAA">
                        <w:rPr>
                          <w:sz w:val="32"/>
                          <w:szCs w:val="32"/>
                        </w:rPr>
                        <w:t>)</w:t>
                      </w:r>
                    </w:p>
                  </w:txbxContent>
                </v:textbox>
              </v:shape>
            </w:pict>
          </mc:Fallback>
        </mc:AlternateContent>
      </w:r>
      <w:r>
        <w:rPr>
          <w:b/>
          <w:bCs/>
          <w:noProof/>
          <w:sz w:val="18"/>
          <w:szCs w:val="18"/>
        </w:rPr>
        <mc:AlternateContent>
          <mc:Choice Requires="wps">
            <w:drawing>
              <wp:anchor distT="0" distB="0" distL="114300" distR="114300" simplePos="0" relativeHeight="251711488" behindDoc="0" locked="0" layoutInCell="1" allowOverlap="1" wp14:anchorId="02E4B4EC" wp14:editId="2B7076D4">
                <wp:simplePos x="0" y="0"/>
                <wp:positionH relativeFrom="column">
                  <wp:posOffset>-58458</wp:posOffset>
                </wp:positionH>
                <wp:positionV relativeFrom="paragraph">
                  <wp:posOffset>297815</wp:posOffset>
                </wp:positionV>
                <wp:extent cx="353085" cy="344031"/>
                <wp:effectExtent l="0" t="0" r="2540" b="0"/>
                <wp:wrapNone/>
                <wp:docPr id="3" name="Text Box 3"/>
                <wp:cNvGraphicFramePr/>
                <a:graphic xmlns:a="http://schemas.openxmlformats.org/drawingml/2006/main">
                  <a:graphicData uri="http://schemas.microsoft.com/office/word/2010/wordprocessingShape">
                    <wps:wsp>
                      <wps:cNvSpPr txBox="1"/>
                      <wps:spPr>
                        <a:xfrm>
                          <a:off x="0" y="0"/>
                          <a:ext cx="353085" cy="344031"/>
                        </a:xfrm>
                        <a:prstGeom prst="rect">
                          <a:avLst/>
                        </a:prstGeom>
                        <a:solidFill>
                          <a:schemeClr val="lt1"/>
                        </a:solidFill>
                        <a:ln w="6350">
                          <a:noFill/>
                        </a:ln>
                      </wps:spPr>
                      <wps:txbx>
                        <w:txbxContent>
                          <w:p w14:paraId="2B956E83" w14:textId="68F66B93" w:rsidR="00C13EAA" w:rsidRPr="00C13EAA" w:rsidRDefault="00C13EAA">
                            <w:pPr>
                              <w:rPr>
                                <w:sz w:val="32"/>
                                <w:szCs w:val="32"/>
                              </w:rPr>
                            </w:pPr>
                            <w:r w:rsidRPr="00C13EAA">
                              <w:rPr>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4B4EC" id="Text Box 3" o:spid="_x0000_s1040" type="#_x0000_t202" style="position:absolute;margin-left:-4.6pt;margin-top:23.45pt;width:27.8pt;height:27.1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" fillcolor="white [3201]" stroked="f" strokeweight=".5pt">
                <v:textbox>
                  <w:txbxContent>
                    <w:p w14:paraId="2B956E83" w14:textId="68F66B93" w:rsidR="00C13EAA" w:rsidRPr="00C13EAA" w:rsidRDefault="00C13EAA">
                      <w:pPr>
                        <w:rPr>
                          <w:sz w:val="32"/>
                          <w:szCs w:val="32"/>
                        </w:rPr>
                      </w:pPr>
                      <w:r w:rsidRPr="00C13EAA">
                        <w:rPr>
                          <w:sz w:val="32"/>
                          <w:szCs w:val="32"/>
                        </w:rPr>
                        <w:t>a)</w:t>
                      </w:r>
                    </w:p>
                  </w:txbxContent>
                </v:textbox>
              </v:shape>
            </w:pict>
          </mc:Fallback>
        </mc:AlternateContent>
      </w:r>
      <w:r w:rsidRPr="009C0B9D">
        <w:rPr>
          <w:noProof/>
        </w:rPr>
        <w:t xml:space="preserve"> </w:t>
      </w:r>
      <w:r w:rsidR="007936E3" w:rsidRPr="007936E3">
        <w:rPr>
          <w:noProof/>
        </w:rPr>
        <w:drawing>
          <wp:inline distT="0" distB="0" distL="0" distR="0" wp14:anchorId="23E40741" wp14:editId="1A400C5E">
            <wp:extent cx="6292158" cy="3343362"/>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314705" cy="3355342"/>
                    </a:xfrm>
                    <a:prstGeom prst="rect">
                      <a:avLst/>
                    </a:prstGeom>
                  </pic:spPr>
                </pic:pic>
              </a:graphicData>
            </a:graphic>
          </wp:inline>
        </w:drawing>
      </w:r>
    </w:p>
    <w:p w14:paraId="6171A384" w14:textId="4D4DE36B" w:rsidR="0002342A" w:rsidRDefault="0002342A" w:rsidP="00906EF9">
      <w:pPr>
        <w:rPr>
          <w:b/>
          <w:bCs/>
          <w:sz w:val="18"/>
          <w:szCs w:val="18"/>
        </w:rPr>
      </w:pPr>
      <w:r>
        <w:rPr>
          <w:b/>
          <w:bCs/>
          <w:sz w:val="18"/>
          <w:szCs w:val="18"/>
        </w:rPr>
        <w:t>Figure 2.3</w:t>
      </w:r>
      <w:r w:rsidRPr="00535022">
        <w:rPr>
          <w:b/>
          <w:bCs/>
          <w:sz w:val="18"/>
          <w:szCs w:val="18"/>
        </w:rPr>
        <w:t xml:space="preserve">: </w:t>
      </w:r>
      <w:r w:rsidR="004539BA">
        <w:rPr>
          <w:b/>
          <w:bCs/>
          <w:sz w:val="18"/>
          <w:szCs w:val="18"/>
        </w:rPr>
        <w:t>D</w:t>
      </w:r>
      <w:r>
        <w:rPr>
          <w:b/>
          <w:bCs/>
          <w:sz w:val="18"/>
          <w:szCs w:val="18"/>
        </w:rPr>
        <w:t>aily litter rate of a) total; b) somatic and c) reproductive litterfall across tidal heights.</w:t>
      </w:r>
      <w:r w:rsidR="004539BA">
        <w:rPr>
          <w:b/>
          <w:bCs/>
          <w:sz w:val="18"/>
          <w:szCs w:val="18"/>
        </w:rPr>
        <w:t xml:space="preserve"> Thick black lines represent median, while lower and upper limits of boxes represent 25</w:t>
      </w:r>
      <w:r w:rsidR="004539BA" w:rsidRPr="00906EF9">
        <w:rPr>
          <w:b/>
          <w:bCs/>
          <w:sz w:val="18"/>
          <w:szCs w:val="18"/>
          <w:vertAlign w:val="superscript"/>
        </w:rPr>
        <w:t>th</w:t>
      </w:r>
      <w:r w:rsidR="004539BA">
        <w:rPr>
          <w:b/>
          <w:bCs/>
          <w:sz w:val="18"/>
          <w:szCs w:val="18"/>
        </w:rPr>
        <w:t xml:space="preserve"> and 75</w:t>
      </w:r>
      <w:r w:rsidR="004539BA" w:rsidRPr="00906EF9">
        <w:rPr>
          <w:b/>
          <w:bCs/>
          <w:sz w:val="18"/>
          <w:szCs w:val="18"/>
          <w:vertAlign w:val="superscript"/>
        </w:rPr>
        <w:t>th</w:t>
      </w:r>
      <w:r w:rsidR="004539BA">
        <w:rPr>
          <w:b/>
          <w:bCs/>
          <w:sz w:val="18"/>
          <w:szCs w:val="18"/>
        </w:rPr>
        <w:t xml:space="preserve"> quantiles.</w:t>
      </w:r>
    </w:p>
    <w:p w14:paraId="5F9AE8AD" w14:textId="77777777" w:rsidR="0002342A" w:rsidRDefault="0002342A" w:rsidP="0002342A">
      <w:pPr>
        <w:spacing w:line="480" w:lineRule="auto"/>
        <w:rPr>
          <w:b/>
          <w:bCs/>
          <w:sz w:val="18"/>
          <w:szCs w:val="18"/>
        </w:rPr>
      </w:pPr>
    </w:p>
    <w:p w14:paraId="54DD1A00" w14:textId="08222C1A" w:rsidR="0002342A" w:rsidRPr="0022464E" w:rsidRDefault="0002342A" w:rsidP="0002342A">
      <w:pPr>
        <w:pStyle w:val="Heading3"/>
        <w:rPr>
          <w:rFonts w:asciiTheme="minorHAnsi" w:hAnsiTheme="minorHAnsi" w:cstheme="minorHAnsi"/>
          <w:b/>
          <w:bCs/>
          <w:color w:val="auto"/>
        </w:rPr>
      </w:pPr>
      <w:bookmarkStart w:id="21" w:name="_Toc120622110"/>
      <w:r w:rsidRPr="0022464E">
        <w:rPr>
          <w:rFonts w:asciiTheme="minorHAnsi" w:hAnsiTheme="minorHAnsi" w:cstheme="minorHAnsi"/>
          <w:b/>
          <w:bCs/>
          <w:color w:val="auto"/>
        </w:rPr>
        <w:t>2.4.2</w:t>
      </w:r>
      <w:r w:rsidRPr="0022464E">
        <w:rPr>
          <w:rFonts w:asciiTheme="minorHAnsi" w:hAnsiTheme="minorHAnsi" w:cstheme="minorHAnsi"/>
          <w:b/>
          <w:bCs/>
          <w:color w:val="auto"/>
        </w:rPr>
        <w:tab/>
        <w:t>Aboveground apical shoot growth</w:t>
      </w:r>
      <w:bookmarkEnd w:id="21"/>
    </w:p>
    <w:p w14:paraId="413B5415" w14:textId="77777777" w:rsidR="0002342A" w:rsidRDefault="0002342A" w:rsidP="0002342A">
      <w:pPr>
        <w:spacing w:line="480" w:lineRule="auto"/>
      </w:pPr>
      <w:r w:rsidRPr="008726D7">
        <w:t>Mean overall shoot tip growth was 1.24 ± 0.16 cm per month (mn</w:t>
      </w:r>
      <w:r w:rsidRPr="008726D7">
        <w:rPr>
          <w:vertAlign w:val="superscript"/>
        </w:rPr>
        <w:t>-1</w:t>
      </w:r>
      <w:r w:rsidRPr="008726D7">
        <w:t>). Growth in winter was &gt;1.5 times that of growth in summer (Fig</w:t>
      </w:r>
      <w:r>
        <w:t>ure</w:t>
      </w:r>
      <w:r w:rsidRPr="008726D7">
        <w:t xml:space="preserve"> </w:t>
      </w:r>
      <w:r>
        <w:t>2.</w:t>
      </w:r>
      <w:r w:rsidRPr="008726D7">
        <w:t>4). Difference in shoot tip growth between summer and winter was statistically significant, as revealed by mixed effects analysis (F</w:t>
      </w:r>
      <w:r w:rsidRPr="008726D7">
        <w:rPr>
          <w:vertAlign w:val="subscript"/>
        </w:rPr>
        <w:t>1,133</w:t>
      </w:r>
      <w:r w:rsidRPr="008726D7">
        <w:t>=12.91, p&lt;0.01) (Fig</w:t>
      </w:r>
      <w:r>
        <w:t>ure</w:t>
      </w:r>
      <w:r w:rsidRPr="008726D7">
        <w:t xml:space="preserve"> </w:t>
      </w:r>
      <w:r>
        <w:t>2.</w:t>
      </w:r>
      <w:r w:rsidRPr="008726D7">
        <w:t>4) and averaged 1.54 ± 0.10 cm mn</w:t>
      </w:r>
      <w:r w:rsidRPr="008726D7">
        <w:rPr>
          <w:vertAlign w:val="superscript"/>
        </w:rPr>
        <w:t>-1</w:t>
      </w:r>
      <w:r w:rsidRPr="008726D7">
        <w:t>, whereas in summer growth averaged 0.96 ± 0.09 cm mn</w:t>
      </w:r>
      <w:r w:rsidRPr="008726D7">
        <w:rPr>
          <w:vertAlign w:val="superscript"/>
        </w:rPr>
        <w:t>-1</w:t>
      </w:r>
      <w:r w:rsidRPr="008726D7">
        <w:t>. Unlike litterfall, shoot growth did not show variation between tidal heights (F</w:t>
      </w:r>
      <w:r w:rsidRPr="008726D7">
        <w:rPr>
          <w:vertAlign w:val="subscript"/>
        </w:rPr>
        <w:t>2,24</w:t>
      </w:r>
      <w:r w:rsidRPr="008726D7">
        <w:t>=0.92, p=0.41) (Fig</w:t>
      </w:r>
      <w:r>
        <w:t>ure</w:t>
      </w:r>
      <w:r w:rsidRPr="008726D7">
        <w:t xml:space="preserve"> </w:t>
      </w:r>
      <w:r>
        <w:t>2.</w:t>
      </w:r>
      <w:r w:rsidRPr="008726D7">
        <w:t xml:space="preserve">4). </w:t>
      </w:r>
    </w:p>
    <w:p w14:paraId="1C157A8E" w14:textId="77777777" w:rsidR="0002342A" w:rsidRDefault="0002342A" w:rsidP="0002342A">
      <w:pPr>
        <w:spacing w:line="480" w:lineRule="auto"/>
      </w:pPr>
    </w:p>
    <w:p w14:paraId="7F0B53A7" w14:textId="401A6925" w:rsidR="0002342A" w:rsidRDefault="002E33CD" w:rsidP="0002342A">
      <w:pPr>
        <w:spacing w:line="480" w:lineRule="auto"/>
        <w:rPr>
          <w:b/>
          <w:bCs/>
          <w:sz w:val="18"/>
          <w:szCs w:val="18"/>
        </w:rPr>
      </w:pPr>
      <w:r w:rsidRPr="002E33CD">
        <w:rPr>
          <w:noProof/>
        </w:rPr>
        <w:lastRenderedPageBreak/>
        <w:t xml:space="preserve"> </w:t>
      </w:r>
      <w:r w:rsidRPr="002E33CD">
        <w:rPr>
          <w:b/>
          <w:bCs/>
          <w:noProof/>
          <w:sz w:val="18"/>
          <w:szCs w:val="18"/>
        </w:rPr>
        <w:drawing>
          <wp:inline distT="0" distB="0" distL="0" distR="0" wp14:anchorId="1AA797A4" wp14:editId="1DBC4C76">
            <wp:extent cx="5731510" cy="4693920"/>
            <wp:effectExtent l="0" t="0" r="0" b="508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1510" cy="4693920"/>
                    </a:xfrm>
                    <a:prstGeom prst="rect">
                      <a:avLst/>
                    </a:prstGeom>
                  </pic:spPr>
                </pic:pic>
              </a:graphicData>
            </a:graphic>
          </wp:inline>
        </w:drawing>
      </w:r>
    </w:p>
    <w:p w14:paraId="7095251A" w14:textId="67F4B064" w:rsidR="0002342A" w:rsidRPr="00E63818" w:rsidRDefault="0002342A" w:rsidP="00906EF9">
      <w:pPr>
        <w:rPr>
          <w:b/>
          <w:bCs/>
          <w:sz w:val="18"/>
          <w:szCs w:val="18"/>
        </w:rPr>
      </w:pPr>
      <w:r>
        <w:rPr>
          <w:b/>
          <w:bCs/>
          <w:sz w:val="18"/>
          <w:szCs w:val="18"/>
        </w:rPr>
        <w:t>Figure 2.4</w:t>
      </w:r>
      <w:r w:rsidRPr="00535022">
        <w:rPr>
          <w:b/>
          <w:bCs/>
          <w:sz w:val="18"/>
          <w:szCs w:val="18"/>
        </w:rPr>
        <w:t xml:space="preserve">: </w:t>
      </w:r>
      <w:r w:rsidR="00FC58AF">
        <w:rPr>
          <w:b/>
          <w:bCs/>
          <w:sz w:val="18"/>
          <w:szCs w:val="18"/>
        </w:rPr>
        <w:t>A</w:t>
      </w:r>
      <w:r>
        <w:rPr>
          <w:b/>
          <w:bCs/>
          <w:sz w:val="18"/>
          <w:szCs w:val="18"/>
        </w:rPr>
        <w:t>pical tip growth across tidal heights and different seasons.</w:t>
      </w:r>
      <w:r w:rsidR="00445C7E">
        <w:rPr>
          <w:b/>
          <w:bCs/>
          <w:sz w:val="18"/>
          <w:szCs w:val="18"/>
        </w:rPr>
        <w:t xml:space="preserve"> </w:t>
      </w:r>
      <w:r w:rsidR="00FC58AF">
        <w:rPr>
          <w:b/>
          <w:bCs/>
          <w:sz w:val="18"/>
          <w:szCs w:val="18"/>
        </w:rPr>
        <w:t>Thick black lines represent median, while lower and upper limits of boxes represent 25</w:t>
      </w:r>
      <w:r w:rsidR="00FC58AF" w:rsidRPr="00D21C26">
        <w:rPr>
          <w:b/>
          <w:bCs/>
          <w:sz w:val="18"/>
          <w:szCs w:val="18"/>
          <w:vertAlign w:val="superscript"/>
        </w:rPr>
        <w:t>th</w:t>
      </w:r>
      <w:r w:rsidR="00FC58AF">
        <w:rPr>
          <w:b/>
          <w:bCs/>
          <w:sz w:val="18"/>
          <w:szCs w:val="18"/>
        </w:rPr>
        <w:t xml:space="preserve"> and 75</w:t>
      </w:r>
      <w:r w:rsidR="00FC58AF" w:rsidRPr="00D21C26">
        <w:rPr>
          <w:b/>
          <w:bCs/>
          <w:sz w:val="18"/>
          <w:szCs w:val="18"/>
          <w:vertAlign w:val="superscript"/>
        </w:rPr>
        <w:t>th</w:t>
      </w:r>
      <w:r w:rsidR="00FC58AF">
        <w:rPr>
          <w:b/>
          <w:bCs/>
          <w:sz w:val="18"/>
          <w:szCs w:val="18"/>
        </w:rPr>
        <w:t xml:space="preserve"> quantiles. </w:t>
      </w:r>
      <w:r w:rsidR="00445C7E">
        <w:rPr>
          <w:b/>
          <w:bCs/>
          <w:sz w:val="18"/>
          <w:szCs w:val="18"/>
        </w:rPr>
        <w:t>Negative shoot growth indicates when apical tips broke off and were shorter than the previous measurement.</w:t>
      </w:r>
    </w:p>
    <w:p w14:paraId="24BD44F7" w14:textId="77777777" w:rsidR="0002342A" w:rsidRPr="001F47A5" w:rsidRDefault="0002342A" w:rsidP="0002342A">
      <w:pPr>
        <w:spacing w:line="480" w:lineRule="auto"/>
      </w:pPr>
    </w:p>
    <w:p w14:paraId="0C0B8E93" w14:textId="355EB8C3" w:rsidR="0002342A" w:rsidRPr="008D401F" w:rsidRDefault="0002342A" w:rsidP="0002342A">
      <w:pPr>
        <w:pStyle w:val="Heading3"/>
        <w:rPr>
          <w:rFonts w:asciiTheme="minorHAnsi" w:hAnsiTheme="minorHAnsi" w:cstheme="minorHAnsi"/>
          <w:b/>
          <w:bCs/>
          <w:color w:val="auto"/>
        </w:rPr>
      </w:pPr>
      <w:bookmarkStart w:id="22" w:name="_Toc120622111"/>
      <w:r w:rsidRPr="008D401F">
        <w:rPr>
          <w:rFonts w:asciiTheme="minorHAnsi" w:hAnsiTheme="minorHAnsi" w:cstheme="minorHAnsi"/>
          <w:b/>
          <w:bCs/>
          <w:color w:val="auto"/>
        </w:rPr>
        <w:t>2.4.3</w:t>
      </w:r>
      <w:r w:rsidRPr="008D401F">
        <w:rPr>
          <w:rFonts w:asciiTheme="minorHAnsi" w:hAnsiTheme="minorHAnsi" w:cstheme="minorHAnsi"/>
          <w:b/>
          <w:bCs/>
          <w:color w:val="auto"/>
        </w:rPr>
        <w:tab/>
        <w:t>Below ground tree growth</w:t>
      </w:r>
      <w:bookmarkEnd w:id="22"/>
    </w:p>
    <w:p w14:paraId="326964E3" w14:textId="77777777" w:rsidR="0002342A" w:rsidRDefault="0002342A" w:rsidP="0002342A">
      <w:pPr>
        <w:spacing w:line="480" w:lineRule="auto"/>
      </w:pPr>
      <w:r w:rsidRPr="008726D7">
        <w:t>Mean below ground tree growth over the study period across all three sites and transect locations was 1.03 ± 0.03 Mg ha yr</w:t>
      </w:r>
      <w:r w:rsidRPr="008726D7">
        <w:rPr>
          <w:vertAlign w:val="superscript"/>
        </w:rPr>
        <w:t>-1</w:t>
      </w:r>
      <w:r w:rsidRPr="008726D7">
        <w:t>. Mixed effects analysis revealed tidal height (F</w:t>
      </w:r>
      <w:r w:rsidRPr="008726D7">
        <w:rPr>
          <w:vertAlign w:val="subscript"/>
        </w:rPr>
        <w:t>2,46</w:t>
      </w:r>
      <w:r w:rsidRPr="008726D7">
        <w:t>=4.81, p=0.01), site (F</w:t>
      </w:r>
      <w:r w:rsidRPr="008726D7">
        <w:rPr>
          <w:vertAlign w:val="subscript"/>
        </w:rPr>
        <w:t>2,46</w:t>
      </w:r>
      <w:r w:rsidRPr="008726D7">
        <w:t>=4.98, p=0.01) and an interaction of these two factors (F</w:t>
      </w:r>
      <w:r w:rsidRPr="008726D7">
        <w:rPr>
          <w:vertAlign w:val="subscript"/>
        </w:rPr>
        <w:t>4,46</w:t>
      </w:r>
      <w:r w:rsidRPr="008726D7">
        <w:t>=2.81, p=0.03) best explained annual root growth (Fig</w:t>
      </w:r>
      <w:r>
        <w:t>ure</w:t>
      </w:r>
      <w:r w:rsidRPr="008726D7">
        <w:t xml:space="preserve"> </w:t>
      </w:r>
      <w:r>
        <w:t>2.</w:t>
      </w:r>
      <w:r w:rsidRPr="008726D7">
        <w:t>5). Root growth across all lower tidal zones, averaging 1.69 ± 0.59 Mg ha yr</w:t>
      </w:r>
      <w:r w:rsidRPr="008726D7">
        <w:rPr>
          <w:vertAlign w:val="superscript"/>
        </w:rPr>
        <w:t>-1</w:t>
      </w:r>
      <w:r w:rsidRPr="008726D7">
        <w:rPr>
          <w:vertAlign w:val="subscript"/>
        </w:rPr>
        <w:t xml:space="preserve">, </w:t>
      </w:r>
      <w:r w:rsidRPr="008726D7">
        <w:t>was significantly greater than mid 0.74 ± 0.21 Mg ha yr</w:t>
      </w:r>
      <w:r w:rsidRPr="008726D7">
        <w:rPr>
          <w:vertAlign w:val="superscript"/>
        </w:rPr>
        <w:t xml:space="preserve">-1 </w:t>
      </w:r>
      <w:r w:rsidRPr="008726D7">
        <w:t>and high 0.83 ± 0.14 Mg ha yr</w:t>
      </w:r>
      <w:r w:rsidRPr="008726D7">
        <w:rPr>
          <w:vertAlign w:val="superscript"/>
        </w:rPr>
        <w:t>-1</w:t>
      </w:r>
      <w:r w:rsidRPr="008726D7">
        <w:t xml:space="preserve"> zones (Fig</w:t>
      </w:r>
      <w:r>
        <w:t>ure</w:t>
      </w:r>
      <w:r w:rsidRPr="008726D7">
        <w:t xml:space="preserve"> </w:t>
      </w:r>
      <w:r>
        <w:t>2.</w:t>
      </w:r>
      <w:r w:rsidRPr="008726D7">
        <w:t xml:space="preserve">5). The difference in root growth in low tidal zones was primarily driven by significantly greater root growth in low tidal areas of Al Khor </w:t>
      </w:r>
      <w:r w:rsidRPr="008726D7">
        <w:lastRenderedPageBreak/>
        <w:t>(4.82 ± 1.28 Mg ha yr</w:t>
      </w:r>
      <w:r w:rsidRPr="008726D7">
        <w:rPr>
          <w:vertAlign w:val="superscript"/>
        </w:rPr>
        <w:t>-1</w:t>
      </w:r>
      <w:r w:rsidRPr="008726D7">
        <w:t>)</w:t>
      </w:r>
      <w:r w:rsidRPr="008726D7">
        <w:rPr>
          <w:vertAlign w:val="subscript"/>
        </w:rPr>
        <w:t xml:space="preserve">, </w:t>
      </w:r>
      <w:r w:rsidRPr="008726D7">
        <w:t xml:space="preserve">which was substantially higher than the low tidal zone root growth of South </w:t>
      </w:r>
      <w:proofErr w:type="spellStart"/>
      <w:r w:rsidRPr="008726D7">
        <w:t>Dhakhira</w:t>
      </w:r>
      <w:proofErr w:type="spellEnd"/>
      <w:r w:rsidRPr="008726D7">
        <w:t xml:space="preserve"> (1.10 ± 0.65 Mg ha yr</w:t>
      </w:r>
      <w:r w:rsidRPr="008726D7">
        <w:rPr>
          <w:vertAlign w:val="superscript"/>
        </w:rPr>
        <w:t>-1</w:t>
      </w:r>
      <w:r w:rsidRPr="008726D7">
        <w:t>)</w:t>
      </w:r>
      <w:r w:rsidRPr="008726D7">
        <w:rPr>
          <w:vertAlign w:val="superscript"/>
        </w:rPr>
        <w:t xml:space="preserve"> </w:t>
      </w:r>
      <w:r w:rsidRPr="008726D7">
        <w:t xml:space="preserve">and West </w:t>
      </w:r>
      <w:proofErr w:type="spellStart"/>
      <w:r w:rsidRPr="008726D7">
        <w:t>Dhakhira</w:t>
      </w:r>
      <w:proofErr w:type="spellEnd"/>
      <w:r w:rsidRPr="008726D7">
        <w:t xml:space="preserve"> (0.52 ± 0.13 Mg ha yr</w:t>
      </w:r>
      <w:r w:rsidRPr="008726D7">
        <w:rPr>
          <w:vertAlign w:val="superscript"/>
        </w:rPr>
        <w:t>-1</w:t>
      </w:r>
      <w:r w:rsidRPr="008726D7">
        <w:t>, Fig</w:t>
      </w:r>
      <w:r>
        <w:t>ure</w:t>
      </w:r>
      <w:r w:rsidRPr="008726D7">
        <w:t xml:space="preserve"> </w:t>
      </w:r>
      <w:r>
        <w:t>2.</w:t>
      </w:r>
      <w:r w:rsidRPr="008726D7">
        <w:t>5).</w:t>
      </w:r>
    </w:p>
    <w:p w14:paraId="105016E2" w14:textId="77777777" w:rsidR="0002342A" w:rsidRDefault="0002342A" w:rsidP="0002342A">
      <w:pPr>
        <w:spacing w:line="480" w:lineRule="auto"/>
      </w:pPr>
    </w:p>
    <w:p w14:paraId="6B8A9B57" w14:textId="311FD920" w:rsidR="0002342A" w:rsidRDefault="009C0B9D" w:rsidP="0002342A">
      <w:pPr>
        <w:spacing w:line="480" w:lineRule="auto"/>
        <w:rPr>
          <w:b/>
          <w:bCs/>
        </w:rPr>
      </w:pPr>
      <w:r w:rsidRPr="009C0B9D">
        <w:rPr>
          <w:noProof/>
        </w:rPr>
        <w:t xml:space="preserve"> </w:t>
      </w:r>
      <w:r w:rsidRPr="009C0B9D">
        <w:rPr>
          <w:b/>
          <w:bCs/>
          <w:noProof/>
        </w:rPr>
        <w:drawing>
          <wp:inline distT="0" distB="0" distL="0" distR="0" wp14:anchorId="0576F1FD" wp14:editId="3DB451D2">
            <wp:extent cx="5540721" cy="417119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576242" cy="4197936"/>
                    </a:xfrm>
                    <a:prstGeom prst="rect">
                      <a:avLst/>
                    </a:prstGeom>
                  </pic:spPr>
                </pic:pic>
              </a:graphicData>
            </a:graphic>
          </wp:inline>
        </w:drawing>
      </w:r>
    </w:p>
    <w:p w14:paraId="3F763E22" w14:textId="42D8C087" w:rsidR="0002342A" w:rsidRPr="00C34D2F" w:rsidRDefault="0002342A" w:rsidP="00906EF9">
      <w:pPr>
        <w:rPr>
          <w:b/>
          <w:bCs/>
          <w:sz w:val="18"/>
          <w:szCs w:val="18"/>
        </w:rPr>
      </w:pPr>
      <w:r>
        <w:rPr>
          <w:b/>
          <w:bCs/>
          <w:sz w:val="18"/>
          <w:szCs w:val="18"/>
        </w:rPr>
        <w:t>Figure 2.5</w:t>
      </w:r>
      <w:r w:rsidRPr="00B7775B">
        <w:rPr>
          <w:b/>
          <w:bCs/>
          <w:sz w:val="18"/>
          <w:szCs w:val="18"/>
        </w:rPr>
        <w:t xml:space="preserve">: </w:t>
      </w:r>
      <w:r w:rsidR="00FC58AF">
        <w:rPr>
          <w:b/>
          <w:bCs/>
          <w:sz w:val="18"/>
          <w:szCs w:val="18"/>
        </w:rPr>
        <w:t>A</w:t>
      </w:r>
      <w:r>
        <w:rPr>
          <w:b/>
          <w:bCs/>
          <w:sz w:val="18"/>
          <w:szCs w:val="18"/>
        </w:rPr>
        <w:t>nnual root growth across tidal heights and different sampling sites.</w:t>
      </w:r>
      <w:r w:rsidR="00FC58AF">
        <w:rPr>
          <w:b/>
          <w:bCs/>
          <w:sz w:val="18"/>
          <w:szCs w:val="18"/>
        </w:rPr>
        <w:t xml:space="preserve"> Thick black lines represent median, while lower and upper limits of boxes represent 25</w:t>
      </w:r>
      <w:r w:rsidR="00FC58AF" w:rsidRPr="00D21C26">
        <w:rPr>
          <w:b/>
          <w:bCs/>
          <w:sz w:val="18"/>
          <w:szCs w:val="18"/>
          <w:vertAlign w:val="superscript"/>
        </w:rPr>
        <w:t>th</w:t>
      </w:r>
      <w:r w:rsidR="00FC58AF">
        <w:rPr>
          <w:b/>
          <w:bCs/>
          <w:sz w:val="18"/>
          <w:szCs w:val="18"/>
        </w:rPr>
        <w:t xml:space="preserve"> and 75</w:t>
      </w:r>
      <w:r w:rsidR="00FC58AF" w:rsidRPr="00D21C26">
        <w:rPr>
          <w:b/>
          <w:bCs/>
          <w:sz w:val="18"/>
          <w:szCs w:val="18"/>
          <w:vertAlign w:val="superscript"/>
        </w:rPr>
        <w:t>th</w:t>
      </w:r>
      <w:r w:rsidR="00FC58AF">
        <w:rPr>
          <w:b/>
          <w:bCs/>
          <w:sz w:val="18"/>
          <w:szCs w:val="18"/>
        </w:rPr>
        <w:t xml:space="preserve"> quantiles.</w:t>
      </w:r>
    </w:p>
    <w:p w14:paraId="363A7CFD" w14:textId="77777777" w:rsidR="0002342A" w:rsidRPr="001F47A5" w:rsidRDefault="0002342A" w:rsidP="0002342A">
      <w:pPr>
        <w:spacing w:line="480" w:lineRule="auto"/>
      </w:pPr>
    </w:p>
    <w:p w14:paraId="7CD9B931" w14:textId="50CECBFB" w:rsidR="0002342A" w:rsidRPr="008D401F" w:rsidRDefault="0002342A" w:rsidP="0002342A">
      <w:pPr>
        <w:pStyle w:val="Heading3"/>
        <w:rPr>
          <w:rFonts w:asciiTheme="minorHAnsi" w:hAnsiTheme="minorHAnsi" w:cstheme="minorHAnsi"/>
          <w:b/>
          <w:bCs/>
          <w:color w:val="auto"/>
        </w:rPr>
      </w:pPr>
      <w:bookmarkStart w:id="23" w:name="_Toc120622112"/>
      <w:r w:rsidRPr="008D401F">
        <w:rPr>
          <w:rFonts w:asciiTheme="minorHAnsi" w:hAnsiTheme="minorHAnsi" w:cstheme="minorHAnsi"/>
          <w:b/>
          <w:bCs/>
          <w:color w:val="auto"/>
        </w:rPr>
        <w:t>2.4.4</w:t>
      </w:r>
      <w:r w:rsidRPr="008D401F">
        <w:rPr>
          <w:rFonts w:asciiTheme="minorHAnsi" w:hAnsiTheme="minorHAnsi" w:cstheme="minorHAnsi"/>
          <w:b/>
          <w:bCs/>
          <w:color w:val="auto"/>
        </w:rPr>
        <w:tab/>
        <w:t>Soil respiration</w:t>
      </w:r>
      <w:bookmarkEnd w:id="23"/>
    </w:p>
    <w:p w14:paraId="47A29159" w14:textId="77777777" w:rsidR="0002342A" w:rsidRDefault="0002342A" w:rsidP="0002342A">
      <w:pPr>
        <w:spacing w:line="480" w:lineRule="auto"/>
      </w:pPr>
      <w:r w:rsidRPr="008726D7">
        <w:t>Mean overall soil respiration was 0.12 ±0.06 CO</w:t>
      </w:r>
      <w:r w:rsidRPr="008726D7">
        <w:rPr>
          <w:vertAlign w:val="subscript"/>
        </w:rPr>
        <w:t>2</w:t>
      </w:r>
      <w:r w:rsidRPr="008726D7">
        <w:t xml:space="preserve"> mmol m</w:t>
      </w:r>
      <w:r w:rsidRPr="008726D7">
        <w:rPr>
          <w:vertAlign w:val="superscript"/>
        </w:rPr>
        <w:t>2</w:t>
      </w:r>
      <w:r w:rsidRPr="008726D7">
        <w:t xml:space="preserve"> h</w:t>
      </w:r>
      <w:r w:rsidRPr="008726D7">
        <w:rPr>
          <w:vertAlign w:val="superscript"/>
        </w:rPr>
        <w:t>-1</w:t>
      </w:r>
      <w:r w:rsidRPr="008726D7">
        <w:t>; however, it varied significantly between tidal heights and with seasons. Soil respiration during summer (0.42 ± 0.10 CO</w:t>
      </w:r>
      <w:r w:rsidRPr="008726D7">
        <w:rPr>
          <w:vertAlign w:val="subscript"/>
        </w:rPr>
        <w:t>2</w:t>
      </w:r>
      <w:r w:rsidRPr="008726D7">
        <w:t xml:space="preserve"> mmol m</w:t>
      </w:r>
      <w:r w:rsidRPr="008726D7">
        <w:rPr>
          <w:vertAlign w:val="superscript"/>
        </w:rPr>
        <w:t>2</w:t>
      </w:r>
      <w:r w:rsidRPr="008726D7">
        <w:t xml:space="preserve"> h</w:t>
      </w:r>
      <w:r w:rsidRPr="008726D7">
        <w:rPr>
          <w:vertAlign w:val="superscript"/>
        </w:rPr>
        <w:t>-1</w:t>
      </w:r>
      <w:r w:rsidRPr="008726D7">
        <w:t>) was significantly greater than winter (0.47 ± 0.12 CO</w:t>
      </w:r>
      <w:r w:rsidRPr="008726D7">
        <w:rPr>
          <w:vertAlign w:val="subscript"/>
        </w:rPr>
        <w:t>2</w:t>
      </w:r>
      <w:r w:rsidRPr="008726D7">
        <w:t xml:space="preserve"> mmol m</w:t>
      </w:r>
      <w:r w:rsidRPr="008726D7">
        <w:rPr>
          <w:vertAlign w:val="superscript"/>
        </w:rPr>
        <w:t>2</w:t>
      </w:r>
      <w:r w:rsidRPr="008726D7">
        <w:t xml:space="preserve"> h</w:t>
      </w:r>
      <w:r w:rsidRPr="008726D7">
        <w:rPr>
          <w:vertAlign w:val="superscript"/>
        </w:rPr>
        <w:t>-1</w:t>
      </w:r>
      <w:r w:rsidRPr="008726D7">
        <w:t>) (F</w:t>
      </w:r>
      <w:r w:rsidRPr="008726D7">
        <w:rPr>
          <w:vertAlign w:val="subscript"/>
        </w:rPr>
        <w:t>1,78</w:t>
      </w:r>
      <w:r w:rsidRPr="008726D7">
        <w:t>=16.19, p&lt;0.01, Fig</w:t>
      </w:r>
      <w:r>
        <w:t>ure</w:t>
      </w:r>
      <w:r w:rsidRPr="008726D7">
        <w:t xml:space="preserve"> </w:t>
      </w:r>
      <w:r>
        <w:t>2.</w:t>
      </w:r>
      <w:r w:rsidRPr="008726D7">
        <w:t>6). In winter, mangrove soils became a CO</w:t>
      </w:r>
      <w:r w:rsidRPr="008726D7">
        <w:rPr>
          <w:vertAlign w:val="subscript"/>
        </w:rPr>
        <w:t>2</w:t>
      </w:r>
      <w:r w:rsidRPr="008726D7">
        <w:t xml:space="preserve"> sink, with a mean flux rate of -0.04 ± 0.07 CO</w:t>
      </w:r>
      <w:r w:rsidRPr="008726D7">
        <w:rPr>
          <w:vertAlign w:val="subscript"/>
        </w:rPr>
        <w:t>2</w:t>
      </w:r>
      <w:r w:rsidRPr="008726D7">
        <w:t xml:space="preserve"> mmol m</w:t>
      </w:r>
      <w:r w:rsidRPr="008726D7">
        <w:rPr>
          <w:vertAlign w:val="superscript"/>
        </w:rPr>
        <w:t>2</w:t>
      </w:r>
      <w:r w:rsidRPr="008726D7">
        <w:t xml:space="preserve"> h</w:t>
      </w:r>
      <w:r w:rsidRPr="008726D7">
        <w:rPr>
          <w:vertAlign w:val="superscript"/>
        </w:rPr>
        <w:t>-1</w:t>
      </w:r>
      <w:r w:rsidRPr="008726D7">
        <w:t xml:space="preserve">. Mean soil respiration was also significantly greater </w:t>
      </w:r>
      <w:r w:rsidRPr="008726D7">
        <w:lastRenderedPageBreak/>
        <w:t>in mid tidal areas (0.24 ± 0.13 mmol CO</w:t>
      </w:r>
      <w:r w:rsidRPr="008726D7">
        <w:rPr>
          <w:vertAlign w:val="subscript"/>
        </w:rPr>
        <w:t>2</w:t>
      </w:r>
      <w:r w:rsidRPr="008726D7">
        <w:t xml:space="preserve"> m</w:t>
      </w:r>
      <w:r w:rsidRPr="008726D7">
        <w:rPr>
          <w:vertAlign w:val="superscript"/>
        </w:rPr>
        <w:t>2</w:t>
      </w:r>
      <w:r w:rsidRPr="008726D7">
        <w:t xml:space="preserve"> h</w:t>
      </w:r>
      <w:r w:rsidRPr="008726D7">
        <w:rPr>
          <w:vertAlign w:val="superscript"/>
        </w:rPr>
        <w:t>-1</w:t>
      </w:r>
      <w:r w:rsidRPr="008726D7">
        <w:t>)</w:t>
      </w:r>
      <w:r w:rsidRPr="008726D7">
        <w:rPr>
          <w:vertAlign w:val="superscript"/>
        </w:rPr>
        <w:t xml:space="preserve"> </w:t>
      </w:r>
      <w:r w:rsidRPr="008726D7">
        <w:t>than thigh tidal areas (-0.07 ± 0.11 CO</w:t>
      </w:r>
      <w:r w:rsidRPr="008726D7">
        <w:rPr>
          <w:vertAlign w:val="subscript"/>
        </w:rPr>
        <w:t>2</w:t>
      </w:r>
      <w:r w:rsidRPr="008726D7">
        <w:t xml:space="preserve"> mmol m</w:t>
      </w:r>
      <w:r w:rsidRPr="008726D7">
        <w:rPr>
          <w:vertAlign w:val="superscript"/>
        </w:rPr>
        <w:t>2</w:t>
      </w:r>
      <w:r w:rsidRPr="008726D7">
        <w:t xml:space="preserve"> h</w:t>
      </w:r>
      <w:r w:rsidRPr="008726D7">
        <w:rPr>
          <w:vertAlign w:val="superscript"/>
        </w:rPr>
        <w:t>-1</w:t>
      </w:r>
      <w:r w:rsidRPr="008726D7">
        <w:t>) (F</w:t>
      </w:r>
      <w:r w:rsidRPr="008726D7">
        <w:rPr>
          <w:vertAlign w:val="subscript"/>
        </w:rPr>
        <w:t>2,78</w:t>
      </w:r>
      <w:r w:rsidRPr="008726D7">
        <w:t>=2.92, p=0.05, Fig</w:t>
      </w:r>
      <w:r>
        <w:t>ure</w:t>
      </w:r>
      <w:r w:rsidRPr="008726D7">
        <w:t xml:space="preserve"> </w:t>
      </w:r>
      <w:r>
        <w:t>2.</w:t>
      </w:r>
      <w:r w:rsidRPr="008726D7">
        <w:t xml:space="preserve">6). </w:t>
      </w:r>
    </w:p>
    <w:p w14:paraId="42AEE99C" w14:textId="77777777" w:rsidR="0002342A" w:rsidRDefault="0002342A" w:rsidP="0002342A">
      <w:pPr>
        <w:spacing w:line="480" w:lineRule="auto"/>
      </w:pPr>
    </w:p>
    <w:p w14:paraId="4B44DD30" w14:textId="105EC620" w:rsidR="0002342A" w:rsidRDefault="00EB285D" w:rsidP="0002342A">
      <w:pPr>
        <w:spacing w:line="480" w:lineRule="auto"/>
      </w:pPr>
      <w:r w:rsidRPr="00EB285D">
        <w:rPr>
          <w:noProof/>
        </w:rPr>
        <w:t xml:space="preserve"> </w:t>
      </w:r>
      <w:r w:rsidRPr="00EB285D">
        <w:rPr>
          <w:noProof/>
        </w:rPr>
        <w:drawing>
          <wp:inline distT="0" distB="0" distL="0" distR="0" wp14:anchorId="28950BA4" wp14:editId="6B2116DA">
            <wp:extent cx="5731510" cy="4693920"/>
            <wp:effectExtent l="0" t="0" r="0" b="508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1510" cy="4693920"/>
                    </a:xfrm>
                    <a:prstGeom prst="rect">
                      <a:avLst/>
                    </a:prstGeom>
                  </pic:spPr>
                </pic:pic>
              </a:graphicData>
            </a:graphic>
          </wp:inline>
        </w:drawing>
      </w:r>
    </w:p>
    <w:p w14:paraId="2BE65A46" w14:textId="2C086D5E" w:rsidR="0002342A" w:rsidRPr="006E47BD" w:rsidRDefault="0002342A" w:rsidP="0002342A">
      <w:pPr>
        <w:rPr>
          <w:b/>
          <w:bCs/>
          <w:sz w:val="18"/>
          <w:szCs w:val="18"/>
        </w:rPr>
      </w:pPr>
      <w:r>
        <w:rPr>
          <w:b/>
          <w:bCs/>
          <w:sz w:val="18"/>
          <w:szCs w:val="18"/>
        </w:rPr>
        <w:t>Figure 2.6</w:t>
      </w:r>
      <w:r w:rsidRPr="00B7775B">
        <w:rPr>
          <w:b/>
          <w:bCs/>
          <w:sz w:val="18"/>
          <w:szCs w:val="18"/>
        </w:rPr>
        <w:t xml:space="preserve">: </w:t>
      </w:r>
      <w:r w:rsidR="00FC58AF">
        <w:rPr>
          <w:b/>
          <w:bCs/>
          <w:sz w:val="18"/>
          <w:szCs w:val="18"/>
        </w:rPr>
        <w:t>S</w:t>
      </w:r>
      <w:r>
        <w:rPr>
          <w:b/>
          <w:bCs/>
          <w:sz w:val="18"/>
          <w:szCs w:val="18"/>
        </w:rPr>
        <w:t xml:space="preserve">oil respiration rate of across tidal heights and different sampling seasons. </w:t>
      </w:r>
      <w:r w:rsidR="00FC58AF">
        <w:rPr>
          <w:b/>
          <w:bCs/>
          <w:sz w:val="18"/>
          <w:szCs w:val="18"/>
        </w:rPr>
        <w:t>Thick black lines represent median, while lower and upper limits of boxes represent 25</w:t>
      </w:r>
      <w:r w:rsidR="00FC58AF" w:rsidRPr="00D21C26">
        <w:rPr>
          <w:b/>
          <w:bCs/>
          <w:sz w:val="18"/>
          <w:szCs w:val="18"/>
          <w:vertAlign w:val="superscript"/>
        </w:rPr>
        <w:t>th</w:t>
      </w:r>
      <w:r w:rsidR="00FC58AF">
        <w:rPr>
          <w:b/>
          <w:bCs/>
          <w:sz w:val="18"/>
          <w:szCs w:val="18"/>
        </w:rPr>
        <w:t xml:space="preserve"> and 75</w:t>
      </w:r>
      <w:r w:rsidR="00FC58AF" w:rsidRPr="00D21C26">
        <w:rPr>
          <w:b/>
          <w:bCs/>
          <w:sz w:val="18"/>
          <w:szCs w:val="18"/>
          <w:vertAlign w:val="superscript"/>
        </w:rPr>
        <w:t>th</w:t>
      </w:r>
      <w:r w:rsidR="00FC58AF">
        <w:rPr>
          <w:b/>
          <w:bCs/>
          <w:sz w:val="18"/>
          <w:szCs w:val="18"/>
        </w:rPr>
        <w:t xml:space="preserve"> quantiles. </w:t>
      </w:r>
      <w:r>
        <w:rPr>
          <w:b/>
          <w:bCs/>
          <w:sz w:val="18"/>
          <w:szCs w:val="18"/>
        </w:rPr>
        <w:t>Positive values indicate a net production of CO</w:t>
      </w:r>
      <w:r w:rsidRPr="00531BCB">
        <w:rPr>
          <w:b/>
          <w:bCs/>
          <w:sz w:val="18"/>
          <w:szCs w:val="18"/>
          <w:vertAlign w:val="subscript"/>
        </w:rPr>
        <w:t>2</w:t>
      </w:r>
      <w:r>
        <w:rPr>
          <w:b/>
          <w:bCs/>
          <w:sz w:val="18"/>
          <w:szCs w:val="18"/>
          <w:vertAlign w:val="subscript"/>
        </w:rPr>
        <w:t xml:space="preserve"> </w:t>
      </w:r>
      <w:r>
        <w:rPr>
          <w:b/>
          <w:bCs/>
          <w:sz w:val="18"/>
          <w:szCs w:val="18"/>
        </w:rPr>
        <w:t xml:space="preserve">from mangrove soils, while negative values represent a sink. </w:t>
      </w:r>
    </w:p>
    <w:p w14:paraId="3F21EF1E" w14:textId="77777777" w:rsidR="0002342A" w:rsidRDefault="0002342A" w:rsidP="0002342A">
      <w:pPr>
        <w:spacing w:line="480" w:lineRule="auto"/>
      </w:pPr>
    </w:p>
    <w:p w14:paraId="13DF3AE0" w14:textId="3D393AD2" w:rsidR="0002342A" w:rsidRPr="008D401F" w:rsidRDefault="0002342A" w:rsidP="0002342A">
      <w:pPr>
        <w:pStyle w:val="Heading2"/>
        <w:rPr>
          <w:rFonts w:asciiTheme="minorHAnsi" w:hAnsiTheme="minorHAnsi" w:cstheme="minorHAnsi"/>
          <w:b/>
          <w:bCs/>
          <w:color w:val="auto"/>
        </w:rPr>
      </w:pPr>
      <w:bookmarkStart w:id="24" w:name="_Toc120622113"/>
      <w:r w:rsidRPr="008D401F">
        <w:rPr>
          <w:rFonts w:asciiTheme="minorHAnsi" w:hAnsiTheme="minorHAnsi" w:cstheme="minorHAnsi"/>
          <w:b/>
          <w:bCs/>
          <w:color w:val="auto"/>
        </w:rPr>
        <w:t>2.5</w:t>
      </w:r>
      <w:r w:rsidRPr="008D401F">
        <w:rPr>
          <w:rFonts w:asciiTheme="minorHAnsi" w:hAnsiTheme="minorHAnsi" w:cstheme="minorHAnsi"/>
          <w:b/>
          <w:bCs/>
          <w:color w:val="auto"/>
        </w:rPr>
        <w:tab/>
        <w:t>Discussion</w:t>
      </w:r>
      <w:bookmarkEnd w:id="24"/>
    </w:p>
    <w:p w14:paraId="75E26935" w14:textId="4A5561C5" w:rsidR="0002342A" w:rsidRPr="008726D7" w:rsidRDefault="0002342A" w:rsidP="0002342A">
      <w:pPr>
        <w:spacing w:line="480" w:lineRule="auto"/>
        <w:rPr>
          <w:rFonts w:cstheme="minorHAnsi"/>
        </w:rPr>
      </w:pPr>
      <w:r w:rsidRPr="008726D7">
        <w:rPr>
          <w:rFonts w:cstheme="minorHAnsi"/>
        </w:rPr>
        <w:t xml:space="preserve">Country scale variations in mangrove productivity are associated with broadscale climate heterogeneity </w:t>
      </w:r>
      <w:r w:rsidRPr="008726D7">
        <w:rPr>
          <w:rFonts w:cstheme="minorHAnsi"/>
        </w:rPr>
        <w:fldChar w:fldCharType="begin" w:fldLock="1"/>
      </w:r>
      <w:r w:rsidR="008A48C6">
        <w:rPr>
          <w:rFonts w:cstheme="minorHAnsi"/>
        </w:rPr>
        <w:instrText>ADDIN CSL_CITATION {"citationItems":[{"id":"ITEM-1","itemData":{"DOI":"10.1002/ecs2.2841","ISSN":"21508925","abstract":"Mangroves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-1","issue":"8","issued":{"date-parts":[["2019","8","22"]]},"publisher":"John Wiley &amp; Sons, Ltd","title":"Spatial variability of mangrove primary productivity in the neotropics","type":"article-journal","volume":"10"},"uris":["http://www.mendeley.com/documents/?uuid=e62cba23-c956-306d-a48f-a25ddc004d7f"]}],"mendeley":{"formattedCitation":"(Ribeiro et al., 2019)","plainTextFormattedCitation":"(Ribeiro et al., 2019)","previouslyFormattedCitation":"(Ribeiro et al., 2019)"},"properties":{"noteIndex":0},"schema":"https://github.com/citation-style-language/schema/raw/master/csl-citation.json"}</w:instrText>
      </w:r>
      <w:r w:rsidRPr="008726D7">
        <w:rPr>
          <w:rFonts w:cstheme="minorHAnsi"/>
        </w:rPr>
        <w:fldChar w:fldCharType="separate"/>
      </w:r>
      <w:r w:rsidR="008A48C6" w:rsidRPr="008A48C6">
        <w:rPr>
          <w:rFonts w:cstheme="minorHAnsi"/>
          <w:noProof/>
        </w:rPr>
        <w:t>(Ribeiro et al., 2019)</w:t>
      </w:r>
      <w:r w:rsidRPr="008726D7">
        <w:rPr>
          <w:rFonts w:cstheme="minorHAnsi"/>
        </w:rPr>
        <w:fldChar w:fldCharType="end"/>
      </w:r>
      <w:r w:rsidRPr="008726D7">
        <w:rPr>
          <w:rFonts w:cstheme="minorHAnsi"/>
        </w:rPr>
        <w:t xml:space="preserve"> and results of the current study showed average overall mangrove litter rates in Qatar were comparable to mangroves in other arid and sub-tropical locations (Qatar: 1.81 ± 0.09 g m</w:t>
      </w:r>
      <w:r w:rsidRPr="008726D7">
        <w:rPr>
          <w:rFonts w:cstheme="minorHAnsi"/>
          <w:vertAlign w:val="superscript"/>
        </w:rPr>
        <w:t>2</w:t>
      </w:r>
      <w:r w:rsidRPr="008726D7">
        <w:rPr>
          <w:rFonts w:cstheme="minorHAnsi"/>
        </w:rPr>
        <w:t xml:space="preserve"> d</w:t>
      </w:r>
      <w:r w:rsidRPr="008726D7">
        <w:rPr>
          <w:rFonts w:cstheme="minorHAnsi"/>
          <w:vertAlign w:val="superscript"/>
        </w:rPr>
        <w:t>-1</w:t>
      </w:r>
      <w:r w:rsidRPr="008726D7">
        <w:rPr>
          <w:rFonts w:cstheme="minorHAnsi"/>
        </w:rPr>
        <w:t>, Saudi Arabia: 2.13 g m</w:t>
      </w:r>
      <w:r w:rsidRPr="008726D7">
        <w:rPr>
          <w:rFonts w:cstheme="minorHAnsi"/>
          <w:vertAlign w:val="superscript"/>
        </w:rPr>
        <w:t>2</w:t>
      </w:r>
      <w:r w:rsidRPr="008726D7">
        <w:rPr>
          <w:rFonts w:cstheme="minorHAnsi"/>
        </w:rPr>
        <w:t xml:space="preserve"> d</w:t>
      </w:r>
      <w:r w:rsidRPr="008726D7">
        <w:rPr>
          <w:rFonts w:cstheme="minorHAnsi"/>
          <w:vertAlign w:val="superscript"/>
        </w:rPr>
        <w:t>-1</w:t>
      </w:r>
      <w:r w:rsidRPr="008726D7">
        <w:rPr>
          <w:rFonts w:cstheme="minorHAnsi"/>
        </w:rPr>
        <w:t>, Florida: 1.85 g m</w:t>
      </w:r>
      <w:r w:rsidRPr="008726D7">
        <w:rPr>
          <w:rFonts w:cstheme="minorHAnsi"/>
          <w:vertAlign w:val="superscript"/>
        </w:rPr>
        <w:t>2</w:t>
      </w:r>
      <w:r w:rsidRPr="008726D7">
        <w:rPr>
          <w:rFonts w:cstheme="minorHAnsi"/>
        </w:rPr>
        <w:t xml:space="preserve"> d</w:t>
      </w:r>
      <w:r w:rsidRPr="008726D7">
        <w:rPr>
          <w:rFonts w:cstheme="minorHAnsi"/>
          <w:vertAlign w:val="superscript"/>
        </w:rPr>
        <w:t>-1</w:t>
      </w:r>
      <w:r w:rsidRPr="008726D7">
        <w:rPr>
          <w:rFonts w:cstheme="minorHAnsi"/>
        </w:rPr>
        <w:t xml:space="preserve">, </w:t>
      </w:r>
      <w:r w:rsidRPr="008726D7">
        <w:rPr>
          <w:rFonts w:cstheme="minorHAnsi"/>
        </w:rPr>
        <w:lastRenderedPageBreak/>
        <w:t>South Africa: 1.77 g m</w:t>
      </w:r>
      <w:r w:rsidRPr="008726D7">
        <w:rPr>
          <w:rFonts w:cstheme="minorHAnsi"/>
          <w:vertAlign w:val="superscript"/>
        </w:rPr>
        <w:t>2</w:t>
      </w:r>
      <w:r w:rsidRPr="008726D7">
        <w:rPr>
          <w:rFonts w:cstheme="minorHAnsi"/>
        </w:rPr>
        <w:t xml:space="preserve"> d</w:t>
      </w:r>
      <w:r w:rsidRPr="008726D7">
        <w:rPr>
          <w:rFonts w:cstheme="minorHAnsi"/>
          <w:vertAlign w:val="superscript"/>
        </w:rPr>
        <w:t>-1</w:t>
      </w:r>
      <w:r w:rsidRPr="008726D7">
        <w:rPr>
          <w:rFonts w:cstheme="minorHAnsi"/>
        </w:rPr>
        <w:t xml:space="preserve">) </w:t>
      </w:r>
      <w:r w:rsidRPr="008726D7">
        <w:rPr>
          <w:rFonts w:cstheme="minorHAnsi"/>
        </w:rPr>
        <w:fldChar w:fldCharType="begin" w:fldLock="1"/>
      </w:r>
      <w:r w:rsidR="008A48C6">
        <w:rPr>
          <w:rFonts w:cstheme="minorHAnsi"/>
        </w:rPr>
        <w:instrText>ADDIN CSL_CITATION {"citationItems":[{"id":"ITEM-1","itemData":{"DOI":"10.1007/s11273-012-9249-3","ISSN":"09234861","abstract":"From 1996 to 2002, we measured litterfall, standing litter crop, and litter turnover rates in scrub, basin, fringe and riverine forests in two contrasting mangrove ecosystems: a carbonate-dominated system in the Southeastern Everglades and a terrigenous-dominated system in Laguna de Terminos (LT), Mexico. We hypothesized that litter dynamics is driven by latitude, geomorphology, hydrology, soil fertility and soil salinity stress. There were significant temporal patterns in LT with litterfall rates higher during the rainy season (2.4 g m-2 day-1) than during the dry season (1.8 g m-2 day-1). Total annual litterfall was significantly higher in the riverine forest (12.8 Mg ha-2 year-1) than in the fringe and basin forests (9.7 and 5.2 Mg ha-2 year-1, respectively). In Southeastern Everglades, total annual litterfall was also significantly higher during the rainy season than during the dry season. Spatially, the scrub forest had the lowest annual litterfall (2.5 Mg ha-2 year-1), while the fringe and basin had the highest (9.1 and 6.5 Mg ha-2 year-1, respectively). In LT, annual standing litter crop was 3.3 Mg ha-1 in the fringe and 2.2 Mg ha-1 in the basin. Litter turnover rates were significantly higher in the fringe mangrove forest (4.1 year-1) relative to the basin forests (2.2 year-1). At Southeastern Everglades there were significant differences in annual standing litter crop: 1.9, 3.3 and 4.5 Mg ha-1 at scrub, basin and fringe mangrove sites, respectively. Furthermore, turnover rates were similar at both basin and fringe mangrove types (2.1 and 2.0 year-1, respectively) but significantly higher than scrub mangrove forest (1.3 year-1). These findings suggest that litter export is important in regulating litter turnover rates in frequently flooded riverine and fringe forests, while in infrequently flooded basin forests, in situ litter decomposition controls litter turnover rates. © 2012 Springer Science+Business Media B.V.","author":[{"dropping-particle":"","family":"Coronado-Molina","given":"Carlos","non-dropping-particle":"","parse-names":false,"suffix":""},{"dropping-particle":"","family":"Alvarez-Guillen","given":"H.","non-dropping-particle":"","parse-names":false,"suffix":""},{"dropping-particle":"","family":"Day","given":"J. W.","non-dropping-particle":"","parse-names":false,"suffix":""},{"dropping-particle":"","family":"Reyes","given":"E.","non-dropping-particle":"","parse-names":false,"suffix":""},{"dropping-particle":"","family":"Perez","given":"B. C.","non-dropping-particle":"","parse-names":false,"suffix":""},{"dropping-particle":"","family":"Vera-Herrera","given":"F.","non-dropping-particle":"","parse-names":false,"suffix":""},{"dropping-particle":"","family":"Twilley","given":"R.","non-dropping-particle":"","parse-names":false,"suffix":""}],"container-title":"Wetlands Ecology and Management","id":"ITEM-1","issue":"2","issued":{"date-parts":[["2012"]]},"page":"123-136","title":"Litterfall dynamics in carbonate and deltaic mangrove ecosystems in the Gulf of Mexico","type":"article-journal","volume":"20"},"uris":["http://www.mendeley.com/documents/?uuid=29581208-eed5-4f00-a268-5420a41f3686"]},{"id":"ITEM-2","itemData":{"DOI":"10.1016/0022-0981(92)90073-J","ISSN":"00220981","abstract":"Consumption of Avicennia marina (Forks.) Vierh. leaves by the large detritivorous mangrove grapsid Sesarma meinerti de Man was measured in the laboratory. This was compared with abscission rates for this mangrove species in the field (Mgazana estuary, Transkei, southern Africa) to estimate how much leaf material was directly utilised by this ecologically dominant crab. Although a significant correlation was found between crab size and dry litter massingested per day, no correlation was found between crab size and assimilation efficiency, which was high (82.44%). A seasonal trend in leaf litter fall was discernable with a mean annual rate of 1.79 g m-2d-1(653.4 g m-2y-1). With amean crab density of 4 m-2 and mean crab size of 40 g, leaf consumption was calculated at 0.78 g m-2d-1DM (284.7 g m-2y-1 or 6462 kJ m 2y-1), accounting for 43.58% of the leaf fall. For the entire mangrove area (150 ha) a total of 75t of frasse 955 kJ m-2y-1) enters the estuary per annum. This is considerable contribution to the detrital pool of the estuary and increases leaf turnover an estimated four-fold. © 1992.","author":[{"dropping-particle":"","family":"Emmerson","given":"W. D.","non-dropping-particle":"","parse-names":false,"suffix":""},{"dropping-particle":"","family":"McGwynne","given":"L. E.","non-dropping-particle":"","parse-names":false,"suffix":""}],"container-title":"Journal of Experimental Marine Biology and Ecology","id":"ITEM-2","issue":"1","issued":{"date-parts":[["1992"]]},"page":"41-53","title":"Feeding and assimilation of mangrove leaves by the crab Sesarma meinerti de Man in relation to leaf-litter production in Mgazana, a warm-temperate southern African mangrove swamp","type":"article-journal","volume":"157"},"uris":["http://www.mendeley.com/documents/?uuid=c09a35c2-bf2a-4dfc-968a-db808f44d88b"]},{"id":"ITEM-3","itemData":{"DOI":"10.1016/0304-3770(89)90093-4","ISBN":"0304-3770","ISSN":"03043770","abstract":"The average daily production of litter in a mangrove stand located in the central part of the Saudi Arabian Red Sea coast, was estimated to be 2.16 g dry weight m-2day-1during 1986 and was found to be comparable with other favourable areas. Maximum litter fall occurred during March and April and is correlated with decreasing air temperatures in the preceding months. Of all the litter compartments, leaves contributed overwhelmingly to total litter throughout the year except during March and April, when fruits superseded them. © 1989.","author":[{"dropping-particle":"","family":"Saifullah","given":"S. M.","non-dropping-particle":"","parse-names":false,"suffix":""},{"dropping-particle":"","family":"Khafaji","given":"A. K.","non-dropping-particle":"","parse-names":false,"suffix":""},{"dropping-particle":"","family":"Mandura","given":"A. S.","non-dropping-particle":"","parse-names":false,"suffix":""}],"container-title":"Aquatic Botany","id":"ITEM-3","issue":"1","issued":{"date-parts":[["1989","12","1"]]},"page":"79-86","publisher":"Elsevier","title":"Litter production in a mangrove stand of the Saudi Arabian Red Sea coast","type":"article-journal","volume":"36"},"uris":["http://www.mendeley.com/documents/?uuid=237e2604-fec2-3e38-b55f-be9db3c2a5f2"]}],"mendeley":{"formattedCitation":"(Coronado-Molina et al., 2012; Emmerson and McGwynne, 1992; Saifullah et al., 1989)","plainTextFormattedCitation":"(Coronado-Molina et al., 2012; Emmerson and McGwynne, 1992; Saifullah et al., 1989)","previouslyFormattedCitation":"(Coronado-Molina et al., 2012; Emmerson and McGwynne, 1992; Saifullah et al., 1989)"},"properties":{"noteIndex":0},"schema":"https://github.com/citation-style-language/schema/raw/master/csl-citation.json"}</w:instrText>
      </w:r>
      <w:r w:rsidRPr="008726D7">
        <w:rPr>
          <w:rFonts w:cstheme="minorHAnsi"/>
        </w:rPr>
        <w:fldChar w:fldCharType="separate"/>
      </w:r>
      <w:r w:rsidR="008A48C6" w:rsidRPr="008A48C6">
        <w:rPr>
          <w:rFonts w:cstheme="minorHAnsi"/>
          <w:noProof/>
        </w:rPr>
        <w:t>(Coronado-Molina et al., 2012; Emmerson and McGwynne, 1992; Saifullah et al., 1989)</w:t>
      </w:r>
      <w:r w:rsidRPr="008726D7">
        <w:rPr>
          <w:rFonts w:cstheme="minorHAnsi"/>
        </w:rPr>
        <w:fldChar w:fldCharType="end"/>
      </w:r>
      <w:r w:rsidRPr="008726D7">
        <w:rPr>
          <w:rFonts w:cstheme="minorHAnsi"/>
        </w:rPr>
        <w:t xml:space="preserve">, as well as other monospecific </w:t>
      </w:r>
      <w:r w:rsidRPr="008726D7">
        <w:rPr>
          <w:rFonts w:cstheme="minorHAnsi"/>
          <w:i/>
          <w:iCs/>
        </w:rPr>
        <w:t>A. marina</w:t>
      </w:r>
      <w:r w:rsidRPr="008726D7">
        <w:rPr>
          <w:rFonts w:cstheme="minorHAnsi"/>
        </w:rPr>
        <w:t xml:space="preserve"> stands in a temperate setting (New Zealand: 1.18 g m</w:t>
      </w:r>
      <w:r w:rsidRPr="008726D7">
        <w:rPr>
          <w:rFonts w:cstheme="minorHAnsi"/>
          <w:vertAlign w:val="superscript"/>
        </w:rPr>
        <w:t>2</w:t>
      </w:r>
      <w:r w:rsidRPr="008726D7">
        <w:rPr>
          <w:rFonts w:cstheme="minorHAnsi"/>
        </w:rPr>
        <w:t xml:space="preserve"> d</w:t>
      </w:r>
      <w:r w:rsidRPr="008726D7">
        <w:rPr>
          <w:rFonts w:cstheme="minorHAnsi"/>
          <w:vertAlign w:val="superscript"/>
        </w:rPr>
        <w:t>-1</w:t>
      </w:r>
      <w:r w:rsidRPr="008726D7">
        <w:rPr>
          <w:rFonts w:cstheme="minorHAnsi"/>
        </w:rPr>
        <w:t xml:space="preserve">) </w:t>
      </w:r>
      <w:r w:rsidRPr="008726D7">
        <w:rPr>
          <w:rFonts w:cstheme="minorHAnsi"/>
        </w:rPr>
        <w:fldChar w:fldCharType="begin" w:fldLock="1"/>
      </w:r>
      <w:r w:rsidR="008A48C6">
        <w:rPr>
          <w:rFonts w:cstheme="minorHAnsi"/>
        </w:rPr>
        <w:instrText>ADDIN CSL_CITATION {"citationItems":[{"id":"ITEM-1","itemData":{"DOI":"10.1080/00288330.2013.827124","ISSN":"00288330","abstract":"Mangrove forests can provide important cross-boundary subsidies of organic matter to adjacent habitats through the production, export, decomposition and assimilation of litter. We quantified two of these components in a temperate mangrove forest in Whangamata Harbour, New Zealand: 1) litter production; and 2) decomposition rates as a function of tidal elevation, sediment type and burial depth. Litter traps sampled monthly for a year measured an annual detrital input of 3.24-5.38 t DW ha-1, of which 77% occurred in summer. Decomposition rates depended on litter type, with leaves decomposing faster (63 d to decay by 50%) than pneumatophore and wood material (316 and 460 d, respectively). Buried leaf and wood litter decomposed 1.3-1.4 times slower than litter on the sediment surface; however, tidal elevation and sediment type (mud vs. sand) had no effect. The slow decay of litter (an order of magnitude slower than tropical mangrove litter) suggests that its incorporation into temperate marine food webs may be relatively slow. © 2013 © 2013 The Royal Society of New Zealand.","author":[{"dropping-particle":"V.","family":"Gladstone-Gallagher","given":"R.","non-dropping-particle":"","parse-names":false,"suffix":""},{"dropping-particle":"","family":"Lundquist","given":"C. J.","non-dropping-particle":"","parse-names":false,"suffix":""},{"dropping-particle":"","family":"Pilditch","given":"C. A.","non-dropping-particle":"","parse-names":false,"suffix":""}],"container-title":"New Zealand Journal of Marine and Freshwater Research","id":"ITEM-1","issue":"1","issued":{"date-parts":[["2014"]]},"page":"24-37","title":"Mangrove (Avicennia marina subsp. australasica) litter production and decomposition in a temperate estuary","type":"article-journal","volume":"48"},"uris":["http://www.mendeley.com/documents/?uuid=4d9ed407-ae19-4ebe-9952-ea11c6decc52"]}],"mendeley":{"formattedCitation":"(Gladstone-Gallagher et al., 2014)","plainTextFormattedCitation":"(Gladstone-Gallagher et al., 2014)","previouslyFormattedCitation":"(Gladstone-Gallagher et al., 2014)"},"properties":{"noteIndex":0},"schema":"https://github.com/citation-style-language/schema/raw/master/csl-citation.json"}</w:instrText>
      </w:r>
      <w:r w:rsidRPr="008726D7">
        <w:rPr>
          <w:rFonts w:cstheme="minorHAnsi"/>
        </w:rPr>
        <w:fldChar w:fldCharType="separate"/>
      </w:r>
      <w:r w:rsidR="008A48C6" w:rsidRPr="008A48C6">
        <w:rPr>
          <w:rFonts w:cstheme="minorHAnsi"/>
          <w:noProof/>
        </w:rPr>
        <w:t>(Gladstone-Gallagher et al., 2014)</w:t>
      </w:r>
      <w:r w:rsidRPr="008726D7">
        <w:rPr>
          <w:rFonts w:cstheme="minorHAnsi"/>
        </w:rPr>
        <w:fldChar w:fldCharType="end"/>
      </w:r>
      <w:r w:rsidRPr="008726D7">
        <w:rPr>
          <w:rFonts w:cstheme="minorHAnsi"/>
        </w:rPr>
        <w:t>. Above and below ground productivity were considerably lower than wet tropical regions where litter rates can average 3.92 g m</w:t>
      </w:r>
      <w:r w:rsidRPr="008726D7">
        <w:rPr>
          <w:rFonts w:cstheme="minorHAnsi"/>
          <w:vertAlign w:val="superscript"/>
        </w:rPr>
        <w:t>2</w:t>
      </w:r>
      <w:r w:rsidRPr="008726D7">
        <w:rPr>
          <w:rFonts w:cstheme="minorHAnsi"/>
        </w:rPr>
        <w:t xml:space="preserve"> d</w:t>
      </w:r>
      <w:r w:rsidRPr="008726D7">
        <w:rPr>
          <w:rFonts w:cstheme="minorHAnsi"/>
          <w:vertAlign w:val="superscript"/>
        </w:rPr>
        <w:t xml:space="preserve">-1 </w:t>
      </w:r>
      <w:r w:rsidRPr="008726D7">
        <w:rPr>
          <w:rFonts w:cstheme="minorHAnsi"/>
          <w:vertAlign w:val="superscript"/>
        </w:rPr>
        <w:fldChar w:fldCharType="begin" w:fldLock="1"/>
      </w:r>
      <w:r w:rsidR="008A48C6">
        <w:rPr>
          <w:rFonts w:cstheme="minorHAnsi"/>
          <w:vertAlign w:val="superscript"/>
        </w:rPr>
        <w:instrText>ADDIN CSL_CITATION {"citationItems":[{"id":"ITEM-1","itemData":{"DOI":"10.1016/0304-3770(85)90067-1","ISSN":"03043770","abstract":"Productivity, as measured by litter trapping, of a mangrove dominated by Rhizophora stylosa Griff. at Motupore Island (lat. 9° 31′34′́S; long. 147° 17 $ ́02' E) was 1430 g dry weight m-2 year-1. This is a high figure when compared with other studied mangrove sites. Phenological data were obtained for R. stylosa, R. apiculata Blume and Sonneratia alba Smith. All species have a major leaf fall in the wet season. Flowering in both Rhizophora species is greatest during the wet season, but S. alba peaks during the dry season. Leaf emergence data were only available for R. stylosa and these appeared to be trimodal. Correlations were calculated for each component with rainfall, wind run, maximum temperature and minimum temperature. Some significant correlations were obtained with rainfall and maximum temperature. These correlations are discussed and it is suggested that the seasonality of mangrove phenologies needs to be considered in terms of whole tree physiology rather than isolated environmental factors. © 1985.","author":[{"dropping-particle":"","family":"Leach","given":"G. J.","non-dropping-particle":"","parse-names":false,"suffix":""},{"dropping-particle":"","family":"Burgin","given":"S.","non-dropping-particle":"","parse-names":false,"suffix":""}],"container-title":"Aquatic Botany","id":"ITEM-1","issue":"3","issued":{"date-parts":[["1985"]]},"page":"215-224","title":"Litter production and seasonality of mangroves in Papua New Guinea","type":"article-journal","volume":"23"},"uris":["http://www.mendeley.com/documents/?uuid=90d61cc1-92cb-4c66-9aa3-cdab0af8ed14"]}],"mendeley":{"formattedCitation":"(Leach and Burgin, 1985)","plainTextFormattedCitation":"(Leach and Burgin, 1985)","previouslyFormattedCitation":"(Leach and Burgin, 1985)"},"properties":{"noteIndex":0},"schema":"https://github.com/citation-style-language/schema/raw/master/csl-citation.json"}</w:instrText>
      </w:r>
      <w:r w:rsidRPr="008726D7">
        <w:rPr>
          <w:rFonts w:cstheme="minorHAnsi"/>
          <w:vertAlign w:val="superscript"/>
        </w:rPr>
        <w:fldChar w:fldCharType="separate"/>
      </w:r>
      <w:r w:rsidR="008A48C6" w:rsidRPr="008A48C6">
        <w:rPr>
          <w:rFonts w:cstheme="minorHAnsi"/>
          <w:noProof/>
        </w:rPr>
        <w:t>(Leach and Burgin, 1985)</w:t>
      </w:r>
      <w:r w:rsidRPr="008726D7">
        <w:rPr>
          <w:rFonts w:cstheme="minorHAnsi"/>
          <w:vertAlign w:val="superscript"/>
        </w:rPr>
        <w:fldChar w:fldCharType="end"/>
      </w:r>
      <w:r w:rsidRPr="008726D7">
        <w:rPr>
          <w:rFonts w:cstheme="minorHAnsi"/>
        </w:rPr>
        <w:t xml:space="preserve"> and root growth can be almost 30 fold greater (28.4 Mg ha</w:t>
      </w:r>
      <w:r w:rsidRPr="008726D7">
        <w:rPr>
          <w:rFonts w:cstheme="minorHAnsi"/>
          <w:vertAlign w:val="superscript"/>
        </w:rPr>
        <w:t>-1</w:t>
      </w:r>
      <w:r w:rsidRPr="008726D7">
        <w:rPr>
          <w:rFonts w:cstheme="minorHAnsi"/>
        </w:rPr>
        <w:t xml:space="preserve"> yr</w:t>
      </w:r>
      <w:r w:rsidRPr="008726D7">
        <w:rPr>
          <w:rFonts w:cstheme="minorHAnsi"/>
          <w:vertAlign w:val="superscript"/>
        </w:rPr>
        <w:t>-1</w:t>
      </w:r>
      <w:r w:rsidRPr="008726D7">
        <w:rPr>
          <w:rFonts w:cstheme="minorHAnsi"/>
        </w:rPr>
        <w:t xml:space="preserve">) than that measured in Qatar </w:t>
      </w:r>
      <w:r w:rsidRPr="008726D7">
        <w:rPr>
          <w:rFonts w:cstheme="minorHAnsi"/>
        </w:rPr>
        <w:fldChar w:fldCharType="begin" w:fldLock="1"/>
      </w:r>
      <w:r w:rsidR="008A48C6">
        <w:rPr>
          <w:rFonts w:cstheme="minorHAnsi"/>
        </w:rPr>
        <w:instrText>ADDIN CSL_CITATION {"citationItems":[{"id":"ITEM-1","itemData":{"DOI":"10.1007/s11104-016-3082-z","ISSN":"15735036","abstract":"Aims: It has been increasingly recognized that only distal lower order roots turn over actively within the &lt;2 mm fine root system of trees. This study aimed to estimate fine root production and turnover rate based on lower order fine roots and their relations to soil variables in mangroves. Methods: We conducted sequential coring in five natural mangrove forests at Dongzhai Bay, China. Annual fine root production and turnover rate were calculated based on the seasonal variations of the biomass and necromass of lower order roots or the whole fine root system. Results: Annual fine root production and turnover rate ranged between 571 and 2838 g m−2 and 1.46–5.96 yr−1, respectively, estimated with lower order roots, and they were increased by 0–30 % and reduced by 13–48 %, respectively, estimated with the whole fine root system. Annual fine root production was 1–3.5 times higher than aboveground litter production and was positively related to soil carbon, nitrogen and phosphorus concentrations. Fine root turnover rate was negatively related to soil salinity. Conclusions: Mangrove fine root turnover plays a more important role than aboveground litter production in soil C accumulation. Sites with higher soil nutrients and lower salinity favor fine root production and turnover, and thus favor soil C accumulation.","author":[{"dropping-particle":"","family":"Xiong","given":"Yanmei","non-dropping-particle":"","parse-names":false,"suffix":""},{"dropping-particle":"","family":"Liu","given":"Xiu","non-dropping-particle":"","parse-names":false,"suffix":""},{"dropping-particle":"","family":"Guan","given":"Wei","non-dropping-particle":"","parse-names":false,"suffix":""},{"dropping-particle":"","family":"Liao","given":"Baowen","non-dropping-particle":"","parse-names":false,"suffix":""},{"dropping-particle":"","family":"Chen","given":"Yujun","non-dropping-particle":"","parse-names":false,"suffix":""},{"dropping-particle":"","family":"Li","given":"Mei","non-dropping-particle":"","parse-names":false,"suffix":""},{"dropping-particle":"","family":"Zhong","given":"Cairong","non-dropping-particle":"","parse-names":false,"suffix":""}],"container-title":"Plant and Soil","id":"ITEM-1","issue":"1-2","issued":{"date-parts":[["2017"]]},"page":"83-95","title":"Fine root functional group based estimates of fine root production and turnover rate in natural mangrove forests","type":"article-journal","volume":"413"},"uris":["http://www.mendeley.com/documents/?uuid=4e236979-0bc6-4477-afd2-b22f61d3aeb0"]}],"mendeley":{"formattedCitation":"(Xiong et al., 2017)","plainTextFormattedCitation":"(Xiong et al., 2017)","previouslyFormattedCitation":"(Xiong et al., 2017)"},"properties":{"noteIndex":0},"schema":"https://github.com/citation-style-language/schema/raw/master/csl-citation.json"}</w:instrText>
      </w:r>
      <w:r w:rsidRPr="008726D7">
        <w:rPr>
          <w:rFonts w:cstheme="minorHAnsi"/>
        </w:rPr>
        <w:fldChar w:fldCharType="separate"/>
      </w:r>
      <w:r w:rsidR="008A48C6" w:rsidRPr="008A48C6">
        <w:rPr>
          <w:rFonts w:cstheme="minorHAnsi"/>
          <w:noProof/>
        </w:rPr>
        <w:t>(Xiong et al., 2017)</w:t>
      </w:r>
      <w:r w:rsidRPr="008726D7">
        <w:rPr>
          <w:rFonts w:cstheme="minorHAnsi"/>
        </w:rPr>
        <w:fldChar w:fldCharType="end"/>
      </w:r>
      <w:r w:rsidRPr="008726D7">
        <w:rPr>
          <w:rFonts w:cstheme="minorHAnsi"/>
        </w:rPr>
        <w:t>. Despite these linkages between productivity and precipitation, average litter rates in sub-tropical Hong Kong (2.90 g m</w:t>
      </w:r>
      <w:r w:rsidRPr="008726D7">
        <w:rPr>
          <w:rFonts w:cstheme="minorHAnsi"/>
          <w:vertAlign w:val="superscript"/>
        </w:rPr>
        <w:t>2</w:t>
      </w:r>
      <w:r w:rsidRPr="008726D7">
        <w:rPr>
          <w:rFonts w:cstheme="minorHAnsi"/>
        </w:rPr>
        <w:t xml:space="preserve"> d</w:t>
      </w:r>
      <w:r w:rsidRPr="008726D7">
        <w:rPr>
          <w:rFonts w:cstheme="minorHAnsi"/>
          <w:vertAlign w:val="superscript"/>
        </w:rPr>
        <w:t>-1</w:t>
      </w:r>
      <w:r w:rsidRPr="008726D7">
        <w:rPr>
          <w:rFonts w:cstheme="minorHAnsi"/>
        </w:rPr>
        <w:t xml:space="preserve">) </w:t>
      </w:r>
      <w:r w:rsidRPr="008726D7">
        <w:rPr>
          <w:rFonts w:cstheme="minorHAnsi"/>
        </w:rPr>
        <w:fldChar w:fldCharType="begin" w:fldLock="1"/>
      </w:r>
      <w:r w:rsidR="008A48C6">
        <w:rPr>
          <w:rFonts w:cstheme="minorHAnsi"/>
        </w:rPr>
        <w:instrText>ADDIN CSL_CITATION {"citationItems":[{"id":"ITEM-1","itemData":{"abstract":"Production and turnover of Kandelia candel litter were studied for 2 years in a tidal shrimp pond (10 ha) at the Mai PO Marshes, northwest Hong Kong. Annual litter production averaged 11.070 t ha-’ (equivalent to 4.880 x 10’ kcal ha-‘), with wood and leaf materials contributing, respectively, 6.15 and 53.94% of the total. The reproductive plus frass component contributed 40.69% of the total production. The mean standing litter biomass recorded during the same period was 9587 f 0.556 t ha-’ (4.968 x 10’ kcal ha-‘), with respective contributions by the three components of 19.07,42.26 and 38.65%. Residence times (standing biomass/production) of the three components were extraordinarily long, estimated to be, respectively, 980,300 and 252 days. Stand characteristics of average tree height and dbh were good predictors of litter production while climatic variables, especially rainfall, could be used to predict the production of various litter components. Residence times were related to both inundation frequency and crab (Chiromanthes spp.) consumption. As the Kandelia candel stands were located largely above mean water level, there was little export of litter. The litter produced was predominantly decomposed or consumed by macrofauna in situ, creating a large energy sink which was not coupled to pelagic secondary production. The significance of these findings are discussed in relation to the fishery production and wildlife conservation value of the marshes.","author":[{"dropping-particle":"","family":"Lee","given":"Shing Yip","non-dropping-particle":"","parse-names":false,"suffix":""}],"container-title":"Estuarine, Coastal and Shelf Science","id":"ITEM-1","issued":{"date-parts":[["1989"]]},"page":"75-87","title":"Litter Production and Turnover of the Mangrove Kandelia candel (L.) Druce in a Hong Kong Tidal Shrimp Pond","type":"article-journal","volume":"29"},"uris":["http://www.mendeley.com/documents/?uuid=1a8166a3-6faa-48f4-a04c-d4c480096371"]}],"mendeley":{"formattedCitation":"(Lee, 1989)","plainTextFormattedCitation":"(Lee, 1989)","previouslyFormattedCitation":"(Lee, 1989)"},"properties":{"noteIndex":0},"schema":"https://github.com/citation-style-language/schema/raw/master/csl-citation.json"}</w:instrText>
      </w:r>
      <w:r w:rsidRPr="008726D7">
        <w:rPr>
          <w:rFonts w:cstheme="minorHAnsi"/>
        </w:rPr>
        <w:fldChar w:fldCharType="separate"/>
      </w:r>
      <w:r w:rsidR="008A48C6" w:rsidRPr="008A48C6">
        <w:rPr>
          <w:rFonts w:cstheme="minorHAnsi"/>
          <w:noProof/>
        </w:rPr>
        <w:t>(Lee, 1989)</w:t>
      </w:r>
      <w:r w:rsidRPr="008726D7">
        <w:rPr>
          <w:rFonts w:cstheme="minorHAnsi"/>
        </w:rPr>
        <w:fldChar w:fldCharType="end"/>
      </w:r>
      <w:r w:rsidRPr="008726D7">
        <w:rPr>
          <w:rFonts w:cstheme="minorHAnsi"/>
        </w:rPr>
        <w:t xml:space="preserve">, where annual precipitation rates are ~1800 mm </w:t>
      </w:r>
      <w:r w:rsidRPr="008726D7">
        <w:rPr>
          <w:rFonts w:cstheme="minorHAnsi"/>
        </w:rPr>
        <w:fldChar w:fldCharType="begin" w:fldLock="1"/>
      </w:r>
      <w:r w:rsidR="008A48C6">
        <w:rPr>
          <w:rFonts w:cstheme="minorHAnsi"/>
        </w:rPr>
        <w:instrText>ADDIN CSL_CITATION {"citationItems":[{"id":"ITEM-1","itemData":{"DOI":"10.1016/S0013-7952(98)00038-6","ISSN":"00137952","abstract":"Slope failures are common in Hong Kong. A wide spectrum of slope failures have been noted. Failures may differ in respect of thickness of failed mass, time of failure occurrence, rotational inclination, failure movement rate, mobility of debris, etc. Small failures significantly outnumber large ones. Due to their close proximity to buildings, however, small failures that collapse catastrophically without prior warning are of concern. Intense rainfall, soils that are largely non-cohesive upon saturation, steep terrain, and intense development are considered to be the major causes of the failures. Loss of pore-water suction, erosion, and pore-water pressure build-up at shallow depths are the most common ways through which rainwater affects the slope stability, as short-burst rainstorms are common. The scale of a failure event depends on the intensity, areal extent, position and duration of the triggering rainstorm. Antecedent rainfall has relatively little influence. The prediction of slope stability in Hong Kong is difficult because of the highly erratic nature of the hydrological influences and the inherent heterogeneity of local soils. While some of the hydrological and geological attributes cannot be accurately predicted and effectively controlled, the hazard can be mitigated by appropriate geotechnical control.","author":[{"dropping-particle":"","family":"Au","given":"S. W.C.","non-dropping-particle":"","parse-names":false,"suffix":""}],"container-title":"Engineering Geology","id":"ITEM-1","issue":"1","issued":{"date-parts":[["1998"]]},"page":"1-36","title":"Rain-induced slope instability in Hong Kong","type":"article-journal","volume":"51"},"uris":["http://www.mendeley.com/documents/?uuid=0409e357-869e-4b3d-8814-9b4b9467434c","http://www.mendeley.com/documents/?uuid=218ff418-9472-45aa-8166-5c37de2124c3"]}],"mendeley":{"formattedCitation":"(Au, 1998)","plainTextFormattedCitation":"(Au, 1998)","previouslyFormattedCitation":"(Au, 1998)"},"properties":{"noteIndex":0},"schema":"https://github.com/citation-style-language/schema/raw/master/csl-citation.json"}</w:instrText>
      </w:r>
      <w:r w:rsidRPr="008726D7">
        <w:rPr>
          <w:rFonts w:cstheme="minorHAnsi"/>
        </w:rPr>
        <w:fldChar w:fldCharType="separate"/>
      </w:r>
      <w:r w:rsidR="008A48C6" w:rsidRPr="008A48C6">
        <w:rPr>
          <w:rFonts w:cstheme="minorHAnsi"/>
          <w:noProof/>
        </w:rPr>
        <w:t>(Au, 1998)</w:t>
      </w:r>
      <w:r w:rsidRPr="008726D7">
        <w:rPr>
          <w:rFonts w:cstheme="minorHAnsi"/>
        </w:rPr>
        <w:fldChar w:fldCharType="end"/>
      </w:r>
      <w:r w:rsidRPr="008726D7">
        <w:rPr>
          <w:rFonts w:cstheme="minorHAnsi"/>
        </w:rPr>
        <w:t>, are comparable to some locations in tropical Indonesia (2.27 g m</w:t>
      </w:r>
      <w:r w:rsidRPr="008726D7">
        <w:rPr>
          <w:rFonts w:cstheme="minorHAnsi"/>
          <w:vertAlign w:val="superscript"/>
        </w:rPr>
        <w:t>2</w:t>
      </w:r>
      <w:r w:rsidRPr="008726D7">
        <w:rPr>
          <w:rFonts w:cstheme="minorHAnsi"/>
        </w:rPr>
        <w:t xml:space="preserve"> d</w:t>
      </w:r>
      <w:r w:rsidRPr="008726D7">
        <w:rPr>
          <w:rFonts w:cstheme="minorHAnsi"/>
          <w:vertAlign w:val="superscript"/>
        </w:rPr>
        <w:t>-1</w:t>
      </w:r>
      <w:r w:rsidRPr="008726D7">
        <w:rPr>
          <w:rFonts w:cstheme="minorHAnsi"/>
        </w:rPr>
        <w:t xml:space="preserve">) </w:t>
      </w:r>
      <w:r w:rsidRPr="008726D7">
        <w:rPr>
          <w:rFonts w:cstheme="minorHAnsi"/>
        </w:rPr>
        <w:fldChar w:fldCharType="begin" w:fldLock="1"/>
      </w:r>
      <w:r w:rsidR="008A48C6">
        <w:rPr>
          <w:rFonts w:cstheme="minorHAnsi"/>
        </w:rPr>
        <w:instrText>ADDIN CSL_CITATION {"citationItems":[{"id":"ITEM-1","itemData":{"DOI":"10.1016/0378-1127(92)90135-V","ISSN":"03781127","abstract":"Perum Perhutani (The State Forestry Corporation) is establishing large-scale mangrove plantations for reforestation and/or afforestation, and the production of wood for fuel as well as other purposes in Java. The mangrove species used currently in Segara Anakan Cilacap is Rhizophora mucronata Lamarck. The above-ground biomass, litter production and litter accumulation in a 7-year-old stand in Tritih were studied. The mean diameter at breast height (DBH) or 30 cm above the highest prop root was 5.91 cm. The mean annual increment in DBH of individual trees was 0.89 cm. The total above-ground biomass of the stand was 93.726 t ha-1 of dry weight, consisting of 60.442 t of stem, 13.906 t of branch, 14.708 t of prop root and 4.670 t of leaf material. Litter production ranged from 7.058 to 10.395 t ha-1 year-1 of dry weight with leaf litter making up 73.29-84.30% of the total. Leaf litter accumulation amounted to 16.922-20.511 t ha-1 year-1 of dry weight and the turnover constant (k) of leaf litter was estimated at 0.2943-0.4082. The high productivity is discussed in relation to lower turnover (k) of litter. © 1992.","author":[{"dropping-particle":"","family":"Sukardjo","given":"Sukristijono","non-dropping-particle":"","parse-names":false,"suffix":""},{"dropping-particle":"","family":"Yamada","given":"I.","non-dropping-particle":"","parse-names":false,"suffix":""}],"container-title":"Forest Ecology and Management","id":"ITEM-1","issue":"3-4","issued":{"date-parts":[["1992"]]},"page":"195-209","title":"Biomass and productivity of a Rhizophora mucronata Lamarck plantation in Tritih, Central Java, Indonesia","type":"article-journal","volume":"49"},"uris":["http://www.mendeley.com/documents/?uuid=6f88652a-5bbc-4570-acdd-3cc339bd5a88"]}],"mendeley":{"formattedCitation":"(Sukardjo and Yamada, 1992)","plainTextFormattedCitation":"(Sukardjo and Yamada, 1992)","previouslyFormattedCitation":"(Sukardjo and Yamada, 1992)"},"properties":{"noteIndex":0},"schema":"https://github.com/citation-style-language/schema/raw/master/csl-citation.json"}</w:instrText>
      </w:r>
      <w:r w:rsidRPr="008726D7">
        <w:rPr>
          <w:rFonts w:cstheme="minorHAnsi"/>
        </w:rPr>
        <w:fldChar w:fldCharType="separate"/>
      </w:r>
      <w:r w:rsidR="008A48C6" w:rsidRPr="008A48C6">
        <w:rPr>
          <w:rFonts w:cstheme="minorHAnsi"/>
          <w:noProof/>
        </w:rPr>
        <w:t>(Sukardjo and Yamada, 1992)</w:t>
      </w:r>
      <w:r w:rsidRPr="008726D7">
        <w:rPr>
          <w:rFonts w:cstheme="minorHAnsi"/>
        </w:rPr>
        <w:fldChar w:fldCharType="end"/>
      </w:r>
      <w:r w:rsidRPr="008726D7">
        <w:rPr>
          <w:rFonts w:cstheme="minorHAnsi"/>
        </w:rPr>
        <w:t xml:space="preserve">, where annual precipitation can be over 1.5 times higher (~2800 mm) </w:t>
      </w:r>
      <w:r w:rsidRPr="008726D7">
        <w:rPr>
          <w:rFonts w:cstheme="minorHAnsi"/>
        </w:rPr>
        <w:fldChar w:fldCharType="begin" w:fldLock="1"/>
      </w:r>
      <w:r w:rsidR="008A48C6">
        <w:rPr>
          <w:rFonts w:cstheme="minorHAnsi"/>
        </w:rPr>
        <w:instrText>ADDIN CSL_CITATION {"citationItems":[{"id":"ITEM-1","itemData":{"DOI":"10.1088/1755-1315/374/1/012037","ISSN":"17551315","abstract":"The frequency of hydro-meteorological disasters (climate and weather-related) in Indonesia has continued to increase in the last ten years. Java Island is the region with the highest disaster occurrence in Indonesia. The CMAP (the CPC Merged Analysis of Precipitation) rainfall data for the long time period 1981-2016 was used in this study. While the in situ data was used for verification of CMAP data. The rainfall is one of the main parameters that affects the climate in Indonesia. A study using this long-term data has been done to investigate the changes of rainfall occurring in Java Island per-decade. The results showed that the annual rainfall pattern appears to be almost the same during the all periods (period I, II, III and IV), but the intensity of the annual rainfall changes significantly. While the real changes are also seen in seasonal rainfall patterns and their intensity on Java Island. These changes indicate that the average rainfall in period IV is higher than period I, II and III. Likewise, the early of the dry/rainy season and the length of the season appear to be shifting in six locations from seven locations of case studies conducted. The CMAP data is quite well as alternative data in climate-related research because it has a good verification of in situ data.","author":[{"dropping-particle":"","family":"Avia","given":"L. Q.","non-dropping-particle":"","parse-names":false,"suffix":""}],"container-title":"IOP Conference Series: Earth and Environmental Science","id":"ITEM-1","issue":"1","issued":{"date-parts":[["2019"]]},"title":"Change in rainfall per-decades over Java Island, Indonesia","type":"article-journal","volume":"374"},"uris":["http://www.mendeley.com/documents/?uuid=9855cf21-ec20-4837-9756-f6ee22b7fe97","http://www.mendeley.com/documents/?uuid=ff2763ac-a61a-4fcb-9a34-3cea1626c6ab"]}],"mendeley":{"formattedCitation":"(Avia, 2019)","plainTextFormattedCitation":"(Avia, 2019)","previouslyFormattedCitation":"(Avia, 2019)"},"properties":{"noteIndex":0},"schema":"https://github.com/citation-style-language/schema/raw/master/csl-citation.json"}</w:instrText>
      </w:r>
      <w:r w:rsidRPr="008726D7">
        <w:rPr>
          <w:rFonts w:cstheme="minorHAnsi"/>
        </w:rPr>
        <w:fldChar w:fldCharType="separate"/>
      </w:r>
      <w:r w:rsidR="008A48C6" w:rsidRPr="008A48C6">
        <w:rPr>
          <w:rFonts w:cstheme="minorHAnsi"/>
          <w:noProof/>
        </w:rPr>
        <w:t>(Avia, 2019)</w:t>
      </w:r>
      <w:r w:rsidRPr="008726D7">
        <w:rPr>
          <w:rFonts w:cstheme="minorHAnsi"/>
        </w:rPr>
        <w:fldChar w:fldCharType="end"/>
      </w:r>
      <w:r w:rsidRPr="008726D7">
        <w:rPr>
          <w:rFonts w:cstheme="minorHAnsi"/>
        </w:rPr>
        <w:t xml:space="preserve"> and &gt;25% of the world’s mangroves occur </w:t>
      </w:r>
      <w:r w:rsidRPr="008726D7">
        <w:rPr>
          <w:rFonts w:cstheme="minorHAnsi"/>
        </w:rPr>
        <w:fldChar w:fldCharType="begin" w:fldLock="1"/>
      </w:r>
      <w:r w:rsidR="008A48C6">
        <w:rPr>
          <w:rFonts w:cstheme="minorHAnsi"/>
        </w:rPr>
        <w:instrText>ADDIN CSL_CITATION {"citationItems":[{"id":"ITEM-1","itemData":{"author":[{"dropping-particle":"","family":"Hamilton","given":"Stuart","non-dropping-particle":"","parse-names":false,"suffix":""},{"dropping-particle":"","family":"Casey","given":"Daniel","non-dropping-particle":"","parse-names":false,"suffix":""}],"container-title":"Global Ecology and Biogeography","id":"ITEM-1","issue":"6","issued":{"date-parts":[["2016"]]},"page":"729-738","title":"Creation of a high spatiotemporal resolution global database of continuous mangrove forest cover","type":"article-journal","volume":"25"},"uris":["http://www.mendeley.com/documents/?uuid=893008db-4f62-4c3e-95b0-18b063df5b92"]}],"mendeley":{"formattedCitation":"(Hamilton and Casey, 2016)","plainTextFormattedCitation":"(Hamilton and Casey, 2016)","previouslyFormattedCitation":"(Hamilton and Casey, 2016)"},"properties":{"noteIndex":0},"schema":"https://github.com/citation-style-language/schema/raw/master/csl-citation.json"}</w:instrText>
      </w:r>
      <w:r w:rsidRPr="008726D7">
        <w:rPr>
          <w:rFonts w:cstheme="minorHAnsi"/>
        </w:rPr>
        <w:fldChar w:fldCharType="separate"/>
      </w:r>
      <w:r w:rsidR="008A48C6" w:rsidRPr="008A48C6">
        <w:rPr>
          <w:rFonts w:cstheme="minorHAnsi"/>
          <w:noProof/>
        </w:rPr>
        <w:t>(Hamilton and Casey, 2016)</w:t>
      </w:r>
      <w:r w:rsidRPr="008726D7">
        <w:rPr>
          <w:rFonts w:cstheme="minorHAnsi"/>
        </w:rPr>
        <w:fldChar w:fldCharType="end"/>
      </w:r>
      <w:r w:rsidRPr="008726D7">
        <w:rPr>
          <w:rFonts w:cstheme="minorHAnsi"/>
        </w:rPr>
        <w:t xml:space="preserve"> and where average net primary productivity rates as high as ~65 Mg ha</w:t>
      </w:r>
      <w:r w:rsidRPr="008726D7">
        <w:rPr>
          <w:rFonts w:cstheme="minorHAnsi"/>
          <w:vertAlign w:val="superscript"/>
        </w:rPr>
        <w:t>-1</w:t>
      </w:r>
      <w:r w:rsidRPr="008726D7">
        <w:rPr>
          <w:rFonts w:cstheme="minorHAnsi"/>
        </w:rPr>
        <w:t xml:space="preserve"> yr</w:t>
      </w:r>
      <w:r w:rsidRPr="008726D7">
        <w:rPr>
          <w:rFonts w:cstheme="minorHAnsi"/>
          <w:vertAlign w:val="superscript"/>
        </w:rPr>
        <w:t>-1</w:t>
      </w:r>
      <w:r w:rsidRPr="008726D7">
        <w:rPr>
          <w:rFonts w:cstheme="minorHAnsi"/>
        </w:rPr>
        <w:t xml:space="preserve"> have been reported </w:t>
      </w:r>
      <w:r w:rsidRPr="008726D7">
        <w:rPr>
          <w:rFonts w:cstheme="minorHAnsi"/>
        </w:rPr>
        <w:fldChar w:fldCharType="begin" w:fldLock="1"/>
      </w:r>
      <w:r w:rsidR="008A48C6">
        <w:rPr>
          <w:rFonts w:cstheme="minorHAnsi"/>
        </w:rPr>
        <w:instrText>ADDIN CSL_CITATION {"citationItems":[{"id":"ITEM-1","itemData":{"DOI":"10.13057/biodiv/d210407","ISSN":"20854722","abstract":"This study was aimed at analyzing the trends of aboveground biomass (AGB), productivity and carbon sequestration of Rhizophora stylosa Griff. forest in Rawa Aopa Watumohai National Park (RAWNP), Southeast Sulawesi, Indonesia. The DBH was the best predictor for partial and whole AGB of R. stylosa trees. The mean AGB was 562.76 ton ha-1. The yearly biomass increment of living trees, biomass increment of whole stands, standing dead biomass, and litterfall in R. stylosa forest were estimated as 52.87, 50.09, 2.78 and 12.00 ton ha-1, respectively, while its net primary production was about 64.88 ton ha-1 yr-1 indicating higher mangrove productivity. The total carbon stock in R. stylosa forest was 264.50 ton ha-1, while the annual net carbon budget, carbon gain and carbon input in R. stylosa forest was 23.54, 24.85 and 5.64 ton ha-1. However, the total CO2 stored in R. stylosa forest was 969.83 ton ha-1, while the annual of net CO2 uptake, CO2 gained and CO2 input was 86.33, 91.12 and 20.86 ton ha-1. The higher carbon sequestration and CO2 uptake in R. stylosa forest indicate its significant role in the global carbon accumulation and reducing atmospheric CO2.","author":[{"dropping-particle":"","family":"Analuddin","given":"Kangkuso","non-dropping-particle":"","parse-names":false,"suffix":""},{"dropping-particle":"","family":"Kadidae","given":"LA ODE","non-dropping-particle":"","parse-names":false,"suffix":""},{"dropping-particle":"","family":"Yasir Haya","given":"LA ODE MUHAMMAD","non-dropping-particle":"","parse-names":false,"suffix":""},{"dropping-particle":"","family":"Septiana","given":"Andi","non-dropping-particle":"","parse-names":false,"suffix":""},{"dropping-particle":"","family":"Sahidin","given":"Idin","non-dropping-particle":"","parse-names":false,"suffix":""},{"dropping-particle":"","family":"Syahrir","given":"La","non-dropping-particle":"","parse-names":false,"suffix":""},{"dropping-particle":"","family":"Rahim","given":"Saban","non-dropping-particle":"","parse-names":false,"suffix":""},{"dropping-particle":"","family":"Fajar","given":"LA ODE ABDUL","non-dropping-particle":"","parse-names":false,"suffix":""},{"dropping-particle":"","family":"Nadaoka","given":"Kazuo","non-dropping-particle":"","parse-names":false,"suffix":""}],"container-title":"Biodiversitas","id":"ITEM-1","issue":"4","issued":{"date-parts":[["2020"]]},"page":"1316-1325","title":"Aboveground biomass, productivity and carbon sequestration in rhizophora stylosa mangrove forest of southeast sulawesi, indonesia","type":"article-journal","volume":"21"},"uris":["http://www.mendeley.com/documents/?uuid=bb86d611-d9ae-48cc-83ce-ca8c3c39e291"]}],"mendeley":{"formattedCitation":"(Analuddin et al., 2020)","plainTextFormattedCitation":"(Analuddin et al., 2020)","previouslyFormattedCitation":"(Analuddin et al., 2020)"},"properties":{"noteIndex":0},"schema":"https://github.com/citation-style-language/schema/raw/master/csl-citation.json"}</w:instrText>
      </w:r>
      <w:r w:rsidRPr="008726D7">
        <w:rPr>
          <w:rFonts w:cstheme="minorHAnsi"/>
        </w:rPr>
        <w:fldChar w:fldCharType="separate"/>
      </w:r>
      <w:r w:rsidR="008A48C6" w:rsidRPr="008A48C6">
        <w:rPr>
          <w:rFonts w:cstheme="minorHAnsi"/>
          <w:noProof/>
        </w:rPr>
        <w:t>(Analuddin et al., 2020)</w:t>
      </w:r>
      <w:r w:rsidRPr="008726D7">
        <w:rPr>
          <w:rFonts w:cstheme="minorHAnsi"/>
        </w:rPr>
        <w:fldChar w:fldCharType="end"/>
      </w:r>
      <w:r w:rsidRPr="008726D7">
        <w:rPr>
          <w:rFonts w:cstheme="minorHAnsi"/>
        </w:rPr>
        <w:t>. Average litter rates in the semi-arid Gulf of California can be even greater than that recorded in Indonesia, reaching up to 4.12 g m</w:t>
      </w:r>
      <w:r w:rsidRPr="008726D7">
        <w:rPr>
          <w:rFonts w:cstheme="minorHAnsi"/>
          <w:vertAlign w:val="superscript"/>
        </w:rPr>
        <w:t>2</w:t>
      </w:r>
      <w:r w:rsidRPr="008726D7">
        <w:rPr>
          <w:rFonts w:cstheme="minorHAnsi"/>
        </w:rPr>
        <w:t xml:space="preserve"> d</w:t>
      </w:r>
      <w:r w:rsidRPr="008726D7">
        <w:rPr>
          <w:rFonts w:cstheme="minorHAnsi"/>
          <w:vertAlign w:val="superscript"/>
        </w:rPr>
        <w:t>-1</w:t>
      </w:r>
      <w:r w:rsidRPr="008726D7">
        <w:rPr>
          <w:rFonts w:cstheme="minorHAnsi"/>
        </w:rPr>
        <w:t xml:space="preserve"> </w:t>
      </w:r>
      <w:r w:rsidRPr="008726D7">
        <w:rPr>
          <w:rFonts w:cstheme="minorHAnsi"/>
        </w:rPr>
        <w:fldChar w:fldCharType="begin" w:fldLock="1"/>
      </w:r>
      <w:r w:rsidR="008A48C6">
        <w:rPr>
          <w:rFonts w:cstheme="minorHAnsi"/>
        </w:rPr>
        <w:instrText>ADDIN CSL_CITATION {"citationItems":[{"id":"ITEM-1","itemData":{"DOI":"https://doi.org/10.1016/j.ecss.2010.07.005","abstract":"This study shows results on litterfall dynamics and decay in mangrove stands of Avicennia germinans distributed along a latitudinal gradient (three forest sites) in the Gulf of California, in order to assess whether internal sources could support the observed mangrove ecosystem organic deficit in this arid tropic. Total mean annual litterfall production increased southward (712.6 \u0001 53.3, 1501.3 \u0001 145.1 and 1506.2 \u0001 280.5 g DW m2 y1 , in the Yaqui, Mayo and Fuerte areas respectively), leaves being the main component of litter in all locations during the entire year, followed by fruits. The wet season (JuneeSeptember) showed the highest litterfall rates through fruits. The temporal trend of litterfall production was significantly explained through mean air temperature (R2 ¼ 68%) whilst total annual litter production in the entire region showed a statistically significant relationship with total soil phosphorus, salinity, total nitrogen, organic matter and tree height (R2 ¼ 0.67). Throughout 117 days of the decomposition experiment, the litter lost 50% of its original dry weight in 5.8 days (average decay rate of 0.032 \u0001 0.04 g DW d1 ) and there were not significant differences in the remaining mass after 6 days. The percentage of both C and P released from the litter correlated significantly with the ratio of tidal inundated days to total experiment days (R2 ¼ 0.62, p ¼ 0.03 and R2 ¼ 0.67, p ¼ 0.02, respectively); however, the frequency of tidal inundation only showed a significant increase in C release from Avicennia litter after 6 and above 48 days of decomposition. Whereas the total C content of litter bags decreased linearly over the decomposition to (% Total C ¼ 5.52 0.46 days, R2 ¼ 0.81, p ¼ 0.0005), N content displayed an irregular pattern with a significant increase of decay between 48 and 76 days from the beginning of the experiment. The pattern for relative P content of litter revealed reductions of up to 99% of the original (%tot-P ¼ 9.77 to 1.004 days, R2 ¼ 0.72, p ¼ 0.01) although most of the P reduction occurred between 17 and 34 days after the experiment started . Soil N and P contents, which exhibited significant differences in the course of the decomposition experiment, appeared to show significant differences between sampling sites, although they were not related to tidal influence, nor by leaf and nutrient leaching. In a global basis, C/N litter ratios decreased linearly (C/N ¼ 32.86 0.1006 days, R2 ¼ 0.62, p ¼ 0.02), showing a strong a…","author":[{"dropping-particle":"","family":"Sanchez-Andres","given":"R","non-dropping-particle":"","parse-names":false,"suffix":""},{"dropping-particle":"","family":"Sanchez-Carillo","given":"S","non-dropping-particle":"","parse-names":false,"suffix":""},{"dropping-particle":"","family":"Alatorre","given":"LC","non-dropping-particle":"","parse-names":false,"suffix":""},{"dropping-particle":"","family":"Cirujano","given":"S","non-dropping-particle":"","parse-names":false,"suffix":""},{"dropping-particle":"","family":"Alvarez-Cobelas","given":"M","non-dropping-particle":"","parse-names":false,"suffix":""}],"container-title":"Estuarine, Coastal and Shelf Science","id":"ITEM-1","issued":{"date-parts":[["2010"]]},"page":"191-199","title":"Litterfall dynamics and nutrient decomposition of arid mangroves in the Gulf of California: Their role sustaining ecosystem heterotrophy","type":"article-journal","volume":"89"},"uris":["http://www.mendeley.com/documents/?uuid=c89f8be9-5749-4404-8298-f8bcc50c42dd"]}],"mendeley":{"formattedCitation":"(Sanchez-Andres et al., 2010)","plainTextFormattedCitation":"(Sanchez-Andres et al., 2010)","previouslyFormattedCitation":"(Sanchez-Andres et al., 2010)"},"properties":{"noteIndex":0},"schema":"https://github.com/citation-style-language/schema/raw/master/csl-citation.json"}</w:instrText>
      </w:r>
      <w:r w:rsidRPr="008726D7">
        <w:rPr>
          <w:rFonts w:cstheme="minorHAnsi"/>
        </w:rPr>
        <w:fldChar w:fldCharType="separate"/>
      </w:r>
      <w:r w:rsidR="008A48C6" w:rsidRPr="008A48C6">
        <w:rPr>
          <w:rFonts w:cstheme="minorHAnsi"/>
          <w:noProof/>
        </w:rPr>
        <w:t>(Sanchez-Andres et al., 2010)</w:t>
      </w:r>
      <w:r w:rsidRPr="008726D7">
        <w:rPr>
          <w:rFonts w:cstheme="minorHAnsi"/>
        </w:rPr>
        <w:fldChar w:fldCharType="end"/>
      </w:r>
      <w:r w:rsidRPr="008726D7">
        <w:rPr>
          <w:rFonts w:cstheme="minorHAnsi"/>
        </w:rPr>
        <w:t xml:space="preserve">. A lack of association in litterfall rates across large precipitation gradients suggests that changes in precipitation alone is not the major driving factor in mangrove productivity. In support of this, Ribeiro et al. (2019) found the interaction between minimum precipitation of the driest month and minimum temperature of the coldest month to be the most influential factors in driving average mangrove litterfall rates on a continental scale. Mangrove litter rates and productivity can also be dependent on their geomorphological setting, where mangroves in deltaic and riverine environments display greater productivity than those in carbonate regions </w:t>
      </w:r>
      <w:r w:rsidRPr="008726D7">
        <w:rPr>
          <w:rFonts w:cstheme="minorHAnsi"/>
        </w:rPr>
        <w:fldChar w:fldCharType="begin" w:fldLock="1"/>
      </w:r>
      <w:r w:rsidR="008A48C6">
        <w:rPr>
          <w:rFonts w:cstheme="minorHAnsi"/>
        </w:rPr>
        <w:instrText>ADDIN CSL_CITATION {"citationItems":[{"id":"ITEM-1","itemData":{"DOI":"10.1007/s11273-012-9249-3","ISSN":"09234861","abstract":"From 1996 to 2002, we measured litterfall, standing litter crop, and litter turnover rates in scrub, basin, fringe and riverine forests in two contrasting mangrove ecosystems: a carbonate-dominated system in the Southeastern Everglades and a terrigenous-dominated system in Laguna de Terminos (LT), Mexico. We hypothesized that litter dynamics is driven by latitude, geomorphology, hydrology, soil fertility and soil salinity stress. There were significant temporal patterns in LT with litterfall rates higher during the rainy season (2.4 g m-2 day-1) than during the dry season (1.8 g m-2 day-1). Total annual litterfall was significantly higher in the riverine forest (12.8 Mg ha-2 year-1) than in the fringe and basin forests (9.7 and 5.2 Mg ha-2 year-1, respectively). In Southeastern Everglades, total annual litterfall was also significantly higher during the rainy season than during the dry season. Spatially, the scrub forest had the lowest annual litterfall (2.5 Mg ha-2 year-1), while the fringe and basin had the highest (9.1 and 6.5 Mg ha-2 year-1, respectively). In LT, annual standing litter crop was 3.3 Mg ha-1 in the fringe and 2.2 Mg ha-1 in the basin. Litter turnover rates were significantly higher in the fringe mangrove forest (4.1 year-1) relative to the basin forests (2.2 year-1). At Southeastern Everglades there were significant differences in annual standing litter crop: 1.9, 3.3 and 4.5 Mg ha-1 at scrub, basin and fringe mangrove sites, respectively. Furthermore, turnover rates were similar at both basin and fringe mangrove types (2.1 and 2.0 year-1, respectively) but significantly higher than scrub mangrove forest (1.3 year-1). These findings suggest that litter export is important in regulating litter turnover rates in frequently flooded riverine and fringe forests, while in infrequently flooded basin forests, in situ litter decomposition controls litter turnover rates. © 2012 Springer Science+Business Media B.V.","author":[{"dropping-particle":"","family":"Coronado-Molina","given":"Carlos","non-dropping-particle":"","parse-names":false,"suffix":""},{"dropping-particle":"","family":"Alvarez-Guillen","given":"H.","non-dropping-particle":"","parse-names":false,"suffix":""},{"dropping-particle":"","family":"Day","given":"J. W.","non-dropping-particle":"","parse-names":false,"suffix":""},{"dropping-particle":"","family":"Reyes","given":"E.","non-dropping-particle":"","parse-names":false,"suffix":""},{"dropping-particle":"","family":"Perez","given":"B. C.","non-dropping-particle":"","parse-names":false,"suffix":""},{"dropping-particle":"","family":"Vera-Herrera","given":"F.","non-dropping-particle":"","parse-names":false,"suffix":""},{"dropping-particle":"","family":"Twilley","given":"R.","non-dropping-particle":"","parse-names":false,"suffix":""}],"container-title":"Wetlands Ecology and Management","id":"ITEM-1","issue":"2","issued":{"date-parts":[["2012"]]},"page":"123-136","title":"Litterfall dynamics in carbonate and deltaic mangrove ecosystems in the Gulf of Mexico","type":"article-journal","volume":"20"},"uris":["http://www.mendeley.com/documents/?uuid=29581208-eed5-4f00-a268-5420a41f3686"]}],"mendeley":{"formattedCitation":"(Coronado-Molina et al., 2012)","plainTextFormattedCitation":"(Coronado-Molina et al., 2012)","previouslyFormattedCitation":"(Coronado-Molina et al., 2012)"},"properties":{"noteIndex":0},"schema":"https://github.com/citation-style-language/schema/raw/master/csl-citation.json"}</w:instrText>
      </w:r>
      <w:r w:rsidRPr="008726D7">
        <w:rPr>
          <w:rFonts w:cstheme="minorHAnsi"/>
        </w:rPr>
        <w:fldChar w:fldCharType="separate"/>
      </w:r>
      <w:r w:rsidR="008A48C6" w:rsidRPr="008A48C6">
        <w:rPr>
          <w:rFonts w:cstheme="minorHAnsi"/>
          <w:noProof/>
        </w:rPr>
        <w:t>(Coronado-Molina et al., 2012)</w:t>
      </w:r>
      <w:r w:rsidRPr="008726D7">
        <w:rPr>
          <w:rFonts w:cstheme="minorHAnsi"/>
        </w:rPr>
        <w:fldChar w:fldCharType="end"/>
      </w:r>
      <w:r w:rsidRPr="008726D7">
        <w:rPr>
          <w:rFonts w:cstheme="minorHAnsi"/>
        </w:rPr>
        <w:t xml:space="preserve">, such as those in the western Gulf </w:t>
      </w:r>
      <w:r w:rsidRPr="008726D7">
        <w:rPr>
          <w:rFonts w:cstheme="minorHAnsi"/>
        </w:rPr>
        <w:fldChar w:fldCharType="begin" w:fldLock="1"/>
      </w:r>
      <w:r w:rsidR="008A48C6">
        <w:rPr>
          <w:rFonts w:cstheme="minorHAnsi"/>
        </w:rPr>
        <w:instrText>ADDIN CSL_CITATION {"citationItems":[{"id":"ITEM-1","itemData":{"DOI":"10.1111/sed.12419","ISSN":"13653091","abstract":"In a modern peritidal microbial mat from Qatar, both biomediated carbonates and Mg-rich clay minerals (palygorskite) were identified. The mat, ca 5 cm thick, shows a clear lamination reflecting different microbial communities. The initial precipitates within the top millimetres of the mat are composed of Ca–Mg–Si–Al–S amorphous nanoparticles (few tens of nanometres) that replace the ultrastructure of extracellular polymeric substances. The extracellular polymeric substances are enriched in the same cations and act as a substrate for mineral nucleation. Successively, crystallites of palygorskite fibres associated with carbonate nanocrystals develop, commonly surrounding bacterial bodies. Micron-sized crystals of low-Mg calcite are the most common precipitates, together with subordinate aragonite, very high-Mg calcite/dolomite and ankerite. Pyrite nanocrystals and framboids are present in the deeper layers of the mat. Calcite crystallites form conical structures, circular to triangular/hexagonal in cross-section, evolving to crystals with rhombohedral terminations; some crystallite bundles develop into dumb-bell and stellate forms. Spheroidal organo-mineral structures are also common within the mat. Nanospheres, a few tens of nanometres in diameter, occur attached to coccoid bacteria and within their cells; these are interpreted as permineralized viruses and could be significant as nuclei for crystallite-crystal precipitation. Microspheres, 1 to 10 μm in diameter, result from intracellular permineralization within bacteria or the mineralization of the bacteria themselves. Carbonates and clay minerals are commonly aggregated to form peloids, tens of microns in size, surrounded by residual organic matter. Magnesium silicate and carbonate precipitation are likely to have been driven by pH – saturation index – redox changes within the mat, related to microenvironmental chemical changes induced by the microbes – extracellular polymeric substances – viruses and their degradation.","author":[{"dropping-particle":"","family":"Perri","given":"Edoardo","non-dropping-particle":"","parse-names":false,"suffix":""},{"dropping-particle":"","family":"Tucker","given":"Maurice E.","non-dropping-particle":"","parse-names":false,"suffix":""},{"dropping-particle":"","family":"Słowakiewicz","given":"Mirosław","non-dropping-particle":"","parse-names":false,"suffix":""},{"dropping-particle":"","family":"Whitaker","given":"Fiona","non-dropping-particle":"","parse-names":false,"suffix":""},{"dropping-particle":"","family":"Bowen","given":"Leon","non-dropping-particle":"","parse-names":false,"suffix":""},{"dropping-particle":"","family":"Perrotta","given":"Ida D.","non-dropping-particle":"","parse-names":false,"suffix":""}],"container-title":"Sedimentology","id":"ITEM-1","issue":"4","issued":{"date-parts":[["2018"]]},"page":"1213-1245","title":"Carbonate and silicate biomineralization in a hypersaline microbial mat (Mesaieed sabkha, Qatar): Roles of bacteria, extracellular polymeric substances and viruses","type":"article-journal","volume":"65"},"uris":["http://www.mendeley.com/documents/?uuid=8c9a25ab-583e-446d-9c46-e4c7158760dd"]}],"mendeley":{"formattedCitation":"(Perri et al., 2018)","plainTextFormattedCitation":"(Perri et al., 2018)","previouslyFormattedCitation":"(Perri et al., 2018)"},"properties":{"noteIndex":0},"schema":"https://github.com/citation-style-language/schema/raw/master/csl-citation.json"}</w:instrText>
      </w:r>
      <w:r w:rsidRPr="008726D7">
        <w:rPr>
          <w:rFonts w:cstheme="minorHAnsi"/>
        </w:rPr>
        <w:fldChar w:fldCharType="separate"/>
      </w:r>
      <w:r w:rsidR="008A48C6" w:rsidRPr="008A48C6">
        <w:rPr>
          <w:rFonts w:cstheme="minorHAnsi"/>
          <w:noProof/>
        </w:rPr>
        <w:t>(Perri et al., 2018)</w:t>
      </w:r>
      <w:r w:rsidRPr="008726D7">
        <w:rPr>
          <w:rFonts w:cstheme="minorHAnsi"/>
        </w:rPr>
        <w:fldChar w:fldCharType="end"/>
      </w:r>
      <w:r w:rsidRPr="008726D7">
        <w:rPr>
          <w:rFonts w:cstheme="minorHAnsi"/>
        </w:rPr>
        <w:t xml:space="preserve">. It is likely that the comparatively high litter rate in semi-arid Gulf of California is as a result of its deltaic setting, conversely, in Egypt, where mangrove </w:t>
      </w:r>
      <w:r w:rsidRPr="008726D7">
        <w:rPr>
          <w:rFonts w:cstheme="minorHAnsi"/>
        </w:rPr>
        <w:lastRenderedPageBreak/>
        <w:t xml:space="preserve">productivity has been shown to be reduced the mangroves in Egypt are located within a carbonate setting, </w:t>
      </w:r>
      <w:r w:rsidRPr="008726D7">
        <w:rPr>
          <w:rFonts w:cstheme="minorHAnsi"/>
        </w:rPr>
        <w:fldChar w:fldCharType="begin" w:fldLock="1"/>
      </w:r>
      <w:r w:rsidR="008A48C6">
        <w:rPr>
          <w:rFonts w:cstheme="minorHAnsi"/>
        </w:rPr>
        <w:instrText>ADDIN CSL_CITATION {"citationItems":[{"id":"ITEM-1","itemData":{"DOI":"10.1007/s11273-012-9249-3","ISSN":"09234861","abstract":"From 1996 to 2002, we measured litterfall, standing litter crop, and litter turnover rates in scrub, basin, fringe and riverine forests in two contrasting mangrove ecosystems: a carbonate-dominated system in the Southeastern Everglades and a terrigenous-dominated system in Laguna de Terminos (LT), Mexico. We hypothesized that litter dynamics is driven by latitude, geomorphology, hydrology, soil fertility and soil salinity stress. There were significant temporal patterns in LT with litterfall rates higher during the rainy season (2.4 g m-2 day-1) than during the dry season (1.8 g m-2 day-1). Total annual litterfall was significantly higher in the riverine forest (12.8 Mg ha-2 year-1) than in the fringe and basin forests (9.7 and 5.2 Mg ha-2 year-1, respectively). In Southeastern Everglades, total annual litterfall was also significantly higher during the rainy season than during the dry season. Spatially, the scrub forest had the lowest annual litterfall (2.5 Mg ha-2 year-1), while the fringe and basin had the highest (9.1 and 6.5 Mg ha-2 year-1, respectively). In LT, annual standing litter crop was 3.3 Mg ha-1 in the fringe and 2.2 Mg ha-1 in the basin. Litter turnover rates were significantly higher in the fringe mangrove forest (4.1 year-1) relative to the basin forests (2.2 year-1). At Southeastern Everglades there were significant differences in annual standing litter crop: 1.9, 3.3 and 4.5 Mg ha-1 at scrub, basin and fringe mangrove sites, respectively. Furthermore, turnover rates were similar at both basin and fringe mangrove types (2.1 and 2.0 year-1, respectively) but significantly higher than scrub mangrove forest (1.3 year-1). These findings suggest that litter export is important in regulating litter turnover rates in frequently flooded riverine and fringe forests, while in infrequently flooded basin forests, in situ litter decomposition controls litter turnover rates. © 2012 Springer Science+Business Media B.V.","author":[{"dropping-particle":"","family":"Coronado-Molina","given":"Carlos","non-dropping-particle":"","parse-names":false,"suffix":""},{"dropping-particle":"","family":"Alvarez-Guillen","given":"H.","non-dropping-particle":"","parse-names":false,"suffix":""},{"dropping-particle":"","family":"Day","given":"J. W.","non-dropping-particle":"","parse-names":false,"suffix":""},{"dropping-particle":"","family":"Reyes","given":"E.","non-dropping-particle":"","parse-names":false,"suffix":""},{"dropping-particle":"","family":"Perez","given":"B. C.","non-dropping-particle":"","parse-names":false,"suffix":""},{"dropping-particle":"","family":"Vera-Herrera","given":"F.","non-dropping-particle":"","parse-names":false,"suffix":""},{"dropping-particle":"","family":"Twilley","given":"R.","non-dropping-particle":"","parse-names":false,"suffix":""}],"container-title":"Wetlands Ecology and Management","id":"ITEM-1","issue":"2","issued":{"date-parts":[["2012"]]},"page":"123-136","title":"Litterfall dynamics in carbonate and deltaic mangrove ecosystems in the Gulf of Mexico","type":"article-journal","volume":"20"},"uris":["http://www.mendeley.com/documents/?uuid=29581208-eed5-4f00-a268-5420a41f3686"]}],"mendeley":{"formattedCitation":"(Coronado-Molina et al., 2012)","plainTextFormattedCitation":"(Coronado-Molina et al., 2012)","previouslyFormattedCitation":"(Coronado-Molina et al., 2012)"},"properties":{"noteIndex":0},"schema":"https://github.com/citation-style-language/schema/raw/master/csl-citation.json"}</w:instrText>
      </w:r>
      <w:r w:rsidRPr="008726D7">
        <w:rPr>
          <w:rFonts w:cstheme="minorHAnsi"/>
        </w:rPr>
        <w:fldChar w:fldCharType="separate"/>
      </w:r>
      <w:r w:rsidR="008A48C6" w:rsidRPr="008A48C6">
        <w:rPr>
          <w:rFonts w:cstheme="minorHAnsi"/>
          <w:noProof/>
        </w:rPr>
        <w:t>(Coronado-Molina et al., 2012)</w:t>
      </w:r>
      <w:r w:rsidRPr="008726D7">
        <w:rPr>
          <w:rFonts w:cstheme="minorHAnsi"/>
        </w:rPr>
        <w:fldChar w:fldCharType="end"/>
      </w:r>
      <w:r w:rsidRPr="008726D7">
        <w:rPr>
          <w:rFonts w:cstheme="minorHAnsi"/>
        </w:rPr>
        <w:t>.</w:t>
      </w:r>
    </w:p>
    <w:p w14:paraId="09EAFB30" w14:textId="77777777" w:rsidR="0002342A" w:rsidRPr="008726D7" w:rsidRDefault="0002342A" w:rsidP="0002342A">
      <w:pPr>
        <w:spacing w:line="480" w:lineRule="auto"/>
        <w:rPr>
          <w:rFonts w:cstheme="minorHAnsi"/>
        </w:rPr>
      </w:pPr>
    </w:p>
    <w:p w14:paraId="16B30754" w14:textId="5A4136AC" w:rsidR="0002342A" w:rsidRPr="008726D7" w:rsidRDefault="0002342A" w:rsidP="0002342A">
      <w:pPr>
        <w:spacing w:line="480" w:lineRule="auto"/>
        <w:rPr>
          <w:rFonts w:cstheme="minorHAnsi"/>
        </w:rPr>
      </w:pPr>
      <w:r w:rsidRPr="008726D7">
        <w:rPr>
          <w:rFonts w:cstheme="minorHAnsi"/>
        </w:rPr>
        <w:t>Mangrove productivity is not only variable across space, it also varies over time and season, with more monthly variation in subtropical locations than in the tropics. For example, while average litter rates in Qatar were low when compared to the world’s most productive mangroves, the months in which litter rates peaked in Qatar had greater litter fall rates (4.62 g m</w:t>
      </w:r>
      <w:r w:rsidRPr="008726D7">
        <w:rPr>
          <w:rFonts w:cstheme="minorHAnsi"/>
          <w:vertAlign w:val="superscript"/>
        </w:rPr>
        <w:t>2</w:t>
      </w:r>
      <w:r w:rsidRPr="008726D7">
        <w:rPr>
          <w:rFonts w:cstheme="minorHAnsi"/>
        </w:rPr>
        <w:t xml:space="preserve"> d</w:t>
      </w:r>
      <w:r w:rsidRPr="008726D7">
        <w:rPr>
          <w:rFonts w:cstheme="minorHAnsi"/>
          <w:vertAlign w:val="superscript"/>
        </w:rPr>
        <w:t>-1</w:t>
      </w:r>
      <w:r w:rsidRPr="008726D7">
        <w:rPr>
          <w:rFonts w:cstheme="minorHAnsi"/>
        </w:rPr>
        <w:t>) than the annual averages of productive tropical mangrove forests (4.34 g m</w:t>
      </w:r>
      <w:r w:rsidRPr="008726D7">
        <w:rPr>
          <w:rFonts w:cstheme="minorHAnsi"/>
          <w:vertAlign w:val="superscript"/>
        </w:rPr>
        <w:t>2</w:t>
      </w:r>
      <w:r w:rsidRPr="008726D7">
        <w:rPr>
          <w:rFonts w:cstheme="minorHAnsi"/>
        </w:rPr>
        <w:t xml:space="preserve"> d</w:t>
      </w:r>
      <w:r w:rsidRPr="008726D7">
        <w:rPr>
          <w:rFonts w:cstheme="minorHAnsi"/>
          <w:vertAlign w:val="superscript"/>
        </w:rPr>
        <w:t>-1</w:t>
      </w:r>
      <w:r w:rsidRPr="008726D7">
        <w:rPr>
          <w:rFonts w:cstheme="minorHAnsi"/>
        </w:rPr>
        <w:t xml:space="preserve">) </w:t>
      </w:r>
      <w:r w:rsidRPr="008726D7">
        <w:rPr>
          <w:rFonts w:cstheme="minorHAnsi"/>
        </w:rPr>
        <w:fldChar w:fldCharType="begin" w:fldLock="1"/>
      </w:r>
      <w:r w:rsidR="008A48C6">
        <w:rPr>
          <w:rFonts w:cstheme="minorHAnsi"/>
        </w:rPr>
        <w:instrText>ADDIN CSL_CITATION {"citationItems":[{"id":"ITEM-1","itemData":{"ISSN":"0379-5136 J9 - INDIAN J MAR SCI JI - Indian J. Mar. Sci.","abstract":"Average annual litter fall beneath Avicennia marina in a tidal creek of Sundarbans mangrove forest was 1603 g.m-2.y-1 (dry wt). In this litter content, leaves contributed 72.2%, twigs 12.1%, flowers 4.1%, fruits 5.3% and miscellaneous 5.9%. Seasonality of litter production was observed with maximum (av. 553 g.m-2) in postmonsoon season and minimum (av. 354 g.m-2) during premonsoon season. Nutrient content in the leaves was generally higher than that of other components of the litter. NR - 0 PU - COUNCIL SCIENTIFIC INDUSTRIAL RESEARCH PI - NEW DELHI PA - PUBL &amp; INFO DIRECTORATE, NEW DELHI 110012, INDIA","author":[{"dropping-particle":"","family":"Ghosh","given":"P B","non-dropping-particle":"","parse-names":false,"suffix":""},{"dropping-particle":"","family":"Singh","given":"B N","non-dropping-particle":"","parse-names":false,"suffix":""},{"dropping-particle":"","family":"Chakrabarty","given":"C","non-dropping-particle":"","parse-names":false,"suffix":""},{"dropping-particle":"","family":"Saha","given":"A","non-dropping-particle":"","parse-names":false,"suffix":""},{"dropping-particle":"","family":"Das","given":"R L","non-dropping-particle":"","parse-names":false,"suffix":""},{"dropping-particle":"","family":"Choudhury","given":"A","non-dropping-particle":"","parse-names":false,"suffix":""}],"container-title":"Indian Journal of Marine Sciences","id":"ITEM-1","issue":"4","issued":{"date-parts":[["1990"]]},"page":"292-293","title":"Mangrove Litter Production in a Tidal Creek of Lothian Island of Sundarbans, India","type":"article-journal","volume":"19"},"uris":["http://www.mendeley.com/documents/?uuid=0fdc3569-c4c5-4201-862f-0c93594c211d"]}],"mendeley":{"formattedCitation":"(Ghosh et al., 1990)","plainTextFormattedCitation":"(Ghosh et al., 1990)","previouslyFormattedCitation":"(Ghosh et al., 1990)"},"properties":{"noteIndex":0},"schema":"https://github.com/citation-style-language/schema/raw/master/csl-citation.json"}</w:instrText>
      </w:r>
      <w:r w:rsidRPr="008726D7">
        <w:rPr>
          <w:rFonts w:cstheme="minorHAnsi"/>
        </w:rPr>
        <w:fldChar w:fldCharType="separate"/>
      </w:r>
      <w:r w:rsidR="008A48C6" w:rsidRPr="008A48C6">
        <w:rPr>
          <w:rFonts w:cstheme="minorHAnsi"/>
          <w:noProof/>
        </w:rPr>
        <w:t>(Ghosh et al., 1990)</w:t>
      </w:r>
      <w:r w:rsidRPr="008726D7">
        <w:rPr>
          <w:rFonts w:cstheme="minorHAnsi"/>
        </w:rPr>
        <w:fldChar w:fldCharType="end"/>
      </w:r>
      <w:r w:rsidRPr="008726D7">
        <w:rPr>
          <w:rFonts w:cstheme="minorHAnsi"/>
        </w:rPr>
        <w:t xml:space="preserve">. Mangroves in the hyper-arid southern Sinai region of Egypt, where monthly precipitation ranges between 0 and 4 mm </w:t>
      </w:r>
      <w:r w:rsidRPr="008726D7">
        <w:rPr>
          <w:rFonts w:cstheme="minorHAnsi"/>
        </w:rPr>
        <w:fldChar w:fldCharType="begin" w:fldLock="1"/>
      </w:r>
      <w:r w:rsidR="008A48C6">
        <w:rPr>
          <w:rFonts w:cstheme="minorHAnsi"/>
        </w:rPr>
        <w:instrText>ADDIN CSL_CITATION {"citationItems":[{"id":"ITEM-1","itemData":{"abstract":"Climate change is a global challenging issue, elevated levels of atmospheric carbon dioxide as a result of increased anthropogenic activities and the resulted consequences are exceeding the predominant change in climate conditions to result in several deteriorations as habitat loss, species population and diversity loss, sea level rise threatening coastal habitats including mangrove ecosystem, hurricanes, floods and desertification. The world began since Kyoto protocol in 1997 to work mainly in two dimensions, first is minimizing practices results in more emissions of greenhouse gasses, the second is trying to encourage activities that increase uptake of atmospheric carbon dioxide. Present study tried to provide a more accurate estimate using non-destructive method for the carbon content in biomass of Avicennia marina as one of pioneer ecosystems in carbon storage in both biomass and sediments. Using a species and climatic specific allometric equations above-and below-ground biomass was estimated for mangrove in two marine protected areas in South Sinai then further estimate of total carbon content, the total mangrove carbon in biomass was 109.33, 41.92, 70.3, 29.2 Mg C ha -1 in intertidal, shoreline, salt plain and planted mangrove respectively while about 95% of the mangrove cover is in intertidal habitat. The total carbon content of mangrove biomass in Sinai and Egypt is 5409.93 and 55954.11 Mg C.","author":[{"dropping-particle":"","family":"Mashaly","given":"Ibrahim A","non-dropping-particle":"","parse-names":false,"suffix":""},{"dropping-particle":"","family":"Hegazy","given":"Ahmad K","non-dropping-particle":"","parse-names":false,"suffix":""},{"dropping-particle":"","family":"Aal","given":"Mohammed A","non-dropping-particle":"","parse-names":false,"suffix":""},{"dropping-particle":"","family":"El-Hussieny","given":"Sayed A","non-dropping-particle":"","parse-names":false,"suffix":""}],"container-title":"IOSR Journal of Environmental Science Ver. II","id":"ITEM-1","issue":"11","issued":{"date-parts":[["2016"]]},"page":"2319-2399","title":"Habitat-Based Estimate of Carbon Content in Mangrove Avicennia marina (Forssk.) Vierh. of South Sinai, Egypt","type":"article-journal","volume":"10"},"uris":["http://www.mendeley.com/documents/?uuid=9a7b67cf-2958-45c2-a08f-87b56e3bc1b7"]}],"mendeley":{"formattedCitation":"(Mashaly et al., 2016)","plainTextFormattedCitation":"(Mashaly et al., 2016)","previouslyFormattedCitation":"(Mashaly et al., 2016)"},"properties":{"noteIndex":0},"schema":"https://github.com/citation-style-language/schema/raw/master/csl-citation.json"}</w:instrText>
      </w:r>
      <w:r w:rsidRPr="008726D7">
        <w:rPr>
          <w:rFonts w:cstheme="minorHAnsi"/>
        </w:rPr>
        <w:fldChar w:fldCharType="separate"/>
      </w:r>
      <w:r w:rsidR="008A48C6" w:rsidRPr="008A48C6">
        <w:rPr>
          <w:rFonts w:cstheme="minorHAnsi"/>
          <w:noProof/>
        </w:rPr>
        <w:t>(Mashaly et al., 2016)</w:t>
      </w:r>
      <w:r w:rsidRPr="008726D7">
        <w:rPr>
          <w:rFonts w:cstheme="minorHAnsi"/>
        </w:rPr>
        <w:fldChar w:fldCharType="end"/>
      </w:r>
      <w:r w:rsidRPr="008726D7">
        <w:rPr>
          <w:rFonts w:cstheme="minorHAnsi"/>
        </w:rPr>
        <w:t>, have seasonal peaks in litter (1.25 g m</w:t>
      </w:r>
      <w:r w:rsidRPr="008726D7">
        <w:rPr>
          <w:rFonts w:cstheme="minorHAnsi"/>
          <w:vertAlign w:val="superscript"/>
        </w:rPr>
        <w:t>2</w:t>
      </w:r>
      <w:r w:rsidRPr="008726D7">
        <w:rPr>
          <w:rFonts w:cstheme="minorHAnsi"/>
        </w:rPr>
        <w:t xml:space="preserve"> d</w:t>
      </w:r>
      <w:r w:rsidRPr="008726D7">
        <w:rPr>
          <w:rFonts w:cstheme="minorHAnsi"/>
          <w:vertAlign w:val="superscript"/>
        </w:rPr>
        <w:t>-1</w:t>
      </w:r>
      <w:r w:rsidRPr="008726D7">
        <w:rPr>
          <w:rFonts w:cstheme="minorHAnsi"/>
        </w:rPr>
        <w:t xml:space="preserve">) </w:t>
      </w:r>
      <w:r w:rsidRPr="008726D7">
        <w:rPr>
          <w:rFonts w:cstheme="minorHAnsi"/>
        </w:rPr>
        <w:fldChar w:fldCharType="begin" w:fldLock="1"/>
      </w:r>
      <w:r w:rsidR="008A48C6">
        <w:rPr>
          <w:rFonts w:cstheme="minorHAnsi"/>
        </w:rPr>
        <w:instrText>ADDIN CSL_CITATION {"citationItems":[{"id":"ITEM-1","itemData":{"DOI":"10.21608/ejabf.2010.2063","ISSN":"2536-9814","abstract":"his study was conducted on a naturally growing mangrove population at Ras Mohammed and Nabq protected areas, South Sinai, during the period 2005-2006. Avicennia marina is the only growing mangrove species in South Sinai. Its structure, litterfall and seedling distribution were investigated. The total area of mangrove stands is 99.1 hectares with 42% canopy coverage, average tree height is between 1.7 -2.6 m, basal area up to 9.2 m 2 . ha -1 . Ras Mohammed represents the densest stand (428 stems ha -1). An annual litterfall of 2036.7 Kg. ha -1 . yr -1 was recorded at Rowaiseya with a maximum peak during April. Mangroves at Nabq area have well distribution of seedlings over Abu Zabad site and a localized dense aggregation of seedlings in intertidal areas at Monqataa and Gharqana sites with a seedling density up to 1848 ha -1 .","author":[{"dropping-particle":"","family":"Gab-Alla","given":"Ali","non-dropping-particle":"","parse-names":false,"suffix":""},{"dropping-particle":"","family":"Fouda","given":"Moustafa","non-dropping-particle":"","parse-names":false,"suffix":""},{"dropping-particle":"","family":"Morsy","given":"Waleed","non-dropping-particle":"","parse-names":false,"suffix":""}],"container-title":"Egyptian Journal of Aquatic Biology and Fisheries","id":"ITEM-1","issue":"2","issued":{"date-parts":[["2010"]]},"page":"79-93","title":"Ecology of Avicennia marina mangals along Gulf of Aqaba, South Sinai, Red Sea","type":"article-journal","volume":"14"},"uris":["http://www.mendeley.com/documents/?uuid=6c0f0e0d-6cfc-4d8d-91a4-2c6787b79b76"]}],"mendeley":{"formattedCitation":"(Gab-Alla et al., 2010)","plainTextFormattedCitation":"(Gab-Alla et al., 2010)","previouslyFormattedCitation":"(Gab-Alla et al., 2010)"},"properties":{"noteIndex":0},"schema":"https://github.com/citation-style-language/schema/raw/master/csl-citation.json"}</w:instrText>
      </w:r>
      <w:r w:rsidRPr="008726D7">
        <w:rPr>
          <w:rFonts w:cstheme="minorHAnsi"/>
        </w:rPr>
        <w:fldChar w:fldCharType="separate"/>
      </w:r>
      <w:r w:rsidR="008A48C6" w:rsidRPr="008A48C6">
        <w:rPr>
          <w:rFonts w:cstheme="minorHAnsi"/>
          <w:noProof/>
        </w:rPr>
        <w:t>(Gab-Alla et al., 2010)</w:t>
      </w:r>
      <w:r w:rsidRPr="008726D7">
        <w:rPr>
          <w:rFonts w:cstheme="minorHAnsi"/>
        </w:rPr>
        <w:fldChar w:fldCharType="end"/>
      </w:r>
      <w:r w:rsidRPr="008726D7">
        <w:rPr>
          <w:rFonts w:cstheme="minorHAnsi"/>
        </w:rPr>
        <w:t xml:space="preserve"> that are comparable to the minimum litter rates in the highly productive wet tropical mangroves of Indonesia (1.38 g m</w:t>
      </w:r>
      <w:r w:rsidRPr="008726D7">
        <w:rPr>
          <w:rFonts w:cstheme="minorHAnsi"/>
          <w:vertAlign w:val="superscript"/>
        </w:rPr>
        <w:t>2</w:t>
      </w:r>
      <w:r w:rsidRPr="008726D7">
        <w:rPr>
          <w:rFonts w:cstheme="minorHAnsi"/>
        </w:rPr>
        <w:t xml:space="preserve"> d</w:t>
      </w:r>
      <w:r w:rsidRPr="008726D7">
        <w:rPr>
          <w:rFonts w:cstheme="minorHAnsi"/>
          <w:vertAlign w:val="superscript"/>
        </w:rPr>
        <w:t>-1</w:t>
      </w:r>
      <w:r w:rsidRPr="008726D7">
        <w:rPr>
          <w:rFonts w:cstheme="minorHAnsi"/>
        </w:rPr>
        <w:t xml:space="preserve">) </w:t>
      </w:r>
      <w:r w:rsidRPr="008726D7">
        <w:rPr>
          <w:rFonts w:cstheme="minorHAnsi"/>
        </w:rPr>
        <w:fldChar w:fldCharType="begin" w:fldLock="1"/>
      </w:r>
      <w:r w:rsidR="008A48C6">
        <w:rPr>
          <w:rFonts w:cstheme="minorHAnsi"/>
        </w:rPr>
        <w:instrText>ADDIN CSL_CITATION {"citationItems":[{"id":"ITEM-1","itemData":{"DOI":"10.1016/0378-1127(92)90135-V","ISSN":"03781127","abstract":"Perum Perhutani (The State Forestry Corporation) is establishing large-scale mangrove plantations for reforestation and/or afforestation, and the production of wood for fuel as well as other purposes in Java. The mangrove species used currently in Segara Anakan Cilacap is Rhizophora mucronata Lamarck. The above-ground biomass, litter production and litter accumulation in a 7-year-old stand in Tritih were studied. The mean diameter at breast height (DBH) or 30 cm above the highest prop root was 5.91 cm. The mean annual increment in DBH of individual trees was 0.89 cm. The total above-ground biomass of the stand was 93.726 t ha-1 of dry weight, consisting of 60.442 t of stem, 13.906 t of branch, 14.708 t of prop root and 4.670 t of leaf material. Litter production ranged from 7.058 to 10.395 t ha-1 year-1 of dry weight with leaf litter making up 73.29-84.30% of the total. Leaf litter accumulation amounted to 16.922-20.511 t ha-1 year-1 of dry weight and the turnover constant (k) of leaf litter was estimated at 0.2943-0.4082. The high productivity is discussed in relation to lower turnover (k) of litter. © 1992.","author":[{"dropping-particle":"","family":"Sukardjo","given":"Sukristijono","non-dropping-particle":"","parse-names":false,"suffix":""},{"dropping-particle":"","family":"Yamada","given":"I.","non-dropping-particle":"","parse-names":false,"suffix":""}],"container-title":"Forest Ecology and Management","id":"ITEM-1","issue":"3-4","issued":{"date-parts":[["1992"]]},"page":"195-209","title":"Biomass and productivity of a Rhizophora mucronata Lamarck plantation in Tritih, Central Java, Indonesia","type":"article-journal","volume":"49"},"uris":["http://www.mendeley.com/documents/?uuid=6f88652a-5bbc-4570-acdd-3cc339bd5a88"]}],"mendeley":{"formattedCitation":"(Sukardjo and Yamada, 1992)","plainTextFormattedCitation":"(Sukardjo and Yamada, 1992)","previouslyFormattedCitation":"(Sukardjo and Yamada, 1992)"},"properties":{"noteIndex":0},"schema":"https://github.com/citation-style-language/schema/raw/master/csl-citation.json"}</w:instrText>
      </w:r>
      <w:r w:rsidRPr="008726D7">
        <w:rPr>
          <w:rFonts w:cstheme="minorHAnsi"/>
        </w:rPr>
        <w:fldChar w:fldCharType="separate"/>
      </w:r>
      <w:r w:rsidR="008A48C6" w:rsidRPr="008A48C6">
        <w:rPr>
          <w:rFonts w:cstheme="minorHAnsi"/>
          <w:noProof/>
        </w:rPr>
        <w:t>(Sukardjo and Yamada, 1992)</w:t>
      </w:r>
      <w:r w:rsidRPr="008726D7">
        <w:rPr>
          <w:rFonts w:cstheme="minorHAnsi"/>
        </w:rPr>
        <w:fldChar w:fldCharType="end"/>
      </w:r>
      <w:r w:rsidRPr="008726D7">
        <w:rPr>
          <w:rFonts w:cstheme="minorHAnsi"/>
        </w:rPr>
        <w:t xml:space="preserve">. Monthly variation from the annual mean in litter fall is greater in sub-tropical locations (Qatar: 62%, Egypt: 53% and Saudi Arabia: 71%) than tropical ones (Papua New Guinea: 29% and Indonesia 29%) </w:t>
      </w:r>
      <w:r w:rsidRPr="008726D7">
        <w:rPr>
          <w:rFonts w:cstheme="minorHAnsi"/>
        </w:rPr>
        <w:fldChar w:fldCharType="begin" w:fldLock="1"/>
      </w:r>
      <w:r w:rsidR="008A48C6">
        <w:rPr>
          <w:rFonts w:cstheme="minorHAnsi"/>
        </w:rPr>
        <w:instrText>ADDIN CSL_CITATION {"citationItems":[{"id":"ITEM-1","itemData":{"DOI":"10.1016/0304-3770(89)90093-4","ISBN":"0304-3770","ISSN":"03043770","abstract":"The average daily production of litter in a mangrove stand located in the central part of the Saudi Arabian Red Sea coast, was estimated to be 2.16 g dry weight m-2day-1during 1986 and was found to be comparable with other favourable areas. Maximum litter fall occurred during March and April and is correlated with decreasing air temperatures in the preceding months. Of all the litter compartments, leaves contributed overwhelmingly to total litter throughout the year except during March and April, when fruits superseded them. © 1989.","author":[{"dropping-particle":"","family":"Saifullah","given":"S. M.","non-dropping-particle":"","parse-names":false,"suffix":""},{"dropping-particle":"","family":"Khafaji","given":"A. K.","non-dropping-particle":"","parse-names":false,"suffix":""},{"dropping-particle":"","family":"Mandura","given":"A. S.","non-dropping-particle":"","parse-names":false,"suffix":""}],"container-title":"Aquatic Botany","id":"ITEM-1","issue":"1","issued":{"date-parts":[["1989","12","1"]]},"page":"79-86","publisher":"Elsevier","title":"Litter production in a mangrove stand of the Saudi Arabian Red Sea coast","type":"article-journal","volume":"36"},"uris":["http://www.mendeley.com/documents/?uuid=237e2604-fec2-3e38-b55f-be9db3c2a5f2"]},{"id":"ITEM-2","itemData":{"DOI":"10.1016/0378-1127(92)90135-V","ISSN":"03781127","abstract":"Perum Perhutani (The State Forestry Corporation) is establishing large-scale mangrove plantations for reforestation and/or afforestation, and the production of wood for fuel as well as other purposes in Java. The mangrove species used currently in Segara Anakan Cilacap is Rhizophora mucronata Lamarck. The above-ground biomass, litter production and litter accumulation in a 7-year-old stand in Tritih were studied. The mean diameter at breast height (DBH) or 30 cm above the highest prop root was 5.91 cm. The mean annual increment in DBH of individual trees was 0.89 cm. The total above-ground biomass of the stand was 93.726 t ha-1 of dry weight, consisting of 60.442 t of stem, 13.906 t of branch, 14.708 t of prop root and 4.670 t of leaf material. Litter production ranged from 7.058 to 10.395 t ha-1 year-1 of dry weight with leaf litter making up 73.29-84.30% of the total. Leaf litter accumulation amounted to 16.922-20.511 t ha-1 year-1 of dry weight and the turnover constant (k) of leaf litter was estimated at 0.2943-0.4082. The high productivity is discussed in relation to lower turnover (k) of litter. © 1992.","author":[{"dropping-particle":"","family":"Sukardjo","given":"Sukristijono","non-dropping-particle":"","parse-names":false,"suffix":""},{"dropping-particle":"","family":"Yamada","given":"I.","non-dropping-particle":"","parse-names":false,"suffix":""}],"container-title":"Forest Ecology and Management","id":"ITEM-2","issue":"3-4","issued":{"date-parts":[["1992"]]},"page":"195-209","title":"Biomass and productivity of a Rhizophora mucronata Lamarck plantation in Tritih, Central Java, Indonesia","type":"article-journal","volume":"49"},"uris":["http://www.mendeley.com/documents/?uuid=6f88652a-5bbc-4570-acdd-3cc339bd5a88"]},{"id":"ITEM-3","itemData":{"DOI":"10.1016/0304-3770(85)90067-1","ISSN":"03043770","abstract":"Productivity, as measured by litter trapping, of a mangrove dominated by Rhizophora stylosa Griff. at Motupore Island (lat. 9° 31′34′́S; long. 147° 17 $ ́02' E) was 1430 g dry weight m-2 year-1. This is a high figure when compared with other studied mangrove sites. Phenological data were obtained for R. stylosa, R. apiculata Blume and Sonneratia alba Smith. All species have a major leaf fall in the wet season. Flowering in both Rhizophora species is greatest during the wet season, but S. alba peaks during the dry season. Leaf emergence data were only available for R. stylosa and these appeared to be trimodal. Correlations were calculated for each component with rainfall, wind run, maximum temperature and minimum temperature. Some significant correlations were obtained with rainfall and maximum temperature. These correlations are discussed and it is suggested that the seasonality of mangrove phenologies needs to be considered in terms of whole tree physiology rather than isolated environmental factors. © 1985.","author":[{"dropping-particle":"","family":"Leach","given":"G. J.","non-dropping-particle":"","parse-names":false,"suffix":""},{"dropping-particle":"","family":"Burgin","given":"S.","non-dropping-particle":"","parse-names":false,"suffix":""}],"container-title":"Aquatic Botany","id":"ITEM-3","issue":"3","issued":{"date-parts":[["1985"]]},"page":"215-224","title":"Litter production and seasonality of mangroves in Papua New Guinea","type":"article-journal","volume":"23"},"uris":["http://www.mendeley.com/documents/?uuid=90d61cc1-92cb-4c66-9aa3-cdab0af8ed14"]},{"id":"ITEM-4","itemData":{"DOI":"10.21608/ejabf.2010.2063","ISSN":"2536-9814","abstract":"his study was conducted on a naturally growing mangrove population at Ras Mohammed and Nabq protected areas, South Sinai, during the period 2005-2006. Avicennia marina is the only growing mangrove species in South Sinai. Its structure, litterfall and seedling distribution were investigated. The total area of mangrove stands is 99.1 hectares with 42% canopy coverage, average tree height is between 1.7 -2.6 m, basal area up to 9.2 m 2 . ha -1 . Ras Mohammed represents the densest stand (428 stems ha -1). An annual litterfall of 2036.7 Kg. ha -1 . yr -1 was recorded at Rowaiseya with a maximum peak during April. Mangroves at Nabq area have well distribution of seedlings over Abu Zabad site and a localized dense aggregation of seedlings in intertidal areas at Monqataa and Gharqana sites with a seedling density up to 1848 ha -1 .","author":[{"dropping-particle":"","family":"Gab-Alla","given":"Ali","non-dropping-particle":"","parse-names":false,"suffix":""},{"dropping-particle":"","family":"Fouda","given":"Moustafa","non-dropping-particle":"","parse-names":false,"suffix":""},{"dropping-particle":"","family":"Morsy","given":"Waleed","non-dropping-particle":"","parse-names":false,"suffix":""}],"container-title":"Egyptian Journal of Aquatic Biology and Fisheries","id":"ITEM-4","issue":"2","issued":{"date-parts":[["2010"]]},"page":"79-93","title":"Ecology of Avicennia marina mangals along Gulf of Aqaba, South Sinai, Red Sea","type":"article-journal","volume":"14"},"uris":["http://www.mendeley.com/documents/?uuid=6c0f0e0d-6cfc-4d8d-91a4-2c6787b79b76"]}],"mendeley":{"formattedCitation":"(Gab-Alla et al., 2010; Leach and Burgin, 1985; Saifullah et al., 1989; Sukardjo and Yamada, 1992)","plainTextFormattedCitation":"(Gab-Alla et al., 2010; Leach and Burgin, 1985; Saifullah et al., 1989; Sukardjo and Yamada, 1992)","previouslyFormattedCitation":"(Gab-Alla et al., 2010; Leach and Burgin, 1985; Saifullah et al., 1989; Sukardjo and Yamada, 1992)"},"properties":{"noteIndex":0},"schema":"https://github.com/citation-style-language/schema/raw/master/csl-citation.json"}</w:instrText>
      </w:r>
      <w:r w:rsidRPr="008726D7">
        <w:rPr>
          <w:rFonts w:cstheme="minorHAnsi"/>
        </w:rPr>
        <w:fldChar w:fldCharType="separate"/>
      </w:r>
      <w:r w:rsidR="008A48C6" w:rsidRPr="008A48C6">
        <w:rPr>
          <w:rFonts w:cstheme="minorHAnsi"/>
          <w:noProof/>
        </w:rPr>
        <w:t>(Gab-Alla et al., 2010; Leach and Burgin, 1985; Saifullah et al., 1989; Sukardjo and Yamada, 1992)</w:t>
      </w:r>
      <w:r w:rsidRPr="008726D7">
        <w:rPr>
          <w:rFonts w:cstheme="minorHAnsi"/>
        </w:rPr>
        <w:fldChar w:fldCharType="end"/>
      </w:r>
      <w:r w:rsidRPr="008726D7">
        <w:rPr>
          <w:rFonts w:cstheme="minorHAnsi"/>
        </w:rPr>
        <w:t xml:space="preserve">. </w:t>
      </w:r>
      <w:r w:rsidRPr="008726D7">
        <w:t>The greater seasonal variation in climatic factors in subtropical settings (</w:t>
      </w:r>
      <w:proofErr w:type="spellStart"/>
      <w:proofErr w:type="gramStart"/>
      <w:r w:rsidRPr="008726D7">
        <w:t>eg</w:t>
      </w:r>
      <w:proofErr w:type="spellEnd"/>
      <w:proofErr w:type="gramEnd"/>
      <w:r w:rsidRPr="008726D7">
        <w:t xml:space="preserve"> temperature, rainfall) is likely to drive the observed high variation in monthly productivity data</w:t>
      </w:r>
      <w:r w:rsidRPr="008726D7">
        <w:rPr>
          <w:rFonts w:cstheme="minorHAnsi"/>
        </w:rPr>
        <w:t>. For instance, the difference between summer and winter air temperatures in Qatar (40</w:t>
      </w:r>
      <w:r w:rsidRPr="008726D7">
        <w:rPr>
          <w:rFonts w:cstheme="minorHAnsi"/>
        </w:rPr>
        <w:sym w:font="Symbol" w:char="F0B0"/>
      </w:r>
      <w:r w:rsidRPr="008726D7">
        <w:rPr>
          <w:rFonts w:cstheme="minorHAnsi"/>
        </w:rPr>
        <w:t>C) can be nine times that of tropical locations like Indonesia (5</w:t>
      </w:r>
      <w:r w:rsidRPr="008726D7">
        <w:rPr>
          <w:rFonts w:cstheme="minorHAnsi"/>
        </w:rPr>
        <w:sym w:font="Symbol" w:char="F0B0"/>
      </w:r>
      <w:r w:rsidRPr="008726D7">
        <w:rPr>
          <w:rFonts w:cstheme="minorHAnsi"/>
        </w:rPr>
        <w:t xml:space="preserve">C) </w:t>
      </w:r>
      <w:r w:rsidRPr="008726D7">
        <w:rPr>
          <w:rFonts w:cstheme="minorHAnsi"/>
        </w:rPr>
        <w:fldChar w:fldCharType="begin" w:fldLock="1"/>
      </w:r>
      <w:r w:rsidR="008A48C6">
        <w:rPr>
          <w:rFonts w:cstheme="minorHAnsi"/>
        </w:rPr>
        <w:instrText>ADDIN CSL_CITATION {"citationItems":[{"id":"ITEM-1","itemData":{"DOI":"10.3759/tropics.14.1","ISSN":"0917-415X","abstract":"Peat fire in tropical peatland not only releases a large amount of carbon into the atmosphere, but also causes significant damage to peatland ecology and the landscape. It is important to understand peat fire and to establish more effective methods to control peat fire. In this paper, the results of field and laboratory research elucidate the combustion and thermal characteristics of peat fire. Field studies were carried out at 9 study plots in actual peat fire areas along the Trans Kalimantan Highway of Central Kalimantan in 2002. Laboratory analyses using a bomb calorimeter and TG-DTA were carried out to obtain low and high ignition temperatures and calorific values of various peat fire fuels. Results of field studies on weather conditions, temperatures in peat layers during fire, patterns of peat fire fronts, peat fire spreading speeds, fuel composition, moisture contents and fuel losses during fires are described in this paper. This study clarified the nature of fire movement and the smoldering process in an actual peat fire in tropical peatland. Based on our results, a more effective method for controlling peat fire can be developed.","author":[{"dropping-particle":"","family":"Usup","given":"Aswin","non-dropping-particle":"","parse-names":false,"suffix":""},{"dropping-particle":"","family":"Hashimoto","given":"Yoshihiro","non-dropping-particle":"","parse-names":false,"suffix":""},{"dropping-particle":"","family":"Takahashi","given":"Hidenori","non-dropping-particle":"","parse-names":false,"suffix":""},{"dropping-particle":"","family":"Hayasaka","given":"Hiroshi","non-dropping-particle":"","parse-names":false,"suffix":""}],"container-title":"Tropics","id":"ITEM-1","issue":"1","issued":{"date-parts":[["2004"]]},"page":"1-19","title":"Combustion and thermal characteristics of peat fire in tropical peatland in Central Kalimantan, Indonesia","type":"article-journal","volume":"14"},"uris":["http://www.mendeley.com/documents/?uuid=b9cfe4e1-f61f-4e34-9495-fd0883f2c16b"]}],"mendeley":{"formattedCitation":"(Usup et al., 2004)","plainTextFormattedCitation":"(Usup et al., 2004)","previouslyFormattedCitation":"(Usup et al., 2004)"},"properties":{"noteIndex":0},"schema":"https://github.com/citation-style-language/schema/raw/master/csl-citation.json"}</w:instrText>
      </w:r>
      <w:r w:rsidRPr="008726D7">
        <w:rPr>
          <w:rFonts w:cstheme="minorHAnsi"/>
        </w:rPr>
        <w:fldChar w:fldCharType="separate"/>
      </w:r>
      <w:r w:rsidR="008A48C6" w:rsidRPr="008A48C6">
        <w:rPr>
          <w:rFonts w:cstheme="minorHAnsi"/>
          <w:noProof/>
        </w:rPr>
        <w:t>(Usup et al., 2004)</w:t>
      </w:r>
      <w:r w:rsidRPr="008726D7">
        <w:rPr>
          <w:rFonts w:cstheme="minorHAnsi"/>
        </w:rPr>
        <w:fldChar w:fldCharType="end"/>
      </w:r>
      <w:r w:rsidRPr="008726D7">
        <w:rPr>
          <w:rFonts w:cstheme="minorHAnsi"/>
        </w:rPr>
        <w:t xml:space="preserve"> (</w:t>
      </w:r>
      <w:r w:rsidRPr="008104D4">
        <w:rPr>
          <w:rFonts w:cstheme="minorHAnsi"/>
        </w:rPr>
        <w:t>Figure A2</w:t>
      </w:r>
      <w:r w:rsidRPr="008726D7">
        <w:rPr>
          <w:rFonts w:cstheme="minorHAnsi"/>
        </w:rPr>
        <w:t xml:space="preserve">). </w:t>
      </w:r>
    </w:p>
    <w:p w14:paraId="6D2CDF67" w14:textId="77777777" w:rsidR="0002342A" w:rsidRPr="008726D7" w:rsidRDefault="0002342A" w:rsidP="0002342A">
      <w:pPr>
        <w:spacing w:line="480" w:lineRule="auto"/>
        <w:rPr>
          <w:rFonts w:cstheme="minorHAnsi"/>
        </w:rPr>
      </w:pPr>
    </w:p>
    <w:p w14:paraId="6D8373F7" w14:textId="2369C95A" w:rsidR="0002342A" w:rsidRPr="008726D7" w:rsidRDefault="0002342A" w:rsidP="0002342A">
      <w:pPr>
        <w:spacing w:line="480" w:lineRule="auto"/>
        <w:rPr>
          <w:rFonts w:cstheme="minorHAnsi"/>
        </w:rPr>
      </w:pPr>
      <w:r w:rsidRPr="008726D7">
        <w:rPr>
          <w:rFonts w:cstheme="minorHAnsi"/>
        </w:rPr>
        <w:t xml:space="preserve">Variation in litterfall along sampling transects observed in the current study are likely to be in response to heterogeneity in nutrient availability and salinity stress along the tidal gradient. When freshwater inputs are lacking, such as in arid mangroves, it is likely </w:t>
      </w:r>
      <w:r w:rsidRPr="008726D7">
        <w:rPr>
          <w:rFonts w:cstheme="minorHAnsi"/>
        </w:rPr>
        <w:lastRenderedPageBreak/>
        <w:t xml:space="preserve">porewater salinity increases with the tidal gradient and is greatest in higher tidal zones where tidal inundation is less frequent and evapotranspiration is higher </w:t>
      </w:r>
      <w:r w:rsidRPr="008726D7">
        <w:rPr>
          <w:rFonts w:cstheme="minorHAnsi"/>
        </w:rPr>
        <w:fldChar w:fldCharType="begin" w:fldLock="1"/>
      </w:r>
      <w:r w:rsidR="008A48C6">
        <w:rPr>
          <w:rFonts w:cstheme="minorHAnsi"/>
        </w:rPr>
        <w:instrText>ADDIN CSL_CITATION {"citationItems":[{"id":"ITEM-1","itemData":{"DOI":"https://doi.org/10.1016/j.agrformet.2021.108547","author":[{"dropping-particle":"","family":"Bathmann","given":"J","non-dropping-particle":"","parse-names":false,"suffix":""},{"dropping-particle":"","family":"Peters","given":"R","non-dropping-particle":"","parse-names":false,"suffix":""},{"dropping-particle":"","family":"Reef","given":"R","non-dropping-particle":"","parse-names":false,"suffix":""},{"dropping-particle":"","family":"Berger","given":"U","non-dropping-particle":"","parse-names":false,"suffix":""},{"dropping-particle":"","family":"Walther","given":"M","non-dropping-particle":"","parse-names":false,"suffix":""},{"dropping-particle":"","family":"Lovelock","given":"CE","non-dropping-particle":"","parse-names":false,"suffix":""}],"container-title":"Agricultural and Forest Meteorology","id":"ITEM-1","issued":{"date-parts":[["2021"]]},"page":"108547","title":"Modelling mangrove forest structure and species composition over tidal inundation gradients: The feedback between plant water use and porewater salinity in an arid mangrove ecosystem","type":"article-journal","volume":"308-309"},"uris":["http://www.mendeley.com/documents/?uuid=81d21caa-675b-4de7-b254-ad77c9338b0f"]}],"mendeley":{"formattedCitation":"(Bathmann et al., 2021)","plainTextFormattedCitation":"(Bathmann et al., 2021)","previouslyFormattedCitation":"(Bathmann et al., 2021)"},"properties":{"noteIndex":0},"schema":"https://github.com/citation-style-language/schema/raw/master/csl-citation.json"}</w:instrText>
      </w:r>
      <w:r w:rsidRPr="008726D7">
        <w:rPr>
          <w:rFonts w:cstheme="minorHAnsi"/>
        </w:rPr>
        <w:fldChar w:fldCharType="separate"/>
      </w:r>
      <w:r w:rsidR="008A48C6" w:rsidRPr="008A48C6">
        <w:rPr>
          <w:rFonts w:cstheme="minorHAnsi"/>
          <w:noProof/>
        </w:rPr>
        <w:t>(Bathmann et al., 2021)</w:t>
      </w:r>
      <w:r w:rsidRPr="008726D7">
        <w:rPr>
          <w:rFonts w:cstheme="minorHAnsi"/>
        </w:rPr>
        <w:fldChar w:fldCharType="end"/>
      </w:r>
      <w:r w:rsidRPr="008726D7">
        <w:rPr>
          <w:rFonts w:cstheme="minorHAnsi"/>
        </w:rPr>
        <w:t xml:space="preserve">. Increased salinity has been shown to be inversely related to mangrove productivity and biomass </w:t>
      </w:r>
      <w:r w:rsidRPr="008726D7">
        <w:rPr>
          <w:rFonts w:cstheme="minorHAnsi"/>
        </w:rPr>
        <w:fldChar w:fldCharType="begin" w:fldLock="1"/>
      </w:r>
      <w:r w:rsidR="008A48C6">
        <w:rPr>
          <w:rFonts w:cstheme="minorHAnsi"/>
        </w:rPr>
        <w:instrText>ADDIN CSL_CITATION {"citationItems":[{"id":"ITEM-1","itemData":{"DOI":"10.1007/s10021-002-0191-8","ISBN":"1432-9840","ISSN":"14329840","abstract":"The objective of this study was to quantify spatial patterns in above- and belowground biomass, primary productivity, and growth efficiency along a tidal gradient in a 4700-ha mangrove forest in the Dominican Republic. We tested the hypothesis that spatial patterns of forest structure and growth following 50 years of development were associated with variations in the soil environment across the tidal gradient. Twenty-three plots were monitored from 1994 to 1998. Aboveground biomass and biomass accumulation were estimated by applying allometric regression equations derived from dimension analysis of trees harvested at our study site. Soil porewater salinity ranged from 5 to 38 g . kg(-1) across the tidal gradient, and most measurements of forest biomass and productivity were inversely related to salinity. Mean standing biomass (233 +/- 16.0 Mg . ha(-1); range, 123.5-383.5), biomass increment (9.7 +/- 1.0 Mg . ha(-1) y(-1); range, 3.7-18.1), annual litterfall rates (11.4 Mg . ha(-1) yr(-1); range, 10.2-12.8), leaf area index (LAI) (4.4 m(2) . m(-2); range, 2.9-5.6), aboveground net primary productivity (ANPP) (19.7 Mg . ha(-1) y(-1); range, 15.6-25.0), and growth efficiency (1.6 +/- 0.2 kg . ha(-1) y(-1); range, 1.0-3.6) all showed an inverse linear relationship with salinity. Fine-root biomass (less than or equal to 2 mm) (9.7 +/- 1.2 Mg . ha(-1); range, 2.7-13.8) showed a weak tendency to increase with salinity, and the ratio of root to aboveground biomass increased strongly with salinity. Our results suggest that physiological stresses associated with salinity, or with some combination of salinity and other covarying soil factors, control forest structure and growth along the tidal gradient. The higher allocation of carbon to belowground resources in more saline sites apparently contributed to reductions in ANPP along the tidal gradient.","author":[{"dropping-particle":"","family":"Sherman","given":"Ruth E.","non-dropping-particle":"","parse-names":false,"suffix":""},{"dropping-particle":"","family":"Fahey","given":"Timothy J.","non-dropping-particle":"","parse-names":false,"suffix":""},{"dropping-particle":"","family":"Martinez","given":"Pedro","non-dropping-particle":"","parse-names":false,"suffix":""}],"container-title":"Ecosystems","id":"ITEM-1","issue":"4","issued":{"date-parts":[["2003"]]},"page":"384-398","title":"Spatial Patterns of Biomass and Aboveground Net Primary Productivity in a Mangrove Ecosystem in the Dominican Republic","type":"article-journal","volume":"6"},"uris":["http://www.mendeley.com/documents/?uuid=f02db92d-3381-445b-b85c-d65205a65215"]}],"mendeley":{"formattedCitation":"(Sherman et al., 2003)","plainTextFormattedCitation":"(Sherman et al., 2003)","previouslyFormattedCitation":"(Sherman et al., 2003)"},"properties":{"noteIndex":0},"schema":"https://github.com/citation-style-language/schema/raw/master/csl-citation.json"}</w:instrText>
      </w:r>
      <w:r w:rsidRPr="008726D7">
        <w:rPr>
          <w:rFonts w:cstheme="minorHAnsi"/>
        </w:rPr>
        <w:fldChar w:fldCharType="separate"/>
      </w:r>
      <w:r w:rsidR="008A48C6" w:rsidRPr="008A48C6">
        <w:rPr>
          <w:rFonts w:cstheme="minorHAnsi"/>
          <w:noProof/>
        </w:rPr>
        <w:t>(Sherman et al., 2003)</w:t>
      </w:r>
      <w:r w:rsidRPr="008726D7">
        <w:rPr>
          <w:rFonts w:cstheme="minorHAnsi"/>
        </w:rPr>
        <w:fldChar w:fldCharType="end"/>
      </w:r>
      <w:r w:rsidRPr="008726D7">
        <w:rPr>
          <w:rFonts w:cstheme="minorHAnsi"/>
        </w:rPr>
        <w:t xml:space="preserve">. Moreover, as arid mangroves are generally low in nitrogen (N), which has been shown to limit mangrove growth </w:t>
      </w:r>
      <w:r w:rsidRPr="008726D7">
        <w:rPr>
          <w:rFonts w:cstheme="minorHAnsi"/>
        </w:rPr>
        <w:fldChar w:fldCharType="begin" w:fldLock="1"/>
      </w:r>
      <w:r w:rsidR="008A48C6">
        <w:rPr>
          <w:rFonts w:cstheme="minorHAnsi"/>
        </w:rPr>
        <w:instrText>ADDIN CSL_CITATION {"citationItems":[{"id":"ITEM-1","itemData":{"DOI":"10.1046/j.0269-8463.2004.00805.x","ISSN":"02698463","abstract":"1. Dwarf stands of the mangrove Rhizophora mangle L. are extensive in the Caribbean. We fertilized dwarf trees in Almirante Bay, Bocas del Toro Province, north-eastern Panama with nitrogen (N) and phosphorus (P) to determine (1) if growth limitations are due to nutrient deficiency; and (2) what morphological and/or physiological factors underlie nutrient limitations to growth. 2. Shoot growth was 10-fold when fertilized with P and twofold with N fertilization, indicating that stunted growth of these mangroves is partially due to nutrient deficiency. 3. Growth enhancements caused by N or P enrichment could not be attributed to increases in photosynthesis on a leaf area basis, although photosynthetic nutrient-use efficiency was improved. The most dramatic effect was on stem hydraulic conductance, which was increased sixfold by P and 2-5-fold with N enrichment. Fertilization with P enhanced leaf and stem P concentrations and reduced C:N ratio, but did not alter leaf damage by herbivores. 4. Our findings indicate that addition of N and P significantly alter tree growth and internal nutrient dynamics of mangroves at Bocas del Toro, but also that the magnitude, pattern and mechanisms of change will be differentially affected by each nutrient.","author":[{"dropping-particle":"","family":"Lovelock","given":"C. E.","non-dropping-particle":"","parse-names":false,"suffix":""},{"dropping-particle":"","family":"Feller","given":"I. C.","non-dropping-particle":"","parse-names":false,"suffix":""},{"dropping-particle":"","family":"McKee","given":"K. L.","non-dropping-particle":"","parse-names":false,"suffix":""},{"dropping-particle":"","family":"Engelbrecht","given":"B. M.J.","non-dropping-particle":"","parse-names":false,"suffix":""},{"dropping-particle":"","family":"Ball","given":"M. C.","non-dropping-particle":"","parse-names":false,"suffix":""}],"container-title":"Functional Ecology","id":"ITEM-1","issue":"1","issued":{"date-parts":[["2004"]]},"page":"25-33","title":"The effect of nutrient enrichment on growth, photosynthesis and hydraulic conductance of dwarf mangroves in Panamá","type":"article-journal","volume":"18"},"uris":["http://www.mendeley.com/documents/?uuid=5b108396-936f-4e26-a0e9-56d57e7d5a0e","http://www.mendeley.com/documents/?uuid=96c139d5-efb3-4bbd-86ab-790f26b7953b"]}],"mendeley":{"formattedCitation":"(Lovelock et al., 2004)","plainTextFormattedCitation":"(Lovelock et al., 2004)","previouslyFormattedCitation":"(Lovelock et al., 2004)"},"properties":{"noteIndex":0},"schema":"https://github.com/citation-style-language/schema/raw/master/csl-citation.json"}</w:instrText>
      </w:r>
      <w:r w:rsidRPr="008726D7">
        <w:rPr>
          <w:rFonts w:cstheme="minorHAnsi"/>
        </w:rPr>
        <w:fldChar w:fldCharType="separate"/>
      </w:r>
      <w:r w:rsidR="008A48C6" w:rsidRPr="008A48C6">
        <w:rPr>
          <w:rFonts w:cstheme="minorHAnsi"/>
          <w:noProof/>
        </w:rPr>
        <w:t>(Lovelock et al., 2004)</w:t>
      </w:r>
      <w:r w:rsidRPr="008726D7">
        <w:rPr>
          <w:rFonts w:cstheme="minorHAnsi"/>
        </w:rPr>
        <w:fldChar w:fldCharType="end"/>
      </w:r>
      <w:r w:rsidRPr="008726D7">
        <w:rPr>
          <w:rFonts w:cstheme="minorHAnsi"/>
        </w:rPr>
        <w:t xml:space="preserve">, and concentrations in arid mangrove soils decrease with increasing tidal height </w:t>
      </w:r>
      <w:r w:rsidRPr="008726D7">
        <w:rPr>
          <w:rFonts w:cstheme="minorHAnsi"/>
        </w:rPr>
        <w:fldChar w:fldCharType="begin" w:fldLock="1"/>
      </w:r>
      <w:r w:rsidR="008A48C6">
        <w:rPr>
          <w:rFonts w:cstheme="minorHAnsi"/>
        </w:rPr>
        <w:instrText>ADDIN CSL_CITATION {"citationItems":[{"id":"ITEM-1","itemData":{"DOI":"10.1016/j.ecss.2020.106796","ISSN":"02727714","abstract":"Mangroves are one of the few woody ecosystems that grow in hot-arid climates. They can survive extreme conditions of low precipitation, high solar radiation, wide temperature fluctuations and hypersalinity. These unique mangroves have distinct geomorphology, hydrology, forest structure, tree physiology, and soil biogeochemistry. In this review, supported by field data from Australia and Mexico, we explore the characteristics of mangroves in arid climates of the world. These mangroves are mostly tide-dominated with freshwater flows restricted to groundwater and sporadic tropical storms. They form dense forests with stunted growth dominated mainly by trees of the genus Avicennia that co-occur with salt marshes in the high intertidal. Their soils have low nutrient and carbon concentrations, and high soil δ15 N and δ13C values compared to subhumid and humid mangroves. Mangroves in arid climates have relatively low human pressure due to sparse human settlements. Key threats to these mangroves, which often persist at the edge of their physiological tolerances, include extreme drought, reductions in groundwater inputs, altered hydrology, sea-level fluctuations and increases in nutrient loading. Restoration of mangroves in arid climates should focus on restoring their hydrology. Mangroves in arid zones are under-represented in global maps and assessment programs, as they may not be consistent with countries’ definition of “forests”. Improved global representation and understanding of the ecology of mangroves in arid climates could help sustain their valuable ecosystem services.","author":[{"dropping-particle":"","family":"Adame","given":"M. F.","non-dropping-particle":"","parse-names":false,"suffix":""},{"dropping-particle":"","family":"Reef","given":"R.","non-dropping-particle":"","parse-names":false,"suffix":""},{"dropping-particle":"","family":"Santini","given":"N. S.","non-dropping-particle":"","parse-names":false,"suffix":""},{"dropping-particle":"","family":"Najera","given":"E.","non-dropping-particle":"","parse-names":false,"suffix":""},{"dropping-particle":"","family":"Turschwell","given":"M. P.","non-dropping-particle":"","parse-names":false,"suffix":""},{"dropping-particle":"","family":"Hayes","given":"M. A.","non-dropping-particle":"","parse-names":false,"suffix":""},{"dropping-particle":"","family":"Masque","given":"P.","non-dropping-particle":"","parse-names":false,"suffix":""},{"dropping-particle":"","family":"Lovelock","given":"C. E.","non-dropping-particle":"","parse-names":false,"suffix":""}],"container-title":"Estuarine, Coastal and Shelf Science","id":"ITEM-1","issued":{"date-parts":[["2020"]]},"title":"Mangroves in arid regions: Ecology, threats, and opportunities","type":"article-journal"},"uris":["http://www.mendeley.com/documents/?uuid=f4566645-8993-4033-ab48-124854464c6a"]}],"mendeley":{"formattedCitation":"(Adame et al., 2020)","plainTextFormattedCitation":"(Adame et al., 2020)","previouslyFormattedCitation":"(Adame et al., 2020)"},"properties":{"noteIndex":0},"schema":"https://github.com/citation-style-language/schema/raw/master/csl-citation.json"}</w:instrText>
      </w:r>
      <w:r w:rsidRPr="008726D7">
        <w:rPr>
          <w:rFonts w:cstheme="minorHAnsi"/>
        </w:rPr>
        <w:fldChar w:fldCharType="separate"/>
      </w:r>
      <w:r w:rsidR="008A48C6" w:rsidRPr="008A48C6">
        <w:rPr>
          <w:rFonts w:cstheme="minorHAnsi"/>
          <w:noProof/>
        </w:rPr>
        <w:t>(Adame et al., 2020)</w:t>
      </w:r>
      <w:r w:rsidRPr="008726D7">
        <w:rPr>
          <w:rFonts w:cstheme="minorHAnsi"/>
        </w:rPr>
        <w:fldChar w:fldCharType="end"/>
      </w:r>
      <w:r w:rsidRPr="008726D7">
        <w:rPr>
          <w:rFonts w:cstheme="minorHAnsi"/>
        </w:rPr>
        <w:t xml:space="preserve">, reduced litterfall observed in in high tidal zones may also be due to lower soil N concentrations. Conversely, N concentrations in humid tropical mangroves decrease in a seaward direction and mangrove tree height, which has been shown to be a good indicator of productivity </w:t>
      </w:r>
      <w:r w:rsidRPr="008726D7">
        <w:rPr>
          <w:rFonts w:cstheme="minorHAnsi"/>
        </w:rPr>
        <w:fldChar w:fldCharType="begin" w:fldLock="1"/>
      </w:r>
      <w:r w:rsidR="008A48C6">
        <w:rPr>
          <w:rFonts w:cstheme="minorHAnsi"/>
        </w:rPr>
        <w:instrText>ADDIN CSL_CITATION {"citationItems":[{"id":"ITEM-1","itemData":{"DOI":"10.1080/10643389.2010.530907","ISSN":"10643389","abstract":"The authors summarize the main findings of the Florida Coastal Everglades Long-Term Ecological Research (FCE-LTER) program in the EMER, within the context of the Comprehensive Everglades Restoration Plan (CERP), to understand how regional processes, mediated by water flow, control population and ecosystem dynamics across the EMER landscape. Tree canopies with maximum height &lt;3 m cover 49% of the EMER, particularly in the SE region. These scrub/dwarf mangroves are the result of a combination of low soil phosphorus (P &lt; 59 μg P g dw-1) in the calcareous marl substrate and long hydroperiod. Phosphorus limits the EMER and its freshwater watersheds due to the lack of terrigenous sediment input and the phosphorus-limited nature of the freshwater Everglades. Reduced freshwater delivery over the past 50years, combined with Everglades compartmentalization and a 10 cm rise in coastal sea level, has led to the landward transgression (</w:instrText>
      </w:r>
      <w:r w:rsidR="008A48C6">
        <w:rPr>
          <w:rFonts w:ascii="Cambria Math" w:hAnsi="Cambria Math" w:cs="Cambria Math"/>
        </w:rPr>
        <w:instrText>∼</w:instrText>
      </w:r>
      <w:r w:rsidR="008A48C6">
        <w:rPr>
          <w:rFonts w:cstheme="minorHAnsi"/>
        </w:rPr>
        <w:instrText>1.5 km in 54 years) of the mangrove ecotone. Seasonal variation in freshwater input strongly controls the temporal variation of nitrogen and P exports (99%) from the Everglades to Florida Bay. Rapid changes in nutrient availability and vegetation distribution during the last 50years show that future ecosystem restoration actions and land use decisions can exert a major influence, similar to sea level rise over the short term, on nutrient cycling and wetland productivity in the EMER. Copyright © 2011 Taylor &amp; Francis Group, LLC.","author":[{"dropping-particle":"","family":"Rivera-Monroy","given":"Victor H.","non-dropping-particle":"","parse-names":false,"suffix":""},{"dropping-particle":"","family":"Twilley","given":"Robert R.","non-dropping-particle":"","parse-names":false,"suffix":""},{"dropping-particle":"","family":"Davis","given":"Stephen E.","non-dropping-particle":"","parse-names":false,"suffix":""},{"dropping-particle":"","family":"Childers","given":"Daniel L.","non-dropping-particle":"","parse-names":false,"suffix":""},{"dropping-particle":"","family":"Simard","given":"Marc","non-dropping-particle":"","parse-names":false,"suffix":""},{"dropping-particle":"","family":"Chambers","given":"Randolph","non-dropping-particle":"","parse-names":false,"suffix":""},{"dropping-particle":"","family":"Jaffe","given":"Rudolf","non-dropping-particle":"","parse-names":false,"suffix":""},{"dropping-particle":"","family":"Boyer","given":"Joseph N.","non-dropping-particle":"","parse-names":false,"suffix":""},{"dropping-particle":"","family":"Rudnick","given":"David T.","non-dropping-particle":"","parse-names":false,"suffix":""},{"dropping-particle":"","family":"Zhang","given":"Keqi","non-dropping-particle":"","parse-names":false,"suffix":""},{"dropping-particle":"","family":"Castaneda-Moya","given":"Edward","non-dropping-particle":"","parse-names":false,"suffix":""},{"dropping-particle":"","family":"Ewe","given":"Sharon M.L.","non-dropping-particle":"","parse-names":false,"suffix":""},{"dropping-particle":"","family":"Price","given":"Rene M.","non-dropping-particle":"","parse-names":false,"suffix":""},{"dropping-particle":"","family":"Coronado-Molina","given":"Carlos","non-dropping-particle":"","parse-names":false,"suffix":""},{"dropping-particle":"","family":"Ross","given":"Michael","non-dropping-particle":"","parse-names":false,"suffix":""},{"dropping-particle":"","family":"Smith","given":"Thomas J.","non-dropping-particle":"","parse-names":false,"suffix":""},{"dropping-particle":"","family":"Michot","given":"Beatrice","non-dropping-particle":"","parse-names":false,"suffix":""},{"dropping-particle":"","family":"Meselhe","given":"Ehab","non-dropping-particle":"","parse-names":false,"suffix":""},{"dropping-particle":"","family":"Nuttle","given":"William","non-dropping-particle":"","parse-names":false,"suffix":""},{"dropping-particle":"","family":"Troxler","given":"Tiffany G.","non-dropping-particle":"","parse-names":false,"suffix":""},{"dropping-particle":"","family":"Noe","given":"Gregory B.","non-dropping-particle":"","parse-names":false,"suffix":""}],"container-title":"Critical Reviews in Environmental Science and Technology","id":"ITEM-1","issue":"SUPPL. 1","issued":{"date-parts":[["2011"]]},"page":"633-669","title":"The role of the everglades mangrove ecotone region (EMER) in regulating nutrient cycling and wetland productivity in South Florida","type":"article-journal","volume":"41"},"uris":["http://www.mendeley.com/documents/?uuid=562e347a-a3a4-467a-abaa-3c94074409f4"]}],"mendeley":{"formattedCitation":"(Rivera-Monroy et al., 2011)","plainTextFormattedCitation":"(Rivera-Monroy et al., 2011)","previouslyFormattedCitation":"(Rivera-Monroy et al., 2011)"},"properties":{"noteIndex":0},"schema":"https://github.com/citation-style-language/schema/raw/master/csl-citation.json"}</w:instrText>
      </w:r>
      <w:r w:rsidRPr="008726D7">
        <w:rPr>
          <w:rFonts w:cstheme="minorHAnsi"/>
        </w:rPr>
        <w:fldChar w:fldCharType="separate"/>
      </w:r>
      <w:r w:rsidR="008A48C6" w:rsidRPr="008A48C6">
        <w:rPr>
          <w:rFonts w:cstheme="minorHAnsi"/>
          <w:noProof/>
        </w:rPr>
        <w:t>(Rivera-Monroy et al., 2011)</w:t>
      </w:r>
      <w:r w:rsidRPr="008726D7">
        <w:rPr>
          <w:rFonts w:cstheme="minorHAnsi"/>
        </w:rPr>
        <w:fldChar w:fldCharType="end"/>
      </w:r>
      <w:r w:rsidRPr="008726D7">
        <w:rPr>
          <w:rFonts w:cstheme="minorHAnsi"/>
        </w:rPr>
        <w:t xml:space="preserve">, can be greater in high tidal areas compared to low tidal zones </w:t>
      </w:r>
      <w:r w:rsidRPr="008726D7">
        <w:rPr>
          <w:rFonts w:cstheme="minorHAnsi"/>
        </w:rPr>
        <w:fldChar w:fldCharType="begin" w:fldLock="1"/>
      </w:r>
      <w:r w:rsidR="008A48C6">
        <w:rPr>
          <w:rFonts w:cstheme="minorHAnsi"/>
        </w:rPr>
        <w:instrText>ADDIN CSL_CITATION {"citationItems":[{"id":"ITEM-1","itemData":{"DOI":"10.1007/s13157-011-0148-9","ISBN":"0277-5212","ISSN":"02775212","PMID":"24834737","abstract":"Among the least studied ecosystem services of mangroves is their value as global carbon (C) stocks. This is significant as mangroves are subject to rapid rates of deforestation and therefore could be significant sources of atmospheric emissions. Mangroves could be key ecosystems in strategies addressing the mitigation of climate change though reduced deforestation. We quantified ecosystem C stocks at the seaward, interior, and upland edges of mangroves in the Republic of Palau and Yap, Federated States of Micronesia. The relatively high aboveground biomass coupled with carbon-rich soils resulted in the presence of large ecosystem carbon stocks compared to other tropical forests. Ecosystem C storage at the Palau site ranged from 479Mg/ha in the seaward zone to 1,068Mg/ha in the landward zone; in the Yap site C storage ranged from 853 to 1,385 Mg/ha along this gradient. Soils contained ~70% of the ecosystem C stocks. The elevation range of mangroves was &lt;146 cm, suggesting that projected sea-level rise can influence a large portion of existing stands. Declines in ecosystem carbon stocks will be pronounced if mangroves are replaced by communities adapted to greater inundation such as seagrass communities, where C pools were =7% of that of mangroves (48 Mg C/ha).","author":[{"dropping-particle":"","family":"Kauffman","given":"J. Boone","non-dropping-particle":"","parse-names":false,"suffix":""},{"dropping-particle":"","family":"Heider","given":"Chris","non-dropping-particle":"","parse-names":false,"suffix":""},{"dropping-particle":"","family":"Cole","given":"Thomas G.","non-dropping-particle":"","parse-names":false,"suffix":""},{"dropping-particle":"","family":"Dwire","given":"Kathleen A.","non-dropping-particle":"","parse-names":false,"suffix":""},{"dropping-particle":"","family":"Donato","given":"Daniel C.","non-dropping-particle":"","parse-names":false,"suffix":""}],"container-title":"Wetlands","id":"ITEM-1","issue":"2","issued":{"date-parts":[["2011"]]},"page":"343-352","title":"Ecosystem carbon stocks of micronesian mangrove forests","type":"article-journal","volume":"31"},"uris":["http://www.mendeley.com/documents/?uuid=22ed9481-6a2e-3a46-bd1d-2bb5889bec94"]}],"mendeley":{"formattedCitation":"(Kauffman et al., 2011)","plainTextFormattedCitation":"(Kauffman et al., 2011)","previouslyFormattedCitation":"(Kauffman et al., 2011)"},"properties":{"noteIndex":0},"schema":"https://github.com/citation-style-language/schema/raw/master/csl-citation.json"}</w:instrText>
      </w:r>
      <w:r w:rsidRPr="008726D7">
        <w:rPr>
          <w:rFonts w:cstheme="minorHAnsi"/>
        </w:rPr>
        <w:fldChar w:fldCharType="separate"/>
      </w:r>
      <w:r w:rsidR="008A48C6" w:rsidRPr="008A48C6">
        <w:rPr>
          <w:rFonts w:cstheme="minorHAnsi"/>
          <w:noProof/>
        </w:rPr>
        <w:t>(Kauffman et al., 2011)</w:t>
      </w:r>
      <w:r w:rsidRPr="008726D7">
        <w:rPr>
          <w:rFonts w:cstheme="minorHAnsi"/>
        </w:rPr>
        <w:fldChar w:fldCharType="end"/>
      </w:r>
      <w:r w:rsidRPr="008726D7">
        <w:rPr>
          <w:rFonts w:cstheme="minorHAnsi"/>
        </w:rPr>
        <w:t xml:space="preserve">. Greater N concentrations in higher tidal zones in humid tropical mangroves suggests greater N inputs coming from a landward direction. Subsequently, mangroves in humid conditions can be highly productive </w:t>
      </w:r>
      <w:proofErr w:type="spellStart"/>
      <w:r w:rsidRPr="008726D7">
        <w:rPr>
          <w:rFonts w:cstheme="minorHAnsi"/>
        </w:rPr>
        <w:t>outwelling</w:t>
      </w:r>
      <w:proofErr w:type="spellEnd"/>
      <w:r w:rsidRPr="008726D7">
        <w:rPr>
          <w:rFonts w:cstheme="minorHAnsi"/>
        </w:rPr>
        <w:t xml:space="preserve"> systems, dependant on their geomorphological setting </w:t>
      </w:r>
      <w:r w:rsidRPr="008726D7">
        <w:rPr>
          <w:rFonts w:cstheme="minorHAnsi"/>
        </w:rPr>
        <w:fldChar w:fldCharType="begin" w:fldLock="1"/>
      </w:r>
      <w:r w:rsidR="008A48C6">
        <w:rPr>
          <w:rFonts w:cstheme="minorHAnsi"/>
        </w:rPr>
        <w:instrText>ADDIN CSL_CITATION {"citationItems":[{"id":"ITEM-1","itemData":{"DOI":"10.1007/BF00029127","ISBN":"0018-8158","ISSN":"0018-8158","PMID":"2563507","abstract":"The export of detritus and faunal biomass from mangroves has long been considered as an important support for offshore biological production and has been widely used as an argument for mangrove conservation. This functional role of the mangroves, like many other paradigms in mangrove ecology, has seldom been put to rigorous test since the hypothesis was postulated about 25 years ago. Past studies on which the hypothesis was based were mostly carried out in mangrove or other wetland environments, little is known about the fate and effects of outwelled detritus on oceanic, offshore, communities. Mass balance studies carried out in the last 15 years tend to suggest that export is common from tidal mangroves, the direction of flow depends, however, on the identity of the chemical species in question. Pore water and groundwater flow can affect tidal material exchange but are poorly studied. Generally, tracer methods using stable isotope ratios or other signatures have suggested that outwelling may be much less significant than expected. Further, most past studies have focussed on particulate matter while it is increasingly apparent that dissolved organics may play a more important role in matter exchange between offshore and mangrove communities. There is also evidence that benthic biomass and richness may not bear any positive or significant relationship with detritus availability.","author":[{"dropping-particle":"","family":"Lee","given":"S. Y.","non-dropping-particle":"","parse-names":false,"suffix":""}],"container-title":"Hydrobiologia","id":"ITEM-1","issue":"1-3","issued":{"date-parts":[["1995","1"]]},"page":"203-212","publisher":"Kluwer Academic Publishers","title":"Mangrove outwelling: a review","type":"article-journal","volume":"295"},"uris":["http://www.mendeley.com/documents/?uuid=af279fb2-f1ad-489f-a870-899457f4526c"]}],"mendeley":{"formattedCitation":"(Lee, 1995)","plainTextFormattedCitation":"(Lee, 1995)","previouslyFormattedCitation":"(Lee, 1995)"},"properties":{"noteIndex":0},"schema":"https://github.com/citation-style-language/schema/raw/master/csl-citation.json"}</w:instrText>
      </w:r>
      <w:r w:rsidRPr="008726D7">
        <w:rPr>
          <w:rFonts w:cstheme="minorHAnsi"/>
        </w:rPr>
        <w:fldChar w:fldCharType="separate"/>
      </w:r>
      <w:r w:rsidR="008A48C6" w:rsidRPr="008A48C6">
        <w:rPr>
          <w:rFonts w:cstheme="minorHAnsi"/>
          <w:noProof/>
        </w:rPr>
        <w:t>(Lee, 1995)</w:t>
      </w:r>
      <w:r w:rsidRPr="008726D7">
        <w:rPr>
          <w:rFonts w:cstheme="minorHAnsi"/>
        </w:rPr>
        <w:fldChar w:fldCharType="end"/>
      </w:r>
      <w:r w:rsidRPr="008726D7">
        <w:rPr>
          <w:rFonts w:cstheme="minorHAnsi"/>
        </w:rPr>
        <w:t xml:space="preserve">. </w:t>
      </w:r>
      <w:proofErr w:type="spellStart"/>
      <w:r w:rsidRPr="008726D7">
        <w:rPr>
          <w:rFonts w:cstheme="minorHAnsi"/>
        </w:rPr>
        <w:t>Outwelling</w:t>
      </w:r>
      <w:proofErr w:type="spellEnd"/>
      <w:r w:rsidRPr="008726D7">
        <w:rPr>
          <w:rFonts w:cstheme="minorHAnsi"/>
        </w:rPr>
        <w:t xml:space="preserve"> and </w:t>
      </w:r>
      <w:proofErr w:type="spellStart"/>
      <w:r w:rsidRPr="008726D7">
        <w:rPr>
          <w:rFonts w:cstheme="minorHAnsi"/>
        </w:rPr>
        <w:t>inwelling</w:t>
      </w:r>
      <w:proofErr w:type="spellEnd"/>
      <w:r w:rsidRPr="008726D7">
        <w:rPr>
          <w:rFonts w:cstheme="minorHAnsi"/>
        </w:rPr>
        <w:t xml:space="preserve"> processes are much less well understood in arid mangroves, although it is known that </w:t>
      </w:r>
      <w:proofErr w:type="spellStart"/>
      <w:r w:rsidRPr="008726D7">
        <w:rPr>
          <w:rFonts w:cstheme="minorHAnsi"/>
        </w:rPr>
        <w:t>inwelling</w:t>
      </w:r>
      <w:proofErr w:type="spellEnd"/>
      <w:r w:rsidRPr="008726D7">
        <w:rPr>
          <w:rFonts w:cstheme="minorHAnsi"/>
        </w:rPr>
        <w:t xml:space="preserve"> of downstream seagrass material is a substantial food source to mangrove fauna in Qatar </w:t>
      </w:r>
      <w:r w:rsidRPr="008726D7">
        <w:rPr>
          <w:rFonts w:cstheme="minorHAnsi"/>
        </w:rPr>
        <w:fldChar w:fldCharType="begin" w:fldLock="1"/>
      </w:r>
      <w:r w:rsidR="008A48C6">
        <w:rPr>
          <w:rFonts w:cstheme="minorHAnsi"/>
        </w:rPr>
        <w:instrText>ADDIN CSL_CITATION {"citationItems":[{"id":"ITEM-1","itemData":{"DOI":"10.1016/j.ecss.2013.03.007","ISBN":"0272-7714","ISSN":"02727714","abstract":"The Arabian Gulf represents one of the more northerly extremes of mangrove distribution in the Indo-Pacific, and is populated only by Avicennia marina, due to its tolerance of high salinity and wide temperature extremes. Recent studies suggest that in the arid coastal environment of the western Arabian Gulf, export of carbon and nitrogen from mangroves to adjacent habitats may be limited, though it is not clear if this is due to low productivity or physical factors such as the lack of freshwater flow and the tidal regime. Although seagrass and macroalgal habitats are relatively much more dominant by area, with only small pockets of mangrove around the edges of embayments, it is not evident if inwelling from these habitats support mangrove fauna. Year-round sampling in mangroves at Al-Khor, Qatar, indicates that Palaemon khori, an endemic shrimp species, is strongly associated with mangroves throughout its post-settlement life cycle, from recruitment as small 9-10mm juveniles through to mating and egg production. Rapid post-recruitment growth (k=1.8, L∞=42mm for females, k=1.5, L∞=35mm for male) means that most individuals reached adult size in the first few months after settlement, with reproduction occurring in the following spring. As might be expected from year-round residence in the mangrove, dual 13C and 15N isotope analysis indicated a strong contribution of mangroves to shrimp tissue growth (Mean and 95% confidence range, 37% and 27-48%), but with a weaker significant contribution from particulate organic matter (20% and 1-37%), mangrove epiphytes (16% and 2-33%) and seagrasses (9% and 0.2-18%). Other primary producers contribute the remaining 18% to shrimp nutrition but the 95% confidence ranges include zero, suggesting possibly non-significant roles in supporting the shrimp population. This dietary information supports the view that fauna resident within arid mangrove systems are mainly dependent on localised retention and cycling of nutrients with a smaller contribution from inwelling. © 2013 Elsevier Ltd.","author":[{"dropping-particle":"","family":"Al-Maslamani","given":"I.","non-dropping-particle":"","parse-names":false,"suffix":""},{"dropping-particle":"","family":"Walton","given":"M. E.M.","non-dropping-particle":"","parse-names":false,"suffix":""},{"dropping-particle":"","family":"Kennedy","given":"H. A.","non-dropping-particle":"","parse-names":false,"suffix":""},{"dropping-particle":"","family":"Al-Mohannadi","given":"M.","non-dropping-particle":"","parse-names":false,"suffix":""},{"dropping-particle":"","family":"Vay","given":"L.","non-dropping-particle":"Le","parse-names":false,"suffix":""}],"container-title":"Estuarine, Coastal and Shelf Science","id":"ITEM-1","issued":{"date-parts":[["2013","6"]]},"page":"56-63","title":"Are mangroves in arid environments isolated systems? Life-history and evidence of dietary contribution from inwelling in a mangrove-resident shrimp species","type":"article-journal","volume":"124"},"uris":["http://www.mendeley.com/documents/?uuid=6b73bf2a-05d0-4a74-b04b-21d8f104c3c5"]},{"id":"ITEM-2","itemData":{"DOI":"10.3354/meps10827","ISBN":"0171-8630","ISSN":"01718630","abstract":"Mangrove forest productivity is normally sustained by nutrients from terrestrial runoff, with freshwater inputs driving the resulting outwelling of production, but arid mangroves lack this input. The movement of material between seagrass beds and mangroves was examined using the stable C and N isotopic composition of organisms, sediments and suspended matter in 3 seagrass−mangrove transects in the Arabian Gulf. The isotopic signal of suspended particulate material indicated a mixed origin that did not differ over a spring tide. Filter feeders showed significant 13C enrichment along transects from mangrove forests into seagrass beds, indicating that location within a habitat had a significant effect on isotopic composition. Similarly, δ13C of both sediments and grazers increased sharply outside the mangrove forest, suggesting retention of mangrove carbon, although some outwelling was detected, the strength of which was site specific. The lack of freshwater-mediated nutrient inputs suggests any outwelling of mangrove ecosystem productivity must be balanced by inwelling, and isotopic signatures of both sediment grazers and filter feeders found within the mangrove forest confirmed the inwelling of seagrass production. Significant mangrove isotope signals in the tissue of juveniles of fishes commercially harvested offshore indicate ontogenetic movement of carbon. Additional biological movement of mangrove carbon through ontogenetic migration and ‘trophic relay’ is evidenced by the isotopic signature of juvenile and mature fish captured in waters exiting the mangrove forest, which indicated they fed on mangrove-sustained food webs. This study demonstrates tight coupling between arid man- groves and subtidal seagrass areas and implies that arid mangroves cannot be managed or replanted without consideration of connectivity to downstream systems such as seagrasses.","author":[{"dropping-particle":"","family":"Walton","given":"M. E M","non-dropping-particle":"","parse-names":false,"suffix":""},{"dropping-particle":"","family":"Al-Maslamani","given":"I.","non-dropping-particle":"","parse-names":false,"suffix":""},{"dropping-particle":"","family":"Skov","given":"M. W.","non-dropping-particle":"","parse-names":false,"suffix":""},{"dropping-particle":"","family":"Al-Shaikh","given":"I.","non-dropping-particle":"","parse-names":false,"suffix":""},{"dropping-particle":"","family":"Al-Ansari","given":"I. S.","non-dropping-particle":"","parse-names":false,"suffix":""},{"dropping-particle":"","family":"Kennedy","given":"H. A.","non-dropping-particle":"","parse-names":false,"suffix":""},{"dropping-particle":"","family":"Vay","given":"L.","non-dropping-particle":"Le","parse-names":false,"suffix":""}],"container-title":"Marine Ecology Progress Series","id":"ITEM-2","issued":{"date-parts":[["2014"]]},"note":"10.3354/meps10827","page":"125-137","title":"Outwelling from arid mangrove systems is sustained by inwelling of seagrass productivity","type":"article-journal","volume":"507"},"uris":["http://www.mendeley.com/documents/?uuid=1be237ee-c9f5-41ff-9a20-862c3afc4ba3"]}],"mendeley":{"formattedCitation":"(Al-Maslamani et al., 2013; Walton et al., 2014)","plainTextFormattedCitation":"(Al-Maslamani et al., 2013; Walton et al., 2014)","previouslyFormattedCitation":"(Al-Maslamani et al., 2013; Walton et al., 2014)"},"properties":{"noteIndex":0},"schema":"https://github.com/citation-style-language/schema/raw/master/csl-citation.json"}</w:instrText>
      </w:r>
      <w:r w:rsidRPr="008726D7">
        <w:rPr>
          <w:rFonts w:cstheme="minorHAnsi"/>
        </w:rPr>
        <w:fldChar w:fldCharType="separate"/>
      </w:r>
      <w:r w:rsidR="008A48C6" w:rsidRPr="008A48C6">
        <w:rPr>
          <w:rFonts w:cstheme="minorHAnsi"/>
          <w:noProof/>
        </w:rPr>
        <w:t>(Al-Maslamani et al., 2013; Walton et al., 2014)</w:t>
      </w:r>
      <w:r w:rsidRPr="008726D7">
        <w:rPr>
          <w:rFonts w:cstheme="minorHAnsi"/>
        </w:rPr>
        <w:fldChar w:fldCharType="end"/>
      </w:r>
      <w:r w:rsidRPr="008726D7">
        <w:rPr>
          <w:rFonts w:cstheme="minorHAnsi"/>
        </w:rPr>
        <w:t xml:space="preserve">. A greater reliance on seaward nutrients may also help explain why tree productivity and biomass </w:t>
      </w:r>
      <w:r w:rsidRPr="008726D7">
        <w:rPr>
          <w:rFonts w:cstheme="minorHAnsi"/>
        </w:rPr>
        <w:fldChar w:fldCharType="begin" w:fldLock="1"/>
      </w:r>
      <w:r w:rsidR="008A48C6">
        <w:rPr>
          <w:rFonts w:cstheme="minorHAnsi"/>
        </w:rPr>
        <w:instrText>ADDIN CSL_CITATION {"citationItems":[{"id":"ITEM-1","itemData":{"DOI":"10.1016/j.ecss.2020.106940","ISSN":"02727714","abstract":"Global inventories that show mangrove forests have rich carbon stores currently lack data from arid areas where carbon stocks may be functionally impoverished relative to humid regions. We quantified total carbon stocks (C) of three arid Avicennia marina stands in Qatar and report an aboveground biomass allometric equation and the first below ground biomass allometric equation in the region. The allometric relationships indicate that below ground mangrove C stocks in arid locations are more important than previously reported. Comparison of previously published and our locally developed allometric equations show that A. marina in Qatar allocate comparatively more biomass to below ground components than the same species in tropical humid settings, which is consistent with plant adaptations to living in stressed conditions. Total C stocks were 45.70 ± 3.70 Mg C ha−1, of which tree and soil C stocks to 50 cm depth represented 10.18 ± 0.82 Mg C ha−1 and 35.52 ± 2.88 Mg ha−1 respectively. Soil C stocks to 1 m depth were 50.17 ± 6.27 Mg C ha−1. Overall, mangroves sustain relatively small C stocks in the arid, hypersaline environment of Qatar, which may be due to both relatively low tree productivity and growth, as well as limited rainfall-driven transport of terrigenous sediment inputs. By providing further estimates of mangrove carbon at their climatic extremes, these results can contribute to a better quantification of global mangrove carbon, reduce uncertainty in below ground tree C estimates from arid mangroves and have implications for mangrove carbon stocks in the face of climate change.","author":[{"dropping-particle":"","family":"Chatting","given":"Mark","non-dropping-particle":"","parse-names":false,"suffix":""},{"dropping-particle":"","family":"LeVay","given":"Lewis","non-dropping-particle":"","parse-names":false,"suffix":""},{"dropping-particle":"","family":"Walton","given":"Mark","non-dropping-particle":"","parse-names":false,"suffix":""},{"dropping-particle":"","family":"Skov","given":"Martin W.","non-dropping-particle":"","parse-names":false,"suffix":""},{"dropping-particle":"","family":"Kennedy","given":"Hilary","non-dropping-particle":"","parse-names":false,"suffix":""},{"dropping-particle":"","family":"Wilson","given":"Simon","non-dropping-particle":"","parse-names":false,"suffix":""},{"dropping-particle":"","family":"Al-Maslamani","given":"Ibrahim","non-dropping-particle":"","parse-names":false,"suffix":""}],"container-title":"Estuarine, Coastal and Shelf Science","id":"ITEM-1","issued":{"date-parts":[["2020"]]},"title":"Mangrove carbon stocks and biomass partitioning in an extreme environment","type":"article-journal","volume":"244"},"uris":["http://www.mendeley.com/documents/?uuid=45ec4b47-2362-48bc-8966-b39957af5dc1"]}],"mendeley":{"formattedCitation":"(Chatting et al., 2020)","plainTextFormattedCitation":"(Chatting et al., 2020)","previouslyFormattedCitation":"(Chatting et al., 2020)"},"properties":{"noteIndex":0},"schema":"https://github.com/citation-style-language/schema/raw/master/csl-citation.json"}</w:instrText>
      </w:r>
      <w:r w:rsidRPr="008726D7">
        <w:rPr>
          <w:rFonts w:cstheme="minorHAnsi"/>
        </w:rPr>
        <w:fldChar w:fldCharType="separate"/>
      </w:r>
      <w:r w:rsidR="008A48C6" w:rsidRPr="008A48C6">
        <w:rPr>
          <w:rFonts w:cstheme="minorHAnsi"/>
          <w:noProof/>
        </w:rPr>
        <w:t>(Chatting et al., 2020)</w:t>
      </w:r>
      <w:r w:rsidRPr="008726D7">
        <w:rPr>
          <w:rFonts w:cstheme="minorHAnsi"/>
        </w:rPr>
        <w:fldChar w:fldCharType="end"/>
      </w:r>
      <w:r w:rsidRPr="008726D7">
        <w:rPr>
          <w:rFonts w:cstheme="minorHAnsi"/>
        </w:rPr>
        <w:t xml:space="preserve"> in Qatar is greatest in low and mid tidal zones.</w:t>
      </w:r>
    </w:p>
    <w:p w14:paraId="6704CD2E" w14:textId="77777777" w:rsidR="0002342A" w:rsidRPr="008726D7" w:rsidRDefault="0002342A" w:rsidP="0002342A">
      <w:pPr>
        <w:spacing w:line="480" w:lineRule="auto"/>
        <w:rPr>
          <w:rFonts w:cstheme="minorHAnsi"/>
        </w:rPr>
      </w:pPr>
    </w:p>
    <w:p w14:paraId="3E4040B1" w14:textId="04C389C7" w:rsidR="0002342A" w:rsidRPr="008726D7" w:rsidRDefault="0002342A" w:rsidP="0002342A">
      <w:pPr>
        <w:spacing w:line="480" w:lineRule="auto"/>
        <w:rPr>
          <w:rFonts w:cstheme="minorHAnsi"/>
        </w:rPr>
      </w:pPr>
      <w:r w:rsidRPr="008726D7">
        <w:rPr>
          <w:rFonts w:cstheme="minorHAnsi"/>
        </w:rPr>
        <w:t xml:space="preserve">Previous research has shown soil nutrient limitation of apical shoot tip growth </w:t>
      </w:r>
      <w:r w:rsidRPr="008726D7">
        <w:rPr>
          <w:rFonts w:cstheme="minorHAnsi"/>
        </w:rPr>
        <w:fldChar w:fldCharType="begin" w:fldLock="1"/>
      </w:r>
      <w:r w:rsidR="008A48C6">
        <w:rPr>
          <w:rFonts w:cstheme="minorHAnsi"/>
        </w:rPr>
        <w:instrText>ADDIN CSL_CITATION {"citationItems":[{"id":"ITEM-1","itemData":{"DOI":"10.1007/s00442-002-1117-z","ISBN":"1443482226","ISSN":"00298549","PMID":"12647149","abstract":"The objectives of this study were to determine effects of nutrient enrichment on plant growth, nutrient dynamics, and photosynthesis in a disturbed mangrove forest in an abandoned mosquito impoundment in Florida. Impounding altered the hydrology and soil chemistry of the site. In 1997, we established a factorial experiment along a tree-height gradient with three zones, i.e., fringe, transition, dwarf, and three fertilizer treatment levels, i.e., nitrogen (N), phosphorus (P), control, in Mosquito Impoundment 23 on the eastern side of Indian River. Transects traversed the forest perpendicular to the shore-line, from a Rhizophora mangle-dominated fringe through an Avicennia germinans stand of intermediate height, and into a scrub or dwarf stand of A. germinans in the hinterland. Growth rates increased significantly in re-sponse to N fertilization. Our growth data indicated that this site is N-limited along the tree-height gradient. After 2 years of N addition, dwarf trees resembled vigorously growing saplings. Addition of N also affected internal dynamics of N and P and caused increases in rates of photosynthesis. These findings contrast with results for a R. mangle-dominated forest in Belize where the fringe is N-limited, but the dwarf zone is P-limited and the transition zone is co-limited by N and P. This study demonstrated that patterns of nutrient limitation in mangrove ecosystems are complex, that not all processes respond similarly to the same nutrient, and that similar habitats are not limited by the same nutrient when different mangrove forests are compared.","author":[{"dropping-particle":"","family":"Feller","given":"Ilka C.","non-dropping-particle":"","parse-names":false,"suffix":""},{"dropping-particle":"","family":"Whigham","given":"Dennis F.","non-dropping-particle":"","parse-names":false,"suffix":""},{"dropping-particle":"","family":"McKee","given":"Karen L.","non-dropping-particle":"","parse-names":false,"suffix":""},{"dropping-particle":"","family":"Lovelock","given":"Catherine E.","non-dropping-particle":"","parse-names":false,"suffix":""}],"container-title":"Oecologia","id":"ITEM-1","issue":"3","issued":{"date-parts":[["2003","2","8"]]},"page":"405-414","title":"Nitrogen limitation of growth and nutrient dynamics in a disturbed mangrove forest, Indian River Lagoon, Florida","type":"article-journal","volume":"134"},"uris":["http://www.mendeley.com/documents/?uuid=18d8a9cf-ffee-3acf-86ac-07886bd11c62"]},{"id":"ITEM-2","itemData":{"DOI":"10.1046/j.0269-8463.2004.00805.x","ISSN":"02698463","abstract":"1. Dwarf stands of the mangrove Rhizophora mangle L. are extensive in the Caribbean. We fertilized dwarf trees in Almirante Bay, Bocas del Toro Province, north-eastern Panama with nitrogen (N) and phosphorus (P) to determine (1) if growth limitations are due to nutrient deficiency; and (2) what morphological and/or physiological factors underlie nutrient limitations to growth. 2. Shoot growth was 10-fold when fertilized with P and twofold with N fertilization, indicating that stunted growth of these mangroves is partially due to nutrient deficiency. 3. Growth enhancements caused by N or P enrichment could not be attributed to increases in photosynthesis on a leaf area basis, although photosynthetic nutrient-use efficiency was improved. The most dramatic effect was on stem hydraulic conductance, which was increased sixfold by P and 2-5-fold with N enrichment. Fertilization with P enhanced leaf and stem P concentrations and reduced C:N ratio, but did not alter leaf damage by herbivores. 4. Our findings indicate that addition of N and P significantly alter tree growth and internal nutrient dynamics of mangroves at Bocas del Toro, but also that the magnitude, pattern and mechanisms of change will be differentially affected by each nutrient.","author":[{"dropping-particle":"","family":"Lovelock","given":"C. E.","non-dropping-particle":"","parse-names":false,"suffix":""},{"dropping-particle":"","family":"Feller","given":"I. C.","non-dropping-particle":"","parse-names":false,"suffix":""},{"dropping-particle":"","family":"McKee","given":"K. L.","non-dropping-particle":"","parse-names":false,"suffix":""},{"dropping-particle":"","family":"Engelbrecht","given":"B. M.J.","non-dropping-particle":"","parse-names":false,"suffix":""},{"dropping-particle":"","family":"Ball","given":"M. C.","non-dropping-particle":"","parse-names":false,"suffix":""}],"container-title":"Functional Ecology","id":"ITEM-2","issue":"1","issued":{"date-parts":[["2004"]]},"page":"25-33","title":"The effect of nutrient enrichment on growth, photosynthesis and hydraulic conductance of dwarf mangroves in Panamá","type":"article-journal","volume":"18"},"uris":["http://www.mendeley.com/documents/?uuid=96c139d5-efb3-4bbd-86ab-790f26b7953b","http://www.mendeley.com/documents/?uuid=5b108396-936f-4e26-a0e9-56d57e7d5a0e"]}],"mendeley":{"formattedCitation":"(Feller et al., 2003; Lovelock et al., 2004)","plainTextFormattedCitation":"(Feller et al., 2003; Lovelock et al., 2004)","previouslyFormattedCitation":"(Feller et al., 2003; Lovelock et al., 2004)"},"properties":{"noteIndex":0},"schema":"https://github.com/citation-style-language/schema/raw/master/csl-citation.json"}</w:instrText>
      </w:r>
      <w:r w:rsidRPr="008726D7">
        <w:rPr>
          <w:rFonts w:cstheme="minorHAnsi"/>
        </w:rPr>
        <w:fldChar w:fldCharType="separate"/>
      </w:r>
      <w:r w:rsidR="008A48C6" w:rsidRPr="008A48C6">
        <w:rPr>
          <w:rFonts w:cstheme="minorHAnsi"/>
          <w:noProof/>
        </w:rPr>
        <w:t>(Feller et al., 2003; Lovelock et al., 2004)</w:t>
      </w:r>
      <w:r w:rsidRPr="008726D7">
        <w:rPr>
          <w:rFonts w:cstheme="minorHAnsi"/>
        </w:rPr>
        <w:fldChar w:fldCharType="end"/>
      </w:r>
      <w:r w:rsidRPr="008726D7">
        <w:rPr>
          <w:rFonts w:cstheme="minorHAnsi"/>
        </w:rPr>
        <w:t xml:space="preserve">. However, relatively little research has investigated how seasonal climatic variation may affect mangrove productivity. Apical tip growth observed in the current study was comparable to nutrient-limited dwarf mangroves in Panama (~1 cm </w:t>
      </w:r>
      <w:r w:rsidRPr="008726D7">
        <w:rPr>
          <w:rFonts w:cstheme="minorHAnsi"/>
        </w:rPr>
        <w:lastRenderedPageBreak/>
        <w:t>mn</w:t>
      </w:r>
      <w:r w:rsidRPr="008726D7">
        <w:rPr>
          <w:rFonts w:cstheme="minorHAnsi"/>
          <w:vertAlign w:val="superscript"/>
        </w:rPr>
        <w:t>-1</w:t>
      </w:r>
      <w:r w:rsidRPr="008726D7">
        <w:rPr>
          <w:rFonts w:cstheme="minorHAnsi"/>
        </w:rPr>
        <w:t xml:space="preserve">) </w:t>
      </w:r>
      <w:r w:rsidRPr="008726D7">
        <w:rPr>
          <w:rFonts w:cstheme="minorHAnsi"/>
        </w:rPr>
        <w:fldChar w:fldCharType="begin" w:fldLock="1"/>
      </w:r>
      <w:r w:rsidR="008A48C6">
        <w:rPr>
          <w:rFonts w:cstheme="minorHAnsi"/>
        </w:rPr>
        <w:instrText>ADDIN CSL_CITATION {"citationItems":[{"id":"ITEM-1","itemData":{"DOI":"10.1046/j.0269-8463.2004.00805.x","ISSN":"02698463","abstract":"1. Dwarf stands of the mangrove Rhizophora mangle L. are extensive in the Caribbean. We fertilized dwarf trees in Almirante Bay, Bocas del Toro Province, north-eastern Panama with nitrogen (N) and phosphorus (P) to determine (1) if growth limitations are due to nutrient deficiency; and (2) what morphological and/or physiological factors underlie nutrient limitations to growth. 2. Shoot growth was 10-fold when fertilized with P and twofold with N fertilization, indicating that stunted growth of these mangroves is partially due to nutrient deficiency. 3. Growth enhancements caused by N or P enrichment could not be attributed to increases in photosynthesis on a leaf area basis, although photosynthetic nutrient-use efficiency was improved. The most dramatic effect was on stem hydraulic conductance, which was increased sixfold by P and 2-5-fold with N enrichment. Fertilization with P enhanced leaf and stem P concentrations and reduced C:N ratio, but did not alter leaf damage by herbivores. 4. Our findings indicate that addition of N and P significantly alter tree growth and internal nutrient dynamics of mangroves at Bocas del Toro, but also that the magnitude, pattern and mechanisms of change will be differentially affected by each nutrient.","author":[{"dropping-particle":"","family":"Lovelock","given":"C. E.","non-dropping-particle":"","parse-names":false,"suffix":""},{"dropping-particle":"","family":"Feller","given":"I. C.","non-dropping-particle":"","parse-names":false,"suffix":""},{"dropping-particle":"","family":"McKee","given":"K. L.","non-dropping-particle":"","parse-names":false,"suffix":""},{"dropping-particle":"","family":"Engelbrecht","given":"B. M.J.","non-dropping-particle":"","parse-names":false,"suffix":""},{"dropping-particle":"","family":"Ball","given":"M. C.","non-dropping-particle":"","parse-names":false,"suffix":""}],"container-title":"Functional Ecology","id":"ITEM-1","issue":"1","issued":{"date-parts":[["2004"]]},"page":"25-33","title":"The effect of nutrient enrichment on growth, photosynthesis and hydraulic conductance of dwarf mangroves in Panamá","type":"article-journal","volume":"18"},"uris":["http://www.mendeley.com/documents/?uuid=96c139d5-efb3-4bbd-86ab-790f26b7953b","http://www.mendeley.com/documents/?uuid=5b108396-936f-4e26-a0e9-56d57e7d5a0e"]}],"mendeley":{"formattedCitation":"(Lovelock et al., 2004)","plainTextFormattedCitation":"(Lovelock et al., 2004)","previouslyFormattedCitation":"(Lovelock et al., 2004)"},"properties":{"noteIndex":0},"schema":"https://github.com/citation-style-language/schema/raw/master/csl-citation.json"}</w:instrText>
      </w:r>
      <w:r w:rsidRPr="008726D7">
        <w:rPr>
          <w:rFonts w:cstheme="minorHAnsi"/>
        </w:rPr>
        <w:fldChar w:fldCharType="separate"/>
      </w:r>
      <w:r w:rsidR="008A48C6" w:rsidRPr="008A48C6">
        <w:rPr>
          <w:rFonts w:cstheme="minorHAnsi"/>
          <w:noProof/>
        </w:rPr>
        <w:t>(Lovelock et al., 2004)</w:t>
      </w:r>
      <w:r w:rsidRPr="008726D7">
        <w:rPr>
          <w:rFonts w:cstheme="minorHAnsi"/>
        </w:rPr>
        <w:fldChar w:fldCharType="end"/>
      </w:r>
      <w:r w:rsidRPr="008726D7">
        <w:rPr>
          <w:rFonts w:cstheme="minorHAnsi"/>
        </w:rPr>
        <w:t xml:space="preserve">. However, apical tip growth in winter was &gt;1.5 times greater than in summer. This suggests that mangrove growth in Qatar is somewhat reduced during the summer, </w:t>
      </w:r>
      <w:r w:rsidRPr="008726D7">
        <w:t xml:space="preserve">observation during sampling, showed that some apical tips exhibited </w:t>
      </w:r>
      <w:proofErr w:type="spellStart"/>
      <w:r w:rsidRPr="008726D7">
        <w:t>shriveling</w:t>
      </w:r>
      <w:proofErr w:type="spellEnd"/>
      <w:r w:rsidRPr="008726D7">
        <w:t>/drying during the peak summer temperatures, with some indication of die back. This suggests that the high summer temperatures may be a direct stress limitation to growth in the mangrove trees, with osmotic stress potentially exacerbated due to soil porewater evaporation</w:t>
      </w:r>
      <w:r w:rsidRPr="008726D7">
        <w:rPr>
          <w:rFonts w:cstheme="minorHAnsi"/>
        </w:rPr>
        <w:t xml:space="preserve">. Seasonal variations in mangrove soil chemistry and growth are well documented </w:t>
      </w:r>
      <w:r w:rsidRPr="008726D7">
        <w:rPr>
          <w:rFonts w:cstheme="minorHAnsi"/>
        </w:rPr>
        <w:fldChar w:fldCharType="begin" w:fldLock="1"/>
      </w:r>
      <w:r w:rsidR="008A48C6">
        <w:rPr>
          <w:rFonts w:cstheme="minorHAnsi"/>
        </w:rPr>
        <w:instrText>ADDIN CSL_CITATION {"citationItems":[{"id":"ITEM-1","itemData":{"DOI":"10.1016/j.aquabot.2005.09.007","ISSN":"03043770","abstract":"The current study presents phenology data for Rhizophora mangle from two equatorial mangrove stands with different salinity regimes in Brazil. Observations based on litter fall and individual shoot development were compared and related to environmental factors. Patterns observed in litter fall were consistent with results of direct monitoring. While both reproductive organs and leaves were produced throughout the year, rates of formation followed seasonal trends. Distinct differences in propagule production between low and high salinity sites and between years of observation were detected; main propagule release was, however, restricted to the wet season which offers enhanced conditions for propagule establishment. Emergence of flowers was linked to leaf production. While there was no obvious single peak in leaf production, it was reduced towards the end of the dry season at both high and low salinity sites. Time series analysis revealed an independent pattern of leaf development superimposed on this annual seasonal trend, indicating slower development of leaf primordia during periods of low light availability in the wet season. No significant difference in age structure was detected between sun and shade leaves; maximum leaf life-time was approximately 1 year. © 2005 Elsevier B.V. All rights reserved.","author":[{"dropping-particle":"","family":"Mehlig","given":"Ulf","non-dropping-particle":"","parse-names":false,"suffix":""}],"container-title":"Aquatic Botany","id":"ITEM-1","issue":"2","issued":{"date-parts":[["2006"]]},"page":"158-164","title":"Phenology of the red mangrove, Rhizophora mangle L., in the Caeté Estuary, Pará, equatorial Brazil","type":"article-journal","volume":"84"},"uris":["http://www.mendeley.com/documents/?uuid=721f5163-9c96-48ac-a28f-15b038a9626b","http://www.mendeley.com/documents/?uuid=4c9a1773-3e20-45d9-9448-51c0edd6aed7"]},{"id":"ITEM-2","itemData":{"DOI":"10.1007/s11273-019-09663-6","ISSN":"15729834","abstract":"Sonneratia apetala (Buch.-Ham.) is a major pioneer tree species of the Sundarbans and is found to grow in the less saline zone (LSZ), moderate saline zone (MSZ) and high saline zone (HSZ) of this mangrove forest. This experiment examined the adaptive behaviour of S. apetala grown in different saline zones of the Sundarbans in terms of nutrient resorption/re-translocation efficiency (NRE). Samples of topsoil and green and senescent sun leaves were collected from S. apetala-dominated stands located in the three saline zones during the pre-monsoon, monsoon and post-monsoon seasons. Soil available nutrients (N, P and K), sodium (Na) concentrations, and NRE of S. apetala leaves from the three saline zones during the different seasons were measured in the laboratory. The average available nutrients (N, P and K); Na concentrations in the soil; and NRE of N, P and K showed significant (p &lt; 0.05) differences among the saline zones and seasons. The lowest concentrations of N (25.44 µg/g), P (5.44 µg/g) and K (0.036 mg/g) and the highest concentrations of Na (0.50 mg/g) were observed in the HSZ during the pre-monsoon season. The highest NREs of N (63.58%), P (45.86%) and K (61.30%) were found in the HSZ during the pre-monsoon season, while the lowest NREs of N (39%), P (26%) and K (35%) were found in the LSZ during the post-monsoon season. The NRE was positively correlated with the available concentration of Na in the soil. Nutrient resorption is an important nutrient-conserving mechanism for mangroves growing under salt stress. This may be the reason that the NRE was comparatively higher in the HSZ than in the LSZ and MSZ. The findings of this study support the conclusion that S. apetala has shown adaptive responses among the populations in the LSZ, MSZ and HSZ of the Sundarbans. This adaptive variation enabled S. apetala to survive and grow satisfactorily in a wider range in the Sundarbans.","author":[{"dropping-particle":"","family":"Nasrin","given":"Shamima","non-dropping-particle":"","parse-names":false,"suffix":""},{"dropping-particle":"","family":"Hossain","given":"Mahmood","non-dropping-particle":"","parse-names":false,"suffix":""},{"dropping-particle":"","family":"Rahman","given":"Md Masudur","non-dropping-particle":"","parse-names":false,"suffix":""}],"container-title":"Wetlands Ecology and Management","id":"ITEM-2","issued":{"date-parts":[["2019"]]},"title":"Adaptive responses to salinity: nutrient resorption efficiency of Sonneratia apetala (Buch.-Ham.) along the salinity gradient in the Sundarbans of Bangladesh","type":"article-journal"},"uris":["http://www.mendeley.com/documents/?uuid=2c19581b-0714-4ab1-91df-87205cab0472","http://www.mendeley.com/documents/?uuid=e8b284d1-f7c6-4c38-8ee0-1daaf7e63e25"]}],"mendeley":{"formattedCitation":"(Mehlig, 2006; Nasrin et al., 2019)","plainTextFormattedCitation":"(Mehlig, 2006; Nasrin et al., 2019)","previouslyFormattedCitation":"(Mehlig, 2006; Nasrin et al., 2019)"},"properties":{"noteIndex":0},"schema":"https://github.com/citation-style-language/schema/raw/master/csl-citation.json"}</w:instrText>
      </w:r>
      <w:r w:rsidRPr="008726D7">
        <w:rPr>
          <w:rFonts w:cstheme="minorHAnsi"/>
        </w:rPr>
        <w:fldChar w:fldCharType="separate"/>
      </w:r>
      <w:r w:rsidR="008A48C6" w:rsidRPr="008A48C6">
        <w:rPr>
          <w:rFonts w:cstheme="minorHAnsi"/>
          <w:noProof/>
        </w:rPr>
        <w:t>(Mehlig, 2006; Nasrin et al., 2019)</w:t>
      </w:r>
      <w:r w:rsidRPr="008726D7">
        <w:rPr>
          <w:rFonts w:cstheme="minorHAnsi"/>
        </w:rPr>
        <w:fldChar w:fldCharType="end"/>
      </w:r>
      <w:r w:rsidRPr="008726D7">
        <w:rPr>
          <w:rFonts w:cstheme="minorHAnsi"/>
        </w:rPr>
        <w:t xml:space="preserve"> and higher soil salinities (up to 64) </w:t>
      </w:r>
      <w:r w:rsidRPr="008726D7">
        <w:rPr>
          <w:rFonts w:cstheme="minorHAnsi"/>
        </w:rPr>
        <w:fldChar w:fldCharType="begin" w:fldLock="1"/>
      </w:r>
      <w:r w:rsidR="008A48C6">
        <w:rPr>
          <w:rFonts w:cstheme="minorHAnsi"/>
        </w:rPr>
        <w:instrText>ADDIN CSL_CITATION {"citationItems":[{"id":"ITEM-1","itemData":{"DOI":"10.1111/sed.12419","ISSN":"13653091","abstract":"In a modern peritidal microbial mat from Qatar, both biomediated carbonates and Mg-rich clay minerals (palygorskite) were identified. The mat, ca 5 cm thick, shows a clear lamination reflecting different microbial communities. The initial precipitates within the top millimetres of the mat are composed of Ca–Mg–Si–Al–S amorphous nanoparticles (few tens of nanometres) that replace the ultrastructure of extracellular polymeric substances. The extracellular polymeric substances are enriched in the same cations and act as a substrate for mineral nucleation. Successively, crystallites of palygorskite fibres associated with carbonate nanocrystals develop, commonly surrounding bacterial bodies. Micron-sized crystals of low-Mg calcite are the most common precipitates, together with subordinate aragonite, very high-Mg calcite/dolomite and ankerite. Pyrite nanocrystals and framboids are present in the deeper layers of the mat. Calcite crystallites form conical structures, circular to triangular/hexagonal in cross-section, evolving to crystals with rhombohedral terminations; some crystallite bundles develop into dumb-bell and stellate forms. Spheroidal organo-mineral structures are also common within the mat. Nanospheres, a few tens of nanometres in diameter, occur attached to coccoid bacteria and within their cells; these are interpreted as permineralized viruses and could be significant as nuclei for crystallite-crystal precipitation. Microspheres, 1 to 10 μm in diameter, result from intracellular permineralization within bacteria or the mineralization of the bacteria themselves. Carbonates and clay minerals are commonly aggregated to form peloids, tens of microns in size, surrounded by residual organic matter. Magnesium silicate and carbonate precipitation are likely to have been driven by pH – saturation index – redox changes within the mat, related to microenvironmental chemical changes induced by the microbes – extracellular polymeric substances – viruses and their degradation.","author":[{"dropping-particle":"","family":"Perri","given":"Edoardo","non-dropping-particle":"","parse-names":false,"suffix":""},{"dropping-particle":"","family":"Tucker","given":"Maurice E.","non-dropping-particle":"","parse-names":false,"suffix":""},{"dropping-particle":"","family":"Słowakiewicz","given":"Mirosław","non-dropping-particle":"","parse-names":false,"suffix":""},{"dropping-particle":"","family":"Whitaker","given":"Fiona","non-dropping-particle":"","parse-names":false,"suffix":""},{"dropping-particle":"","family":"Bowen","given":"Leon","non-dropping-particle":"","parse-names":false,"suffix":""},{"dropping-particle":"","family":"Perrotta","given":"Ida D.","non-dropping-particle":"","parse-names":false,"suffix":""}],"container-title":"Sedimentology","id":"ITEM-1","issue":"4","issued":{"date-parts":[["2018"]]},"page":"1213-1245","title":"Carbonate and silicate biomineralization in a hypersaline microbial mat (Mesaieed sabkha, Qatar): Roles of bacteria, extracellular polymeric substances and viruses","type":"article-journal","volume":"65"},"uris":["http://www.mendeley.com/documents/?uuid=8c9a25ab-583e-446d-9c46-e4c7158760dd"]}],"mendeley":{"formattedCitation":"(Perri et al., 2018)","plainTextFormattedCitation":"(Perri et al., 2018)","previouslyFormattedCitation":"(Perri et al., 2018)"},"properties":{"noteIndex":0},"schema":"https://github.com/citation-style-language/schema/raw/master/csl-citation.json"}</w:instrText>
      </w:r>
      <w:r w:rsidRPr="008726D7">
        <w:rPr>
          <w:rFonts w:cstheme="minorHAnsi"/>
        </w:rPr>
        <w:fldChar w:fldCharType="separate"/>
      </w:r>
      <w:r w:rsidR="008A48C6" w:rsidRPr="008A48C6">
        <w:rPr>
          <w:rFonts w:cstheme="minorHAnsi"/>
          <w:noProof/>
        </w:rPr>
        <w:t>(Perri et al., 2018)</w:t>
      </w:r>
      <w:r w:rsidRPr="008726D7">
        <w:rPr>
          <w:rFonts w:cstheme="minorHAnsi"/>
        </w:rPr>
        <w:fldChar w:fldCharType="end"/>
      </w:r>
      <w:r w:rsidRPr="008726D7">
        <w:rPr>
          <w:rFonts w:cstheme="minorHAnsi"/>
        </w:rPr>
        <w:t xml:space="preserve"> and temperatures (regularly exceeding 50°C) </w:t>
      </w:r>
      <w:r w:rsidRPr="008726D7">
        <w:rPr>
          <w:rFonts w:cstheme="minorHAnsi"/>
        </w:rPr>
        <w:fldChar w:fldCharType="begin" w:fldLock="1"/>
      </w:r>
      <w:r w:rsidR="008A48C6">
        <w:rPr>
          <w:rFonts w:cstheme="minorHAnsi"/>
        </w:rPr>
        <w:instrText>ADDIN CSL_CITATION {"citationItems":[{"id":"ITEM-1","itemData":{"DOI":"10.1007/s11069-016-2576-6","ISSN":"15730840","abstract":"In this paper, we investigate the spatial and temporal distributions of rainfall in Qatar, which falls in the arid region of the middle-east. We use rainfall data from 29 rain gauges covering the period of 1962–2010. Fifteen different rainfall indices are used in the assessment. A combination of Mann–Kendall and Spearman’s Rho tests is adopted to identify trends in the rainfall data. The average annual rainfall values are found to be in the range of 55.5–99 mm. A sharp gradient in average annual rainfall is noticed, with north having much higher values than the south. A mixed trend, both increasing (upward) and decreasing (downward) for most of the rainfall indices, is identified. Annual total and maximum daily rainfalls show mixed trends, while rainy days show an increasing trend. For the rainy seasons, the total rainfall during the months of December–January–February shows an increasing trend and March–April rainfall shows a decreasing trend, reflecting that seasonal rainfall in Qatar is changing. The findings of this study provide important insights into the nature of rainfall variability in Qatar, which will be useful in water resources planning tasks in Qatar and nearby countries.","author":[{"dropping-particle":"Al","family":"Mamoon","given":"Abdullah","non-dropping-particle":"","parse-names":false,"suffix":""},{"dropping-particle":"","family":"Rahman","given":"Ataur","non-dropping-particle":"","parse-names":false,"suffix":""}],"container-title":"Natural Hazards","id":"ITEM-1","issue":"1","issued":{"date-parts":[["2017"]]},"page":"453-470","title":"Rainfall in Qatar: Is it changing?","type":"article-journal","volume":"85"},"uris":["http://www.mendeley.com/documents/?uuid=aab8643f-3916-401c-aab4-94af19a8787f"]}],"mendeley":{"formattedCitation":"(Mamoon and Rahman, 2017)","plainTextFormattedCitation":"(Mamoon and Rahman, 2017)","previouslyFormattedCitation":"(Mamoon and Rahman, 2017)"},"properties":{"noteIndex":0},"schema":"https://github.com/citation-style-language/schema/raw/master/csl-citation.json"}</w:instrText>
      </w:r>
      <w:r w:rsidRPr="008726D7">
        <w:rPr>
          <w:rFonts w:cstheme="minorHAnsi"/>
        </w:rPr>
        <w:fldChar w:fldCharType="separate"/>
      </w:r>
      <w:r w:rsidR="008A48C6" w:rsidRPr="008A48C6">
        <w:rPr>
          <w:rFonts w:cstheme="minorHAnsi"/>
          <w:noProof/>
        </w:rPr>
        <w:t>(Mamoon and Rahman, 2017)</w:t>
      </w:r>
      <w:r w:rsidRPr="008726D7">
        <w:rPr>
          <w:rFonts w:cstheme="minorHAnsi"/>
        </w:rPr>
        <w:fldChar w:fldCharType="end"/>
      </w:r>
      <w:r w:rsidRPr="008726D7">
        <w:rPr>
          <w:rFonts w:cstheme="minorHAnsi"/>
        </w:rPr>
        <w:t xml:space="preserve"> experienced in Qatar during the summer may be depressing apical tip growth. In the Arabian Gulf, significantly greater air temperatures and evapotranspiration rates in summer than in winter are also likely to increase mangrove porewater salinity, which depresses mangrove productivity and biomass </w:t>
      </w:r>
      <w:r w:rsidRPr="008726D7">
        <w:rPr>
          <w:rFonts w:cstheme="minorHAnsi"/>
        </w:rPr>
        <w:fldChar w:fldCharType="begin" w:fldLock="1"/>
      </w:r>
      <w:r w:rsidR="008A48C6">
        <w:rPr>
          <w:rFonts w:cstheme="minorHAnsi"/>
        </w:rPr>
        <w:instrText>ADDIN CSL_CITATION {"citationItems":[{"id":"ITEM-1","itemData":{"DOI":"10.1007/s10021-002-0191-8","ISBN":"1432-9840","ISSN":"14329840","abstract":"The objective of this study was to quantify spatial patterns in above- and belowground biomass, primary productivity, and growth efficiency along a tidal gradient in a 4700-ha mangrove forest in the Dominican Republic. We tested the hypothesis that spatial patterns of forest structure and growth following 50 years of development were associated with variations in the soil environment across the tidal gradient. Twenty-three plots were monitored from 1994 to 1998. Aboveground biomass and biomass accumulation were estimated by applying allometric regression equations derived from dimension analysis of trees harvested at our study site. Soil porewater salinity ranged from 5 to 38 g . kg(-1) across the tidal gradient, and most measurements of forest biomass and productivity were inversely related to salinity. Mean standing biomass (233 +/- 16.0 Mg . ha(-1); range, 123.5-383.5), biomass increment (9.7 +/- 1.0 Mg . ha(-1) y(-1); range, 3.7-18.1), annual litterfall rates (11.4 Mg . ha(-1) yr(-1); range, 10.2-12.8), leaf area index (LAI) (4.4 m(2) . m(-2); range, 2.9-5.6), aboveground net primary productivity (ANPP) (19.7 Mg . ha(-1) y(-1); range, 15.6-25.0), and growth efficiency (1.6 +/- 0.2 kg . ha(-1) y(-1); range, 1.0-3.6) all showed an inverse linear relationship with salinity. Fine-root biomass (less than or equal to 2 mm) (9.7 +/- 1.2 Mg . ha(-1); range, 2.7-13.8) showed a weak tendency to increase with salinity, and the ratio of root to aboveground biomass increased strongly with salinity. Our results suggest that physiological stresses associated with salinity, or with some combination of salinity and other covarying soil factors, control forest structure and growth along the tidal gradient. The higher allocation of carbon to belowground resources in more saline sites apparently contributed to reductions in ANPP along the tidal gradient.","author":[{"dropping-particle":"","family":"Sherman","given":"Ruth E.","non-dropping-particle":"","parse-names":false,"suffix":""},{"dropping-particle":"","family":"Fahey","given":"Timothy J.","non-dropping-particle":"","parse-names":false,"suffix":""},{"dropping-particle":"","family":"Martinez","given":"Pedro","non-dropping-particle":"","parse-names":false,"suffix":""}],"container-title":"Ecosystems","id":"ITEM-1","issue":"4","issued":{"date-parts":[["2003"]]},"page":"384-398","title":"Spatial Patterns of Biomass and Aboveground Net Primary Productivity in a Mangrove Ecosystem in the Dominican Republic","type":"article-journal","volume":"6"},"uris":["http://www.mendeley.com/documents/?uuid=f02db92d-3381-445b-b85c-d65205a65215"]}],"mendeley":{"formattedCitation":"(Sherman et al., 2003)","plainTextFormattedCitation":"(Sherman et al., 2003)","previouslyFormattedCitation":"(Sherman et al., 2003)"},"properties":{"noteIndex":0},"schema":"https://github.com/citation-style-language/schema/raw/master/csl-citation.json"}</w:instrText>
      </w:r>
      <w:r w:rsidRPr="008726D7">
        <w:rPr>
          <w:rFonts w:cstheme="minorHAnsi"/>
        </w:rPr>
        <w:fldChar w:fldCharType="separate"/>
      </w:r>
      <w:r w:rsidR="008A48C6" w:rsidRPr="008A48C6">
        <w:rPr>
          <w:rFonts w:cstheme="minorHAnsi"/>
          <w:noProof/>
        </w:rPr>
        <w:t>(Sherman et al., 2003)</w:t>
      </w:r>
      <w:r w:rsidRPr="008726D7">
        <w:rPr>
          <w:rFonts w:cstheme="minorHAnsi"/>
        </w:rPr>
        <w:fldChar w:fldCharType="end"/>
      </w:r>
      <w:r w:rsidRPr="008726D7">
        <w:rPr>
          <w:rFonts w:cstheme="minorHAnsi"/>
        </w:rPr>
        <w:t>.</w:t>
      </w:r>
    </w:p>
    <w:p w14:paraId="41FE9E1E" w14:textId="77777777" w:rsidR="0002342A" w:rsidRPr="008726D7" w:rsidRDefault="0002342A" w:rsidP="0002342A">
      <w:pPr>
        <w:spacing w:line="480" w:lineRule="auto"/>
        <w:rPr>
          <w:rFonts w:cstheme="minorHAnsi"/>
        </w:rPr>
      </w:pPr>
    </w:p>
    <w:p w14:paraId="6004BA3D" w14:textId="18CF2D56" w:rsidR="0002342A" w:rsidRPr="008726D7" w:rsidRDefault="0002342A" w:rsidP="0002342A">
      <w:pPr>
        <w:spacing w:line="480" w:lineRule="auto"/>
        <w:rPr>
          <w:rFonts w:cstheme="minorHAnsi"/>
        </w:rPr>
      </w:pPr>
      <w:r w:rsidRPr="008726D7">
        <w:rPr>
          <w:rFonts w:cstheme="minorHAnsi"/>
        </w:rPr>
        <w:t>Mean soil respiration rates in Qatari mangroves (0.12 ± 0.06 CO</w:t>
      </w:r>
      <w:r w:rsidRPr="008726D7">
        <w:rPr>
          <w:rFonts w:cstheme="minorHAnsi"/>
          <w:vertAlign w:val="subscript"/>
        </w:rPr>
        <w:t>2</w:t>
      </w:r>
      <w:r w:rsidRPr="008726D7">
        <w:rPr>
          <w:rFonts w:cstheme="minorHAnsi"/>
        </w:rPr>
        <w:t xml:space="preserve"> mmol m</w:t>
      </w:r>
      <w:r w:rsidRPr="008726D7">
        <w:rPr>
          <w:rFonts w:cstheme="minorHAnsi"/>
          <w:vertAlign w:val="superscript"/>
        </w:rPr>
        <w:t>2</w:t>
      </w:r>
      <w:r w:rsidRPr="008726D7">
        <w:rPr>
          <w:rFonts w:cstheme="minorHAnsi"/>
        </w:rPr>
        <w:t xml:space="preserve"> h</w:t>
      </w:r>
      <w:r w:rsidRPr="008726D7">
        <w:rPr>
          <w:rFonts w:cstheme="minorHAnsi"/>
          <w:vertAlign w:val="superscript"/>
        </w:rPr>
        <w:t>-1</w:t>
      </w:r>
      <w:r w:rsidRPr="008726D7">
        <w:rPr>
          <w:rFonts w:cstheme="minorHAnsi"/>
        </w:rPr>
        <w:t>) were at the low end of estimates from other biogeographical regions, where estimates range from 0.15 mmol CO</w:t>
      </w:r>
      <w:r w:rsidRPr="008726D7">
        <w:rPr>
          <w:rFonts w:cstheme="minorHAnsi"/>
          <w:vertAlign w:val="subscript"/>
        </w:rPr>
        <w:t>2</w:t>
      </w:r>
      <w:r w:rsidRPr="008726D7">
        <w:rPr>
          <w:rFonts w:cstheme="minorHAnsi"/>
        </w:rPr>
        <w:t xml:space="preserve"> m</w:t>
      </w:r>
      <w:r w:rsidRPr="008726D7">
        <w:rPr>
          <w:rFonts w:cstheme="minorHAnsi"/>
          <w:vertAlign w:val="superscript"/>
        </w:rPr>
        <w:t>2</w:t>
      </w:r>
      <w:r w:rsidRPr="008726D7">
        <w:rPr>
          <w:rFonts w:cstheme="minorHAnsi"/>
        </w:rPr>
        <w:t xml:space="preserve"> h</w:t>
      </w:r>
      <w:r w:rsidRPr="008726D7">
        <w:rPr>
          <w:rFonts w:cstheme="minorHAnsi"/>
          <w:vertAlign w:val="superscript"/>
        </w:rPr>
        <w:t xml:space="preserve">-1 </w:t>
      </w:r>
      <w:r w:rsidRPr="008726D7">
        <w:rPr>
          <w:rFonts w:cstheme="minorHAnsi"/>
        </w:rPr>
        <w:t xml:space="preserve">in a tropical to semi-arid lagoon </w:t>
      </w:r>
      <w:r w:rsidRPr="008726D7">
        <w:rPr>
          <w:rFonts w:cstheme="minorHAnsi"/>
        </w:rPr>
        <w:fldChar w:fldCharType="begin" w:fldLock="1"/>
      </w:r>
      <w:r w:rsidR="008A48C6">
        <w:rPr>
          <w:rFonts w:cstheme="minorHAnsi"/>
        </w:rPr>
        <w:instrText>ADDIN CSL_CITATION {"citationItems":[{"id":"ITEM-1","itemData":{"DOI":"10.1016/j.geoderma.2013.03.008","ISSN":"00167061","abstract":"Mangroves are the major ecosystems of tropical and subtropical coastlines. They are considered as a sink for atmospheric CO2 because they are characterized both by high net primary production, and by low rates of organic matter decomposition. However, a recent reassessment of the global mangrove budget suggests that organic carbon sinks have been underestimated, notably CO2 efflux from sediments and creek waters, and tidal export of dissolved inorganic carbon. Our objective was to understand the influence of mangrove zonation on the magnitude of CO2 fluxes at the sediment-air interface. Transparent and opaque dynamic closed chamber systems, coupled with an infra-red gas analyzer were used to measure CO2 fluxes. In addition, the physico-chemical properties (salinity, redox potential) of pore waters were determined, as well as the carbon content and the origin of surface sediments (Chlorophyll-a and δ13C). Depending on the type of measurement (in the dark with or without biofilm, in the light with biofilm) and mangrove stand (saltflat, Avicennia sp., or Rhizophora spp.), mean surface sediment CO2 fluxes ranged between 40±56 and 199±95mmol.m-2.d-1. We suggest that these differences mainly result both from the organic content and the redox conditions of the sediments, which are influenced by the physiological activities of the root system, and by the position and the elevation of the stand in the intertidal zone. In addition, the quality and abundance of biofilm, which also vary with the mangrove stand, also appear to strongly affect sediment CO2 fluxes as a result of chemical (metabolism) and also physical (barrier) processes. © 2013 Elsevier B.V.","author":[{"dropping-particle":"","family":"Leopold","given":"A.","non-dropping-particle":"","parse-names":false,"suffix":""},{"dropping-particle":"","family":"Marchand","given":"C.","non-dropping-particle":"","parse-names":false,"suffix":""},{"dropping-particle":"","family":"Deborde","given":"J.","non-dropping-particle":"","parse-names":false,"suffix":""},{"dropping-particle":"","family":"Chaduteau","given":"C.","non-dropping-particle":"","parse-names":false,"suffix":""},{"dropping-particle":"","family":"Allenbach","given":"M.","non-dropping-particle":"","parse-names":false,"suffix":""}],"container-title":"Geoderma","id":"ITEM-1","issued":{"date-parts":[["2013"]]},"page":"62-70","title":"Influence of mangrove zonation on CO2 fluxes at the sediment-air interface (New Caledonia)","type":"article-journal","volume":"202-203"},"uris":["http://www.mendeley.com/documents/?uuid=0e3fc19d-f053-46f2-94b7-f2ee1939f43e"]}],"mendeley":{"formattedCitation":"(Leopold et al., 2013)","plainTextFormattedCitation":"(Leopold et al., 2013)","previouslyFormattedCitation":"(Leopold et al., 2013)"},"properties":{"noteIndex":0},"schema":"https://github.com/citation-style-language/schema/raw/master/csl-citation.json"}</w:instrText>
      </w:r>
      <w:r w:rsidRPr="008726D7">
        <w:rPr>
          <w:rFonts w:cstheme="minorHAnsi"/>
        </w:rPr>
        <w:fldChar w:fldCharType="separate"/>
      </w:r>
      <w:r w:rsidR="008A48C6" w:rsidRPr="008A48C6">
        <w:rPr>
          <w:rFonts w:cstheme="minorHAnsi"/>
          <w:noProof/>
        </w:rPr>
        <w:t>(Leopold et al., 2013)</w:t>
      </w:r>
      <w:r w:rsidRPr="008726D7">
        <w:rPr>
          <w:rFonts w:cstheme="minorHAnsi"/>
        </w:rPr>
        <w:fldChar w:fldCharType="end"/>
      </w:r>
      <w:r w:rsidRPr="008726D7">
        <w:rPr>
          <w:rFonts w:cstheme="minorHAnsi"/>
        </w:rPr>
        <w:t xml:space="preserve"> to 10.35 mmol CO</w:t>
      </w:r>
      <w:r w:rsidRPr="008726D7">
        <w:rPr>
          <w:rFonts w:cstheme="minorHAnsi"/>
          <w:vertAlign w:val="subscript"/>
        </w:rPr>
        <w:t>2</w:t>
      </w:r>
      <w:r w:rsidRPr="008726D7">
        <w:rPr>
          <w:rFonts w:cstheme="minorHAnsi"/>
        </w:rPr>
        <w:t xml:space="preserve"> m</w:t>
      </w:r>
      <w:r w:rsidRPr="008726D7">
        <w:rPr>
          <w:rFonts w:cstheme="minorHAnsi"/>
          <w:vertAlign w:val="superscript"/>
        </w:rPr>
        <w:t>2</w:t>
      </w:r>
      <w:r w:rsidRPr="008726D7">
        <w:rPr>
          <w:rFonts w:cstheme="minorHAnsi"/>
        </w:rPr>
        <w:t xml:space="preserve"> h</w:t>
      </w:r>
      <w:r w:rsidRPr="008726D7">
        <w:rPr>
          <w:rFonts w:cstheme="minorHAnsi"/>
          <w:vertAlign w:val="superscript"/>
        </w:rPr>
        <w:t xml:space="preserve">-1 </w:t>
      </w:r>
      <w:r w:rsidRPr="008726D7">
        <w:rPr>
          <w:rFonts w:cstheme="minorHAnsi"/>
        </w:rPr>
        <w:t xml:space="preserve">in a subtropical estuary </w:t>
      </w:r>
      <w:r w:rsidRPr="008726D7">
        <w:rPr>
          <w:rFonts w:cstheme="minorHAnsi"/>
          <w:vertAlign w:val="superscript"/>
        </w:rPr>
        <w:fldChar w:fldCharType="begin" w:fldLock="1"/>
      </w:r>
      <w:r w:rsidR="008A48C6">
        <w:rPr>
          <w:rFonts w:cstheme="minorHAnsi"/>
          <w:vertAlign w:val="superscript"/>
        </w:rPr>
        <w:instrText>ADDIN CSL_CITATION {"citationItems":[{"id":"ITEM-1","itemData":{"DOI":"10.1016/j.scitotenv.2016.10.218","ISSN":"18791026","PMID":"27836338","abstract":"Mangroves are blue carbon ecosystems that sequester significant carbon but release CO2, and to a lesser extent CH4 from the sediment through oxidation of organic carbon or from overlying water when flooded. Previous studies, e.g. Leopold et al. (2015), have investigated sediment organic carbon (SOC) content and CO2 flux separately, but could not provide a holistic perspective for both components of blue carbon. Based on field data from a mangrove in southeast Queensland, Australia, we used a structural equation model to elucidate (1) the biotic and abiotic drivers of surface SOC (10 cm) and sediment CO2 flux; (2) the effect of SOC on sediment CO2 flux; and (3) the covariation among the environmental drivers assessed. Sediment water content, the percentage of fine-grained sediment (&lt; 63 μm), surface sediment chlorophyll and light condition collectively drive sediment CO2 flux, explaining 41% of their variation. Sediment water content, the percentage of fine sediment, season, landform setting, mangrove species, sediment salinity and chlorophyll collectively drive surface SOC, explaining 93% of its variance. Sediment water content and the percentage of fine sediment have a negative impact on sediment CO2 flux but a positive effect on surface SOC content, while sediment chlorophyll is a positive driver of both. Surface SOC was significantly higher in Avicennia marina (2994 ± 186 g m− 2, mean ± SD) than in Rhizophora stylosa (2383 ± 209 g m− 2). SOC was significantly higher in winter (2771 ± 192 g m− 2) than in summer (2599 ± 211 g m− 2). SOC significantly increased from creek-side (865 ± 89 g m− 2) through mid (3298 ± 137 g m− 2) to landward (3933 ± 138 g m− 2) locations. Sediment salinity was a positive driver of SOC. Sediment CO2 flux without the influence of biogenic structures (crab burrows, aerial roots) averaged 15.4 mmol m− 2 d− 1 in A. marina stands under dark conditions, lower than the global average dark flux (61 mmol m− 2 d− 1) for mangroves.","author":[{"dropping-particle":"","family":"Ouyang","given":"Xiaoguang","non-dropping-particle":"","parse-names":false,"suffix":""},{"dropping-particle":"","family":"Lee","given":"Shing Yip","non-dropping-particle":"","parse-names":false,"suffix":""},{"dropping-particle":"","family":"Connolly","given":"Rod M.","non-dropping-particle":"","parse-names":false,"suffix":""}],"container-title":"Science of the Total Environment","id":"ITEM-1","issued":{"date-parts":[["2017"]]},"page":"513-522","title":"Structural equation modelling reveals factors regulating surface sediment organic carbon content and CO2 efflux in a subtropical mangrove","type":"article-journal","volume":"578"},"uris":["http://www.mendeley.com/documents/?uuid=e8bf8e83-19da-4713-b00a-821e5f597197"]}],"mendeley":{"formattedCitation":"(Ouyang et al., 2017)","plainTextFormattedCitation":"(Ouyang et al., 2017)","previouslyFormattedCitation":"(Ouyang et al., 2017)"},"properties":{"noteIndex":0},"schema":"https://github.com/citation-style-language/schema/raw/master/csl-citation.json"}</w:instrText>
      </w:r>
      <w:r w:rsidRPr="008726D7">
        <w:rPr>
          <w:rFonts w:cstheme="minorHAnsi"/>
          <w:vertAlign w:val="superscript"/>
        </w:rPr>
        <w:fldChar w:fldCharType="separate"/>
      </w:r>
      <w:r w:rsidR="008A48C6" w:rsidRPr="008A48C6">
        <w:rPr>
          <w:rFonts w:cstheme="minorHAnsi"/>
          <w:noProof/>
        </w:rPr>
        <w:t>(Ouyang et al., 2017)</w:t>
      </w:r>
      <w:r w:rsidRPr="008726D7">
        <w:rPr>
          <w:rFonts w:cstheme="minorHAnsi"/>
          <w:vertAlign w:val="superscript"/>
        </w:rPr>
        <w:fldChar w:fldCharType="end"/>
      </w:r>
      <w:r w:rsidRPr="008726D7">
        <w:rPr>
          <w:rFonts w:cstheme="minorHAnsi"/>
        </w:rPr>
        <w:t>. Mangrove benthic community respiration rates vary considerably around the world and the majority of mangrove soils are thought to be a source of CO</w:t>
      </w:r>
      <w:r w:rsidRPr="008726D7">
        <w:rPr>
          <w:rFonts w:cstheme="minorHAnsi"/>
          <w:vertAlign w:val="subscript"/>
        </w:rPr>
        <w:t xml:space="preserve">2 </w:t>
      </w:r>
      <w:r w:rsidRPr="008726D7">
        <w:rPr>
          <w:rFonts w:cstheme="minorHAnsi"/>
          <w:vertAlign w:val="subscript"/>
        </w:rPr>
        <w:fldChar w:fldCharType="begin" w:fldLock="1"/>
      </w:r>
      <w:r w:rsidR="008A48C6">
        <w:rPr>
          <w:rFonts w:cstheme="minorHAnsi"/>
          <w:vertAlign w:val="subscript"/>
        </w:rPr>
        <w:instrText>ADDIN CSL_CITATION {"citationItems":[{"id":"ITEM-1","itemData":{"DOI":"10.1029/2007GB003052","ISBN":"0886-6236","ISSN":"08866236","PMID":"208059789","abstract":"Mangrove forests are highly productive but globally threatened coastal ecosystems, whose role in the carbon budget of the coastal zone has long been debated. Here we provide a comprehensive synthesis of the available data on carbon fluxes in mangrove ecosystems. A reassessment of global mangrove primary production from the literature results in a conservative estimate of similar to 218 +/- 72 Tg C a(-1). When using the best available estimates of various carbon sinks (organic carbon export, sediment burial, and mineralization), it appears that &gt; 50% of the carbon fixed by mangrove vegetation is unaccounted for. This unaccounted carbon sink is conservatively estimated at similar to 112 +/- 85 Tg C a(-1), equivalent in magnitude to similar to 30-40% of the global riverine organic carbon input to the coastal zone. Our analysis suggests that mineralization is severely underestimated, and that the majority of carbon export from mangroves to adjacent waters occurs as dissolved inorganic carbon (DIC). CO(2) efflux from sediments and creek waters and tidal export of DIC appear to be the major sinks. These processes are quantitatively comparable in magnitude to the unaccounted carbon sink in current budgets, but are not yet adequately constrained with the limited published data available so far.","author":[{"dropping-particle":"","family":"Bouillon","given":"Steven","non-dropping-particle":"","parse-names":false,"suffix":""},{"dropping-particle":"V.","family":"Borges","given":"Alberto","non-dropping-particle":"","parse-names":false,"suffix":""},{"dropping-particle":"","family":"Castañeda-Moya","given":"Edward","non-dropping-particle":"","parse-names":false,"suffix":""},{"dropping-particle":"","family":"Diele","given":"Karen","non-dropping-particle":"","parse-names":false,"suffix":""},{"dropping-particle":"","family":"Dittmar","given":"Thorsten","non-dropping-particle":"","parse-names":false,"suffix":""},{"dropping-particle":"","family":"Duke","given":"Norman C.","non-dropping-particle":"","parse-names":false,"suffix":""},{"dropping-particle":"","family":"Kristensen","given":"Erik","non-dropping-particle":"","parse-names":false,"suffix":""},{"dropping-particle":"","family":"Lee","given":"Shing Y.","non-dropping-particle":"","parse-names":false,"suffix":""},{"dropping-particle":"","family":"Marchand","given":"Cyril","non-dropping-particle":"","parse-names":false,"suffix":""},{"dropping-particle":"","family":"Middelburg","given":"Jack J.","non-dropping-particle":"","parse-names":false,"suffix":""},{"dropping-particle":"","family":"Rivera-Monroy","given":"Victor H.","non-dropping-particle":"","parse-names":false,"suffix":""},{"dropping-particle":"","family":"Smith","given":"Thomas J.","non-dropping-particle":"","parse-names":false,"suffix":""},{"dropping-particle":"","family":"Twilley","given":"Robert R.","non-dropping-particle":"","parse-names":false,"suffix":""}],"container-title":"Global Biogeochemical Cycles","id":"ITEM-1","issue":"2","issued":{"date-parts":[["2008","6","9"]]},"title":"Mangrove production and carbon sinks: A revision of global budget estimates","type":"article-journal","volume":"22"},"uris":["http://www.mendeley.com/documents/?uuid=4c6861df-7364-4b1c-b518-f90c03ee1c54"]}],"mendeley":{"formattedCitation":"(Bouillon et al., 2008)","plainTextFormattedCitation":"(Bouillon et al., 2008)","previouslyFormattedCitation":"(Bouillon et al., 2008)"},"properties":{"noteIndex":0},"schema":"https://github.com/citation-style-language/schema/raw/master/csl-citation.json"}</w:instrText>
      </w:r>
      <w:r w:rsidRPr="008726D7">
        <w:rPr>
          <w:rFonts w:cstheme="minorHAnsi"/>
          <w:vertAlign w:val="subscript"/>
        </w:rPr>
        <w:fldChar w:fldCharType="separate"/>
      </w:r>
      <w:r w:rsidR="008A48C6" w:rsidRPr="008A48C6">
        <w:rPr>
          <w:rFonts w:cstheme="minorHAnsi"/>
          <w:noProof/>
        </w:rPr>
        <w:t>(Bouillon et al., 2008)</w:t>
      </w:r>
      <w:r w:rsidRPr="008726D7">
        <w:rPr>
          <w:rFonts w:cstheme="minorHAnsi"/>
          <w:vertAlign w:val="subscript"/>
        </w:rPr>
        <w:fldChar w:fldCharType="end"/>
      </w:r>
      <w:r w:rsidRPr="008726D7">
        <w:rPr>
          <w:rFonts w:cstheme="minorHAnsi"/>
        </w:rPr>
        <w:t>. However, similarly to other subtropical mangroves, Qatari mangroves’ soil uptake of CO</w:t>
      </w:r>
      <w:r w:rsidRPr="008726D7">
        <w:rPr>
          <w:rFonts w:cstheme="minorHAnsi"/>
          <w:vertAlign w:val="subscript"/>
        </w:rPr>
        <w:t>2</w:t>
      </w:r>
      <w:r w:rsidRPr="008726D7">
        <w:rPr>
          <w:rFonts w:cstheme="minorHAnsi"/>
        </w:rPr>
        <w:t xml:space="preserve"> in colder periods partially offset flux from hot periods </w:t>
      </w:r>
      <w:r w:rsidRPr="008726D7">
        <w:rPr>
          <w:rFonts w:cstheme="minorHAnsi"/>
        </w:rPr>
        <w:fldChar w:fldCharType="begin" w:fldLock="1"/>
      </w:r>
      <w:r w:rsidR="008A48C6">
        <w:rPr>
          <w:rFonts w:cstheme="minorHAnsi"/>
        </w:rPr>
        <w:instrText>ADDIN CSL_CITATION {"citationItems":[{"id":"ITEM-1","itemData":{"DOI":"10.1002/lno.11116","ISSN":"19395590","abstract":"Our study examined the relationship of microphytobenthos to greenhouse gas fluxes from sediments of a subtropical mangrove forest and adjacent mudflat in the Jiulong River Estuary, South China. The relationship between chlorophyll a concentration at the sediment surface and diatom density confirmed that these microalgae were the important component of the microphytobenthos, which produced an observable biofilm in cold seasons (winter and spring) on both the mangrove and mudflat sediment surfaces. Fluxes of methane and nitrous oxide were not affected by the microalgae film and were similar between the mangrove and mudflat. However, benthic microalgae affected the sediment to atmosphere carbon dioxide (CO2) flux, and the effect was temporally variable with the seasonal change in microalgae abundance. In the cold seasons, the mangrove sediment was a CO2 sink under light chambers but a source under dark chambers. In summer, when there was no visible microalgae film at the sediment surface, the intertidal sediments had CO2 emissions and comparable fluxes between the two chambers. The negative daily CO2 fluxes of the film-covered sediment (as the average of the dark and light fluxes) and positive flux of the sediment without visible biofilm indicated that the occurrence of microalgae film converted the mangrove sediment from a CO2 source to a sink and that the photosynthesis of the microalgae film offset the sediment respiration during the cold seasons in this study. We also found similar effects of microalgae on CO2 fluxes on the nonvegetated mudflat.","author":[{"dropping-particle":"","family":"Chen","given":"Shunyang","non-dropping-particle":"","parse-names":false,"suffix":""},{"dropping-particle":"","family":"Chmura","given":"Gail L.","non-dropping-particle":"","parse-names":false,"suffix":""},{"dropping-particle":"","family":"Wang","given":"Yu","non-dropping-particle":"","parse-names":false,"suffix":""},{"dropping-particle":"","family":"Yu","given":"Dan","non-dropping-particle":"","parse-names":false,"suffix":""},{"dropping-particle":"","family":"Ou","given":"Danyun","non-dropping-particle":"","parse-names":false,"suffix":""},{"dropping-particle":"","family":"Chen","given":"Bin","non-dropping-particle":"","parse-names":false,"suffix":""},{"dropping-particle":"","family":"Ye","given":"Yong","non-dropping-particle":"","parse-names":false,"suffix":""},{"dropping-particle":"","family":"Chen","given":"Guangcheng","non-dropping-particle":"","parse-names":false,"suffix":""}],"container-title":"Limnology and Oceanography","id":"ITEM-1","issue":"3","issued":{"date-parts":[["2019"]]},"page":"1297-1308","title":"Benthic microalgae offset the sediment carbon dioxide emission in subtropical mangrove in cold seasons","type":"article-journal","volume":"64"},"uris":["http://www.mendeley.com/documents/?uuid=74a5c921-884d-42e7-8b8b-b92539502945"]}],"mendeley":{"formattedCitation":"(Chen et al., 2019)","plainTextFormattedCitation":"(Chen et al., 2019)","previouslyFormattedCitation":"(Chen et al., 2019)"},"properties":{"noteIndex":0},"schema":"https://github.com/citation-style-language/schema/raw/master/csl-citation.json"}</w:instrText>
      </w:r>
      <w:r w:rsidRPr="008726D7">
        <w:rPr>
          <w:rFonts w:cstheme="minorHAnsi"/>
        </w:rPr>
        <w:fldChar w:fldCharType="separate"/>
      </w:r>
      <w:r w:rsidR="008A48C6" w:rsidRPr="008A48C6">
        <w:rPr>
          <w:rFonts w:cstheme="minorHAnsi"/>
          <w:noProof/>
        </w:rPr>
        <w:t>(Chen et al., 2019)</w:t>
      </w:r>
      <w:r w:rsidRPr="008726D7">
        <w:rPr>
          <w:rFonts w:cstheme="minorHAnsi"/>
        </w:rPr>
        <w:fldChar w:fldCharType="end"/>
      </w:r>
      <w:r w:rsidRPr="008726D7">
        <w:rPr>
          <w:rFonts w:cstheme="minorHAnsi"/>
        </w:rPr>
        <w:t>. This is in contrast to tropical mangroves, where soils are a source of CO</w:t>
      </w:r>
      <w:r w:rsidRPr="008726D7">
        <w:rPr>
          <w:rFonts w:cstheme="minorHAnsi"/>
          <w:vertAlign w:val="subscript"/>
        </w:rPr>
        <w:t>2</w:t>
      </w:r>
      <w:r w:rsidRPr="008726D7">
        <w:rPr>
          <w:rFonts w:cstheme="minorHAnsi"/>
        </w:rPr>
        <w:t xml:space="preserve"> and seasonal changes in climatic conditions are not significant enough for soils to become a sink </w:t>
      </w:r>
      <w:r w:rsidRPr="008726D7">
        <w:rPr>
          <w:rFonts w:cstheme="minorHAnsi"/>
        </w:rPr>
        <w:fldChar w:fldCharType="begin" w:fldLock="1"/>
      </w:r>
      <w:r w:rsidR="008A48C6">
        <w:rPr>
          <w:rFonts w:cstheme="minorHAnsi"/>
        </w:rPr>
        <w:instrText>ADDIN CSL_CITATION {"citationItems":[{"id":"ITEM-1","itemData":{"DOI":"10.1016/j.gca.2017.11.026","ISSN":"00167037","abstract":"Continuous high-resolution surface water pCO2 and δ13C-CO2 and 222Rn (dry season only) were measured over two tidal cycles in the wet and dry season in three tropical tidal mangrove creeks on the north-eastern coast of Queensland, Australia. Mangrove surface water pCO2 followed a clear tidal pattern (ranging from 387 to 13,031 µatm) with higher pCO2-values in the wet season than in the dry season. The δ13C-CO2 in the mangrove waters ranged from −21.7 to −8.8‰ and was rather indicative of a mixed source than a distinct mangrove signature. Surface water CO2 was likely driven by a combination of mangrove and external carbon sources, e.g. exchange with groundwater/pore water enriched in 13C, or terrestrial carbon inputs with a significant contribution of C4-vegetation (sugar cane) source. The kinetic and equilibrium fractionation during the gas exchange at the water-atmosphere interface may have further caused a 13C-enrichment of the CO2 pool in the mangrove surface waters. Average CO2 evasion rates (58.7–277.6 mmol m−2 d−1) were calculated using different empirical gas transfer velocity models. Using our high-resolution time series data and previously published data, the average CO2 flux rate in mangrove ecosystems was estimated to be 56.5 ± 8.9 mmol m−2 d−1, which corresponds to a revised global mangrove CO2 emission of 34.1 ± 5.4 Tg C per year.","author":[{"dropping-particle":"","family":"Rosentreter","given":"Judith A.","non-dropping-particle":"","parse-names":false,"suffix":""},{"dropping-particle":"","family":"Maher","given":"D. T.","non-dropping-particle":"","parse-names":false,"suffix":""},{"dropping-particle":"V.","family":"Erler","given":"D.","non-dropping-particle":"","parse-names":false,"suffix":""},{"dropping-particle":"","family":"Murray","given":"R.","non-dropping-particle":"","parse-names":false,"suffix":""},{"dropping-particle":"","family":"Eyre","given":"B. D.","non-dropping-particle":"","parse-names":false,"suffix":""}],"container-title":"Geochimica et Cosmochimica Acta","id":"ITEM-1","issued":{"date-parts":[["2018"]]},"page":"729-745","title":"Seasonal and temporal CO2 dynamics in three tropical mangrove creeks – A revision of global mangrove CO2 emissions","type":"article-journal","volume":"222"},"uris":["http://www.mendeley.com/documents/?uuid=2489d62c-26b4-458a-895a-6a438c66edc2"]}],"mendeley":{"formattedCitation":"(Rosentreter et al., 2018)","plainTextFormattedCitation":"(Rosentreter et al., 2018)","previouslyFormattedCitation":"(Rosentreter et al., 2018)"},"properties":{"noteIndex":0},"schema":"https://github.com/citation-style-language/schema/raw/master/csl-citation.json"}</w:instrText>
      </w:r>
      <w:r w:rsidRPr="008726D7">
        <w:rPr>
          <w:rFonts w:cstheme="minorHAnsi"/>
        </w:rPr>
        <w:fldChar w:fldCharType="separate"/>
      </w:r>
      <w:r w:rsidR="008A48C6" w:rsidRPr="008A48C6">
        <w:rPr>
          <w:rFonts w:cstheme="minorHAnsi"/>
          <w:noProof/>
        </w:rPr>
        <w:t>(Rosentreter et al., 2018)</w:t>
      </w:r>
      <w:r w:rsidRPr="008726D7">
        <w:rPr>
          <w:rFonts w:cstheme="minorHAnsi"/>
        </w:rPr>
        <w:fldChar w:fldCharType="end"/>
      </w:r>
      <w:r w:rsidRPr="008726D7">
        <w:rPr>
          <w:rFonts w:cstheme="minorHAnsi"/>
        </w:rPr>
        <w:t>. Higher rates of net CO</w:t>
      </w:r>
      <w:r w:rsidRPr="008726D7">
        <w:rPr>
          <w:rFonts w:cstheme="minorHAnsi"/>
          <w:vertAlign w:val="subscript"/>
        </w:rPr>
        <w:t>2</w:t>
      </w:r>
      <w:r w:rsidRPr="008726D7">
        <w:rPr>
          <w:rFonts w:cstheme="minorHAnsi"/>
        </w:rPr>
        <w:t xml:space="preserve"> flux are associated </w:t>
      </w:r>
      <w:r w:rsidRPr="008726D7">
        <w:rPr>
          <w:rFonts w:cstheme="minorHAnsi"/>
        </w:rPr>
        <w:lastRenderedPageBreak/>
        <w:t xml:space="preserve">with higher temperatures and a seasonal increase of 4°C in air temperature can increase mean net soil respiration rates by 21% </w:t>
      </w:r>
      <w:r w:rsidRPr="008726D7">
        <w:rPr>
          <w:rFonts w:cstheme="minorHAnsi"/>
        </w:rPr>
        <w:fldChar w:fldCharType="begin" w:fldLock="1"/>
      </w:r>
      <w:r w:rsidR="008A48C6">
        <w:rPr>
          <w:rFonts w:cstheme="minorHAnsi"/>
        </w:rPr>
        <w:instrText>ADDIN CSL_CITATION {"citationItems":[{"id":"ITEM-1","itemData":{"DOI":"10.1111/gcb.14931","ISSN":"13652486","PMID":"31750606","abstract":"Mangroves are among the world's most carbon-dense ecosystems, but they are threatened by rapid climate change and rising sea levels. The accumulation and decomposition of soil organic matter (SOM) are closely tied to mangroves' carbon sink functions and resistance to rising sea levels. However, few studies have investigated the response of mangrove SOM dynamics to likely future environmental conditions. We quantified how mangrove SOM decay is affected by predicted global warming (+4°C), sea level changes (simulated by altering of the inundation duration to 0, 2, and 6 hr/day), and their interaction. Whilst changes in inundation duration between 2 and 6 hr/day did not affect SOM decay, the treatment without inundation led to a 60% increase. A warming of 4°C caused SOM decay to increase by 21%, but longer inundation moderated this temperature-driven increase. Our results indicate that (a) sea level rise is unlikely to decrease the SOM decay rate, suggesting that previous mangrove elevation gain, which has allowed mangroves to persist in areas of sea level rise, might result from changes in root production and/or mineral sedimentation; (b) sea level fall events, predicted to double in frequency and area, will cause periods of intensified SOM decay; (c) changing tidal regimes in mangroves due to sea level rise might attenuate increases in SOM decay caused by global warming. Our results have important implications for forecasting mangrove carbon dynamics and the persistence of mangroves and other coastal wetlands under future scenarios of climate change.","author":[{"dropping-particle":"","family":"Arnaud","given":"Marie","non-dropping-particle":"","parse-names":false,"suffix":""},{"dropping-particle":"","family":"Baird","given":"Andy J.","non-dropping-particle":"","parse-names":false,"suffix":""},{"dropping-particle":"","family":"Morris","given":"Paul J.","non-dropping-particle":"","parse-names":false,"suffix":""},{"dropping-particle":"","family":"Dang","given":"Thuong Huyen","non-dropping-particle":"","parse-names":false,"suffix":""},{"dropping-particle":"","family":"Nguyen","given":"Tai Tue","non-dropping-particle":"","parse-names":false,"suffix":""}],"container-title":"Global Change Biology","id":"ITEM-1","issue":"3","issued":{"date-parts":[["2020"]]},"page":"1899-1907","title":"Sensitivity of mangrove soil organic matter decay to warming and sea level change","type":"article-journal","volume":"26"},"uris":["http://www.mendeley.com/documents/?uuid=0346f321-3151-48b6-96c9-cc41ba564fe1"]}],"mendeley":{"formattedCitation":"(Arnaud et al., 2020)","plainTextFormattedCitation":"(Arnaud et al., 2020)","previouslyFormattedCitation":"(Arnaud et al., 2020)"},"properties":{"noteIndex":0},"schema":"https://github.com/citation-style-language/schema/raw/master/csl-citation.json"}</w:instrText>
      </w:r>
      <w:r w:rsidRPr="008726D7">
        <w:rPr>
          <w:rFonts w:cstheme="minorHAnsi"/>
        </w:rPr>
        <w:fldChar w:fldCharType="separate"/>
      </w:r>
      <w:r w:rsidR="008A48C6" w:rsidRPr="008A48C6">
        <w:rPr>
          <w:rFonts w:cstheme="minorHAnsi"/>
          <w:noProof/>
        </w:rPr>
        <w:t>(Arnaud et al., 2020)</w:t>
      </w:r>
      <w:r w:rsidRPr="008726D7">
        <w:rPr>
          <w:rFonts w:cstheme="minorHAnsi"/>
        </w:rPr>
        <w:fldChar w:fldCharType="end"/>
      </w:r>
      <w:r w:rsidRPr="008726D7">
        <w:rPr>
          <w:rFonts w:cstheme="minorHAnsi"/>
        </w:rPr>
        <w:t xml:space="preserve">. Despite the comparatively high summer temperatures in Qatar, which regularly exceed 50°C </w:t>
      </w:r>
      <w:r w:rsidRPr="008726D7">
        <w:rPr>
          <w:rFonts w:cstheme="minorHAnsi"/>
        </w:rPr>
        <w:fldChar w:fldCharType="begin" w:fldLock="1"/>
      </w:r>
      <w:r w:rsidR="008A48C6">
        <w:rPr>
          <w:rFonts w:cstheme="minorHAnsi"/>
        </w:rPr>
        <w:instrText>ADDIN CSL_CITATION {"citationItems":[{"id":"ITEM-1","itemData":{"DOI":"10.1007/s11069-016-2576-6","ISSN":"15730840","abstract":"In this paper, we investigate the spatial and temporal distributions of rainfall in Qatar, which falls in the arid region of the middle-east. We use rainfall data from 29 rain gauges covering the period of 1962–2010. Fifteen different rainfall indices are used in the assessment. A combination of Mann–Kendall and Spearman’s Rho tests is adopted to identify trends in the rainfall data. The average annual rainfall values are found to be in the range of 55.5–99 mm. A sharp gradient in average annual rainfall is noticed, with north having much higher values than the south. A mixed trend, both increasing (upward) and decreasing (downward) for most of the rainfall indices, is identified. Annual total and maximum daily rainfalls show mixed trends, while rainy days show an increasing trend. For the rainy seasons, the total rainfall during the months of December–January–February shows an increasing trend and March–April rainfall shows a decreasing trend, reflecting that seasonal rainfall in Qatar is changing. The findings of this study provide important insights into the nature of rainfall variability in Qatar, which will be useful in water resources planning tasks in Qatar and nearby countries.","author":[{"dropping-particle":"Al","family":"Mamoon","given":"Abdullah","non-dropping-particle":"","parse-names":false,"suffix":""},{"dropping-particle":"","family":"Rahman","given":"Ataur","non-dropping-particle":"","parse-names":false,"suffix":""}],"container-title":"Natural Hazards","id":"ITEM-1","issue":"1","issued":{"date-parts":[["2017"]]},"page":"453-470","title":"Rainfall in Qatar: Is it changing?","type":"article-journal","volume":"85"},"uris":["http://www.mendeley.com/documents/?uuid=aab8643f-3916-401c-aab4-94af19a8787f"]}],"mendeley":{"formattedCitation":"(Mamoon and Rahman, 2017)","plainTextFormattedCitation":"(Mamoon and Rahman, 2017)","previouslyFormattedCitation":"(Mamoon and Rahman, 2017)"},"properties":{"noteIndex":0},"schema":"https://github.com/citation-style-language/schema/raw/master/csl-citation.json"}</w:instrText>
      </w:r>
      <w:r w:rsidRPr="008726D7">
        <w:rPr>
          <w:rFonts w:cstheme="minorHAnsi"/>
        </w:rPr>
        <w:fldChar w:fldCharType="separate"/>
      </w:r>
      <w:r w:rsidR="008A48C6" w:rsidRPr="008A48C6">
        <w:rPr>
          <w:rFonts w:cstheme="minorHAnsi"/>
          <w:noProof/>
        </w:rPr>
        <w:t>(Mamoon and Rahman, 2017)</w:t>
      </w:r>
      <w:r w:rsidRPr="008726D7">
        <w:rPr>
          <w:rFonts w:cstheme="minorHAnsi"/>
        </w:rPr>
        <w:fldChar w:fldCharType="end"/>
      </w:r>
      <w:r w:rsidRPr="008726D7">
        <w:rPr>
          <w:rFonts w:cstheme="minorHAnsi"/>
        </w:rPr>
        <w:t>, summer soil respiration rates were ~1% (0.42 ± 0.10 CO</w:t>
      </w:r>
      <w:r w:rsidRPr="008726D7">
        <w:rPr>
          <w:rFonts w:cstheme="minorHAnsi"/>
          <w:vertAlign w:val="subscript"/>
        </w:rPr>
        <w:t>2</w:t>
      </w:r>
      <w:r w:rsidRPr="008726D7">
        <w:rPr>
          <w:rFonts w:cstheme="minorHAnsi"/>
        </w:rPr>
        <w:t xml:space="preserve"> mmol m</w:t>
      </w:r>
      <w:r w:rsidRPr="008726D7">
        <w:rPr>
          <w:rFonts w:cstheme="minorHAnsi"/>
          <w:vertAlign w:val="superscript"/>
        </w:rPr>
        <w:t>2</w:t>
      </w:r>
      <w:r w:rsidRPr="008726D7">
        <w:rPr>
          <w:rFonts w:cstheme="minorHAnsi"/>
        </w:rPr>
        <w:t xml:space="preserve"> h</w:t>
      </w:r>
      <w:r w:rsidRPr="008726D7">
        <w:rPr>
          <w:rFonts w:cstheme="minorHAnsi"/>
          <w:vertAlign w:val="superscript"/>
        </w:rPr>
        <w:t>-1</w:t>
      </w:r>
      <w:r w:rsidRPr="008726D7">
        <w:rPr>
          <w:rFonts w:cstheme="minorHAnsi"/>
        </w:rPr>
        <w:t>) of mean soil respiration rates in other sub-tropical mangroves (38.4 mmol m</w:t>
      </w:r>
      <w:r w:rsidRPr="008726D7">
        <w:rPr>
          <w:rFonts w:cstheme="minorHAnsi"/>
          <w:vertAlign w:val="superscript"/>
        </w:rPr>
        <w:t>2</w:t>
      </w:r>
      <w:r w:rsidRPr="008726D7">
        <w:rPr>
          <w:rFonts w:cstheme="minorHAnsi"/>
        </w:rPr>
        <w:t xml:space="preserve"> h</w:t>
      </w:r>
      <w:r w:rsidRPr="008726D7">
        <w:rPr>
          <w:rFonts w:cstheme="minorHAnsi"/>
          <w:vertAlign w:val="superscript"/>
        </w:rPr>
        <w:t>-1</w:t>
      </w:r>
      <w:r w:rsidRPr="008726D7">
        <w:rPr>
          <w:rFonts w:cstheme="minorHAnsi"/>
        </w:rPr>
        <w:t>, converted from mg m</w:t>
      </w:r>
      <w:r w:rsidRPr="008726D7">
        <w:rPr>
          <w:rFonts w:cstheme="minorHAnsi"/>
          <w:vertAlign w:val="superscript"/>
        </w:rPr>
        <w:t>2</w:t>
      </w:r>
      <w:r w:rsidRPr="008726D7">
        <w:rPr>
          <w:rFonts w:cstheme="minorHAnsi"/>
        </w:rPr>
        <w:t xml:space="preserve"> h</w:t>
      </w:r>
      <w:r w:rsidRPr="008726D7">
        <w:rPr>
          <w:rFonts w:cstheme="minorHAnsi"/>
          <w:vertAlign w:val="superscript"/>
        </w:rPr>
        <w:t>-1</w:t>
      </w:r>
      <w:r w:rsidRPr="008726D7">
        <w:rPr>
          <w:rFonts w:cstheme="minorHAnsi"/>
        </w:rPr>
        <w:t xml:space="preserve">) </w:t>
      </w:r>
      <w:r w:rsidRPr="008726D7">
        <w:rPr>
          <w:rFonts w:cstheme="minorHAnsi"/>
        </w:rPr>
        <w:fldChar w:fldCharType="begin" w:fldLock="1"/>
      </w:r>
      <w:r w:rsidR="008A48C6">
        <w:rPr>
          <w:rFonts w:cstheme="minorHAnsi"/>
        </w:rPr>
        <w:instrText>ADDIN CSL_CITATION {"citationItems":[{"id":"ITEM-1","itemData":{"DOI":"10.1016/j.soilbio.2012.01.029","ISSN":"00380717","abstract":"Marine ecosystems are a known net source of greenhouse gases emissions but the atmospheric gas fluxes, particularly from the mangrove swamps occupying inter-tidal zones, are characterized poorly. Spatial and seasonal fluxes of nitrous oxide (N2O) and carbon dioxide (CO2) from soil in Mai Po mangrove swamp in Hong Kong, South China and their relationships with soil characteristics were investigated. The N2O fluxes averaged from 32.1 to 533.7μgm-2h-1 and the CO2 fluxes were between 10.6 and 1374.1mgm-2h-1. Both N2O and CO2 fluxes in this swamp showed large spatial and seasonal variations. The fluxes were higher at the landward site than the foreshore bare mudflat, and higher fluxes were recorded in warm, rather than cold, seasons. The landward site had the highest content of soil organic carbon (OC), total Kjeldahl nitrogen (TKN), nitrate (NO3--N) and total phosphorus (TP), while the bare mudflat had the highest ammonium nitrogen (NH4+-N) concentration and soil denitrification potential activity. The N2O flux was related, positively, to CO2 flux. Soil NO3--N and TP increased N2O flux, while soil OC and TP concentrations contributed to the CO2 flux. The results indicated that the Mai Po mangrove swamp emitted significant amounts of greenhouse gases, and the N2O emission was probably due to soil denitrifcation. © 2012 Elsevier Ltd.","author":[{"dropping-particle":"","family":"Chen","given":"Guang C.","non-dropping-particle":"","parse-names":false,"suffix":""},{"dropping-particle":"","family":"Tam","given":"Nora F.Y.","non-dropping-particle":"","parse-names":false,"suffix":""},{"dropping-particle":"","family":"Ye","given":"Yong","non-dropping-particle":"","parse-names":false,"suffix":""}],"container-title":"Soil Biology and Biochemistry","id":"ITEM-1","issued":{"date-parts":[["2012"]]},"page":"175-181","title":"Spatial and seasonal variations of atmospheric N2O and CO2 fluxes from a subtropical mangrove swamp and their relationships with soil characteristics","type":"article-journal","volume":"48"},"uris":["http://www.mendeley.com/documents/?uuid=de757123-7f26-413e-80d9-59c3993f3ee0"]}],"mendeley":{"formattedCitation":"(Chen et al., 2012)","plainTextFormattedCitation":"(Chen et al., 2012)","previouslyFormattedCitation":"(Chen et al., 2012)"},"properties":{"noteIndex":0},"schema":"https://github.com/citation-style-language/schema/raw/master/csl-citation.json"}</w:instrText>
      </w:r>
      <w:r w:rsidRPr="008726D7">
        <w:rPr>
          <w:rFonts w:cstheme="minorHAnsi"/>
        </w:rPr>
        <w:fldChar w:fldCharType="separate"/>
      </w:r>
      <w:r w:rsidR="008A48C6" w:rsidRPr="008A48C6">
        <w:rPr>
          <w:rFonts w:cstheme="minorHAnsi"/>
          <w:noProof/>
        </w:rPr>
        <w:t>(Chen et al., 2012)</w:t>
      </w:r>
      <w:r w:rsidRPr="008726D7">
        <w:rPr>
          <w:rFonts w:cstheme="minorHAnsi"/>
        </w:rPr>
        <w:fldChar w:fldCharType="end"/>
      </w:r>
      <w:r w:rsidRPr="008726D7">
        <w:rPr>
          <w:rFonts w:cstheme="minorHAnsi"/>
        </w:rPr>
        <w:t xml:space="preserve">. Soil respiration was highest in the mid mangrove, and lowest in the high mangrove, which is likely as a result of greater tree density in mid mangrove zones in Qatar compared to high tidal areas  </w:t>
      </w:r>
      <w:r w:rsidRPr="008726D7">
        <w:rPr>
          <w:rFonts w:cstheme="minorHAnsi"/>
        </w:rPr>
        <w:fldChar w:fldCharType="begin" w:fldLock="1"/>
      </w:r>
      <w:r w:rsidR="008A48C6">
        <w:rPr>
          <w:rFonts w:cstheme="minorHAnsi"/>
        </w:rPr>
        <w:instrText>ADDIN CSL_CITATION {"citationItems":[{"id":"ITEM-1","itemData":{"DOI":"10.1016/j.ecss.2020.106940","ISSN":"02727714","abstract":"Global inventories that show mangrove forests have rich carbon stores currently lack data from arid areas where carbon stocks may be functionally impoverished relative to humid regions. We quantified total carbon stocks (C) of three arid Avicennia marina stands in Qatar and report an aboveground biomass allometric equation and the first below ground biomass allometric equation in the region. The allometric relationships indicate that below ground mangrove C stocks in arid locations are more important than previously reported. Comparison of previously published and our locally developed allometric equations show that A. marina in Qatar allocate comparatively more biomass to below ground components than the same species in tropical humid settings, which is consistent with plant adaptations to living in stressed conditions. Total C stocks were 45.70 ± 3.70 Mg C ha−1, of which tree and soil C stocks to 50 cm depth represented 10.18 ± 0.82 Mg C ha−1 and 35.52 ± 2.88 Mg ha−1 respectively. Soil C stocks to 1 m depth were 50.17 ± 6.27 Mg C ha−1. Overall, mangroves sustain relatively small C stocks in the arid, hypersaline environment of Qatar, which may be due to both relatively low tree productivity and growth, as well as limited rainfall-driven transport of terrigenous sediment inputs. By providing further estimates of mangrove carbon at their climatic extremes, these results can contribute to a better quantification of global mangrove carbon, reduce uncertainty in below ground tree C estimates from arid mangroves and have implications for mangrove carbon stocks in the face of climate change.","author":[{"dropping-particle":"","family":"Chatting","given":"Mark","non-dropping-particle":"","parse-names":false,"suffix":""},{"dropping-particle":"","family":"LeVay","given":"Lewis","non-dropping-particle":"","parse-names":false,"suffix":""},{"dropping-particle":"","family":"Walton","given":"Mark","non-dropping-particle":"","parse-names":false,"suffix":""},{"dropping-particle":"","family":"Skov","given":"Martin W.","non-dropping-particle":"","parse-names":false,"suffix":""},{"dropping-particle":"","family":"Kennedy","given":"Hilary","non-dropping-particle":"","parse-names":false,"suffix":""},{"dropping-particle":"","family":"Wilson","given":"Simon","non-dropping-particle":"","parse-names":false,"suffix":""},{"dropping-particle":"","family":"Al-Maslamani","given":"Ibrahim","non-dropping-particle":"","parse-names":false,"suffix":""}],"container-title":"Estuarine, Coastal and Shelf Science","id":"ITEM-1","issued":{"date-parts":[["2020"]]},"title":"Mangrove carbon stocks and biomass partitioning in an extreme environment","type":"article-journal","volume":"244"},"uris":["http://www.mendeley.com/documents/?uuid=45ec4b47-2362-48bc-8966-b39957af5dc1"]}],"mendeley":{"formattedCitation":"(Chatting et al., 2020)","plainTextFormattedCitation":"(Chatting et al., 2020)","previouslyFormattedCitation":"(Chatting et al., 2020)"},"properties":{"noteIndex":0},"schema":"https://github.com/citation-style-language/schema/raw/master/csl-citation.json"}</w:instrText>
      </w:r>
      <w:r w:rsidRPr="008726D7">
        <w:rPr>
          <w:rFonts w:cstheme="minorHAnsi"/>
        </w:rPr>
        <w:fldChar w:fldCharType="separate"/>
      </w:r>
      <w:r w:rsidR="008A48C6" w:rsidRPr="008A48C6">
        <w:rPr>
          <w:rFonts w:cstheme="minorHAnsi"/>
          <w:noProof/>
        </w:rPr>
        <w:t>(Chatting et al., 2020)</w:t>
      </w:r>
      <w:r w:rsidRPr="008726D7">
        <w:rPr>
          <w:rFonts w:cstheme="minorHAnsi"/>
        </w:rPr>
        <w:fldChar w:fldCharType="end"/>
      </w:r>
      <w:r w:rsidRPr="008726D7">
        <w:rPr>
          <w:rFonts w:cstheme="minorHAnsi"/>
        </w:rPr>
        <w:t xml:space="preserve">. Greater canopy coverage is associated with increased soil respiration as a result of reduced light available for photosynthesis and lowered microphytobenthic production on the soil surface </w:t>
      </w:r>
      <w:r w:rsidRPr="008726D7">
        <w:rPr>
          <w:rFonts w:cstheme="minorHAnsi"/>
        </w:rPr>
        <w:fldChar w:fldCharType="begin" w:fldLock="1"/>
      </w:r>
      <w:r w:rsidR="008A48C6">
        <w:rPr>
          <w:rFonts w:cstheme="minorHAnsi"/>
        </w:rPr>
        <w:instrText>ADDIN CSL_CITATION {"citationItems":[{"id":"ITEM-1","itemData":{"DOI":"10.1016/j.catena.2017.08.005","ISSN":"03418162","abstract":"Mangrove forests are important carbon sinks in the tropics, yet tropical mangrove deforestation and land use conversion still persists. Reporting of greenhouse gas (GHG) emissions from natural and anthropogenic sources in wetlands are important in regional and national emissions inventories. However, very few studies have been conducted to measure on the GHG fluxes in coastal wetlands, particularly in mangrove forest and non-forest land uses in deforested mangroves. We investigated the soil fluxes of CO2, CH4 and N2O in mangrove forest and non-forest land uses on deforested mangrove areas (i.e. abandoned aquaculture ponds, coconut plantations, abandoned salt ponds, and cleared mangroves) in the coasts of Honda Bay, Philippines. Results showed that the emissions of CO2 and CH4 were higher by 2.6 and 6.6 times in mangrove forests (110 and 0.6 kg CO2e ha − 1 day − 1, respectively) while N2O emissions were lower by 34 times compared to the average of non-forest land uses (1.3 kg CO2e ha − 1 day − 1). CH4 and N2O emissions accounted for 0.59% and 0.04% of the total emissions in mangrove forest as compared to 0.23% and 3.07% for non-forest land uses, respectively. Site-scale soil GHG flux distribution could be mapped with 75% to 83% accuracy using Ordinary Kriging. Unlike mangroves that can offset all GHG emissions through CO2 uptake from photosynthesis, the non-forest land uses cannot offset their emissions on-site as they are usually devoid of vegetation. Our results could be utilised in higher tier national GHG inventories, to refine regional and global estimates of GHG emissions in mangrove wetlands, and improve policy on coastal wetlands conservation.","author":[{"dropping-particle":"","family":"Castillo","given":"Jose Alan A.","non-dropping-particle":"","parse-names":false,"suffix":""},{"dropping-particle":"","family":"Apan","given":"Armando A.","non-dropping-particle":"","parse-names":false,"suffix":""},{"dropping-particle":"","family":"Maraseni","given":"Tek N.","non-dropping-particle":"","parse-names":false,"suffix":""},{"dropping-particle":"","family":"Salmo","given":"Severino G.","non-dropping-particle":"","parse-names":false,"suffix":""}],"container-title":"Catena","id":"ITEM-1","issued":{"date-parts":[["2017"]]},"page":"60-69","title":"Soil greenhouse gas fluxes in tropical mangrove forests and in land uses on deforested mangrove lands","type":"article-journal","volume":"159"},"uris":["http://www.mendeley.com/documents/?uuid=8103562d-03ee-4799-a029-43ed372b2a96"]}],"mendeley":{"formattedCitation":"(Castillo et al., 2017)","plainTextFormattedCitation":"(Castillo et al., 2017)","previouslyFormattedCitation":"(Castillo et al., 2017)"},"properties":{"noteIndex":0},"schema":"https://github.com/citation-style-language/schema/raw/master/csl-citation.json"}</w:instrText>
      </w:r>
      <w:r w:rsidRPr="008726D7">
        <w:rPr>
          <w:rFonts w:cstheme="minorHAnsi"/>
        </w:rPr>
        <w:fldChar w:fldCharType="separate"/>
      </w:r>
      <w:r w:rsidR="008A48C6" w:rsidRPr="008A48C6">
        <w:rPr>
          <w:rFonts w:cstheme="minorHAnsi"/>
          <w:noProof/>
        </w:rPr>
        <w:t>(Castillo et al., 2017)</w:t>
      </w:r>
      <w:r w:rsidRPr="008726D7">
        <w:rPr>
          <w:rFonts w:cstheme="minorHAnsi"/>
        </w:rPr>
        <w:fldChar w:fldCharType="end"/>
      </w:r>
      <w:r w:rsidRPr="008726D7">
        <w:rPr>
          <w:rFonts w:cstheme="minorHAnsi"/>
        </w:rPr>
        <w:t>. When compared to previous research, these results show the highly variable nature of mangrove soil respiration under different climatic settings and mangrove stand characteristics and illustrate the need for more field sampling of soil respiration, globally.</w:t>
      </w:r>
    </w:p>
    <w:p w14:paraId="3069B218" w14:textId="77777777" w:rsidR="0002342A" w:rsidRPr="008726D7" w:rsidRDefault="0002342A" w:rsidP="0002342A">
      <w:pPr>
        <w:spacing w:line="480" w:lineRule="auto"/>
        <w:rPr>
          <w:rFonts w:cstheme="minorHAnsi"/>
        </w:rPr>
      </w:pPr>
    </w:p>
    <w:p w14:paraId="61E206D4" w14:textId="103E3719" w:rsidR="0002342A" w:rsidRPr="008726D7" w:rsidRDefault="0002342A" w:rsidP="0002342A">
      <w:pPr>
        <w:spacing w:line="480" w:lineRule="auto"/>
      </w:pPr>
      <w:r w:rsidRPr="008726D7">
        <w:rPr>
          <w:rFonts w:cstheme="minorHAnsi"/>
        </w:rPr>
        <w:t xml:space="preserve">Results from the current study agree with previous work showing mangrove productivity in low-rainfall regions to be relatively low </w:t>
      </w:r>
      <w:r w:rsidR="001C60CF">
        <w:rPr>
          <w:rFonts w:cstheme="minorHAnsi"/>
        </w:rPr>
        <w:t xml:space="preserve">and that mangroves may not always be among the world’s most productive forests </w:t>
      </w:r>
      <w:r w:rsidRPr="008726D7">
        <w:rPr>
          <w:rFonts w:cstheme="minorHAnsi"/>
        </w:rPr>
        <w:fldChar w:fldCharType="begin" w:fldLock="1"/>
      </w:r>
      <w:r w:rsidR="008A48C6">
        <w:rPr>
          <w:rFonts w:cstheme="minorHAnsi"/>
        </w:rPr>
        <w:instrText>ADDIN CSL_CITATION {"citationItems":[{"id":"ITEM-1","itemData":{"DOI":"10.21608/ejabf.2010.2063","ISSN":"2536-9814","abstract":"his study was conducted on a naturally growing mangrove population at Ras Mohammed and Nabq protected areas, South Sinai, during the period 2005-2006. Avicennia marina is the only growing mangrove species in South Sinai. Its structure, litterfall and seedling distribution were investigated. The total area of mangrove stands is 99.1 hectares with 42% canopy coverage, average tree height is between 1.7 -2.6 m, basal area up to 9.2 m 2 . ha -1 . Ras Mohammed represents the densest stand (428 stems ha -1). An annual litterfall of 2036.7 Kg. ha -1 . yr -1 was recorded at Rowaiseya with a maximum peak during April. Mangroves at Nabq area have well distribution of seedlings over Abu Zabad site and a localized dense aggregation of seedlings in intertidal areas at Monqataa and Gharqana sites with a seedling density up to 1848 ha -1 .","author":[{"dropping-particle":"","family":"Gab-Alla","given":"Ali","non-dropping-particle":"","parse-names":false,"suffix":""},{"dropping-particle":"","family":"Fouda","given":"Moustafa","non-dropping-particle":"","parse-names":false,"suffix":""},{"dropping-particle":"","family":"Morsy","given":"Waleed","non-dropping-particle":"","parse-names":false,"suffix":""}],"container-title":"Egyptian Journal of Aquatic Biology and Fisheries","id":"ITEM-1","issue":"2","issued":{"date-parts":[["2010"]]},"page":"79-93","title":"Ecology of Avicennia marina mangals along Gulf of Aqaba, South Sinai, Red Sea","type":"article-journal","volume":"14"},"uris":["http://www.mendeley.com/documents/?uuid=6c0f0e0d-6cfc-4d8d-91a4-2c6787b79b76"]},{"id":"ITEM-2","itemData":{"DOI":"10.1016/0304-3770(89)90093-4","ISBN":"0304-3770","ISSN":"03043770","abstract":"The average daily production of litter in a mangrove stand located in the central part of the Saudi Arabian Red Sea coast, was estimated to be 2.16 g dry weight m-2day-1during 1986 and was found to be comparable with other favourable areas. Maximum litter fall occurred during March and April and is correlated with decreasing air temperatures in the preceding months. Of all the litter compartments, leaves contributed overwhelmingly to total litter throughout the year except during March and April, when fruits superseded them. © 1989.","author":[{"dropping-particle":"","family":"Saifullah","given":"S. M.","non-dropping-particle":"","parse-names":false,"suffix":""},{"dropping-particle":"","family":"Khafaji","given":"A. K.","non-dropping-particle":"","parse-names":false,"suffix":""},{"dropping-particle":"","family":"Mandura","given":"A. S.","non-dropping-particle":"","parse-names":false,"suffix":""}],"container-title":"Aquatic Botany","id":"ITEM-2","issue":"1","issued":{"date-parts":[["1989","12","1"]]},"page":"79-86","publisher":"Elsevier","title":"Litter production in a mangrove stand of the Saudi Arabian Red Sea coast","type":"article-journal","volume":"36"},"uris":["http://www.mendeley.com/documents/?uuid=237e2604-fec2-3e38-b55f-be9db3c2a5f2"]}],"mendeley":{"formattedCitation":"(Gab-Alla et al., 2010; Saifullah et al., 1989)","plainTextFormattedCitation":"(Gab-Alla et al., 2010; Saifullah et al., 1989)","previouslyFormattedCitation":"(Gab-Alla et al., 2010; Saifullah et al., 1989)"},"properties":{"noteIndex":0},"schema":"https://github.com/citation-style-language/schema/raw/master/csl-citation.json"}</w:instrText>
      </w:r>
      <w:r w:rsidRPr="008726D7">
        <w:rPr>
          <w:rFonts w:cstheme="minorHAnsi"/>
        </w:rPr>
        <w:fldChar w:fldCharType="separate"/>
      </w:r>
      <w:r w:rsidR="008A48C6" w:rsidRPr="008A48C6">
        <w:rPr>
          <w:rFonts w:cstheme="minorHAnsi"/>
          <w:noProof/>
        </w:rPr>
        <w:t>(Gab-Alla et al., 2010; Saifullah et al., 1989)</w:t>
      </w:r>
      <w:r w:rsidRPr="008726D7">
        <w:rPr>
          <w:rFonts w:cstheme="minorHAnsi"/>
        </w:rPr>
        <w:fldChar w:fldCharType="end"/>
      </w:r>
      <w:r w:rsidRPr="008726D7">
        <w:rPr>
          <w:rFonts w:cstheme="minorHAnsi"/>
        </w:rPr>
        <w:t xml:space="preserve">. The study also provides data on above and below ground mangrove productivity for an understudied and extreme environment and found productivity to be reduced in higher intertidal zones, possibly as a result of increased porewater salinity and reduced nutrient availability, which has previously been shown to depress mangrove productivity </w:t>
      </w:r>
      <w:r w:rsidRPr="008726D7">
        <w:rPr>
          <w:rFonts w:cstheme="minorHAnsi"/>
        </w:rPr>
        <w:fldChar w:fldCharType="begin" w:fldLock="1"/>
      </w:r>
      <w:r w:rsidR="008A48C6">
        <w:rPr>
          <w:rFonts w:cstheme="minorHAnsi"/>
        </w:rPr>
        <w:instrText>ADDIN CSL_CITATION {"citationItems":[{"id":"ITEM-1","itemData":{"DOI":"10.1007/s10021-002-0191-8","ISBN":"1432-9840","ISSN":"14329840","abstract":"The objective of this study was to quantify spatial patterns in above- and belowground biomass, primary productivity, and growth efficiency along a tidal gradient in a 4700-ha mangrove forest in the Dominican Republic. We tested the hypothesis that spatial patterns of forest structure and growth following 50 years of development were associated with variations in the soil environment across the tidal gradient. Twenty-three plots were monitored from 1994 to 1998. Aboveground biomass and biomass accumulation were estimated by applying allometric regression equations derived from dimension analysis of trees harvested at our study site. Soil porewater salinity ranged from 5 to 38 g . kg(-1) across the tidal gradient, and most measurements of forest biomass and productivity were inversely related to salinity. Mean standing biomass (233 +/- 16.0 Mg . ha(-1); range, 123.5-383.5), biomass increment (9.7 +/- 1.0 Mg . ha(-1) y(-1); range, 3.7-18.1), annual litterfall rates (11.4 Mg . ha(-1) yr(-1); range, 10.2-12.8), leaf area index (LAI) (4.4 m(2) . m(-2); range, 2.9-5.6), aboveground net primary productivity (ANPP) (19.7 Mg . ha(-1) y(-1); range, 15.6-25.0), and growth efficiency (1.6 +/- 0.2 kg . ha(-1) y(-1); range, 1.0-3.6) all showed an inverse linear relationship with salinity. Fine-root biomass (less than or equal to 2 mm) (9.7 +/- 1.2 Mg . ha(-1); range, 2.7-13.8) showed a weak tendency to increase with salinity, and the ratio of root to aboveground biomass increased strongly with salinity. Our results suggest that physiological stresses associated with salinity, or with some combination of salinity and other covarying soil factors, control forest structure and growth along the tidal gradient. The higher allocation of carbon to belowground resources in more saline sites apparently contributed to reductions in ANPP along the tidal gradient.","author":[{"dropping-particle":"","family":"Sherman","given":"Ruth E.","non-dropping-particle":"","parse-names":false,"suffix":""},{"dropping-particle":"","family":"Fahey","given":"Timothy J.","non-dropping-particle":"","parse-names":false,"suffix":""},{"dropping-particle":"","family":"Martinez","given":"Pedro","non-dropping-particle":"","parse-names":false,"suffix":""}],"container-title":"Ecosystems","id":"ITEM-1","issue":"4","issued":{"date-parts":[["2003"]]},"page":"384-398","title":"Spatial Patterns of Biomass and Aboveground Net Primary Productivity in a Mangrove Ecosystem in the Dominican Republic","type":"article-journal","volume":"6"},"uris":["http://www.mendeley.com/documents/?uuid=f02db92d-3381-445b-b85c-d65205a65215"]}],"mendeley":{"formattedCitation":"(Sherman et al., 2003)","plainTextFormattedCitation":"(Sherman et al., 2003)","previouslyFormattedCitation":"(Sherman et al., 2003)"},"properties":{"noteIndex":0},"schema":"https://github.com/citation-style-language/schema/raw/master/csl-citation.json"}</w:instrText>
      </w:r>
      <w:r w:rsidRPr="008726D7">
        <w:rPr>
          <w:rFonts w:cstheme="minorHAnsi"/>
        </w:rPr>
        <w:fldChar w:fldCharType="separate"/>
      </w:r>
      <w:r w:rsidR="008A48C6" w:rsidRPr="008A48C6">
        <w:rPr>
          <w:rFonts w:cstheme="minorHAnsi"/>
          <w:noProof/>
        </w:rPr>
        <w:t>(Sherman et al., 2003)</w:t>
      </w:r>
      <w:r w:rsidRPr="008726D7">
        <w:rPr>
          <w:rFonts w:cstheme="minorHAnsi"/>
        </w:rPr>
        <w:fldChar w:fldCharType="end"/>
      </w:r>
      <w:r w:rsidRPr="008726D7">
        <w:rPr>
          <w:rFonts w:cstheme="minorHAnsi"/>
        </w:rPr>
        <w:t xml:space="preserve">. Monthly productivity was also shown to be highly seasonal, which is comparable to other subtropical locations and greater than that of humid tropical regions. These results were supported by significant seasonal differences in soil respiration and aboveground tree shoot </w:t>
      </w:r>
      <w:r w:rsidRPr="008726D7">
        <w:rPr>
          <w:rFonts w:cstheme="minorHAnsi"/>
        </w:rPr>
        <w:lastRenderedPageBreak/>
        <w:t xml:space="preserve">growth. The observations suggest that the extreme summer environment in Qatar may be depressing mangrove productivity, in addition to the seasonally lower productivity observed in the cooler winter months, at what is close to the northerly range limit for </w:t>
      </w:r>
      <w:r w:rsidRPr="008726D7">
        <w:rPr>
          <w:rFonts w:cstheme="minorHAnsi"/>
          <w:i/>
          <w:iCs/>
        </w:rPr>
        <w:t>A. marina</w:t>
      </w:r>
      <w:r w:rsidRPr="008726D7">
        <w:rPr>
          <w:rFonts w:cstheme="minorHAnsi"/>
        </w:rPr>
        <w:t xml:space="preserve">. </w:t>
      </w:r>
      <w:r w:rsidRPr="008726D7">
        <w:t xml:space="preserve">Minimum winter air temperatures have been shown to be a limiting factor in mangrove latitudinal expansion </w:t>
      </w:r>
      <w:r w:rsidRPr="008726D7">
        <w:fldChar w:fldCharType="begin" w:fldLock="1"/>
      </w:r>
      <w:r w:rsidR="008A48C6">
        <w:instrText>ADDIN CSL_CITATION {"citationItems":[{"id":"ITEM-1","itemData":{"DOI":"10.1111/gcb.14376","ISSN":"13652486","abstract":"Coastal wetlands are among the most productive and carbon-rich ecosystems on Earth. Long-term carbon storage in coastal wetlands occurs primarily belowground as soil organic matter (SOM). In addition to serving as a carbon sink, SOM influences wetland ecosystem structure, function, and stability. To anticipate and mitigate the effects of climate change, there is a need to advance understanding of environmental controls on wetland SOM. Here, we investigated the influence of four soil formation factors: climate, biota, parent materials, and topography. Along the northern Gulf of Mexico, we collected wetland plant and soil data across elevation and zonation gradients within 10 estuaries that span broad temperature and precipitation gradients. Our results highlight the importance of climate–plant controls and indicate that the influence of elevation is scale and location dependent. Coastal wetland plants are sensitive to climate change; small changes in temperature or precipitation can transform coastal wetland plant communities. Across the region, SOM was greatest in mangrove forests and in salt marshes dominated by graminoid plants. SOM was lower in salt flats that lacked vascular plants and in salt marshes dominated by succulent plants. We quantified strong relationships between precipitation, salinity, plant productivity, and SOM. Low precipitation leads to high salinity, which limits plant productivity and appears to constrain SOM accumulation. Our analyses use data from the Gulf of Mexico, but our results can be related to coastal wetlands across the globe and provide a foundation for predicting the ecological effects of future reductions in precipitation and freshwater availability. Coastal wetlands provide many ecosystem services that are SOM dependent and highly vulnerable to climate change. Collectively, our results indicate that future changes in SOM and plant productivity, regulated by cascading effects of precipitation on freshwater availability and salinity, could impact wetland stability and affect the supply of some wetland ecosystem services.","author":[{"dropping-particle":"","family":"Osland","given":"Michael J.","non-dropping-particle":"","parse-names":false,"suffix":""},{"dropping-particle":"","family":"Gabler","given":"Christopher A.","non-dropping-particle":"","parse-names":false,"suffix":""},{"dropping-particle":"","family":"Grace","given":"James B.","non-dropping-particle":"","parse-names":false,"suffix":""},{"dropping-particle":"","family":"Day","given":"Richard H.","non-dropping-particle":"","parse-names":false,"suffix":""},{"dropping-particle":"","family":"McCoy","given":"Meagan L.","non-dropping-particle":"","parse-names":false,"suffix":""},{"dropping-particle":"","family":"McLeod","given":"Jennie L.","non-dropping-particle":"","parse-names":false,"suffix":""},{"dropping-particle":"","family":"From","given":"Andrew S.","non-dropping-particle":"","parse-names":false,"suffix":""},{"dropping-particle":"","family":"Enwright","given":"Nicholas M.","non-dropping-particle":"","parse-names":false,"suffix":""},{"dropping-particle":"","family":"Feher","given":"Laura C.","non-dropping-particle":"","parse-names":false,"suffix":""},{"dropping-particle":"","family":"Stagg","given":"Camille L.","non-dropping-particle":"","parse-names":false,"suffix":""},{"dropping-particle":"","family":"Hartley","given":"Stephen B.","non-dropping-particle":"","parse-names":false,"suffix":""}],"container-title":"Global Change Biology","id":"ITEM-1","issue":"11","issued":{"date-parts":[["2018"]]},"page":"5361-5379","title":"Climate and plant controls on soil organic matter in coastal wetlands","type":"article-journal","volume":"24"},"uris":["http://www.mendeley.com/documents/?uuid=190fce1d-80ef-470e-a0ab-f92ff5bfc590"]},{"id":"ITEM-2","itemData":{"DOI":"10.1007/978-3-319-27422-5_7","abstract":"Mangrove forests grow on saline, periodically flooded soils of the tropical and subtropical coasts. The tree species that comprise the mangrove are halophytes that have suites of traits that confer differing levels of tolerance of salinity, aridity, inundation and extremes of temperature. Here we review how climate change and elevated levels of atmospheric CO2 will influence mangrove forests. Tolerance of salinity and inundation in mangroves is associated with the efficient use of water for photosynthetic carbon gain which unpins anticipated gains in productivity with increasing levels of CO2. We review evidence of increases in productivity with increasing CO2, finding that enhancements in growth appear to be similar to trees in non-mangrove habitats and that gains in productivity with elevated CO2 are likely due to changes in biomass allocation. High levels of trait plasticity are observed in some mangrove species, which potentially facilitates their responses to climate change. Trait plasticity is associated with broad tolerance of salinity, aridity, low temperatures and nutrient availability. Because low temperatures and aridity place strong limits on mangrove growth at the edge of their current distribution, increasing temperatures over time and changing rainfall patterns are likely to have an important influence on the distribution of mangroves. We provide a global analysis based on plant traits and IPCC scenarios of changing temperature and aridity that indicates substantial global potential for mangrove expansion.","author":[{"dropping-particle":"","family":"Lovelock","given":"Catherine E.","non-dropping-particle":"","parse-names":false,"suffix":""},{"dropping-particle":"","family":"Krauss","given":"Ken W.","non-dropping-particle":"","parse-names":false,"suffix":""},{"dropping-particle":"","family":"Osland","given":"Michael J.","non-dropping-particle":"","parse-names":false,"suffix":""},{"dropping-particle":"","family":"Reef","given":"Ruth","non-dropping-particle":"","parse-names":false,"suffix":""},{"dropping-particle":"","family":"Ball","given":"Marilyn C.","non-dropping-particle":"","parse-names":false,"suffix":""}],"id":"ITEM-2","issued":{"date-parts":[["2016"]]},"page":"149-179","title":"The Physiology of Mangrove Trees with Changing Climate","type":"chapter"},"uris":["http://www.mendeley.com/documents/?uuid=b31030ab-20c0-4ca0-9a55-bb5acec893c7"]},{"id":"ITEM-3","itemData":{"DOI":"10.1002/ecs2.2841","ISSN":"21508925","abstract":"Mangroves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-3","issue":"8","issued":{"date-parts":[["2019","8","22"]]},"publisher":"John Wiley &amp; Sons, Ltd","title":"Spatial variability of mangrove primary productivity in the neotropics","type":"article-journal","volume":"10"},"uris":["http://www.mendeley.com/documents/?uuid=e62cba23-c956-306d-a48f-a25ddc004d7f"]}],"mendeley":{"formattedCitation":"(Lovelock et al., 2016; Osland et al., 2018; Ribeiro et al., 2019)","plainTextFormattedCitation":"(Lovelock et al., 2016; Osland et al., 2018; Ribeiro et al., 2019)","previouslyFormattedCitation":"(Lovelock et al., 2016; Osland et al., 2018; Ribeiro et al., 2019)"},"properties":{"noteIndex":0},"schema":"https://github.com/citation-style-language/schema/raw/master/csl-citation.json"}</w:instrText>
      </w:r>
      <w:r w:rsidRPr="008726D7">
        <w:fldChar w:fldCharType="separate"/>
      </w:r>
      <w:r w:rsidR="008A48C6" w:rsidRPr="008A48C6">
        <w:rPr>
          <w:noProof/>
        </w:rPr>
        <w:t>(Lovelock et al., 2016; Osland et al., 2018; Ribeiro et al., 2019)</w:t>
      </w:r>
      <w:r w:rsidRPr="008726D7">
        <w:fldChar w:fldCharType="end"/>
      </w:r>
      <w:r w:rsidRPr="008726D7">
        <w:t xml:space="preserve">, so weak productivity in the winter is to be expected. In addition, here in Qatar this study reports a summer period where productivity is higher but suppressed to some extent during the air temperature peak. </w:t>
      </w:r>
      <w:r w:rsidRPr="008726D7">
        <w:rPr>
          <w:rFonts w:cstheme="minorHAnsi"/>
        </w:rPr>
        <w:t xml:space="preserve">As mangroves are expanding their distribution into higher latitudes </w:t>
      </w:r>
      <w:r w:rsidRPr="008726D7">
        <w:rPr>
          <w:rFonts w:cstheme="minorHAnsi"/>
        </w:rPr>
        <w:fldChar w:fldCharType="begin" w:fldLock="1"/>
      </w:r>
      <w:r w:rsidR="008A48C6">
        <w:rPr>
          <w:rFonts w:cstheme="minorHAnsi"/>
        </w:rPr>
        <w:instrText>ADDIN CSL_CITATION {"citationItems":[{"id":"ITEM-1","itemData":{"DOI":"10.1002/ecm.1248","ISSN":"15577015","abstract":"Mangrove forests are highly productive tidal saline wetland ecosystems found along sheltered tropical and subtropical coasts. Ecologists have long assumed that climatic drivers (i.e., temperature and rainfall regimes) govern the global distribution, structure, and function of mangrove forests. However, data constraints have hindered the quantification of direct climate–mangrove linkages in many parts of the world. Recently, the quality and availability of global-scale climate and mangrove data have been improving. Here, we used these data to better understand the influence of air temperature and rainfall regimes upon the distribution, abundance, and species richness of mangrove forests. Although our analyses identify global-scale relationships and thresholds, we show that the influence of climatic drivers is best characterized via regional range-limit-specific analyses. We quantified climatic controls across targeted gradients in temperature and/or rainfall within 14 mangrove distributional range limits. Climatic thresholds for mangrove presence, abundance, and species richness differed among the 14 studied range limits. We identified minimum temperature-based thresholds for range limits in eastern North America, eastern Australia, New Zealand, eastern Asia, eastern South America, and southeast Africa. We identified rainfall-based thresholds for range limits in western North America, western Gulf of Mexico, western South America, western Australia, Middle East, northwest Africa, east central Africa, and west-central Africa. Our results show that in certain range limits (e.g., eastern North America, western Gulf of Mexico, eastern Asia), winter air temperature extremes play an especially important role. We conclude that rainfall and temperature regimes are both important in western North America, western Gulf of Mexico, and western Australia. With climate change, alterations in temperature and rainfall regimes will affect the global distribution, abundance, and diversity of mangrove forests. In general, warmer winter temperatures are expected to allow mangroves to expand poleward at the expense of salt marshes. However, dispersal and habitat availability constraints may hinder expansion near certain range limits. Along arid and semiarid coasts, decreases or increases in rainfall are expected to lead to mangrove contraction or expansion, respectively. Collectively, our analyses quantify climate–mangrove linkages and improve our understanding of the expect…","author":[{"dropping-particle":"","family":"Osland","given":"Michael J.","non-dropping-particle":"","parse-names":false,"suffix":""},{"dropping-particle":"","family":"Feher","given":"Laura C.","non-dropping-particle":"","parse-names":false,"suffix":""},{"dropping-particle":"","family":"Griffith","given":"Kereen T.","non-dropping-particle":"","parse-names":false,"suffix":""},{"dropping-particle":"","family":"Cavanaugh","given":"Kyle C.","non-dropping-particle":"","parse-names":false,"suffix":""},{"dropping-particle":"","family":"Enwright","given":"Nicholas M.","non-dropping-particle":"","parse-names":false,"suffix":""},{"dropping-particle":"","family":"Day","given":"Richard H.","non-dropping-particle":"","parse-names":false,"suffix":""},{"dropping-particle":"","family":"Stagg","given":"Camille L.","non-dropping-particle":"","parse-names":false,"suffix":""},{"dropping-particle":"","family":"Krauss","given":"Ken W.","non-dropping-particle":"","parse-names":false,"suffix":""},{"dropping-particle":"","family":"Howard","given":"Rebecca J.","non-dropping-particle":"","parse-names":false,"suffix":""},{"dropping-particle":"","family":"Grace","given":"James B.","non-dropping-particle":"","parse-names":false,"suffix":""},{"dropping-particle":"","family":"Rogers","given":"Kerrylee","non-dropping-particle":"","parse-names":false,"suffix":""}],"container-title":"Ecological Monographs","id":"ITEM-1","issue":"2","issued":{"date-parts":[["2017"]]},"page":"341-359","title":"Climatic controls on the global distribution, abundance, and species richness of mangrove forests","type":"article-journal","volume":"87"},"uris":["http://www.mendeley.com/documents/?uuid=550b02d8-1b48-4bbc-8d4f-87ef91a23f84"]},{"id":"ITEM-2","itemData":{"DOI":"10.1111/gcb.12341","ISBN":"1354-1013","ISSN":"13541013","PMID":"23907934","abstract":"Mangroves are species of halophytic intertidal trees and shrubs derived from tropical genera and are likely delimited in latitudinal range by varying sensitivity to cold. There is now sufficient evidence that mangrove species have proliferated at or near their poleward limits on at least five continents over the past half century, at the expense of salt marsh. Avicennia is the most cold-tolerant genus worldwide, and is the subject of most of the observed changes. Avicennia germinans has extended in range along the USA Atlantic coast and expanded into salt marsh as a consequence of lower frost frequency and intensity in the southern USA. The genus has also expanded into salt marsh at its southern limit in Peru, and on the Pacific coast of Mexico. Mangroves of several species have expanded in extent and replaced salt marsh where protected within mangrove reserves in Guangdong Province, China. In south-eastern Australia, the expansion of Avicennia marina into salt marshes is now well documented, and Rhizophora stylosa has extended its range southward, while showing strong population growth within estuaries along its southern limits in northern New South Wales. Avicennia marina has extended its range southwards in South Africa. The changes are consistent with the poleward extension of temperature thresholds coincident with sea-level rise, although the specific mechanism of range extension might be complicated by limitations on dispersal or other factors. The shift from salt marsh to mangrove dominance on subtropical and temperate shorelines has important implications for ecological structure, function, and global change adaptation.","author":[{"dropping-particle":"","family":"Saintilan","given":"Neil","non-dropping-particle":"","parse-names":false,"suffix":""},{"dropping-particle":"","family":"Wilson","given":"Nicholas C.","non-dropping-particle":"","parse-names":false,"suffix":""},{"dropping-particle":"","family":"Rogers","given":"Kerrylee","non-dropping-particle":"","parse-names":false,"suffix":""},{"dropping-particle":"","family":"Rajkaran","given":"Anusha","non-dropping-particle":"","parse-names":false,"suffix":""},{"dropping-particle":"","family":"Krauss","given":"Ken W.","non-dropping-particle":"","parse-names":false,"suffix":""}],"container-title":"Global Change Biology","id":"ITEM-2","issue":"1","issued":{"date-parts":[["2014"]]},"page":"147-157","title":"Mangrove expansion and salt marsh decline at mangrove poleward limits","type":"article-journal","volume":"20"},"uris":["http://www.mendeley.com/documents/?uuid=77fc4f27-ec75-3c0f-b64e-363a965f95c1"]}],"mendeley":{"formattedCitation":"(Osland et al., 2017; Saintilan et al., 2014)","plainTextFormattedCitation":"(Osland et al., 2017; Saintilan et al., 2014)","previouslyFormattedCitation":"(Osland et al., 2017; Saintilan et al., 2014)"},"properties":{"noteIndex":0},"schema":"https://github.com/citation-style-language/schema/raw/master/csl-citation.json"}</w:instrText>
      </w:r>
      <w:r w:rsidRPr="008726D7">
        <w:rPr>
          <w:rFonts w:cstheme="minorHAnsi"/>
        </w:rPr>
        <w:fldChar w:fldCharType="separate"/>
      </w:r>
      <w:r w:rsidR="008A48C6" w:rsidRPr="008A48C6">
        <w:rPr>
          <w:rFonts w:cstheme="minorHAnsi"/>
          <w:noProof/>
        </w:rPr>
        <w:t>(Osland et al., 2017; Saintilan et al., 2014)</w:t>
      </w:r>
      <w:r w:rsidRPr="008726D7">
        <w:rPr>
          <w:rFonts w:cstheme="minorHAnsi"/>
        </w:rPr>
        <w:fldChar w:fldCharType="end"/>
      </w:r>
      <w:r w:rsidRPr="008726D7">
        <w:rPr>
          <w:rFonts w:cstheme="minorHAnsi"/>
        </w:rPr>
        <w:t>, it is important to understand how these ecosystems will respond at the extremities of their global distribution, such as those in Qatar.</w:t>
      </w:r>
    </w:p>
    <w:p w14:paraId="7620E8A3" w14:textId="77777777" w:rsidR="00CF7991" w:rsidRDefault="00CF7991" w:rsidP="00FA0744">
      <w:pPr>
        <w:widowControl w:val="0"/>
        <w:autoSpaceDE w:val="0"/>
        <w:autoSpaceDN w:val="0"/>
        <w:adjustRightInd w:val="0"/>
        <w:spacing w:line="480" w:lineRule="auto"/>
        <w:sectPr w:rsidR="00CF7991" w:rsidSect="00CA38AE">
          <w:pgSz w:w="11906" w:h="16838"/>
          <w:pgMar w:top="1440" w:right="1440" w:bottom="1440" w:left="1440" w:header="720" w:footer="720" w:gutter="0"/>
          <w:cols w:space="720"/>
          <w:docGrid w:linePitch="360"/>
        </w:sectPr>
      </w:pPr>
    </w:p>
    <w:p w14:paraId="6789BC9C" w14:textId="77777777" w:rsidR="00CF7991" w:rsidRDefault="00CF7991" w:rsidP="00FA0744">
      <w:pPr>
        <w:widowControl w:val="0"/>
        <w:autoSpaceDE w:val="0"/>
        <w:autoSpaceDN w:val="0"/>
        <w:adjustRightInd w:val="0"/>
        <w:spacing w:line="480" w:lineRule="auto"/>
        <w:sectPr w:rsidR="00CF7991" w:rsidSect="00CA38AE">
          <w:pgSz w:w="11906" w:h="16838"/>
          <w:pgMar w:top="1440" w:right="1440" w:bottom="1440" w:left="1440" w:header="720" w:footer="720" w:gutter="0"/>
          <w:cols w:space="720"/>
          <w:docGrid w:linePitch="360"/>
        </w:sectPr>
      </w:pPr>
    </w:p>
    <w:p w14:paraId="738CD7B8" w14:textId="4E45EE61" w:rsidR="00CF7991" w:rsidRPr="00E5558E" w:rsidRDefault="00CF7991" w:rsidP="00E44D6C">
      <w:pPr>
        <w:pStyle w:val="Heading1"/>
        <w:ind w:left="1134" w:hanging="567"/>
        <w:rPr>
          <w:rFonts w:asciiTheme="minorHAnsi" w:hAnsiTheme="minorHAnsi" w:cstheme="minorHAnsi"/>
          <w:b/>
          <w:bCs/>
          <w:color w:val="000000" w:themeColor="text1"/>
          <w:sz w:val="36"/>
          <w:szCs w:val="36"/>
        </w:rPr>
      </w:pPr>
      <w:bookmarkStart w:id="25" w:name="_Toc120622114"/>
      <w:r>
        <w:rPr>
          <w:rFonts w:asciiTheme="minorHAnsi" w:hAnsiTheme="minorHAnsi" w:cstheme="minorHAnsi"/>
          <w:b/>
          <w:bCs/>
          <w:color w:val="000000" w:themeColor="text1"/>
          <w:sz w:val="36"/>
          <w:szCs w:val="36"/>
        </w:rPr>
        <w:lastRenderedPageBreak/>
        <w:t>3</w:t>
      </w:r>
      <w:r w:rsidRPr="00E5558E">
        <w:rPr>
          <w:rFonts w:asciiTheme="minorHAnsi" w:hAnsiTheme="minorHAnsi" w:cstheme="minorHAnsi"/>
          <w:b/>
          <w:bCs/>
          <w:color w:val="000000" w:themeColor="text1"/>
          <w:sz w:val="36"/>
          <w:szCs w:val="36"/>
        </w:rPr>
        <w:t>.</w:t>
      </w:r>
      <w:r w:rsidRPr="00E5558E">
        <w:rPr>
          <w:rFonts w:asciiTheme="minorHAnsi" w:hAnsiTheme="minorHAnsi" w:cstheme="minorHAnsi"/>
          <w:b/>
          <w:bCs/>
          <w:color w:val="000000" w:themeColor="text1"/>
          <w:sz w:val="36"/>
          <w:szCs w:val="36"/>
        </w:rPr>
        <w:tab/>
      </w:r>
      <w:r>
        <w:rPr>
          <w:rFonts w:asciiTheme="minorHAnsi" w:hAnsiTheme="minorHAnsi" w:cstheme="minorHAnsi"/>
          <w:b/>
          <w:bCs/>
          <w:color w:val="000000" w:themeColor="text1"/>
          <w:sz w:val="36"/>
          <w:szCs w:val="36"/>
        </w:rPr>
        <w:t>Past, present and f</w:t>
      </w:r>
      <w:r w:rsidRPr="00E5558E">
        <w:rPr>
          <w:rFonts w:asciiTheme="minorHAnsi" w:hAnsiTheme="minorHAnsi" w:cstheme="minorHAnsi"/>
          <w:b/>
          <w:bCs/>
          <w:color w:val="000000" w:themeColor="text1"/>
          <w:sz w:val="36"/>
          <w:szCs w:val="36"/>
        </w:rPr>
        <w:t xml:space="preserve">uture </w:t>
      </w:r>
      <w:r>
        <w:rPr>
          <w:rFonts w:asciiTheme="minorHAnsi" w:hAnsiTheme="minorHAnsi" w:cstheme="minorHAnsi"/>
          <w:b/>
          <w:bCs/>
          <w:color w:val="000000" w:themeColor="text1"/>
          <w:sz w:val="36"/>
          <w:szCs w:val="36"/>
        </w:rPr>
        <w:t xml:space="preserve">global </w:t>
      </w:r>
      <w:r w:rsidRPr="00E5558E">
        <w:rPr>
          <w:rFonts w:asciiTheme="minorHAnsi" w:hAnsiTheme="minorHAnsi" w:cstheme="minorHAnsi"/>
          <w:b/>
          <w:bCs/>
          <w:color w:val="000000" w:themeColor="text1"/>
          <w:sz w:val="36"/>
          <w:szCs w:val="36"/>
        </w:rPr>
        <w:t xml:space="preserve">mangrove </w:t>
      </w:r>
      <w:r>
        <w:rPr>
          <w:rFonts w:asciiTheme="minorHAnsi" w:hAnsiTheme="minorHAnsi" w:cstheme="minorHAnsi"/>
          <w:b/>
          <w:bCs/>
          <w:color w:val="000000" w:themeColor="text1"/>
          <w:sz w:val="36"/>
          <w:szCs w:val="36"/>
        </w:rPr>
        <w:t>primary productivity</w:t>
      </w:r>
      <w:bookmarkEnd w:id="25"/>
    </w:p>
    <w:p w14:paraId="7D3CA401" w14:textId="77777777" w:rsidR="00CF7991" w:rsidRPr="00CE074C" w:rsidRDefault="00CF7991" w:rsidP="00E44D6C"/>
    <w:p w14:paraId="1A6CA570" w14:textId="77777777" w:rsidR="00CF7991" w:rsidRPr="006F0029" w:rsidRDefault="00CF7991" w:rsidP="00E44D6C">
      <w:pPr>
        <w:pStyle w:val="AuthorList"/>
        <w:rPr>
          <w:rFonts w:asciiTheme="minorHAnsi" w:hAnsiTheme="minorHAnsi" w:cstheme="minorHAnsi"/>
          <w:b w:val="0"/>
          <w:bCs/>
        </w:rPr>
      </w:pPr>
      <w:r w:rsidRPr="006F0029">
        <w:rPr>
          <w:rFonts w:asciiTheme="minorHAnsi" w:hAnsiTheme="minorHAnsi" w:cstheme="minorHAnsi"/>
          <w:b w:val="0"/>
          <w:bCs/>
        </w:rPr>
        <w:t xml:space="preserve">Mark </w:t>
      </w:r>
      <w:proofErr w:type="spellStart"/>
      <w:proofErr w:type="gramStart"/>
      <w:r w:rsidRPr="006F0029">
        <w:rPr>
          <w:rFonts w:asciiTheme="minorHAnsi" w:hAnsiTheme="minorHAnsi" w:cstheme="minorHAnsi"/>
          <w:b w:val="0"/>
          <w:bCs/>
        </w:rPr>
        <w:t>Chatting</w:t>
      </w:r>
      <w:r w:rsidRPr="006F0029">
        <w:rPr>
          <w:rFonts w:asciiTheme="minorHAnsi" w:hAnsiTheme="minorHAnsi" w:cstheme="minorHAnsi"/>
          <w:b w:val="0"/>
          <w:bCs/>
          <w:vertAlign w:val="superscript"/>
        </w:rPr>
        <w:t>a,d</w:t>
      </w:r>
      <w:proofErr w:type="spellEnd"/>
      <w:proofErr w:type="gramEnd"/>
      <w:r w:rsidRPr="006F0029">
        <w:rPr>
          <w:rFonts w:asciiTheme="minorHAnsi" w:hAnsiTheme="minorHAnsi" w:cstheme="minorHAnsi"/>
          <w:b w:val="0"/>
          <w:bCs/>
        </w:rPr>
        <w:t>, Ibrahim Al-</w:t>
      </w:r>
      <w:proofErr w:type="spellStart"/>
      <w:r w:rsidRPr="006F0029">
        <w:rPr>
          <w:rFonts w:asciiTheme="minorHAnsi" w:hAnsiTheme="minorHAnsi" w:cstheme="minorHAnsi"/>
          <w:b w:val="0"/>
          <w:bCs/>
        </w:rPr>
        <w:t>Maslamani</w:t>
      </w:r>
      <w:r w:rsidRPr="006F0029">
        <w:rPr>
          <w:rFonts w:asciiTheme="minorHAnsi" w:hAnsiTheme="minorHAnsi" w:cstheme="minorHAnsi"/>
          <w:b w:val="0"/>
          <w:bCs/>
          <w:vertAlign w:val="superscript"/>
        </w:rPr>
        <w:t>b</w:t>
      </w:r>
      <w:proofErr w:type="spellEnd"/>
      <w:r w:rsidRPr="006F0029">
        <w:rPr>
          <w:rFonts w:asciiTheme="minorHAnsi" w:hAnsiTheme="minorHAnsi" w:cstheme="minorHAnsi"/>
          <w:b w:val="0"/>
          <w:bCs/>
        </w:rPr>
        <w:t xml:space="preserve">, Mark </w:t>
      </w:r>
      <w:proofErr w:type="spellStart"/>
      <w:r w:rsidRPr="006F0029">
        <w:rPr>
          <w:rFonts w:asciiTheme="minorHAnsi" w:hAnsiTheme="minorHAnsi" w:cstheme="minorHAnsi"/>
          <w:b w:val="0"/>
          <w:bCs/>
        </w:rPr>
        <w:t>Walton</w:t>
      </w:r>
      <w:r w:rsidRPr="006F0029">
        <w:rPr>
          <w:rFonts w:asciiTheme="minorHAnsi" w:hAnsiTheme="minorHAnsi" w:cstheme="minorHAnsi"/>
          <w:b w:val="0"/>
          <w:bCs/>
          <w:vertAlign w:val="superscript"/>
        </w:rPr>
        <w:t>c</w:t>
      </w:r>
      <w:proofErr w:type="spellEnd"/>
      <w:r w:rsidRPr="006F0029">
        <w:rPr>
          <w:rFonts w:asciiTheme="minorHAnsi" w:hAnsiTheme="minorHAnsi" w:cstheme="minorHAnsi"/>
          <w:b w:val="0"/>
          <w:bCs/>
        </w:rPr>
        <w:t xml:space="preserve">, Martin W. </w:t>
      </w:r>
      <w:proofErr w:type="spellStart"/>
      <w:r w:rsidRPr="006F0029">
        <w:rPr>
          <w:rFonts w:asciiTheme="minorHAnsi" w:hAnsiTheme="minorHAnsi" w:cstheme="minorHAnsi"/>
          <w:b w:val="0"/>
          <w:bCs/>
        </w:rPr>
        <w:t>Skov</w:t>
      </w:r>
      <w:r w:rsidRPr="006F0029">
        <w:rPr>
          <w:rFonts w:asciiTheme="minorHAnsi" w:hAnsiTheme="minorHAnsi" w:cstheme="minorHAnsi"/>
          <w:b w:val="0"/>
          <w:bCs/>
          <w:vertAlign w:val="superscript"/>
        </w:rPr>
        <w:t>d</w:t>
      </w:r>
      <w:proofErr w:type="spellEnd"/>
      <w:r w:rsidRPr="006F0029">
        <w:rPr>
          <w:rFonts w:asciiTheme="minorHAnsi" w:hAnsiTheme="minorHAnsi" w:cstheme="minorHAnsi"/>
          <w:b w:val="0"/>
          <w:bCs/>
        </w:rPr>
        <w:t xml:space="preserve">, Hilary </w:t>
      </w:r>
      <w:proofErr w:type="spellStart"/>
      <w:r w:rsidRPr="006F0029">
        <w:rPr>
          <w:rFonts w:asciiTheme="minorHAnsi" w:hAnsiTheme="minorHAnsi" w:cstheme="minorHAnsi"/>
          <w:b w:val="0"/>
          <w:bCs/>
        </w:rPr>
        <w:t>Kennedy</w:t>
      </w:r>
      <w:r w:rsidRPr="006F0029">
        <w:rPr>
          <w:rFonts w:asciiTheme="minorHAnsi" w:hAnsiTheme="minorHAnsi" w:cstheme="minorHAnsi"/>
          <w:b w:val="0"/>
          <w:bCs/>
          <w:vertAlign w:val="superscript"/>
        </w:rPr>
        <w:t>d</w:t>
      </w:r>
      <w:proofErr w:type="spellEnd"/>
      <w:r w:rsidRPr="006F0029">
        <w:rPr>
          <w:rFonts w:asciiTheme="minorHAnsi" w:hAnsiTheme="minorHAnsi" w:cstheme="minorHAnsi"/>
          <w:b w:val="0"/>
          <w:bCs/>
        </w:rPr>
        <w:t xml:space="preserve">, Sinan </w:t>
      </w:r>
      <w:proofErr w:type="spellStart"/>
      <w:r w:rsidRPr="006F0029">
        <w:rPr>
          <w:rFonts w:asciiTheme="minorHAnsi" w:hAnsiTheme="minorHAnsi" w:cstheme="minorHAnsi"/>
          <w:b w:val="0"/>
          <w:bCs/>
        </w:rPr>
        <w:t>Husrevoglu</w:t>
      </w:r>
      <w:r w:rsidRPr="006F0029">
        <w:rPr>
          <w:rFonts w:asciiTheme="minorHAnsi" w:hAnsiTheme="minorHAnsi" w:cstheme="minorHAnsi"/>
          <w:b w:val="0"/>
          <w:bCs/>
          <w:vertAlign w:val="superscript"/>
        </w:rPr>
        <w:t>e</w:t>
      </w:r>
      <w:proofErr w:type="spellEnd"/>
      <w:r w:rsidRPr="006F0029">
        <w:rPr>
          <w:rFonts w:asciiTheme="minorHAnsi" w:hAnsiTheme="minorHAnsi" w:cstheme="minorHAnsi"/>
          <w:b w:val="0"/>
          <w:bCs/>
        </w:rPr>
        <w:t xml:space="preserve"> and Lewis Le </w:t>
      </w:r>
      <w:proofErr w:type="spellStart"/>
      <w:r w:rsidRPr="006F0029">
        <w:rPr>
          <w:rFonts w:asciiTheme="minorHAnsi" w:hAnsiTheme="minorHAnsi" w:cstheme="minorHAnsi"/>
          <w:b w:val="0"/>
          <w:bCs/>
        </w:rPr>
        <w:t>Vay</w:t>
      </w:r>
      <w:r w:rsidRPr="006F0029">
        <w:rPr>
          <w:rFonts w:asciiTheme="minorHAnsi" w:hAnsiTheme="minorHAnsi" w:cstheme="minorHAnsi"/>
          <w:b w:val="0"/>
          <w:bCs/>
          <w:vertAlign w:val="superscript"/>
        </w:rPr>
        <w:t>c</w:t>
      </w:r>
      <w:proofErr w:type="spellEnd"/>
    </w:p>
    <w:p w14:paraId="551382E4" w14:textId="77777777" w:rsidR="00CF7991" w:rsidRPr="00392131" w:rsidRDefault="00CF7991" w:rsidP="00CF7991">
      <w:pPr>
        <w:spacing w:line="276" w:lineRule="auto"/>
        <w:rPr>
          <w:rFonts w:cstheme="minorHAnsi"/>
          <w:b/>
          <w:sz w:val="18"/>
          <w:szCs w:val="18"/>
          <w:lang w:val="es-ES"/>
        </w:rPr>
      </w:pPr>
      <w:proofErr w:type="spellStart"/>
      <w:r w:rsidRPr="00392131">
        <w:rPr>
          <w:rFonts w:cstheme="minorHAnsi"/>
          <w:sz w:val="18"/>
          <w:szCs w:val="18"/>
          <w:vertAlign w:val="superscript"/>
          <w:lang w:val="es-ES"/>
        </w:rPr>
        <w:t>a</w:t>
      </w:r>
      <w:r w:rsidRPr="00392131">
        <w:rPr>
          <w:rFonts w:cstheme="minorHAnsi"/>
          <w:sz w:val="18"/>
          <w:szCs w:val="18"/>
          <w:lang w:val="es-ES"/>
        </w:rPr>
        <w:t>Environmental</w:t>
      </w:r>
      <w:proofErr w:type="spellEnd"/>
      <w:r w:rsidRPr="00392131">
        <w:rPr>
          <w:rFonts w:cstheme="minorHAnsi"/>
          <w:sz w:val="18"/>
          <w:szCs w:val="18"/>
          <w:lang w:val="es-ES"/>
        </w:rPr>
        <w:t xml:space="preserve"> </w:t>
      </w:r>
      <w:proofErr w:type="spellStart"/>
      <w:r w:rsidRPr="00392131">
        <w:rPr>
          <w:rFonts w:cstheme="minorHAnsi"/>
          <w:sz w:val="18"/>
          <w:szCs w:val="18"/>
          <w:lang w:val="es-ES"/>
        </w:rPr>
        <w:t>Science</w:t>
      </w:r>
      <w:proofErr w:type="spellEnd"/>
      <w:r w:rsidRPr="00392131">
        <w:rPr>
          <w:rFonts w:cstheme="minorHAnsi"/>
          <w:sz w:val="18"/>
          <w:szCs w:val="18"/>
          <w:lang w:val="es-ES"/>
        </w:rPr>
        <w:t xml:space="preserve"> Centre, Qatar </w:t>
      </w:r>
      <w:proofErr w:type="spellStart"/>
      <w:r w:rsidRPr="00392131">
        <w:rPr>
          <w:rFonts w:cstheme="minorHAnsi"/>
          <w:sz w:val="18"/>
          <w:szCs w:val="18"/>
          <w:lang w:val="es-ES"/>
        </w:rPr>
        <w:t>University</w:t>
      </w:r>
      <w:proofErr w:type="spellEnd"/>
      <w:r w:rsidRPr="00392131">
        <w:rPr>
          <w:rFonts w:cstheme="minorHAnsi"/>
          <w:sz w:val="18"/>
          <w:szCs w:val="18"/>
          <w:lang w:val="es-ES"/>
        </w:rPr>
        <w:t>, Doha, Qatar</w:t>
      </w:r>
    </w:p>
    <w:p w14:paraId="6891506C" w14:textId="77777777" w:rsidR="00CF7991" w:rsidRPr="00392131" w:rsidRDefault="00CF7991" w:rsidP="00CF7991">
      <w:pPr>
        <w:spacing w:line="276" w:lineRule="auto"/>
        <w:rPr>
          <w:rFonts w:cstheme="minorHAnsi"/>
          <w:sz w:val="18"/>
          <w:szCs w:val="18"/>
        </w:rPr>
      </w:pPr>
      <w:proofErr w:type="spellStart"/>
      <w:r w:rsidRPr="00392131">
        <w:rPr>
          <w:rFonts w:cstheme="minorHAnsi"/>
          <w:sz w:val="18"/>
          <w:szCs w:val="18"/>
          <w:vertAlign w:val="superscript"/>
        </w:rPr>
        <w:t>b</w:t>
      </w:r>
      <w:r w:rsidRPr="00392131">
        <w:rPr>
          <w:rFonts w:cstheme="minorHAnsi"/>
          <w:sz w:val="18"/>
          <w:szCs w:val="18"/>
        </w:rPr>
        <w:t>Office</w:t>
      </w:r>
      <w:proofErr w:type="spellEnd"/>
      <w:r w:rsidRPr="00392131">
        <w:rPr>
          <w:rFonts w:cstheme="minorHAnsi"/>
          <w:sz w:val="18"/>
          <w:szCs w:val="18"/>
        </w:rPr>
        <w:t xml:space="preserve"> for Research and Graduate Studies, Qatar University, Doha, Qatar</w:t>
      </w:r>
    </w:p>
    <w:p w14:paraId="29C73925" w14:textId="77777777" w:rsidR="00CF7991" w:rsidRPr="00392131" w:rsidRDefault="00CF7991" w:rsidP="00CF7991">
      <w:pPr>
        <w:spacing w:line="276" w:lineRule="auto"/>
        <w:rPr>
          <w:rFonts w:cstheme="minorHAnsi"/>
          <w:b/>
          <w:sz w:val="18"/>
          <w:szCs w:val="18"/>
        </w:rPr>
      </w:pPr>
      <w:proofErr w:type="spellStart"/>
      <w:r w:rsidRPr="00392131">
        <w:rPr>
          <w:rFonts w:cstheme="minorHAnsi"/>
          <w:sz w:val="18"/>
          <w:szCs w:val="18"/>
          <w:vertAlign w:val="superscript"/>
        </w:rPr>
        <w:t>c</w:t>
      </w:r>
      <w:r w:rsidRPr="00392131">
        <w:rPr>
          <w:rFonts w:cstheme="minorHAnsi"/>
          <w:sz w:val="18"/>
          <w:szCs w:val="18"/>
        </w:rPr>
        <w:t>Centre</w:t>
      </w:r>
      <w:proofErr w:type="spellEnd"/>
      <w:r w:rsidRPr="00392131">
        <w:rPr>
          <w:rFonts w:cstheme="minorHAnsi"/>
          <w:sz w:val="18"/>
          <w:szCs w:val="18"/>
        </w:rPr>
        <w:t xml:space="preserve"> for Applied Marine Science, Bangor University, Menai Bridge, Anglesey, UK</w:t>
      </w:r>
    </w:p>
    <w:p w14:paraId="5AE80839" w14:textId="77777777" w:rsidR="00CF7991" w:rsidRPr="00392131" w:rsidRDefault="00CF7991" w:rsidP="00CF7991">
      <w:pPr>
        <w:spacing w:line="276" w:lineRule="auto"/>
        <w:rPr>
          <w:rFonts w:cstheme="minorHAnsi"/>
          <w:b/>
          <w:sz w:val="18"/>
          <w:szCs w:val="18"/>
        </w:rPr>
      </w:pPr>
      <w:proofErr w:type="spellStart"/>
      <w:r w:rsidRPr="00392131">
        <w:rPr>
          <w:rFonts w:cstheme="minorHAnsi"/>
          <w:sz w:val="18"/>
          <w:szCs w:val="18"/>
          <w:vertAlign w:val="superscript"/>
        </w:rPr>
        <w:t>d</w:t>
      </w:r>
      <w:r w:rsidRPr="00392131">
        <w:rPr>
          <w:rFonts w:cstheme="minorHAnsi"/>
          <w:sz w:val="18"/>
          <w:szCs w:val="18"/>
        </w:rPr>
        <w:t>School</w:t>
      </w:r>
      <w:proofErr w:type="spellEnd"/>
      <w:r w:rsidRPr="00392131">
        <w:rPr>
          <w:rFonts w:cstheme="minorHAnsi"/>
          <w:sz w:val="18"/>
          <w:szCs w:val="18"/>
        </w:rPr>
        <w:t xml:space="preserve"> of Ocean Sciences, Bangor University, Menai Bridge, Anglesey, UK</w:t>
      </w:r>
    </w:p>
    <w:p w14:paraId="12904D00" w14:textId="77777777" w:rsidR="00CF7991" w:rsidRPr="00392131" w:rsidRDefault="00CF7991" w:rsidP="00CF7991">
      <w:pPr>
        <w:spacing w:line="276" w:lineRule="auto"/>
        <w:rPr>
          <w:rFonts w:cstheme="minorHAnsi"/>
          <w:b/>
          <w:sz w:val="18"/>
          <w:szCs w:val="18"/>
        </w:rPr>
      </w:pPr>
      <w:proofErr w:type="spellStart"/>
      <w:r w:rsidRPr="00392131">
        <w:rPr>
          <w:rFonts w:cstheme="minorHAnsi"/>
          <w:sz w:val="18"/>
          <w:szCs w:val="18"/>
          <w:vertAlign w:val="superscript"/>
        </w:rPr>
        <w:t>e</w:t>
      </w:r>
      <w:r w:rsidRPr="00392131">
        <w:rPr>
          <w:rFonts w:cstheme="minorHAnsi"/>
          <w:sz w:val="18"/>
          <w:szCs w:val="18"/>
        </w:rPr>
        <w:t>Institute</w:t>
      </w:r>
      <w:proofErr w:type="spellEnd"/>
      <w:r w:rsidRPr="00392131">
        <w:rPr>
          <w:rFonts w:cstheme="minorHAnsi"/>
          <w:sz w:val="18"/>
          <w:szCs w:val="18"/>
        </w:rPr>
        <w:t xml:space="preserve"> of Marine Sciences, Middle East Technical University, </w:t>
      </w:r>
      <w:proofErr w:type="spellStart"/>
      <w:r w:rsidRPr="00392131">
        <w:rPr>
          <w:rFonts w:cstheme="minorHAnsi"/>
          <w:sz w:val="18"/>
          <w:szCs w:val="18"/>
        </w:rPr>
        <w:t>Erdemli</w:t>
      </w:r>
      <w:proofErr w:type="spellEnd"/>
      <w:r w:rsidRPr="00392131">
        <w:rPr>
          <w:rFonts w:cstheme="minorHAnsi"/>
          <w:sz w:val="18"/>
          <w:szCs w:val="18"/>
        </w:rPr>
        <w:t>, Mersin, Turkey</w:t>
      </w:r>
    </w:p>
    <w:p w14:paraId="44E6A7C1" w14:textId="77777777" w:rsidR="00CF7991" w:rsidRDefault="00CF7991" w:rsidP="00CF7991">
      <w:pPr>
        <w:spacing w:line="360" w:lineRule="auto"/>
        <w:rPr>
          <w:rFonts w:cstheme="minorHAnsi"/>
          <w:b/>
          <w:sz w:val="22"/>
        </w:rPr>
      </w:pPr>
    </w:p>
    <w:p w14:paraId="5FBE7E23" w14:textId="4315CDD6" w:rsidR="00CF7991" w:rsidRPr="006F0029" w:rsidRDefault="006F0029" w:rsidP="006F0029">
      <w:pPr>
        <w:spacing w:line="360" w:lineRule="auto"/>
      </w:pPr>
      <w:r>
        <w:t>This chapter is intended to be submitted for publication</w:t>
      </w:r>
    </w:p>
    <w:p w14:paraId="29F9FB8E" w14:textId="77777777" w:rsidR="00CF7991" w:rsidRDefault="00CF7991" w:rsidP="00CF7991">
      <w:pPr>
        <w:widowControl w:val="0"/>
        <w:autoSpaceDE w:val="0"/>
        <w:autoSpaceDN w:val="0"/>
        <w:adjustRightInd w:val="0"/>
        <w:spacing w:line="360" w:lineRule="auto"/>
        <w:rPr>
          <w:rFonts w:cstheme="minorHAnsi"/>
          <w:b/>
          <w:bCs/>
          <w:sz w:val="22"/>
        </w:rPr>
      </w:pPr>
    </w:p>
    <w:p w14:paraId="76342D35" w14:textId="77777777" w:rsidR="00CF7991" w:rsidRPr="00392131" w:rsidRDefault="00CF7991" w:rsidP="00CF7991">
      <w:pPr>
        <w:widowControl w:val="0"/>
        <w:autoSpaceDE w:val="0"/>
        <w:autoSpaceDN w:val="0"/>
        <w:adjustRightInd w:val="0"/>
        <w:spacing w:line="360" w:lineRule="auto"/>
        <w:rPr>
          <w:rFonts w:cstheme="minorHAnsi"/>
          <w:b/>
          <w:bCs/>
          <w:sz w:val="22"/>
        </w:rPr>
      </w:pPr>
      <w:r w:rsidRPr="00392131">
        <w:rPr>
          <w:rFonts w:cstheme="minorHAnsi"/>
          <w:b/>
          <w:bCs/>
          <w:sz w:val="22"/>
        </w:rPr>
        <w:t>Author Contributions:</w:t>
      </w:r>
    </w:p>
    <w:p w14:paraId="4AB7340D" w14:textId="77777777" w:rsidR="00CF7991" w:rsidRPr="006F0029" w:rsidRDefault="00CF7991" w:rsidP="00CF7991">
      <w:pPr>
        <w:widowControl w:val="0"/>
        <w:autoSpaceDE w:val="0"/>
        <w:autoSpaceDN w:val="0"/>
        <w:adjustRightInd w:val="0"/>
        <w:spacing w:line="360" w:lineRule="auto"/>
        <w:rPr>
          <w:rFonts w:cstheme="minorHAnsi"/>
        </w:rPr>
      </w:pPr>
      <w:r w:rsidRPr="006F0029">
        <w:rPr>
          <w:rFonts w:cstheme="minorHAnsi"/>
        </w:rPr>
        <w:t>MC, LL, MW, MS and IM conceived the study. MC and SH performed all the modelling and statistical analyses. MC wrote the manuscript draft with editorial support from LL, MW, MS, HK and IM. LL, MW, MS, HK and IM contributed to design of the work and critical evaluation of the manuscript during the extensive drafting process. All authors helped write and edit the final version of the paper.</w:t>
      </w:r>
    </w:p>
    <w:p w14:paraId="7154C2D7" w14:textId="77777777" w:rsidR="00CF7991" w:rsidRDefault="00CF7991" w:rsidP="00CF7991">
      <w:pPr>
        <w:spacing w:line="480" w:lineRule="auto"/>
        <w:rPr>
          <w:b/>
          <w:bCs/>
          <w:sz w:val="28"/>
          <w:szCs w:val="28"/>
          <w:lang w:val="en-US"/>
        </w:rPr>
      </w:pPr>
    </w:p>
    <w:p w14:paraId="5BC3B66D" w14:textId="77777777" w:rsidR="00CF7991" w:rsidRDefault="00CF7991" w:rsidP="00CF7991">
      <w:pPr>
        <w:pStyle w:val="Heading2"/>
        <w:rPr>
          <w:rFonts w:asciiTheme="minorHAnsi" w:hAnsiTheme="minorHAnsi" w:cstheme="minorHAnsi"/>
          <w:b/>
          <w:bCs/>
          <w:color w:val="auto"/>
          <w:lang w:val="en-US"/>
        </w:rPr>
        <w:sectPr w:rsidR="00CF7991" w:rsidSect="002A3FD6">
          <w:pgSz w:w="11906" w:h="16838"/>
          <w:pgMar w:top="1440" w:right="1440" w:bottom="1440" w:left="1440" w:header="708" w:footer="708" w:gutter="0"/>
          <w:cols w:space="708"/>
          <w:docGrid w:linePitch="360"/>
        </w:sectPr>
      </w:pPr>
    </w:p>
    <w:p w14:paraId="7E3A6B68" w14:textId="7B8B791C" w:rsidR="00CF7991" w:rsidRPr="001E65D6" w:rsidRDefault="00CF7991" w:rsidP="00CF7991">
      <w:pPr>
        <w:pStyle w:val="Heading2"/>
        <w:rPr>
          <w:rFonts w:cstheme="minorHAnsi"/>
          <w:b/>
          <w:bCs/>
          <w:lang w:val="en-US"/>
        </w:rPr>
      </w:pPr>
      <w:bookmarkStart w:id="26" w:name="_Toc120622115"/>
      <w:r w:rsidRPr="001E65D6">
        <w:rPr>
          <w:rFonts w:asciiTheme="minorHAnsi" w:hAnsiTheme="minorHAnsi" w:cstheme="minorHAnsi"/>
          <w:b/>
          <w:bCs/>
          <w:color w:val="auto"/>
          <w:lang w:val="en-US"/>
        </w:rPr>
        <w:lastRenderedPageBreak/>
        <w:t>3.1</w:t>
      </w:r>
      <w:r w:rsidRPr="001E65D6">
        <w:rPr>
          <w:rFonts w:asciiTheme="minorHAnsi" w:hAnsiTheme="minorHAnsi" w:cstheme="minorHAnsi"/>
          <w:b/>
          <w:bCs/>
          <w:color w:val="auto"/>
          <w:lang w:val="en-US"/>
        </w:rPr>
        <w:tab/>
        <w:t>Abstract</w:t>
      </w:r>
      <w:bookmarkEnd w:id="26"/>
      <w:r w:rsidRPr="001E65D6">
        <w:rPr>
          <w:rFonts w:asciiTheme="minorHAnsi" w:hAnsiTheme="minorHAnsi" w:cstheme="minorHAnsi"/>
          <w:b/>
          <w:bCs/>
          <w:color w:val="auto"/>
          <w:lang w:val="en-US"/>
        </w:rPr>
        <w:t xml:space="preserve"> </w:t>
      </w:r>
    </w:p>
    <w:p w14:paraId="22375FA2" w14:textId="103BD2B7" w:rsidR="00CF7991" w:rsidRPr="00260745" w:rsidRDefault="00CF7991" w:rsidP="00CF7991">
      <w:pPr>
        <w:spacing w:line="480" w:lineRule="auto"/>
        <w:rPr>
          <w:b/>
          <w:bCs/>
          <w:lang w:val="en-US"/>
        </w:rPr>
      </w:pPr>
      <w:r w:rsidRPr="00260745">
        <w:rPr>
          <w:lang w:val="en-US"/>
        </w:rPr>
        <w:t xml:space="preserve">Mangrove productivity plays an important role in the global carbon cycle. However, little work has examined spatial variabilities in productivity on a global/regional scale and even less work has investigated global/regional temporal trends in mangrove productivity. Productivity research has been limited to temporal changes on small local scales or to focusing on large global patterns in productivity at one point in time. This study </w:t>
      </w:r>
      <w:r w:rsidR="00921245">
        <w:rPr>
          <w:lang w:val="en-US"/>
        </w:rPr>
        <w:t xml:space="preserve">leveraged </w:t>
      </w:r>
      <w:r w:rsidR="00E5366E">
        <w:rPr>
          <w:lang w:val="en-US"/>
        </w:rPr>
        <w:t xml:space="preserve">previously published data on mangrove leaf litter to model </w:t>
      </w:r>
      <w:r w:rsidRPr="00260745">
        <w:rPr>
          <w:lang w:val="en-US"/>
        </w:rPr>
        <w:t xml:space="preserve">global and regional scale mangrove productivity on a monthly timescale from 1980 to 2095. Regions were defined by the Marine Ecoregions of the World marine provinces framework. Models revealed minimal change to NPP, as global productivity rates dropped by only ~1.4% from 239.2 ±58.4 </w:t>
      </w:r>
      <w:proofErr w:type="spellStart"/>
      <w:r w:rsidRPr="00260745">
        <w:rPr>
          <w:lang w:val="en-US"/>
        </w:rPr>
        <w:t>Tg</w:t>
      </w:r>
      <w:proofErr w:type="spellEnd"/>
      <w:r w:rsidRPr="00260745">
        <w:rPr>
          <w:lang w:val="en-US"/>
        </w:rPr>
        <w:t xml:space="preserve"> yr</w:t>
      </w:r>
      <w:r w:rsidRPr="00260745">
        <w:rPr>
          <w:vertAlign w:val="superscript"/>
          <w:lang w:val="en-US"/>
        </w:rPr>
        <w:t>-1</w:t>
      </w:r>
      <w:r w:rsidRPr="00260745">
        <w:rPr>
          <w:lang w:val="en-US"/>
        </w:rPr>
        <w:t xml:space="preserve"> between 1980 and 1990 to 235.9 ±54.6 </w:t>
      </w:r>
      <w:proofErr w:type="spellStart"/>
      <w:r w:rsidRPr="00260745">
        <w:rPr>
          <w:lang w:val="en-US"/>
        </w:rPr>
        <w:t>Tg</w:t>
      </w:r>
      <w:proofErr w:type="spellEnd"/>
      <w:r w:rsidRPr="00260745">
        <w:rPr>
          <w:lang w:val="en-US"/>
        </w:rPr>
        <w:t xml:space="preserve"> yr</w:t>
      </w:r>
      <w:r w:rsidRPr="00260745">
        <w:rPr>
          <w:vertAlign w:val="superscript"/>
          <w:lang w:val="en-US"/>
        </w:rPr>
        <w:t>-1</w:t>
      </w:r>
      <w:r w:rsidRPr="00260745">
        <w:rPr>
          <w:lang w:val="en-US"/>
        </w:rPr>
        <w:t xml:space="preserve"> between 2085 to 2094. Despite little global change in NPP, significant regional change was detected, particularly in the subtropics. The Southwest Australian Shelf (</w:t>
      </w:r>
      <w:r w:rsidRPr="00260745">
        <w:rPr>
          <w:rFonts w:ascii="Calibri" w:eastAsia="Times New Roman" w:hAnsi="Calibri" w:cs="Times New Roman"/>
          <w:color w:val="000000"/>
          <w:lang w:eastAsia="en-GB"/>
        </w:rPr>
        <w:t>60.58 ± 65.27</w:t>
      </w:r>
      <w:r w:rsidRPr="00260745">
        <w:rPr>
          <w:lang w:val="en-US"/>
        </w:rPr>
        <w:t>%), the Warm Temperate Northeast Pacific (</w:t>
      </w:r>
      <w:r w:rsidRPr="00260745">
        <w:rPr>
          <w:rFonts w:ascii="Calibri" w:eastAsia="Times New Roman" w:hAnsi="Calibri" w:cs="Times New Roman"/>
          <w:color w:val="000000"/>
          <w:lang w:eastAsia="en-GB"/>
        </w:rPr>
        <w:t>43.75 ± 43.81</w:t>
      </w:r>
      <w:r w:rsidRPr="00260745">
        <w:rPr>
          <w:lang w:val="en-US"/>
        </w:rPr>
        <w:t>%) and the Warm Temperate Northwest Pacific (</w:t>
      </w:r>
      <w:r w:rsidRPr="00260745">
        <w:rPr>
          <w:rFonts w:ascii="Calibri" w:eastAsia="Times New Roman" w:hAnsi="Calibri" w:cs="Times New Roman"/>
          <w:color w:val="000000"/>
          <w:lang w:eastAsia="en-GB"/>
        </w:rPr>
        <w:t>31.55 ± 37.15</w:t>
      </w:r>
      <w:r w:rsidRPr="00260745">
        <w:rPr>
          <w:lang w:val="en-US"/>
        </w:rPr>
        <w:t>%) all increased their NPP by over one-third by the end of the 21</w:t>
      </w:r>
      <w:r w:rsidRPr="00260745">
        <w:rPr>
          <w:vertAlign w:val="superscript"/>
          <w:lang w:val="en-US"/>
        </w:rPr>
        <w:t>st</w:t>
      </w:r>
      <w:r w:rsidRPr="00260745">
        <w:rPr>
          <w:lang w:val="en-US"/>
        </w:rPr>
        <w:t xml:space="preserve"> century. Southeast Asian marine provinces, the Java Transitional province (11.45 ±4.14%) and the Western Coral Triangle (7.61 ± 6.39%) had significant decreases in NPP relative to historical rates. This study is the first to predict monthly global and regional mangrove NPP into the 21</w:t>
      </w:r>
      <w:r w:rsidRPr="00260745">
        <w:rPr>
          <w:vertAlign w:val="superscript"/>
          <w:lang w:val="en-US"/>
        </w:rPr>
        <w:t>st</w:t>
      </w:r>
      <w:r w:rsidRPr="00260745">
        <w:rPr>
          <w:lang w:val="en-US"/>
        </w:rPr>
        <w:t xml:space="preserve"> century. The models reveal significant regional changes not previously reported. These findings have implications for future mangrove carbon sequestration and coastal habitat carbon cycling. The relative shifts in NPP reported here would impinge on the input rates of mangrove derived organic matter and would greatly increase or decrease mangrove litter export to </w:t>
      </w:r>
      <w:proofErr w:type="spellStart"/>
      <w:r w:rsidRPr="00260745">
        <w:rPr>
          <w:lang w:val="en-US"/>
        </w:rPr>
        <w:t>neighbouring</w:t>
      </w:r>
      <w:proofErr w:type="spellEnd"/>
      <w:r w:rsidRPr="00260745">
        <w:rPr>
          <w:lang w:val="en-US"/>
        </w:rPr>
        <w:t xml:space="preserve"> ecosystems.</w:t>
      </w:r>
    </w:p>
    <w:p w14:paraId="415C7E3A" w14:textId="77777777" w:rsidR="00CF7991" w:rsidRDefault="00CF7991" w:rsidP="00CF7991">
      <w:pPr>
        <w:spacing w:line="480" w:lineRule="auto"/>
        <w:rPr>
          <w:b/>
          <w:bCs/>
          <w:sz w:val="28"/>
          <w:szCs w:val="28"/>
          <w:lang w:val="en-US"/>
        </w:rPr>
      </w:pPr>
    </w:p>
    <w:p w14:paraId="14634FA3" w14:textId="52AED248" w:rsidR="00CF7991" w:rsidRPr="001E65D6" w:rsidRDefault="00CF7991" w:rsidP="00CF7991">
      <w:pPr>
        <w:pStyle w:val="Heading2"/>
        <w:rPr>
          <w:rFonts w:cstheme="minorHAnsi"/>
          <w:b/>
          <w:bCs/>
          <w:lang w:val="en-US"/>
        </w:rPr>
      </w:pPr>
      <w:bookmarkStart w:id="27" w:name="_Toc120622116"/>
      <w:r w:rsidRPr="001E65D6">
        <w:rPr>
          <w:rFonts w:asciiTheme="minorHAnsi" w:hAnsiTheme="minorHAnsi" w:cstheme="minorHAnsi"/>
          <w:b/>
          <w:bCs/>
          <w:color w:val="auto"/>
          <w:lang w:val="en-US"/>
        </w:rPr>
        <w:lastRenderedPageBreak/>
        <w:t>3.2</w:t>
      </w:r>
      <w:r w:rsidRPr="001E65D6">
        <w:rPr>
          <w:rFonts w:asciiTheme="minorHAnsi" w:hAnsiTheme="minorHAnsi" w:cstheme="minorHAnsi"/>
          <w:b/>
          <w:bCs/>
          <w:color w:val="auto"/>
          <w:lang w:val="en-US"/>
        </w:rPr>
        <w:tab/>
        <w:t>Introduction</w:t>
      </w:r>
      <w:bookmarkEnd w:id="27"/>
      <w:r w:rsidRPr="001E65D6">
        <w:rPr>
          <w:rFonts w:asciiTheme="minorHAnsi" w:hAnsiTheme="minorHAnsi" w:cstheme="minorHAnsi"/>
          <w:b/>
          <w:bCs/>
          <w:color w:val="auto"/>
          <w:lang w:val="en-US"/>
        </w:rPr>
        <w:t xml:space="preserve"> </w:t>
      </w:r>
    </w:p>
    <w:p w14:paraId="40F2EE84" w14:textId="620F7F4F" w:rsidR="00CF7991" w:rsidRPr="00260745" w:rsidRDefault="00CF7991" w:rsidP="00CF7991">
      <w:pPr>
        <w:spacing w:line="480" w:lineRule="auto"/>
        <w:rPr>
          <w:rFonts w:cstheme="minorHAnsi"/>
          <w:highlight w:val="yellow"/>
          <w:lang w:val="en-US"/>
        </w:rPr>
      </w:pPr>
      <w:r w:rsidRPr="00260745">
        <w:rPr>
          <w:rFonts w:cstheme="minorHAnsi"/>
          <w:lang w:val="en-US"/>
        </w:rPr>
        <w:t xml:space="preserve">Mangroves are among the most productive forests in the world and play a major role in the global carbon cycle </w:t>
      </w:r>
      <w:r w:rsidRPr="00260745">
        <w:rPr>
          <w:rFonts w:cstheme="minorHAnsi"/>
          <w:lang w:val="en-US"/>
        </w:rPr>
        <w:fldChar w:fldCharType="begin" w:fldLock="1"/>
      </w:r>
      <w:r w:rsidR="008A48C6" w:rsidRPr="00260745">
        <w:rPr>
          <w:rFonts w:cstheme="minorHAnsi"/>
          <w:lang w:val="en-US"/>
        </w:rPr>
        <w:instrText>ADDIN CSL_CITATION {"citationItems":[{"id":"ITEM-1","itemData":{"DOI":"10.1007/978-1-4020-4271-3","ISBN":"9781402042706","abstract":"Despite their importance in sustaining livelihoods for many people living along some of the world's most populous coastlines, tropical mangrove forests are disappearing at an alarming rate. Occupying a crucial place between land and sea, these tidal ecosystems provide a valuable ecological and economic resource as important nursery grounds and breeding sites for many organisms, and as a renewable source of wood and traditional foods and medicines. Perhaps most importantly, they are accumulation sites for sediment, contaminants, carbon and nutrients, and offer significant protection against coastal erosion. This book presents a functional overview of mangrove forest ecosystems; how they live and grow at the edge of tropical seas, how they play a critical role along most of the world's tropical coasts, and how their future might look in a world affected by climate change. Such a process-oriented approach is necessary in order to further understand the role of these dynamic forests in ecosystem function, and as a first step towards developing adequate strategies for their conservation and sustainable use and management. The book will provide a valuable resource for researchers in mangrove ecology as well as reference for resource managers. © 2009 Springer Science + Business Media B.V.","author":[{"dropping-particle":"","family":"Alongi","given":"Daniel M.","non-dropping-particle":"","parse-names":false,"suffix":""}],"container-title":"The Energetics of Mangrove Forests","id":"ITEM-1","issued":{"date-parts":[["2009"]]},"number-of-pages":"1-216","publisher":"Springer Science &amp; Business Media","publisher-place":"New York","title":"The energetics of mangrove forests","type":"book"},"uris":["http://www.mendeley.com/documents/?uuid=cbb1df17-e857-4abd-95d9-5dd9e7b78cbc"]},{"id":"ITEM-2","itemData":{"DOI":"10.1029/2007GB003052","ISBN":"0886-6236","ISSN":"08866236","PMID":"208059789","abstract":"Mangrove forests are highly productive but globally threatened coastal ecosystems, whose role in the carbon budget of the coastal zone has long been debated. Here we provide a comprehensive synthesis of the available data on carbon fluxes in mangrove ecosystems. A reassessment of global mangrove primary production from the literature results in a conservative estimate of similar to 218 +/- 72 Tg C a(-1). When using the best available estimates of various carbon sinks (organic carbon export, sediment burial, and mineralization), it appears that &gt; 50% of the carbon fixed by mangrove vegetation is unaccounted for. This unaccounted carbon sink is conservatively estimated at similar to 112 +/- 85 Tg C a(-1), equivalent in magnitude to similar to 30-40% of the global riverine organic carbon input to the coastal zone. Our analysis suggests that mineralization is severely underestimated, and that the majority of carbon export from mangroves to adjacent waters occurs as dissolved inorganic carbon (DIC). CO(2) efflux from sediments and creek waters and tidal export of DIC appear to be the major sinks. These processes are quantitatively comparable in magnitude to the unaccounted carbon sink in current budgets, but are not yet adequately constrained with the limited published data available so far.","author":[{"dropping-particle":"","family":"Bouillon","given":"Steven","non-dropping-particle":"","parse-names":false,"suffix":""},{"dropping-particle":"V.","family":"Borges","given":"Alberto","non-dropping-particle":"","parse-names":false,"suffix":""},{"dropping-particle":"","family":"Castañeda-Moya","given":"Edward","non-dropping-particle":"","parse-names":false,"suffix":""},{"dropping-particle":"","family":"Diele","given":"Karen","non-dropping-particle":"","parse-names":false,"suffix":""},{"dropping-particle":"","family":"Dittmar","given":"Thorsten","non-dropping-particle":"","parse-names":false,"suffix":""},{"dropping-particle":"","family":"Duke","given":"Norman C.","non-dropping-particle":"","parse-names":false,"suffix":""},{"dropping-particle":"","family":"Kristensen","given":"Erik","non-dropping-particle":"","parse-names":false,"suffix":""},{"dropping-particle":"","family":"Lee","given":"Shing Y.","non-dropping-particle":"","parse-names":false,"suffix":""},{"dropping-particle":"","family":"Marchand","given":"Cyril","non-dropping-particle":"","parse-names":false,"suffix":""},{"dropping-particle":"","family":"Middelburg","given":"Jack J.","non-dropping-particle":"","parse-names":false,"suffix":""},{"dropping-particle":"","family":"Rivera-Monroy","given":"Victor H.","non-dropping-particle":"","parse-names":false,"suffix":""},{"dropping-particle":"","family":"Smith","given":"Thomas J.","non-dropping-particle":"","parse-names":false,"suffix":""},{"dropping-particle":"","family":"Twilley","given":"Robert R.","non-dropping-particle":"","parse-names":false,"suffix":""}],"container-title":"Global Biogeochemical Cycles","id":"ITEM-2","issue":"2","issued":{"date-parts":[["2008","6","9"]]},"title":"Mangrove production and carbon sinks: A revision of global budget estimates","type":"article-journal","volume":"22"},"uris":["http://www.mendeley.com/documents/?uuid=4c6861df-7364-4b1c-b518-f90c03ee1c54"]},{"id":"ITEM-3","itemData":{"DOI":"10.5194/bg-14-301-2017","ISSN":"17264189","abstract":"Vegetated coastal habitats, including seagrass and macroalgal beds, mangrove forests and salt marshes, form highly productive ecosystems, but their contribution to the global carbon budget remains overlooked, and these forests remain \"hidden\" in representations of the global carbon budget. Despite being confined to a narrow belt around the shoreline of the world's oceans, where they cover less than 7 million km2, vegetated coastal habitats support about 1 to 10 % of the global marine net primary production and generate a large organic carbon surplus of about 40 % of their net primary production (NPP), which is either buried in sediments within these habitats or exported away. Large, 10-fold uncertainties in the area covered by vegetated coastal habitats, along with variability about carbon flux estimates, result in a 10-fold bracket around the estimates of their contribution to organic carbon sequestration in sediments and the deep sea from 73 to 866 Tg C yr-1, representing between 3 % and 1/3 of oceanic CO2 uptake. Up to 1/2 of this carbon sequestration occurs in sink reservoirs (sediments or the deep sea) beyond these habitats. The organic carbon exported that does not reach depositional sites subsidizes the metabolism of heterotrophic organisms. In addition to a significant contribution to organic carbon production and sequestration, vegetated coastal habitats contribute as much to carbonate accumulation as coral reefs do. While globally relevant, the magnitude of global carbon fluxes supported by salt-marsh, mangrove, seagrass and macroalgal habitats is declining due to rapid habitat loss, contributing to loss of CO2 sequestration, storage capacity and carbon subsidies. Incorporating the carbon fluxes' vegetated coastal habitats' support into depictions of the carbon budget of the global ocean and its perturbations will improve current representations of the carbon budget of the global ocean.","author":[{"dropping-particle":"","family":"Duarte","given":"Carlos M.","non-dropping-particle":"","parse-names":false,"suffix":""}],"container-title":"Biogeosciences","id":"ITEM-3","issue":"2","issued":{"date-parts":[["2017"]]},"page":"301-310","title":"Reviews and syntheses: Hidden forests, the role of vegetated coastal habitats in the ocean carbon budget","type":"article-journal","volume":"14"},"uris":["http://www.mendeley.com/documents/?uuid=02f4563e-197e-4450-8148-45cc05c006d4"]}],"mendeley":{"formattedCitation":"(Alongi, 2009; Bouillon et al., 2008; Duarte, 2017)","plainTextFormattedCitation":"(Alongi, 2009; Bouillon et al., 2008; Duarte, 2017)","previouslyFormattedCitation":"(Alongi, 2009; Bouillon et al., 2008; Duarte, 2017)"},"properties":{"noteIndex":0},"schema":"https://github.com/citation-style-language/schema/raw/master/csl-citation.json"}</w:instrText>
      </w:r>
      <w:r w:rsidRPr="00260745">
        <w:rPr>
          <w:rFonts w:cstheme="minorHAnsi"/>
          <w:lang w:val="en-US"/>
        </w:rPr>
        <w:fldChar w:fldCharType="separate"/>
      </w:r>
      <w:r w:rsidR="008A48C6" w:rsidRPr="00260745">
        <w:rPr>
          <w:rFonts w:cstheme="minorHAnsi"/>
          <w:noProof/>
          <w:lang w:val="en-US"/>
        </w:rPr>
        <w:t>(Alongi, 2009; Bouillon et al., 2008; Duarte, 2017)</w:t>
      </w:r>
      <w:r w:rsidRPr="00260745">
        <w:rPr>
          <w:rFonts w:cstheme="minorHAnsi"/>
          <w:lang w:val="en-US"/>
        </w:rPr>
        <w:fldChar w:fldCharType="end"/>
      </w:r>
      <w:r w:rsidRPr="00260745">
        <w:rPr>
          <w:rFonts w:cstheme="minorHAnsi"/>
          <w:lang w:val="en-US"/>
        </w:rPr>
        <w:t xml:space="preserve">. While only comprising ~0.7% of tropical forests </w:t>
      </w:r>
      <w:r w:rsidRPr="00260745">
        <w:rPr>
          <w:rFonts w:cstheme="minorHAnsi"/>
          <w:lang w:val="en-US"/>
        </w:rPr>
        <w:fldChar w:fldCharType="begin" w:fldLock="1"/>
      </w:r>
      <w:r w:rsidRPr="00260745">
        <w:rPr>
          <w:rFonts w:cstheme="minorHAnsi"/>
          <w:lang w:val="en-US"/>
        </w:rPr>
        <w:instrText>ADDIN CSL_CITATION {"citationItems":[{"id":"ITEM-1","itemData":{"DOI":"10.1111/j.1466-8238.2010.00584.x","ISBN":"1466-822X","ISSN":"1466822X","abstract":"Aim Our scientific understanding of the extent and distribution of mangrove forests of the world is inadequate. The available global mangrove databases, com- piled using disparate geospatial data sources and national statistics, need to be improved.Here,we mapped the status and distributions of global mangroves using recently available Global Land Survey (GLS) data and the Landsat archive. Methods We interpreted approximately 1000 Landsat scenes using hybrid super- vised and unsupervised digital image classification techniques. Each image was normalized for variation in solar angle and earth–sun distance by converting the digital number values to the top-of-the-atmosphere reflectance.Ground truth data and existing maps and databases were used to select training samples and also for iterative labelling. Results were validated using existing GIS data and the published literature to map ‘true mangroves’. Results The total area of mangroves in the year 2000 was 137,760 km2 in 118 countries and territories in the tropical and subtropical regions of the world. Approximately 75% of world’s mangroves are found in just 15 countries, and only 6.9% are protected under the existing protected areas network (IUCN I-IV). Our study confirms earlier findings that the biogeographic distribution of mangroves is generally confined to the tropical and subtropical regions and the largest percentage of mangroves is found between 5° N and 5° S latitude. Main conclusions We report that the remaining area of mangrove forest in the world is less than previously thought. Our estimate is 12.3% smaller than the most recent estimate by the Food and Agriculture Organization (FAO) of the United Nations.We present the most comprehensive, globally consistent and highest resolution (30 m) global mangrove database ever created.We developed and used better mapping techniques and data sources and mapped mangroves with better spatial and thematic details than previous studies.","author":[{"dropping-particle":"","family":"Giri","given":"C.","non-dropping-particle":"","parse-names":false,"suffix":""},{"dropping-particle":"","family":"Ochieng","given":"E.","non-dropping-particle":"","parse-names":false,"suffix":""},{"dropping-particle":"","family":"Tieszen","given":"L. L.","non-dropping-particle":"","parse-names":false,"suffix":""},{"dropping-particle":"","family":"Zhu","given":"Z.","non-dropping-particle":"","parse-names":false,"suffix":""},{"dropping-particle":"","family":"Singh","given":"A.","non-dropping-particle":"","parse-names":false,"suffix":""},{"dropping-particle":"","family":"Loveland","given":"T.","non-dropping-particle":"","parse-names":false,"suffix":""},{"dropping-particle":"","family":"Masek","given":"J.","non-dropping-particle":"","parse-names":false,"suffix":""},{"dropping-particle":"","family":"Duke","given":"N.","non-dropping-particle":"","parse-names":false,"suffix":""}],"container-title":"Global Ecology and Biogeography","id":"ITEM-1","issue":"1","issued":{"date-parts":[["2011","1"]]},"page":"154-159","title":"Status and distribution of mangrove forests of the world using earth observation satellite data","type":"article-journal","volume":"20"},"uris":["http://www.mendeley.com/documents/?uuid=d12166ad-2257-38a1-8725-93fbc824ac73"]}],"mendeley":{"formattedCitation":"(Giri et al., 2011)","plainTextFormattedCitation":"(Giri et al., 2011)","previouslyFormattedCitation":"(Giri et al., 2011)"},"properties":{"noteIndex":0},"schema":"https://github.com/citation-style-language/schema/raw/master/csl-citation.json"}</w:instrText>
      </w:r>
      <w:r w:rsidRPr="00260745">
        <w:rPr>
          <w:rFonts w:cstheme="minorHAnsi"/>
          <w:lang w:val="en-US"/>
        </w:rPr>
        <w:fldChar w:fldCharType="separate"/>
      </w:r>
      <w:r w:rsidRPr="00260745">
        <w:rPr>
          <w:rFonts w:cstheme="minorHAnsi"/>
          <w:noProof/>
          <w:lang w:val="en-US"/>
        </w:rPr>
        <w:t>(Giri et al., 2011)</w:t>
      </w:r>
      <w:r w:rsidRPr="00260745">
        <w:rPr>
          <w:rFonts w:cstheme="minorHAnsi"/>
          <w:lang w:val="en-US"/>
        </w:rPr>
        <w:fldChar w:fldCharType="end"/>
      </w:r>
      <w:r w:rsidRPr="00260745">
        <w:rPr>
          <w:rFonts w:cstheme="minorHAnsi"/>
          <w:lang w:val="en-US"/>
        </w:rPr>
        <w:t xml:space="preserve"> they contribute between 10 and 15% to marine organic carbon burial </w:t>
      </w:r>
      <w:r w:rsidRPr="00260745">
        <w:rPr>
          <w:rFonts w:cstheme="minorHAnsi"/>
          <w:lang w:val="en-US"/>
        </w:rPr>
        <w:fldChar w:fldCharType="begin" w:fldLock="1"/>
      </w:r>
      <w:r w:rsidRPr="00260745">
        <w:rPr>
          <w:rFonts w:cstheme="minorHAnsi"/>
          <w:lang w:val="en-US"/>
        </w:rPr>
        <w:instrText>ADDIN CSL_CITATION {"citationItems":[{"id":"ITEM-1","itemData":{"DOI":"10.1016/j.aquabot.2007.12.005","ISBN":"0304-3770","ISSN":"03043770","PMID":"961","abstract":"Our current knowledge on production, composition, transport, pathways and transformations of organic carbon in tropical mangrove environments is reviewed and discussed. Organic carbon entering mangrove foodwebs is either produced autochthonously or imported by tides and/or rivers. Mangrove litter and benthic microalgae are usually the most important autochthonous carbon sources. Depending on local conditions, phytoplankton and seagrass detritus imported with tides may represent a significant supplementary carbon input. Litter handling by the fauna not only affects microbial carbon transformations, but also the amount of organic carbon available for export. Most mangrove detritus that enters the sediment is degraded by microorganisms. Aerobic respiration and anaerobic sulfate reduction are usually considered the most important microbial respiration processes, but recent evidence suggests that iron respiration may be important in mangrove sediments as well. Organic carbon that escapes microbial degradation is stored in sediments and in some mangrove ecosystems, organic-rich sediments may extend to several meters depth. Many mangrove forests also lose a significant fraction of their net primary production to coastal waters. Large differences occur between mangrove forests with respect to litter production and export. Mangrove-derived DOC is also released into the water column and can add to the total organic carbon export. Numerous compounds have been characterized from mangrove tissues, including carbohydrates, amino acids, lignin-derived phenols, tannins, fatty acids, triterpenoids and n-alkanes. Many of these may, together with stable isotopes, exhibit a strong source signature and are potentially useful tracers of mangrove-derived organic matter. Our knowledge on mangrove carbon dynamics has improved considerably in recent years, but there are still significant gaps and shortcomings. These are emphasized and relevant research directions are suggested. ?? 2007 Elsevier B.V. All rights reserved.","author":[{"dropping-particle":"","family":"Kristensen","given":"Erik","non-dropping-particle":"","parse-names":false,"suffix":""},{"dropping-particle":"","family":"Bouillon","given":"Steven","non-dropping-particle":"","parse-names":false,"suffix":""},{"dropping-particle":"","family":"Dittmar","given":"Thorsten","non-dropping-particle":"","parse-names":false,"suffix":""},{"dropping-particle":"","family":"Marchand","given":"Cyril","non-dropping-particle":"","parse-names":false,"suffix":""}],"container-title":"Aquatic Botany","id":"ITEM-1","issue":"2","issued":{"date-parts":[["2008"]]},"page":"201-219","title":"Organic carbon dynamics in mangrove ecosystems: A review","type":"article-journal","volume":"89"},"uris":["http://www.mendeley.com/documents/?uuid=662a71f6-6086-3fc9-9108-b7a4c2a67500"]}],"mendeley":{"formattedCitation":"(Kristensen et al., 2008)","plainTextFormattedCitation":"(Kristensen et al., 2008)","previouslyFormattedCitation":"(Kristensen et al., 2008)"},"properties":{"noteIndex":0},"schema":"https://github.com/citation-style-language/schema/raw/master/csl-citation.json"}</w:instrText>
      </w:r>
      <w:r w:rsidRPr="00260745">
        <w:rPr>
          <w:rFonts w:cstheme="minorHAnsi"/>
          <w:lang w:val="en-US"/>
        </w:rPr>
        <w:fldChar w:fldCharType="separate"/>
      </w:r>
      <w:r w:rsidRPr="00260745">
        <w:rPr>
          <w:rFonts w:cstheme="minorHAnsi"/>
          <w:noProof/>
          <w:lang w:val="en-US"/>
        </w:rPr>
        <w:t>(Kristensen et al., 2008)</w:t>
      </w:r>
      <w:r w:rsidRPr="00260745">
        <w:rPr>
          <w:rFonts w:cstheme="minorHAnsi"/>
          <w:lang w:val="en-US"/>
        </w:rPr>
        <w:fldChar w:fldCharType="end"/>
      </w:r>
      <w:r w:rsidRPr="00260745">
        <w:rPr>
          <w:rFonts w:cstheme="minorHAnsi"/>
          <w:lang w:val="en-US"/>
        </w:rPr>
        <w:t xml:space="preserve">. As a result, mangroves are considered significant carbon sinks, </w:t>
      </w:r>
      <w:r w:rsidR="00CB1E7E">
        <w:rPr>
          <w:rFonts w:cstheme="minorHAnsi"/>
          <w:lang w:val="en-US"/>
        </w:rPr>
        <w:t xml:space="preserve">termed ‘blue carbon’, and have received </w:t>
      </w:r>
      <w:r w:rsidRPr="00260745">
        <w:rPr>
          <w:rFonts w:cstheme="minorHAnsi"/>
          <w:lang w:val="en-US"/>
        </w:rPr>
        <w:t xml:space="preserve">much attention from policy makers as natural systems to mitigate climate change </w:t>
      </w:r>
      <w:r w:rsidRPr="00260745">
        <w:rPr>
          <w:rFonts w:cstheme="minorHAnsi"/>
          <w:lang w:val="en-US"/>
        </w:rPr>
        <w:fldChar w:fldCharType="begin" w:fldLock="1"/>
      </w:r>
      <w:r w:rsidR="008A48C6" w:rsidRPr="00260745">
        <w:rPr>
          <w:rFonts w:cstheme="minorHAnsi"/>
          <w:lang w:val="en-US"/>
        </w:rPr>
        <w:instrText xml:space="preserve">ADDIN CSL_CITATION {"citationItems":[{"id":"ITEM-1","itemData":{"DOI":"10.1016/j.ecoser.2019.101035","ISSN":"22120416","abstract":"Mangroves have generated considerable interest in forest carbon discourse given their disproportionately high carbon storage and sequestration potential compared to terrestrial habitats. Capitalising on this potential, however, remains largely unrealised due in part to an incomplete understanding of the full greenhouse gas mitigation benefits provided, particularly through changes in landuse where aquaculture ponds are converted back to mangroves. Here we address such uncertainties by estimating the overall net greenhouse offset potential from rehabilitating mangroves in Tiwoho, North Sulawesi (Indonesia). Estimates of both baseline emissions and sequestration as mangrove forests regrow after rehabilitation were assessed, with results contrasted against published data on established mangroves and terrestrial forest carbon projects registered with the Verified Carbon Standard. Additionally, net emissions removals and reductions from Tiwoho is scaled-up to the national level in order to estimate the contribution rehabilitation of disused ponds can make to climate change mitigation. We also monetarise potential returns generated to date and frame this against project implementation and opportunity costs. Our data indicates that, on average, Tiwoho's rehabilitating sites could potentially mitigate upwards of −27.6 ± 1.7 Mg CO2-e per hectare per year. This is upwards of 3 times that of other terrestrial forestry carbon projects and, assuming a voluntary carbon market price of USD $8.1 per Mg CO2-e per hectare for afforestation/reforestation projects, equates to recuperation of 76.2% of initial project implementation costs over approximately 10 years with an annual return of 7.6%. This return rate rivals that of most asset classes targeted by private sector investors. Scaling results to encompass the net emissions removals and reduction potential from rehabilitating the </w:instrText>
      </w:r>
      <w:r w:rsidR="008A48C6" w:rsidRPr="00260745">
        <w:rPr>
          <w:rFonts w:ascii="Cambria Math" w:hAnsi="Cambria Math" w:cs="Cambria Math"/>
          <w:lang w:val="en-US"/>
        </w:rPr>
        <w:instrText>∼</w:instrText>
      </w:r>
      <w:r w:rsidR="008A48C6" w:rsidRPr="00260745">
        <w:rPr>
          <w:rFonts w:cstheme="minorHAnsi"/>
          <w:lang w:val="en-US"/>
        </w:rPr>
        <w:instrText>600, 000 hectares of disused ponds in Indonesia may offset upwards of −16.56 ± 1.02 million Mg CO2-e per hectare per year. Additionally, mitigation benefits from rehabilitation may equate to 6 times that of terrestrial projects if situated in ponds displaying both high baseline emissions and high rates of re-growth whilst accounting for sequestration from benthic algae and the oceanic burial of dissolved inorganic carbon. These findings strengthen the evidence base needed for public and private sector support for mangrove rehabilitation within the forest carbon sector.","author":[{"dropping-particle":"","family":"Cameron","given":"Clint","non-dropping-particle":"","parse-names":false,"suffix":""},{"dropping-particle":"","family":"Hutley","given":"Lindsay B.","non-dropping-particle":"","parse-names":false,"suffix":""},{"dropping-particle":"","family":"Friess","given":"Daniel A.","non-dropping-particle":"","parse-names":false,"suffix":""},{"dropping-particle":"","family":"Brown","given":"Ben","non-dropping-particle":"","parse-names":false,"suffix":""}],"container-title":"Ecosystem Services","id":"ITEM-1","issued":{"date-parts":[["2019"]]},"title":"High greenhouse gas emissions mitigation benefits from mangrove rehabilitation in Sulawesi, Indonesia","type":"article-journal","volume":"40"},"uris":["http://www.mendeley.com/documents/?uuid=37df7189-2c91-473f-9386-68fa3bfc0954"]},{"id":"ITEM-2","itemData":{"DOI":"10.1038/nclimate2734","ISBN":"1758-678X","ISSN":"1758-678X","abstract":"Mangroves provide a wide range of ecosystem services, including nutrient cycling, soil formation, wood production, fish spawning grounds, ecotourism and carbon (C) storage 1 . High rates of tree and plant growth, coupled with anaerobic, water-logged soils that slow decomposition, result in large long-term C storage. Given their global significance as large sinks of C, preventing mangrove loss would be an eeective climate change adaptation and mitigation strategy. It has been reported that C stocks in the Indo-Pacific region contain on average 1,023 MgC ha −1 (ref. 2). Here, we estimate that In-donesian mangrove C stocks are 1,083 ± 378 MgC ha −1 . Scaled up to the country-level mangrove extent of 2.9 Mha (ref. 3), Indonesia's mangroves contained on average 3.14 PgC. In three decades Indonesia has lost 40% of its mangroves 4 , mainly as a result of aquaculture development 5 . This has resulted in annual emissions of 0.07–0.21 Pg CO 2 e. Annual mangrove deforesta-tion in Indonesia is only 6% of its total forest loss 6 ; however, if this were halted, total emissions would be reduced by an amount equal to 10–31% of estimated annual emissions from land-use sectors at present. Conservation of carbon-rich man-groves in the Indonesian archipelago should be a high-priority component of strategies to mitigate climate change. Globally, deforestation and conversion of mangroves has been shown to contribute 0.08–0.48 Pg CO 2 e yr −1 , or 10% of the total global emissions from tropical deforestation, even though man-groves account for only about 0.7% of the world's tropical forest area 2 . C losses from mangrove conversion can be high not only because of losses from aboveground C pools but also belowground pools. Potential C losses from mangroves converted to shrimp ponds in the Dominican Republic were 661–1,135 MgC ha −1 (ref. 7). In 1980, there were 4.2 Mha of mangrove forests along Indonesia's 95,000 km of coastline 3 . Over just 20 years mangrove forest cover had declined about 26%, to an estimated 3.1 Mha (ref. 8). In 2005, mangrove forest cover had further decreased to 2.9 Mha (ref. 3). On the basis of FAO data, cumulatively Indonesia has lost 30% of its mangrove forests between 1980 and 2005; this is equivalent to an annual deforestation rate of 1.24%. Recent estimates of Indonesia's mangrove cover suggest a total loss of 40% in the past three decades 4 . Aquaculture development was the main cause 5 , after it expanded rapidly in 1997–2005 and resulted in an o…","author":[{"dropping-particle":"","family":"Murdiyarso","given":"Daniel","non-dropping-particle":"","parse-names":false,"suffix":""},{"dropping-particle":"","family":"Purbopuspito","given":"Joko","non-dropping-particle":"","parse-names":false,"suffix":""},{"dropping-particle":"","family":"Kauffman","given":"J. Boone","non-dropping-particle":"","parse-names":false,"suffix":""},{"dropping-particle":"","family":"Warren","given":"Matthew W.","non-dropping-particle":"","parse-names":false,"suffix":""},{"dropping-particle":"","family":"Sasmito","given":"Sigit D.","non-dropping-particle":"","parse-names":false,"suffix":""},{"dropping-particle":"","family":"Donato","given":"Daniel C.","non-dropping-particle":"","parse-names":false,"suffix":""},{"dropping-particle":"","family":"Manuri","given":"Solichin","non-dropping-particle":"","parse-names":false,"suffix":""},{"dropping-particle":"","family":"Krisnawati","given":"Haruni","non-dropping-particle":"","parse-names":false,"suffix":""},{"dropping-particle":"","family":"Taberima","given":"Sartji","non-dropping-particle":"","parse-names":false,"suffix":""},{"dropping-particle":"","family":"Kurnianto","given":"Sofyan","non-dropping-particle":"","parse-names":false,"suffix":""}],"container-title":"Nature Climate Change","id":"ITEM-2","issue":"12","issued":{"date-parts":[["2015","7","27"]]},"page":"1089-1092","publisher":"Nature Research","title":"The potential of Indonesian mangrove forests for global climate change mitigation","type":"article-journal","volume":"5"},"uris":["http://www.mendeley.com/documents/?uuid=417e17a9-a027-38cc-a856-d90c8fb50285"]}],"mendeley":{"formattedCitation":"(Cameron et al., 2019; Murdiyarso et al., 2015)","plainTextFormattedCitation":"(Cameron et al., 2019; Murdiyarso et al., 2015)","previouslyFormattedCitation":"(Cameron et al., 2019; Murdiyarso et al., 2015)"},"properties":{"noteIndex":0},"schema":"https://github.com/citation-style-language/schema/raw/master/csl-citation.json"}</w:instrText>
      </w:r>
      <w:r w:rsidRPr="00260745">
        <w:rPr>
          <w:rFonts w:cstheme="minorHAnsi"/>
          <w:lang w:val="en-US"/>
        </w:rPr>
        <w:fldChar w:fldCharType="separate"/>
      </w:r>
      <w:r w:rsidR="008A48C6" w:rsidRPr="00260745">
        <w:rPr>
          <w:rFonts w:cstheme="minorHAnsi"/>
          <w:noProof/>
          <w:lang w:val="en-US"/>
        </w:rPr>
        <w:t>(Cameron et al., 2019; Murdiyarso et al., 2015)</w:t>
      </w:r>
      <w:r w:rsidRPr="00260745">
        <w:rPr>
          <w:rFonts w:cstheme="minorHAnsi"/>
          <w:lang w:val="en-US"/>
        </w:rPr>
        <w:fldChar w:fldCharType="end"/>
      </w:r>
      <w:r w:rsidRPr="00260745">
        <w:rPr>
          <w:rFonts w:cstheme="minorHAnsi"/>
          <w:lang w:val="en-US"/>
        </w:rPr>
        <w:t>.  Mangrove primary productivity is generally high in mangroves and can average 11 t DW ha</w:t>
      </w:r>
      <w:r w:rsidRPr="00260745">
        <w:rPr>
          <w:rFonts w:cstheme="minorHAnsi"/>
          <w:vertAlign w:val="superscript"/>
          <w:lang w:val="en-US"/>
        </w:rPr>
        <w:t>-1</w:t>
      </w:r>
      <w:r w:rsidRPr="00260745">
        <w:rPr>
          <w:rFonts w:cstheme="minorHAnsi"/>
          <w:lang w:val="en-US"/>
        </w:rPr>
        <w:t xml:space="preserve"> yr</w:t>
      </w:r>
      <w:r w:rsidRPr="00260745">
        <w:rPr>
          <w:rFonts w:cstheme="minorHAnsi"/>
          <w:vertAlign w:val="superscript"/>
          <w:lang w:val="en-US"/>
        </w:rPr>
        <w:t>-1</w:t>
      </w:r>
      <w:r w:rsidRPr="00260745">
        <w:rPr>
          <w:rFonts w:cstheme="minorHAnsi"/>
          <w:lang w:val="en-US"/>
        </w:rPr>
        <w:t xml:space="preserve"> in some regions </w:t>
      </w:r>
      <w:r w:rsidRPr="00260745">
        <w:rPr>
          <w:rFonts w:cstheme="minorHAnsi"/>
          <w:lang w:val="en-US"/>
        </w:rPr>
        <w:fldChar w:fldCharType="begin" w:fldLock="1"/>
      </w:r>
      <w:r w:rsidRPr="00260745">
        <w:rPr>
          <w:rFonts w:cstheme="minorHAnsi"/>
          <w:lang w:val="en-US"/>
        </w:rPr>
        <w:instrText>ADDIN CSL_CITATION {"citationItems":[{"id":"ITEM-1","itemData":{"DOI":"10.1007/978-1-4020-4271-3","ISBN":"9781402042706","abstract":"Despite their importance in sustaining livelihoods for many people living along some of the world's most populous coastlines, tropical mangrove forests are disappearing at an alarming rate. Occupying a crucial place between land and sea, these tidal ecosystems provide a valuable ecological and economic resource as important nursery grounds and breeding sites for many organisms, and as a renewable source of wood and traditional foods and medicines. Perhaps most importantly, they are accumulation sites for sediment, contaminants, carbon and nutrients, and offer significant protection against coastal erosion. This book presents a functional overview of mangrove forest ecosystems; how they live and grow at the edge of tropical seas, how they play a critical role along most of the world's tropical coasts, and how their future might look in a world affected by climate change. Such a process-oriented approach is necessary in order to further understand the role of these dynamic forests in ecosystem function, and as a first step towards developing adequate strategies for their conservation and sustainable use and management. The book will provide a valuable resource for researchers in mangrove ecology as well as reference for resource managers. © 2009 Springer Science + Business Media B.V.","author":[{"dropping-particle":"","family":"Alongi","given":"Daniel M.","non-dropping-particle":"","parse-names":false,"suffix":""}],"container-title":"The Energetics of Mangrove Forests","id":"ITEM-1","issued":{"date-parts":[["2009"]]},"number-of-pages":"1-216","publisher":"Springer Science &amp; Business Media","publisher-place":"New York","title":"The energetics of mangrove forests","type":"book"},"uris":["http://www.mendeley.com/documents/?uuid=cbb1df17-e857-4abd-95d9-5dd9e7b78cbc"]}],"mendeley":{"formattedCitation":"(Alongi, 2009)","plainTextFormattedCitation":"(Alongi, 2009)","previouslyFormattedCitation":"(Alongi, 2009)"},"properties":{"noteIndex":0},"schema":"https://github.com/citation-style-language/schema/raw/master/csl-citation.json"}</w:instrText>
      </w:r>
      <w:r w:rsidRPr="00260745">
        <w:rPr>
          <w:rFonts w:cstheme="minorHAnsi"/>
          <w:lang w:val="en-US"/>
        </w:rPr>
        <w:fldChar w:fldCharType="separate"/>
      </w:r>
      <w:r w:rsidRPr="00260745">
        <w:rPr>
          <w:rFonts w:cstheme="minorHAnsi"/>
          <w:noProof/>
          <w:lang w:val="en-US"/>
        </w:rPr>
        <w:t>(Alongi, 2009)</w:t>
      </w:r>
      <w:r w:rsidRPr="00260745">
        <w:rPr>
          <w:rFonts w:cstheme="minorHAnsi"/>
          <w:lang w:val="en-US"/>
        </w:rPr>
        <w:fldChar w:fldCharType="end"/>
      </w:r>
      <w:r w:rsidRPr="00260745">
        <w:rPr>
          <w:rFonts w:cstheme="minorHAnsi"/>
          <w:lang w:val="en-US"/>
        </w:rPr>
        <w:t xml:space="preserve">. With ten percent of the carbon buried in sediments attributed to this autochthonous productivity </w:t>
      </w:r>
      <w:r w:rsidRPr="00260745">
        <w:rPr>
          <w:rFonts w:cstheme="minorHAnsi"/>
          <w:lang w:val="en-US"/>
        </w:rPr>
        <w:fldChar w:fldCharType="begin" w:fldLock="1"/>
      </w:r>
      <w:r w:rsidRPr="00260745">
        <w:rPr>
          <w:rFonts w:cstheme="minorHAnsi"/>
          <w:lang w:val="en-US"/>
        </w:rPr>
        <w:instrText>ADDIN CSL_CITATION {"citationItems":[{"id":"ITEM-1","itemData":{"DOI":"10.1029/2007GB003052","ISBN":"0886-6236","ISSN":"08866236","PMID":"208059789","abstract":"Mangrove forests are highly productive but globally threatened coastal ecosystems, whose role in the carbon budget of the coastal zone has long been debated. Here we provide a comprehensive synthesis of the available data on carbon fluxes in mangrove ecosystems. A reassessment of global mangrove primary production from the literature results in a conservative estimate of similar to 218 +/- 72 Tg C a(-1). When using the best available estimates of various carbon sinks (organic carbon export, sediment burial, and mineralization), it appears that &gt; 50% of the carbon fixed by mangrove vegetation is unaccounted for. This unaccounted carbon sink is conservatively estimated at similar to 112 +/- 85 Tg C a(-1), equivalent in magnitude to similar to 30-40% of the global riverine organic carbon input to the coastal zone. Our analysis suggests that mineralization is severely underestimated, and that the majority of carbon export from mangroves to adjacent waters occurs as dissolved inorganic carbon (DIC). CO(2) efflux from sediments and creek waters and tidal export of DIC appear to be the major sinks. These processes are quantitatively comparable in magnitude to the unaccounted carbon sink in current budgets, but are not yet adequately constrained with the limited published data available so far.","author":[{"dropping-particle":"","family":"Bouillon","given":"Steven","non-dropping-particle":"","parse-names":false,"suffix":""},{"dropping-particle":"V.","family":"Borges","given":"Alberto","non-dropping-particle":"","parse-names":false,"suffix":""},{"dropping-particle":"","family":"Castañeda-Moya","given":"Edward","non-dropping-particle":"","parse-names":false,"suffix":""},{"dropping-particle":"","family":"Diele","given":"Karen","non-dropping-particle":"","parse-names":false,"suffix":""},{"dropping-particle":"","family":"Dittmar","given":"Thorsten","non-dropping-particle":"","parse-names":false,"suffix":""},{"dropping-particle":"","family":"Duke","given":"Norman C.","non-dropping-particle":"","parse-names":false,"suffix":""},{"dropping-particle":"","family":"Kristensen","given":"Erik","non-dropping-particle":"","parse-names":false,"suffix":""},{"dropping-particle":"","family":"Lee","given":"Shing Y.","non-dropping-particle":"","parse-names":false,"suffix":""},{"dropping-particle":"","family":"Marchand","given":"Cyril","non-dropping-particle":"","parse-names":false,"suffix":""},{"dropping-particle":"","family":"Middelburg","given":"Jack J.","non-dropping-particle":"","parse-names":false,"suffix":""},{"dropping-particle":"","family":"Rivera-Monroy","given":"Victor H.","non-dropping-particle":"","parse-names":false,"suffix":""},{"dropping-particle":"","family":"Smith","given":"Thomas J.","non-dropping-particle":"","parse-names":false,"suffix":""},{"dropping-particle":"","family":"Twilley","given":"Robert R.","non-dropping-particle":"","parse-names":false,"suffix":""}],"container-title":"Global Biogeochemical Cycles","id":"ITEM-1","issue":"2","issued":{"date-parts":[["2008","6","9"]]},"title":"Mangrove production and carbon sinks: A revision of global budget estimates","type":"article-journal","volume":"22"},"uris":["http://www.mendeley.com/documents/?uuid=4c6861df-7364-4b1c-b518-f90c03ee1c54"]}],"mendeley":{"formattedCitation":"(Bouillon et al., 2008)","plainTextFormattedCitation":"(Bouillon et al., 2008)","previouslyFormattedCitation":"(Bouillon et al., 2008)"},"properties":{"noteIndex":0},"schema":"https://github.com/citation-style-language/schema/raw/master/csl-citation.json"}</w:instrText>
      </w:r>
      <w:r w:rsidRPr="00260745">
        <w:rPr>
          <w:rFonts w:cstheme="minorHAnsi"/>
          <w:lang w:val="en-US"/>
        </w:rPr>
        <w:fldChar w:fldCharType="separate"/>
      </w:r>
      <w:r w:rsidRPr="00260745">
        <w:rPr>
          <w:rFonts w:cstheme="minorHAnsi"/>
          <w:noProof/>
          <w:lang w:val="en-US"/>
        </w:rPr>
        <w:t>(Bouillon et al., 2008)</w:t>
      </w:r>
      <w:r w:rsidRPr="00260745">
        <w:rPr>
          <w:rFonts w:cstheme="minorHAnsi"/>
          <w:lang w:val="en-US"/>
        </w:rPr>
        <w:fldChar w:fldCharType="end"/>
      </w:r>
      <w:r w:rsidRPr="00260745">
        <w:rPr>
          <w:rFonts w:cstheme="minorHAnsi"/>
          <w:lang w:val="en-US"/>
        </w:rPr>
        <w:t xml:space="preserve">, the Net Primary Production (NPP) of </w:t>
      </w:r>
      <w:r w:rsidR="00A2466E">
        <w:rPr>
          <w:rFonts w:cstheme="minorHAnsi"/>
          <w:lang w:val="en-US"/>
        </w:rPr>
        <w:t xml:space="preserve">humid tropical </w:t>
      </w:r>
      <w:r w:rsidRPr="00260745">
        <w:rPr>
          <w:rFonts w:cstheme="minorHAnsi"/>
          <w:lang w:val="en-US"/>
        </w:rPr>
        <w:t xml:space="preserve">mangroves has an important role to play in global carbon budgets and coastal ecological processes in general. Of the remaining mangrove production, ~40% is exported to neighboring habitats </w:t>
      </w:r>
      <w:r w:rsidRPr="00260745">
        <w:rPr>
          <w:rFonts w:cstheme="minorHAnsi"/>
          <w:lang w:val="en-US"/>
        </w:rPr>
        <w:fldChar w:fldCharType="begin" w:fldLock="1"/>
      </w:r>
      <w:r w:rsidRPr="00260745">
        <w:rPr>
          <w:rFonts w:cstheme="minorHAnsi"/>
          <w:lang w:val="en-US"/>
        </w:rPr>
        <w:instrText>ADDIN CSL_CITATION {"citationItems":[{"id":"ITEM-1","itemData":{"DOI":"10.1029/2007GB003052","ISBN":"0886-6236","ISSN":"08866236","PMID":"208059789","abstract":"Mangrove forests are highly productive but globally threatened coastal ecosystems, whose role in the carbon budget of the coastal zone has long been debated. Here we provide a comprehensive synthesis of the available data on carbon fluxes in mangrove ecosystems. A reassessment of global mangrove primary production from the literature results in a conservative estimate of similar to 218 +/- 72 Tg C a(-1). When using the best available estimates of various carbon sinks (organic carbon export, sediment burial, and mineralization), it appears that &gt; 50% of the carbon fixed by mangrove vegetation is unaccounted for. This unaccounted carbon sink is conservatively estimated at similar to 112 +/- 85 Tg C a(-1), equivalent in magnitude to similar to 30-40% of the global riverine organic carbon input to the coastal zone. Our analysis suggests that mineralization is severely underestimated, and that the majority of carbon export from mangroves to adjacent waters occurs as dissolved inorganic carbon (DIC). CO(2) efflux from sediments and creek waters and tidal export of DIC appear to be the major sinks. These processes are quantitatively comparable in magnitude to the unaccounted carbon sink in current budgets, but are not yet adequately constrained with the limited published data available so far.","author":[{"dropping-particle":"","family":"Bouillon","given":"Steven","non-dropping-particle":"","parse-names":false,"suffix":""},{"dropping-particle":"V.","family":"Borges","given":"Alberto","non-dropping-particle":"","parse-names":false,"suffix":""},{"dropping-particle":"","family":"Castañeda-Moya","given":"Edward","non-dropping-particle":"","parse-names":false,"suffix":""},{"dropping-particle":"","family":"Diele","given":"Karen","non-dropping-particle":"","parse-names":false,"suffix":""},{"dropping-particle":"","family":"Dittmar","given":"Thorsten","non-dropping-particle":"","parse-names":false,"suffix":""},{"dropping-particle":"","family":"Duke","given":"Norman C.","non-dropping-particle":"","parse-names":false,"suffix":""},{"dropping-particle":"","family":"Kristensen","given":"Erik","non-dropping-particle":"","parse-names":false,"suffix":""},{"dropping-particle":"","family":"Lee","given":"Shing Y.","non-dropping-particle":"","parse-names":false,"suffix":""},{"dropping-particle":"","family":"Marchand","given":"Cyril","non-dropping-particle":"","parse-names":false,"suffix":""},{"dropping-particle":"","family":"Middelburg","given":"Jack J.","non-dropping-particle":"","parse-names":false,"suffix":""},{"dropping-particle":"","family":"Rivera-Monroy","given":"Victor H.","non-dropping-particle":"","parse-names":false,"suffix":""},{"dropping-particle":"","family":"Smith","given":"Thomas J.","non-dropping-particle":"","parse-names":false,"suffix":""},{"dropping-particle":"","family":"Twilley","given":"Robert R.","non-dropping-particle":"","parse-names":false,"suffix":""}],"container-title":"Global Biogeochemical Cycles","id":"ITEM-1","issue":"2","issued":{"date-parts":[["2008","6","9"]]},"title":"Mangrove production and carbon sinks: A revision of global budget estimates","type":"article-journal","volume":"22"},"uris":["http://www.mendeley.com/documents/?uuid=4c6861df-7364-4b1c-b518-f90c03ee1c54"]},{"id":"ITEM-2","itemData":{"DOI":"10.1007/978-3-319-62206-4_5","ISBN":"9783319622064","abstract":"This chapter focuses on the net primary productivity and carbon (C) dynamics of mangrove wetlands as related to the potential to sequester atmospheric C in above- and belowground biomass and in the soil. We discuss the large variation in ecosystem properties across different coastal environmental settings and pay particular attention to global patterns of these ecosystem processes comparing the Atlantic-East-Pacific and Indo-West-Pacific biogeographic regions. Deltaic coasts have higher aboveground biomass (AGB) compared to other continental settings, but the highest average AGB was found in high oceanic islands. The global average rates of litter fall (NPPL) and (NPPW) wood production are about 6 t ha-1 yr-1 for aboveground net primary productivity (NPPA) of about 12 t ha-1 yr-1. The relative contribution of belowground allocation to soil C storage and wood production to total net primary productivity (NPPT) in mangrove wetlands has significant implications to net C exchange in these coastal forested wetlands. Examples are given to demonstrate that net ecosystem production (NEP) and net ecosystem carbon exchange for mangrove wetlands have implications to the debate on how coastal ecosystems influence the global C budget. Wood production is about 600 g dry mass m yr or about 300 gC m-2 yr-1. The average C sequestration in mangroves soils org(∆Sorg) is about 224 gC m yr. The sum of these two measures (NPPW + ∆Sorg) is an estimate of NEP at about 525 gC m-2 yr-1. A general conclusion based on these different approaches, and reviewing the existing global literature, is that NEP accumulates about 500 gC m-2 yr-1, equally distributed between wood production and soil C accumulation. The importance of above and belowground contributions to global estimates of C sequestration above- and belowground reinforces the need for a better understanding of biomass allocation in these systems. The net tidal exchange of inorganic and organic carbon is about 400 gC m-2 yr-1 with nearly equal distribution in these forms of carbon to coastal waters. It is not clear how the fate of this material may influence net carbon exchange in the coastal zone, which is a very active area of research. We also suggest that more information is needed on how the disturbance of mangrove wetlands, including their recovery, may influence net carbon flux in the coastal zone.","author":[{"dropping-particle":"","family":"Twilley","given":"Robert R.","non-dropping-particle":"","parse-names":false,"suffix":""},{"dropping-particle":"","family":"Castañeda-Moya","given":"Edward","non-dropping-particle":"","parse-names":false,"suffix":""},{"dropping-particle":"","family":"Rivera-Monroy","given":"Victor H.","non-dropping-particle":"","parse-names":false,"suffix":""},{"dropping-particle":"","family":"Rovai","given":"Andre","non-dropping-particle":"","parse-names":false,"suffix":""}],"container-title":"Mangrove Ecosystems: A Global Biogeographic Perspective: Structure, Function, and Services","id":"ITEM-2","issued":{"date-parts":[["2017"]]},"page":"113-162","title":"Productivity and carbon dynamics in mangrove wetlands","type":"chapter"},"uris":["http://www.mendeley.com/documents/?uuid=558d75c5-5721-4921-a5a0-772b73ae4589"]}],"mendeley":{"formattedCitation":"(Bouillon et al., 2008; Twilley et al., 2017)","plainTextFormattedCitation":"(Bouillon et al., 2008; Twilley et al., 2017)","previouslyFormattedCitation":"(Bouillon et al., 2008; Twilley et al., 2017)"},"properties":{"noteIndex":0},"schema":"https://github.com/citation-style-language/schema/raw/master/csl-citation.json"}</w:instrText>
      </w:r>
      <w:r w:rsidRPr="00260745">
        <w:rPr>
          <w:rFonts w:cstheme="minorHAnsi"/>
          <w:lang w:val="en-US"/>
        </w:rPr>
        <w:fldChar w:fldCharType="separate"/>
      </w:r>
      <w:r w:rsidRPr="00260745">
        <w:rPr>
          <w:rFonts w:cstheme="minorHAnsi"/>
          <w:noProof/>
          <w:lang w:val="en-US"/>
        </w:rPr>
        <w:t>(Bouillon et al., 2008; Twilley et al., 2017)</w:t>
      </w:r>
      <w:r w:rsidRPr="00260745">
        <w:rPr>
          <w:rFonts w:cstheme="minorHAnsi"/>
          <w:lang w:val="en-US"/>
        </w:rPr>
        <w:fldChar w:fldCharType="end"/>
      </w:r>
      <w:r w:rsidRPr="00260745">
        <w:rPr>
          <w:rFonts w:cstheme="minorHAnsi"/>
          <w:lang w:val="en-US"/>
        </w:rPr>
        <w:t xml:space="preserve">, while the remaining 50% of productivity is largely unaccounted for in carbon flow models (Bouillon et al., 2008). </w:t>
      </w:r>
    </w:p>
    <w:p w14:paraId="42B510AD" w14:textId="77777777" w:rsidR="00CF7991" w:rsidRPr="00260745" w:rsidRDefault="00CF7991" w:rsidP="00CF7991">
      <w:pPr>
        <w:spacing w:line="480" w:lineRule="auto"/>
        <w:rPr>
          <w:rFonts w:cstheme="minorHAnsi"/>
          <w:lang w:val="en-US"/>
        </w:rPr>
      </w:pPr>
    </w:p>
    <w:p w14:paraId="374D84B4" w14:textId="69754AD5" w:rsidR="00CF7991" w:rsidRPr="00260745" w:rsidRDefault="00CF7991" w:rsidP="00CF7991">
      <w:pPr>
        <w:spacing w:line="480" w:lineRule="auto"/>
        <w:rPr>
          <w:rFonts w:cstheme="minorHAnsi"/>
          <w:lang w:val="en-US"/>
        </w:rPr>
      </w:pPr>
      <w:r w:rsidRPr="00260745">
        <w:rPr>
          <w:rFonts w:cstheme="minorHAnsi"/>
          <w:lang w:val="en-US"/>
        </w:rPr>
        <w:t xml:space="preserve">Much of global and local differences in mangrove productivity can be explained by variation in coastal geomorphology, climatic and tidal setting </w:t>
      </w:r>
      <w:r w:rsidRPr="00260745">
        <w:rPr>
          <w:rFonts w:cstheme="minorHAnsi"/>
          <w:lang w:val="en-US"/>
        </w:rPr>
        <w:fldChar w:fldCharType="begin" w:fldLock="1"/>
      </w:r>
      <w:r w:rsidR="008A48C6" w:rsidRPr="00260745">
        <w:rPr>
          <w:rFonts w:cstheme="minorHAnsi"/>
          <w:lang w:val="en-US"/>
        </w:rPr>
        <w:instrText>ADDIN CSL_CITATION {"citationItems":[{"id":"ITEM-1","itemData":{"DOI":"10.1002/ecs2.2841","ISSN":"21508925","abstract":"Mangroves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-1","issue":"8","issued":{"date-parts":[["2019","8","22"]]},"publisher":"John Wiley &amp; Sons, Ltd","title":"Spatial variability of mangrove primary productivity in the neotropics","type":"article-journal","volume":"10"},"uris":["http://www.mendeley.com/documents/?uuid=e62cba23-c956-306d-a48f-a25ddc004d7f"]},{"id":"ITEM-2","itemData":{"DOI":"10.1007/978-3-319-62206-4_5","ISBN":"9783319622064","abstract":"This chapter focuses on the net primary productivity and carbon (C) dynamics of mangrove wetlands as related to the potential to sequester atmospheric C in above- and belowground biomass and in the soil. We discuss the large variation in ecosystem properties across different coastal environmental settings and pay particular attention to global patterns of these ecosystem processes comparing the Atlantic-East-Pacific and Indo-West-Pacific biogeographic regions. Deltaic coasts have higher aboveground biomass (AGB) compared to other continental settings, but the highest average AGB was found in high oceanic islands. The global average rates of litter fall (NPPL) and (NPPW) wood production are about 6 t ha-1 yr-1 for aboveground net primary productivity (NPPA) of about 12 t ha-1 yr-1. The relative contribution of belowground allocation to soil C storage and wood production to total net primary productivity (NPPT) in mangrove wetlands has significant implications to net C exchange in these coastal forested wetlands. Examples are given to demonstrate that net ecosystem production (NEP) and net ecosystem carbon exchange for mangrove wetlands have implications to the debate on how coastal ecosystems influence the global C budget. Wood production is about 600 g dry mass m yr or about 300 gC m-2 yr-1. The average C sequestration in mangroves soils org(∆Sorg) is about 224 gC m yr. The sum of these two measures (NPPW + ∆Sorg) is an estimate of NEP at about 525 gC m-2 yr-1. A general conclusion based on these different approaches, and reviewing the existing global literature, is that NEP accumulates about 500 gC m-2 yr-1, equally distributed between wood production and soil C accumulation. The importance of above and belowground contributions to global estimates of C sequestration above- and belowground reinforces the need for a better understanding of biomass allocation in these systems. The net tidal exchange of inorganic and organic carbon is about 400 gC m-2 yr-1 with nearly equal distribution in these forms of carbon to coastal waters. It is not clear how the fate of this material may influence net carbon exchange in the coastal zone, which is a very active area of research. We also suggest that more information is needed on how the disturbance of mangrove wetlands, including their recovery, may influence net carbon flux in the coastal zone.","author":[{"dropping-particle":"","family":"Twilley","given":"Robert R.","non-dropping-particle":"","parse-names":false,"suffix":""},{"dropping-particle":"","family":"Castañeda-Moya","given":"Edward","non-dropping-particle":"","parse-names":false,"suffix":""},{"dropping-particle":"","family":"Rivera-Monroy","given":"Victor H.","non-dropping-particle":"","parse-names":false,"suffix":""},{"dropping-particle":"","family":"Rovai","given":"Andre","non-dropping-particle":"","parse-names":false,"suffix":""}],"container-title":"Mangrove Ecosystems: A Global Biogeographic Perspective: Structure, Function, and Services","id":"ITEM-2","issued":{"date-parts":[["2017"]]},"page":"113-162","title":"Productivity and carbon dynamics in mangrove wetlands","type":"chapter"},"uris":["http://www.mendeley.com/documents/?uuid=558d75c5-5721-4921-a5a0-772b73ae4589"]}],"mendeley":{"formattedCitation":"(Ribeiro et al., 2019; Twilley et al., 2017)","plainTextFormattedCitation":"(Ribeiro et al., 2019; Twilley et al., 2017)","previouslyFormattedCitation":"(Ribeiro et al., 2019; Twilley et al., 2017)"},"properties":{"noteIndex":0},"schema":"https://github.com/citation-style-language/schema/raw/master/csl-citation.json"}</w:instrText>
      </w:r>
      <w:r w:rsidRPr="00260745">
        <w:rPr>
          <w:rFonts w:cstheme="minorHAnsi"/>
          <w:lang w:val="en-US"/>
        </w:rPr>
        <w:fldChar w:fldCharType="separate"/>
      </w:r>
      <w:r w:rsidR="008A48C6" w:rsidRPr="00260745">
        <w:rPr>
          <w:rFonts w:cstheme="minorHAnsi"/>
          <w:noProof/>
          <w:lang w:val="en-US"/>
        </w:rPr>
        <w:t>(Ribeiro et al., 2019; Twilley et al., 2017)</w:t>
      </w:r>
      <w:r w:rsidRPr="00260745">
        <w:rPr>
          <w:rFonts w:cstheme="minorHAnsi"/>
          <w:lang w:val="en-US"/>
        </w:rPr>
        <w:fldChar w:fldCharType="end"/>
      </w:r>
      <w:r w:rsidRPr="00260745">
        <w:rPr>
          <w:rFonts w:cstheme="minorHAnsi"/>
          <w:lang w:val="en-US"/>
        </w:rPr>
        <w:t xml:space="preserve">. Mangroves that grow where riverine inputs and tidal ranges are elevated are more productive than mangroves elsewhere </w:t>
      </w:r>
      <w:r w:rsidRPr="00260745">
        <w:rPr>
          <w:rFonts w:cstheme="minorHAnsi"/>
          <w:lang w:val="en-US"/>
        </w:rPr>
        <w:fldChar w:fldCharType="begin" w:fldLock="1"/>
      </w:r>
      <w:r w:rsidRPr="00260745">
        <w:rPr>
          <w:rFonts w:cstheme="minorHAnsi"/>
          <w:lang w:val="en-US"/>
        </w:rPr>
        <w:instrText>ADDIN CSL_CITATION {"citationItems":[{"id":"ITEM-1","itemData":{"DOI":"10.1002/ecs2.2841","ISSN":"21508925","abstract":"Mangroves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-1","issue":"8","issued":{"date-parts":[["2019","8","22"]]},"publisher":"John Wiley &amp; Sons, Ltd","title":"Spatial variability of mangrove primary productivity in the neotropics","type":"article-journal","volume":"10"},"uris":["http://www.mendeley.com/documents/?uuid=e62cba23-c956-306d-a48f-a25ddc004d7f"]},{"id":"ITEM-2","itemData":{"DOI":"10.1111/conl.12060","ISBN":"1755-263X","ISSN":"1755263X","abstract":"Understanding spatial variation in carbon storage in natural habitats is critical for climate change mitigation efforts such as REDD. Terrestrial forests are being mapped with increasing accuracy, but the distribution of ``blue carbon'' in marine ecosystems remains poorly understood. We reviewed the literature to obtain field data on carbon storage and fluxes in mangroves world-wide. Using this material we developed a climate-based model for potential mangrove above-ground biomass (AGB) with almost four times the explanatory power of the only previous published model. From this model, we present the first ever global map of potential mangrove AGB and estimate a total global mangrove AGB of 2.83 Pg, with an average of 184.8 t ha−1. Data on other carbon stocks and fluxes confirm the importance of mangroves in carbon accounting. The map highlights the high variability in mangrove AGB and indicates areas that should be prioritised for mangrove conservation and restoration.","author":[{"dropping-particle":"","family":"Hutchison","given":"James","non-dropping-particle":"","parse-names":false,"suffix":""},{"dropping-particle":"","family":"Manica","given":"Andrea","non-dropping-particle":"","parse-names":false,"suffix":""},{"dropping-particle":"","family":"Swetnam","given":"Ruth","non-dropping-particle":"","parse-names":false,"suffix":""},{"dropping-particle":"","family":"Balmford","given":"Andrew","non-dropping-particle":"","parse-names":false,"suffix":""},{"dropping-particle":"","family":"Spalding","given":"Mark","non-dropping-particle":"","parse-names":false,"suffix":""}],"container-title":"Conservation Letters","id":"ITEM-2","issue":"3","issued":{"date-parts":[["2014","5"]]},"page":"233-240","title":"Predicting global patterns in mangrove forest biomass","type":"article-journal","volume":"7"},"uris":["http://www.mendeley.com/documents/?uuid=c0cc1011-f931-3578-8f2c-56c7f7c458c6"]}],"mendeley":{"formattedCitation":"(Hutchison et al., 2014; Ribeiro et al., 2019)","plainTextFormattedCitation":"(Hutchison et al., 2014; Ribeiro et al., 2019)","previouslyFormattedCitation":"(Hutchison et al., 2014; Ribeiro et al., 2019)"},"properties":{"noteIndex":0},"schema":"https://github.com/citation-style-language/schema/raw/master/csl-citation.json"}</w:instrText>
      </w:r>
      <w:r w:rsidRPr="00260745">
        <w:rPr>
          <w:rFonts w:cstheme="minorHAnsi"/>
          <w:lang w:val="en-US"/>
        </w:rPr>
        <w:fldChar w:fldCharType="separate"/>
      </w:r>
      <w:r w:rsidRPr="00260745">
        <w:rPr>
          <w:rFonts w:cstheme="minorHAnsi"/>
          <w:noProof/>
          <w:lang w:val="en-US"/>
        </w:rPr>
        <w:t>(Hutchison et al., 2014; Ribeiro et al., 2019)</w:t>
      </w:r>
      <w:r w:rsidRPr="00260745">
        <w:rPr>
          <w:rFonts w:cstheme="minorHAnsi"/>
          <w:lang w:val="en-US"/>
        </w:rPr>
        <w:fldChar w:fldCharType="end"/>
      </w:r>
      <w:r w:rsidRPr="00260745">
        <w:rPr>
          <w:rFonts w:cstheme="minorHAnsi"/>
          <w:lang w:val="en-US"/>
        </w:rPr>
        <w:t>. Periodic flushing from river discharge and/or tidal inundation increases nutrient availability</w:t>
      </w:r>
      <w:r w:rsidR="00A41483">
        <w:rPr>
          <w:rFonts w:cstheme="minorHAnsi"/>
          <w:lang w:val="en-US"/>
        </w:rPr>
        <w:t xml:space="preserve"> as mangroves usually suffer from nitrogen and phosphorus limitation</w:t>
      </w:r>
      <w:r w:rsidRPr="00260745">
        <w:rPr>
          <w:rFonts w:cstheme="minorHAnsi"/>
          <w:lang w:val="en-US"/>
        </w:rPr>
        <w:t xml:space="preserve"> </w:t>
      </w:r>
      <w:r w:rsidR="00F16D17">
        <w:rPr>
          <w:rFonts w:cstheme="minorHAnsi"/>
          <w:lang w:val="en-US"/>
        </w:rPr>
        <w:fldChar w:fldCharType="begin" w:fldLock="1"/>
      </w:r>
      <w:r w:rsidR="00DF4DFE">
        <w:rPr>
          <w:rFonts w:cstheme="minorHAnsi"/>
          <w:lang w:val="en-US"/>
        </w:rPr>
        <w:instrText>ADDIN CSL_CITATION {"citationItems":[{"id":"ITEM-1","itemData":{"DOI":"10.1046/j.0269-8463.2004.00805.x","ISSN":"02698463","abstract":"1. Dwarf stands of the mangrove Rhizophora mangle L. are extensive in the Caribbean. We fertilized dwarf trees in Almirante Bay, Bocas del Toro Province, north-eastern Panama with nitrogen (N) and phosphorus (P) to determine (1) if growth limitations are due to nutrient deficiency; and (2) what morphological and/or physiological factors underlie nutrient limitations to growth. 2. Shoot growth was 10-fold when fertilized with P and twofold with N fertilization, indicating that stunted growth of these mangroves is partially due to nutrient deficiency. 3. Growth enhancements caused by N or P enrichment could not be attributed to increases in photosynthesis on a leaf area basis, although photosynthetic nutrient-use efficiency was improved. The most dramatic effect was on stem hydraulic conductance, which was increased sixfold by P and 2-5-fold with N enrichment. Fertilization with P enhanced leaf and stem P concentrations and reduced C:N ratio, but did not alter leaf damage by herbivores. 4. Our findings indicate that addition of N and P significantly alter tree growth and internal nutrient dynamics of mangroves at Bocas del Toro, but also that the magnitude, pattern and mechanisms of change will be differentially affected by each nutrient.","author":[{"dropping-particle":"","family":"Lovelock","given":"C. E.","non-dropping-particle":"","parse-names":false,"suffix":""},{"dropping-particle":"","family":"Feller","given":"I. C.","non-dropping-particle":"","parse-names":false,"suffix":""},{"dropping-particle":"","family":"McKee","given":"K. L.","non-dropping-particle":"","parse-names":false,"suffix":""},{"dropping-particle":"","family":"Engelbrecht","given":"B. M.J.","non-dropping-particle":"","parse-names":false,"suffix":""},{"dropping-particle":"","family":"Ball","given":"M. C.","non-dropping-particle":"","parse-names":false,"suffix":""}],"container-title":"Functional Ecology","id":"ITEM-1","issue":"1","issued":{"date-parts":[["2004"]]},"page":"25-33","title":"The effect of nutrient enrichment on growth, photosynthesis and hydraulic conductance of dwarf mangroves in Panamá","type":"article-journal","volume":"18"},"uris":["http://www.mendeley.com/documents/?uuid=5b108396-936f-4e26-a0e9-56d57e7d5a0e"]}],"mendeley":{"formattedCitation":"(Lovelock et al., 2004)","plainTextFormattedCitation":"(Lovelock et al., 2004)","previouslyFormattedCitation":"(Lovelock et al., 2004)"},"properties":{"noteIndex":0},"schema":"https://github.com/citation-style-language/schema/raw/master/csl-citation.json"}</w:instrText>
      </w:r>
      <w:r w:rsidR="00F16D17">
        <w:rPr>
          <w:rFonts w:cstheme="minorHAnsi"/>
          <w:lang w:val="en-US"/>
        </w:rPr>
        <w:fldChar w:fldCharType="separate"/>
      </w:r>
      <w:r w:rsidR="00F16D17" w:rsidRPr="00F16D17">
        <w:rPr>
          <w:rFonts w:cstheme="minorHAnsi"/>
          <w:noProof/>
          <w:lang w:val="en-US"/>
        </w:rPr>
        <w:t>(Lovelock et al., 2004)</w:t>
      </w:r>
      <w:r w:rsidR="00F16D17">
        <w:rPr>
          <w:rFonts w:cstheme="minorHAnsi"/>
          <w:lang w:val="en-US"/>
        </w:rPr>
        <w:fldChar w:fldCharType="end"/>
      </w:r>
      <w:r w:rsidR="00A41483">
        <w:rPr>
          <w:rFonts w:cstheme="minorHAnsi"/>
          <w:lang w:val="en-US"/>
        </w:rPr>
        <w:t xml:space="preserve"> </w:t>
      </w:r>
      <w:r w:rsidRPr="00260745">
        <w:rPr>
          <w:rFonts w:cstheme="minorHAnsi"/>
          <w:lang w:val="en-US"/>
        </w:rPr>
        <w:t xml:space="preserve">and reduces soil salinity to promote greater productivity </w:t>
      </w:r>
      <w:r w:rsidRPr="00260745">
        <w:rPr>
          <w:rFonts w:cstheme="minorHAnsi"/>
          <w:lang w:val="en-US"/>
        </w:rPr>
        <w:fldChar w:fldCharType="begin" w:fldLock="1"/>
      </w:r>
      <w:r w:rsidRPr="00260745">
        <w:rPr>
          <w:rFonts w:cstheme="minorHAnsi"/>
          <w:lang w:val="en-US"/>
        </w:rPr>
        <w:instrText>ADDIN CSL_CITATION {"citationItems":[{"id":"ITEM-1","itemData":{"DOI":"10.1007/BF02786526","author":[{"dropping-particle":"","family":"Castañeda-Moya","given":"E.","non-dropping-particle":"","parse-names":false,"suffix":""},{"dropping-particle":"","family":"Rivera-Monroy","given":"V.H.","non-dropping-particle":"","parse-names":false,"suffix":""},{"dropping-particle":"","family":"Twilley","given":"R.R.","non-dropping-particle":"","parse-names":false,"suffix":""}],"container-title":"Estuaries &amp; Coasts","id":"ITEM-1","issued":{"date-parts":[["2006"]]},"title":"Mangrove zonation in the dry life zone of the Gulf of Fonseca, Honduras","type":"article-journal"},"uris":["http://www.mendeley.com/documents/?uuid=42d31222-b644-44e3-b757-5447692fabc8"]},{"id":"ITEM-2","itemData":{"DOI":"10.1002/ecs2.2841","ISSN":"21508925","abstract":"Mangroves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-2","issue":"8","issued":{"date-parts":[["2019","8","22"]]},"publisher":"John Wiley &amp; Sons, Ltd","title":"Spatial variability of mangrove primary productivity in the neotropics","type":"article-journal","volume":"10"},"uris":["http://www.mendeley.com/documents/?uuid=e62cba23-c956-306d-a48f-a25ddc004d7f"]}],"mendeley":{"formattedCitation":"(Castañeda-Moya et al., 2006; Ribeiro et al., 2019)","plainTextFormattedCitation":"(Castañeda-Moya et al., 2006; Ribeiro et al., 2019)","previouslyFormattedCitation":"(Castañeda-Moya et al., 2006; Ribeiro et al., 2019)"},"properties":{"noteIndex":0},"schema":"https://github.com/citation-style-language/schema/raw/master/csl-citation.json"}</w:instrText>
      </w:r>
      <w:r w:rsidRPr="00260745">
        <w:rPr>
          <w:rFonts w:cstheme="minorHAnsi"/>
          <w:lang w:val="en-US"/>
        </w:rPr>
        <w:fldChar w:fldCharType="separate"/>
      </w:r>
      <w:r w:rsidRPr="00260745">
        <w:rPr>
          <w:rFonts w:cstheme="minorHAnsi"/>
          <w:noProof/>
          <w:lang w:val="en-US"/>
        </w:rPr>
        <w:t>(Castañeda-Moya et al., 2006; Ribeiro et al., 2019)</w:t>
      </w:r>
      <w:r w:rsidRPr="00260745">
        <w:rPr>
          <w:rFonts w:cstheme="minorHAnsi"/>
          <w:lang w:val="en-US"/>
        </w:rPr>
        <w:fldChar w:fldCharType="end"/>
      </w:r>
      <w:r w:rsidRPr="00260745">
        <w:rPr>
          <w:rFonts w:cstheme="minorHAnsi"/>
          <w:lang w:val="en-US"/>
        </w:rPr>
        <w:t xml:space="preserve">. Large scale patterns in mangrove NPP align with gradients in climatic </w:t>
      </w:r>
      <w:r w:rsidRPr="00260745">
        <w:rPr>
          <w:rFonts w:cstheme="minorHAnsi"/>
          <w:lang w:val="en-US"/>
        </w:rPr>
        <w:lastRenderedPageBreak/>
        <w:t xml:space="preserve">variables </w:t>
      </w:r>
      <w:r w:rsidRPr="00260745">
        <w:rPr>
          <w:rFonts w:cstheme="minorHAnsi"/>
          <w:lang w:val="en-US"/>
        </w:rPr>
        <w:fldChar w:fldCharType="begin" w:fldLock="1"/>
      </w:r>
      <w:r w:rsidRPr="00260745">
        <w:rPr>
          <w:rFonts w:cstheme="minorHAnsi"/>
          <w:lang w:val="en-US"/>
        </w:rPr>
        <w:instrText>ADDIN CSL_CITATION {"citationItems":[{"id":"ITEM-1","itemData":{"DOI":"10.1029/2007GB003052","ISBN":"0886-6236","ISSN":"08866236","PMID":"208059789","abstract":"Mangrove forests are highly productive but globally threatened coastal ecosystems, whose role in the carbon budget of the coastal zone has long been debated. Here we provide a comprehensive synthesis of the available data on carbon fluxes in mangrove ecosystems. A reassessment of global mangrove primary production from the literature results in a conservative estimate of similar to 218 +/- 72 Tg C a(-1). When using the best available estimates of various carbon sinks (organic carbon export, sediment burial, and mineralization), it appears that &gt; 50% of the carbon fixed by mangrove vegetation is unaccounted for. This unaccounted carbon sink is conservatively estimated at similar to 112 +/- 85 Tg C a(-1), equivalent in magnitude to similar to 30-40% of the global riverine organic carbon input to the coastal zone. Our analysis suggests that mineralization is severely underestimated, and that the majority of carbon export from mangroves to adjacent waters occurs as dissolved inorganic carbon (DIC). CO(2) efflux from sediments and creek waters and tidal export of DIC appear to be the major sinks. These processes are quantitatively comparable in magnitude to the unaccounted carbon sink in current budgets, but are not yet adequately constrained with the limited published data available so far.","author":[{"dropping-particle":"","family":"Bouillon","given":"Steven","non-dropping-particle":"","parse-names":false,"suffix":""},{"dropping-particle":"V.","family":"Borges","given":"Alberto","non-dropping-particle":"","parse-names":false,"suffix":""},{"dropping-particle":"","family":"Castañeda-Moya","given":"Edward","non-dropping-particle":"","parse-names":false,"suffix":""},{"dropping-particle":"","family":"Diele","given":"Karen","non-dropping-particle":"","parse-names":false,"suffix":""},{"dropping-particle":"","family":"Dittmar","given":"Thorsten","non-dropping-particle":"","parse-names":false,"suffix":""},{"dropping-particle":"","family":"Duke","given":"Norman C.","non-dropping-particle":"","parse-names":false,"suffix":""},{"dropping-particle":"","family":"Kristensen","given":"Erik","non-dropping-particle":"","parse-names":false,"suffix":""},{"dropping-particle":"","family":"Lee","given":"Shing Y.","non-dropping-particle":"","parse-names":false,"suffix":""},{"dropping-particle":"","family":"Marchand","given":"Cyril","non-dropping-particle":"","parse-names":false,"suffix":""},{"dropping-particle":"","family":"Middelburg","given":"Jack J.","non-dropping-particle":"","parse-names":false,"suffix":""},{"dropping-particle":"","family":"Rivera-Monroy","given":"Victor H.","non-dropping-particle":"","parse-names":false,"suffix":""},{"dropping-particle":"","family":"Smith","given":"Thomas J.","non-dropping-particle":"","parse-names":false,"suffix":""},{"dropping-particle":"","family":"Twilley","given":"Robert R.","non-dropping-particle":"","parse-names":false,"suffix":""}],"container-title":"Global Biogeochemical Cycles","id":"ITEM-1","issue":"2","issued":{"date-parts":[["2008","6","9"]]},"title":"Mangrove production and carbon sinks: A revision of global budget estimates","type":"article-journal","volume":"22"},"uris":["http://www.mendeley.com/documents/?uuid=4c6861df-7364-4b1c-b518-f90c03ee1c54"]},{"id":"ITEM-2","itemData":{"DOI":"10.1038/s41561-018-0279-1","ISSN":"1752-0894","author":[{"dropping-particle":"","family":"Simard","given":"M","non-dropping-particle":"","parse-names":false,"suffix":""},{"dropping-particle":"","family":"Fatoyinbo","given":"T","non-dropping-particle":"","parse-names":false,"suffix":""},{"dropping-particle":"","family":"Smetanka","given":"C","non-dropping-particle":"","parse-names":false,"suffix":""},{"dropping-particle":"","family":"Rivera-Monroy","given":"V","non-dropping-particle":"","parse-names":false,"suffix":""},{"dropping-particle":"","family":"Castaneda-Moya","given":"E","non-dropping-particle":"","parse-names":false,"suffix":""},{"dropping-particle":"","family":"Thomas","given":"N","non-dropping-particle":"","parse-names":false,"suffix":""},{"dropping-particle":"","family":"Stocken","given":"T","non-dropping-particle":"Van der","parse-names":false,"suffix":""}],"container-title":"Nature Geoscience","id":"ITEM-2","issued":{"date-parts":[["2019"]]},"page":"40-45","title":"Mangrove canopy height globally related to precipitation, temperature and cyclone frequency","type":"article-journal","volume":"12"},"uris":["http://www.mendeley.com/documents/?uuid=c193cdd2-1a70-43c9-a844-79490daf0667"]},{"id":"ITEM-3","itemData":{"DOI":"10.1016/B978-0-444-63893-9.00021-6","ISBN":"9780444638939","abstract":"Mangrove-dominated estuaries and coastlines contribute significantly to biogeochemical processes at local, regional, and global scales. This review will utilize multiple conceptual models to test how mangrove geomorphological settings (muddy, estuarine, and carbonate coasts) are related to patterns of nutrient biogeochemistry and how disturbances influence these processes over time and space. The ecogeomorphology model describes mangrove wetlands along a hierarchical scale from local multigradient interactions to regional sedimentary environments and to global patterns of climatic and biogeographic constraints. As an example, nitrogen is potentially limiting in many locations where sediment deposition provides sufficient soil phosphorus (P) density to saturate growth conditions, whereas P is more limiting in karstic mangrove settings, reflecting the influence of geomorphological setting on the ecology of mangrove wetlands. Next, the geochemical model provides ecological links along fringe and inland zones where resource and regulator gradients across soil redox zones vary with depth and season. These models can be used in combination to explain biogeochemical variation among coastal settings, such as sulfate reduction and iron availability affecting growth conditions as either a regulator (i.e., sulfide as a plant stressor) or resource (i.e., P availability).","author":[{"dropping-particle":"","family":"Twilley","given":"Robert R.","non-dropping-particle":"","parse-names":false,"suffix":""},{"dropping-particle":"","family":"Rivera-Monroy","given":"Victor H.","non-dropping-particle":"","parse-names":false,"suffix":""},{"dropping-particle":"","family":"Rovai","given":"Andre S.","non-dropping-particle":"","parse-names":false,"suffix":""},{"dropping-particle":"","family":"Castañeda-Moya","given":"Edward","non-dropping-particle":"","parse-names":false,"suffix":""},{"dropping-particle":"","family":"Davis","given":"Stephen","non-dropping-particle":"","parse-names":false,"suffix":""}],"container-title":"Coastal Wetlands: An Integrated Ecosystem Approach","id":"ITEM-3","issued":{"date-parts":[["2019"]]},"page":"717-785","title":"Mangrove biogeochemistry at local to global scales using ecogeomorphic approaches","type":"chapter"},"uris":["http://www.mendeley.com/documents/?uuid=97bb4544-cbb9-4268-8aa8-48d0f219ea6d"]},{"id":"ITEM-4","itemData":{"DOI":"10.1002/ecs2.2841","ISSN":"21508925","abstract":"Mangroves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-4","issue":"8","issued":{"date-parts":[["2019","8","22"]]},"publisher":"John Wiley &amp; Sons, Ltd","title":"Spatial variability of mangrove primary productivity in the neotropics","type":"article-journal","volume":"10"},"uris":["http://www.mendeley.com/documents/?uuid=e62cba23-c956-306d-a48f-a25ddc004d7f"]}],"mendeley":{"formattedCitation":"(Bouillon et al., 2008; Ribeiro et al., 2019; Simard et al., 2019; Twilley et al., 2019)","plainTextFormattedCitation":"(Bouillon et al., 2008; Ribeiro et al., 2019; Simard et al., 2019; Twilley et al., 2019)","previouslyFormattedCitation":"(Bouillon et al., 2008; Ribeiro et al., 2019; Simard et al., 2019; Twilley et al., 2019)"},"properties":{"noteIndex":0},"schema":"https://github.com/citation-style-language/schema/raw/master/csl-citation.json"}</w:instrText>
      </w:r>
      <w:r w:rsidRPr="00260745">
        <w:rPr>
          <w:rFonts w:cstheme="minorHAnsi"/>
          <w:lang w:val="en-US"/>
        </w:rPr>
        <w:fldChar w:fldCharType="separate"/>
      </w:r>
      <w:r w:rsidRPr="00260745">
        <w:rPr>
          <w:rFonts w:cstheme="minorHAnsi"/>
          <w:noProof/>
          <w:lang w:val="en-US"/>
        </w:rPr>
        <w:t>(Bouillon et al., 2008; Ribeiro et al., 2019; Simard et al., 2019; Twilley et al., 2019)</w:t>
      </w:r>
      <w:r w:rsidRPr="00260745">
        <w:rPr>
          <w:rFonts w:cstheme="minorHAnsi"/>
          <w:lang w:val="en-US"/>
        </w:rPr>
        <w:fldChar w:fldCharType="end"/>
      </w:r>
      <w:r w:rsidRPr="00260745">
        <w:rPr>
          <w:rFonts w:cstheme="minorHAnsi"/>
          <w:lang w:val="en-US"/>
        </w:rPr>
        <w:t xml:space="preserve">. Globally, humid tropical regions are associated with higher mangrove productivity, as evidenced by high leaf litterfall rates, which is the most commonly used proxy for mangrove productivity </w:t>
      </w:r>
      <w:r w:rsidRPr="00260745">
        <w:rPr>
          <w:rFonts w:cstheme="minorHAnsi"/>
          <w:lang w:val="en-US"/>
        </w:rPr>
        <w:fldChar w:fldCharType="begin" w:fldLock="1"/>
      </w:r>
      <w:r w:rsidRPr="00260745">
        <w:rPr>
          <w:rFonts w:cstheme="minorHAnsi"/>
          <w:lang w:val="en-US"/>
        </w:rPr>
        <w:instrText>ADDIN CSL_CITATION {"citationItems":[{"id":"ITEM-1","itemData":{"DOI":"10.1007/978-3-319-62206-4_5","ISBN":"9783319622064","abstract":"This chapter focuses on the net primary productivity and carbon (C) dynamics of mangrove wetlands as related to the potential to sequester atmospheric C in above- and belowground biomass and in the soil. We discuss the large variation in ecosystem properties across different coastal environmental settings and pay particular attention to global patterns of these ecosystem processes comparing the Atlantic-East-Pacific and Indo-West-Pacific biogeographic regions. Deltaic coasts have higher aboveground biomass (AGB) compared to other continental settings, but the highest average AGB was found in high oceanic islands. The global average rates of litter fall (NPPL) and (NPPW) wood production are about 6 t ha-1 yr-1 for aboveground net primary productivity (NPPA) of about 12 t ha-1 yr-1. The relative contribution of belowground allocation to soil C storage and wood production to total net primary productivity (NPPT) in mangrove wetlands has significant implications to net C exchange in these coastal forested wetlands. Examples are given to demonstrate that net ecosystem production (NEP) and net ecosystem carbon exchange for mangrove wetlands have implications to the debate on how coastal ecosystems influence the global C budget. Wood production is about 600 g dry mass m yr or about 300 gC m-2 yr-1. The average C sequestration in mangroves soils org(∆Sorg) is about 224 gC m yr. The sum of these two measures (NPPW + ∆Sorg) is an estimate of NEP at about 525 gC m-2 yr-1. A general conclusion based on these different approaches, and reviewing the existing global literature, is that NEP accumulates about 500 gC m-2 yr-1, equally distributed between wood production and soil C accumulation. The importance of above and belowground contributions to global estimates of C sequestration above- and belowground reinforces the need for a better understanding of biomass allocation in these systems. The net tidal exchange of inorganic and organic carbon is about 400 gC m-2 yr-1 with nearly equal distribution in these forms of carbon to coastal waters. It is not clear how the fate of this material may influence net carbon exchange in the coastal zone, which is a very active area of research. We also suggest that more information is needed on how the disturbance of mangrove wetlands, including their recovery, may influence net carbon flux in the coastal zone.","author":[{"dropping-particle":"","family":"Twilley","given":"Robert R.","non-dropping-particle":"","parse-names":false,"suffix":""},{"dropping-particle":"","family":"Castañeda-Moya","given":"Edward","non-dropping-particle":"","parse-names":false,"suffix":""},{"dropping-particle":"","family":"Rivera-Monroy","given":"Victor H.","non-dropping-particle":"","parse-names":false,"suffix":""},{"dropping-particle":"","family":"Rovai","given":"Andre","non-dropping-particle":"","parse-names":false,"suffix":""}],"container-title":"Mangrove Ecosystems: A Global Biogeographic Perspective: Structure, Function, and Services","id":"ITEM-1","issued":{"date-parts":[["2017"]]},"page":"113-162","title":"Productivity and carbon dynamics in mangrove wetlands","type":"chapter"},"uris":["http://www.mendeley.com/documents/?uuid=558d75c5-5721-4921-a5a0-772b73ae4589"]}],"mendeley":{"formattedCitation":"(Twilley et al., 2017)","plainTextFormattedCitation":"(Twilley et al., 2017)","previouslyFormattedCitation":"(Twilley et al., 2017)"},"properties":{"noteIndex":0},"schema":"https://github.com/citation-style-language/schema/raw/master/csl-citation.json"}</w:instrText>
      </w:r>
      <w:r w:rsidRPr="00260745">
        <w:rPr>
          <w:rFonts w:cstheme="minorHAnsi"/>
          <w:lang w:val="en-US"/>
        </w:rPr>
        <w:fldChar w:fldCharType="separate"/>
      </w:r>
      <w:r w:rsidRPr="00260745">
        <w:rPr>
          <w:rFonts w:cstheme="minorHAnsi"/>
          <w:noProof/>
          <w:lang w:val="en-US"/>
        </w:rPr>
        <w:t>(Twilley et al., 2017)</w:t>
      </w:r>
      <w:r w:rsidRPr="00260745">
        <w:rPr>
          <w:rFonts w:cstheme="minorHAnsi"/>
          <w:lang w:val="en-US"/>
        </w:rPr>
        <w:fldChar w:fldCharType="end"/>
      </w:r>
      <w:r w:rsidRPr="00260745">
        <w:rPr>
          <w:rFonts w:cstheme="minorHAnsi"/>
          <w:lang w:val="en-US"/>
        </w:rPr>
        <w:t>. For instance, daily litterfall rates in the hyper-arid mangroves of Egypt (0.6 g m</w:t>
      </w:r>
      <w:r w:rsidRPr="00260745">
        <w:rPr>
          <w:rFonts w:cstheme="minorHAnsi"/>
          <w:vertAlign w:val="superscript"/>
          <w:lang w:val="en-US"/>
        </w:rPr>
        <w:t>2</w:t>
      </w:r>
      <w:r w:rsidRPr="00260745">
        <w:rPr>
          <w:rFonts w:cstheme="minorHAnsi"/>
          <w:lang w:val="en-US"/>
        </w:rPr>
        <w:t xml:space="preserve"> d</w:t>
      </w:r>
      <w:r w:rsidRPr="00260745">
        <w:rPr>
          <w:rFonts w:cstheme="minorHAnsi"/>
          <w:vertAlign w:val="superscript"/>
          <w:lang w:val="en-US"/>
        </w:rPr>
        <w:t>-1</w:t>
      </w:r>
      <w:r w:rsidRPr="00260745">
        <w:rPr>
          <w:rFonts w:cstheme="minorHAnsi"/>
          <w:lang w:val="en-US"/>
        </w:rPr>
        <w:t>), which receives only ~40 mm rain per year, are less than one-sixth (14.6%) of those in Papua New Guinea (3.9 g m</w:t>
      </w:r>
      <w:r w:rsidRPr="00260745">
        <w:rPr>
          <w:rFonts w:cstheme="minorHAnsi"/>
          <w:vertAlign w:val="superscript"/>
          <w:lang w:val="en-US"/>
        </w:rPr>
        <w:t>2</w:t>
      </w:r>
      <w:r w:rsidRPr="00260745">
        <w:rPr>
          <w:rFonts w:cstheme="minorHAnsi"/>
          <w:lang w:val="en-US"/>
        </w:rPr>
        <w:t xml:space="preserve"> d</w:t>
      </w:r>
      <w:r w:rsidRPr="00260745">
        <w:rPr>
          <w:rFonts w:cstheme="minorHAnsi"/>
          <w:vertAlign w:val="superscript"/>
          <w:lang w:val="en-US"/>
        </w:rPr>
        <w:t>-1</w:t>
      </w:r>
      <w:r w:rsidRPr="00260745">
        <w:rPr>
          <w:rFonts w:cstheme="minorHAnsi"/>
          <w:lang w:val="en-US"/>
        </w:rPr>
        <w:t xml:space="preserve">), where annual precipitation is approximately 100 times higher (~4000 mm) </w:t>
      </w:r>
      <w:r w:rsidRPr="00260745">
        <w:rPr>
          <w:rFonts w:cstheme="minorHAnsi"/>
          <w:lang w:val="en-US"/>
        </w:rPr>
        <w:fldChar w:fldCharType="begin" w:fldLock="1"/>
      </w:r>
      <w:r w:rsidR="008A48C6" w:rsidRPr="00260745">
        <w:rPr>
          <w:rFonts w:cstheme="minorHAnsi"/>
          <w:lang w:val="en-US"/>
        </w:rPr>
        <w:instrText>ADDIN CSL_CITATION {"citationItems":[{"id":"ITEM-1","itemData":{"DOI":"10.1016/0304-3770(85)90067-1","ISSN":"03043770","abstract":"Productivity, as measured by litter trapping, of a mangrove dominated by Rhizophora stylosa Griff. at Motupore Island (lat. 9° 31′34′́S; long. 147° 17 $ ́02' E) was 1430 g dry weight m-2 year-1. This is a high figure when compared with other studied mangrove sites. Phenological data were obtained for R. stylosa, R. apiculata Blume and Sonneratia alba Smith. All species have a major leaf fall in the wet season. Flowering in both Rhizophora species is greatest during the wet season, but S. alba peaks during the dry season. Leaf emergence data were only available for R. stylosa and these appeared to be trimodal. Correlations were calculated for each component with rainfall, wind run, maximum temperature and minimum temperature. Some significant correlations were obtained with rainfall and maximum temperature. These correlations are discussed and it is suggested that the seasonality of mangrove phenologies needs to be considered in terms of whole tree physiology rather than isolated environmental factors. © 1985.","author":[{"dropping-particle":"","family":"Leach","given":"G. J.","non-dropping-particle":"","parse-names":false,"suffix":""},{"dropping-particle":"","family":"Burgin","given":"S.","non-dropping-particle":"","parse-names":false,"suffix":""}],"container-title":"Aquatic Botany","id":"ITEM-1","issue":"3","issued":{"date-parts":[["1985"]]},"page":"215-224","title":"Litter production and seasonality of mangroves in Papua New Guinea","type":"article-journal","volume":"23"},"uris":["http://www.mendeley.com/documents/?uuid=90d61cc1-92cb-4c66-9aa3-cdab0af8ed14"]},{"id":"ITEM-2","itemData":{"DOI":"10.21608/ejabf.2010.2063","ISSN":"2536-9814","abstract":"his study was conducted on a naturally growing mangrove population at Ras Mohammed and Nabq protected areas, South Sinai, during the period 2005-2006. Avicennia marina is the only growing mangrove species in South Sinai. Its structure, litterfall and seedling distribution were investigated. The total area of mangrove stands is 99.1 hectares with 42% canopy coverage, average tree height is between 1.7 -2.6 m, basal area up to 9.2 m 2 . ha -1 . Ras Mohammed represents the densest stand (428 stems ha -1). An annual litterfall of 2036.7 Kg. ha -1 . yr -1 was recorded at Rowaiseya with a maximum peak during April. Mangroves at Nabq area have well distribution of seedlings over Abu Zabad site and a localized dense aggregation of seedlings in intertidal areas at Monqataa and Gharqana sites with a seedling density up to 1848 ha -1 .","author":[{"dropping-particle":"","family":"Gab-Alla","given":"Ali","non-dropping-particle":"","parse-names":false,"suffix":""},{"dropping-particle":"","family":"Fouda","given":"Moustafa","non-dropping-particle":"","parse-names":false,"suffix":""},{"dropping-particle":"","family":"Morsy","given":"Waleed","non-dropping-particle":"","parse-names":false,"suffix":""}],"container-title":"Egyptian Journal of Aquatic Biology and Fisheries","id":"ITEM-2","issue":"2","issued":{"date-parts":[["2010"]]},"page":"79-93","title":"Ecology of Avicennia marina mangals along Gulf of Aqaba, South Sinai, Red Sea","type":"article-journal","volume":"14"},"uris":["http://www.mendeley.com/documents/?uuid=6c0f0e0d-6cfc-4d8d-91a4-2c6787b79b76"]}],"mendeley":{"formattedCitation":"(Gab-Alla et al., 2010; Leach and Burgin, 1985)","plainTextFormattedCitation":"(Gab-Alla et al., 2010; Leach and Burgin, 1985)","previouslyFormattedCitation":"(Gab-Alla et al., 2010; Leach and Burgin, 1985)"},"properties":{"noteIndex":0},"schema":"https://github.com/citation-style-language/schema/raw/master/csl-citation.json"}</w:instrText>
      </w:r>
      <w:r w:rsidRPr="00260745">
        <w:rPr>
          <w:rFonts w:cstheme="minorHAnsi"/>
          <w:lang w:val="en-US"/>
        </w:rPr>
        <w:fldChar w:fldCharType="separate"/>
      </w:r>
      <w:r w:rsidR="008A48C6" w:rsidRPr="00260745">
        <w:rPr>
          <w:rFonts w:cstheme="minorHAnsi"/>
          <w:noProof/>
          <w:lang w:val="en-US"/>
        </w:rPr>
        <w:t>(Gab-Alla et al., 2010; Leach and Burgin, 1985)</w:t>
      </w:r>
      <w:r w:rsidRPr="00260745">
        <w:rPr>
          <w:rFonts w:cstheme="minorHAnsi"/>
          <w:lang w:val="en-US"/>
        </w:rPr>
        <w:fldChar w:fldCharType="end"/>
      </w:r>
      <w:r w:rsidRPr="00260745">
        <w:rPr>
          <w:rFonts w:cstheme="minorHAnsi"/>
          <w:lang w:val="en-US"/>
        </w:rPr>
        <w:t xml:space="preserve">. Temperature is another important predictor of NPP </w:t>
      </w:r>
      <w:r w:rsidR="00E10E9E">
        <w:rPr>
          <w:rFonts w:cstheme="minorHAnsi"/>
          <w:lang w:val="en-US"/>
        </w:rPr>
        <w:t xml:space="preserve">and </w:t>
      </w:r>
      <w:r w:rsidR="00AD69D8">
        <w:rPr>
          <w:rFonts w:cstheme="minorHAnsi"/>
          <w:lang w:val="en-US"/>
        </w:rPr>
        <w:t>can</w:t>
      </w:r>
      <w:r w:rsidRPr="00260745">
        <w:rPr>
          <w:rFonts w:cstheme="minorHAnsi"/>
          <w:lang w:val="en-US"/>
        </w:rPr>
        <w:t xml:space="preserve"> limit mangrove productivity at the extremities of their global distribution </w:t>
      </w:r>
      <w:r w:rsidRPr="00260745">
        <w:rPr>
          <w:rFonts w:cstheme="minorHAnsi"/>
          <w:lang w:val="en-US"/>
        </w:rPr>
        <w:fldChar w:fldCharType="begin" w:fldLock="1"/>
      </w:r>
      <w:r w:rsidRPr="00260745">
        <w:rPr>
          <w:rFonts w:cstheme="minorHAnsi"/>
          <w:lang w:val="en-US"/>
        </w:rPr>
        <w:instrText>ADDIN CSL_CITATION {"citationItems":[{"id":"ITEM-1","itemData":{"DOI":"10.1111/ddi.13119","author":[{"dropping-particle":"","family":"Osland","given":"MJ","non-dropping-particle":"","parse-names":false,"suffix":""},{"dropping-particle":"","family":"Day","given":"RH","non-dropping-particle":"","parse-names":false,"suffix":""},{"dropping-particle":"","family":"Michot","given":"TC","non-dropping-particle":"","parse-names":false,"suffix":""}],"container-title":"Biodiversity Research","id":"ITEM-1","issued":{"date-parts":[["2020"]]},"page":"1366-1382","title":"Frequency of extreme freeze events controls the distribution and structure of black mangroves (Avicennia germinans) near their northern range limit in coastal Louisiana","type":"article-journal","volume":"26"},"uris":["http://www.mendeley.com/documents/?uuid=43b042a7-5e61-4223-b9c1-46210c53a14c"]},{"id":"ITEM-2","itemData":{"DOI":"10.1029/2007GB003052","ISBN":"0886-6236","ISSN":"08866236","PMID":"208059789","abstract":"Mangrove forests are highly productive but globally threatened coastal ecosystems, whose role in the carbon budget of the coastal zone has long been debated. Here we provide a comprehensive synthesis of the available data on carbon fluxes in mangrove ecosystems. A reassessment of global mangrove primary production from the literature results in a conservative estimate of similar to 218 +/- 72 Tg C a(-1). When using the best available estimates of various carbon sinks (organic carbon export, sediment burial, and mineralization), it appears that &gt; 50% of the carbon fixed by mangrove vegetation is unaccounted for. This unaccounted carbon sink is conservatively estimated at similar to 112 +/- 85 Tg C a(-1), equivalent in magnitude to similar to 30-40% of the global riverine organic carbon input to the coastal zone. Our analysis suggests that mineralization is severely underestimated, and that the majority of carbon export from mangroves to adjacent waters occurs as dissolved inorganic carbon (DIC). CO(2) efflux from sediments and creek waters and tidal export of DIC appear to be the major sinks. These processes are quantitatively comparable in magnitude to the unaccounted carbon sink in current budgets, but are not yet adequately constrained with the limited published data available so far.","author":[{"dropping-particle":"","family":"Bouillon","given":"Steven","non-dropping-particle":"","parse-names":false,"suffix":""},{"dropping-particle":"V.","family":"Borges","given":"Alberto","non-dropping-particle":"","parse-names":false,"suffix":""},{"dropping-particle":"","family":"Castañeda-Moya","given":"Edward","non-dropping-particle":"","parse-names":false,"suffix":""},{"dropping-particle":"","family":"Diele","given":"Karen","non-dropping-particle":"","parse-names":false,"suffix":""},{"dropping-particle":"","family":"Dittmar","given":"Thorsten","non-dropping-particle":"","parse-names":false,"suffix":""},{"dropping-particle":"","family":"Duke","given":"Norman C.","non-dropping-particle":"","parse-names":false,"suffix":""},{"dropping-particle":"","family":"Kristensen","given":"Erik","non-dropping-particle":"","parse-names":false,"suffix":""},{"dropping-particle":"","family":"Lee","given":"Shing Y.","non-dropping-particle":"","parse-names":false,"suffix":""},{"dropping-particle":"","family":"Marchand","given":"Cyril","non-dropping-particle":"","parse-names":false,"suffix":""},{"dropping-particle":"","family":"Middelburg","given":"Jack J.","non-dropping-particle":"","parse-names":false,"suffix":""},{"dropping-particle":"","family":"Rivera-Monroy","given":"Victor H.","non-dropping-particle":"","parse-names":false,"suffix":""},{"dropping-particle":"","family":"Smith","given":"Thomas J.","non-dropping-particle":"","parse-names":false,"suffix":""},{"dropping-particle":"","family":"Twilley","given":"Robert R.","non-dropping-particle":"","parse-names":false,"suffix":""}],"container-title":"Global Biogeochemical Cycles","id":"ITEM-2","issue":"2","issued":{"date-parts":[["2008","6","9"]]},"title":"Mangrove production and carbon sinks: A revision of global budget estimates","type":"article-journal","volume":"22"},"uris":["http://www.mendeley.com/documents/?uuid=4c6861df-7364-4b1c-b518-f90c03ee1c54"]}],"mendeley":{"formattedCitation":"(Bouillon et al., 2008; Osland et al., 2020)","plainTextFormattedCitation":"(Bouillon et al., 2008; Osland et al., 2020)","previouslyFormattedCitation":"(Bouillon et al., 2008; Osland et al., 2020)"},"properties":{"noteIndex":0},"schema":"https://github.com/citation-style-language/schema/raw/master/csl-citation.json"}</w:instrText>
      </w:r>
      <w:r w:rsidRPr="00260745">
        <w:rPr>
          <w:rFonts w:cstheme="minorHAnsi"/>
          <w:lang w:val="en-US"/>
        </w:rPr>
        <w:fldChar w:fldCharType="separate"/>
      </w:r>
      <w:r w:rsidRPr="00260745">
        <w:rPr>
          <w:rFonts w:cstheme="minorHAnsi"/>
          <w:noProof/>
          <w:lang w:val="en-US"/>
        </w:rPr>
        <w:t>(Bouillon et al., 2008; Osland et al., 2020)</w:t>
      </w:r>
      <w:r w:rsidRPr="00260745">
        <w:rPr>
          <w:rFonts w:cstheme="minorHAnsi"/>
          <w:lang w:val="en-US"/>
        </w:rPr>
        <w:fldChar w:fldCharType="end"/>
      </w:r>
      <w:r w:rsidRPr="00260745">
        <w:rPr>
          <w:rFonts w:cstheme="minorHAnsi"/>
          <w:lang w:val="en-US"/>
        </w:rPr>
        <w:t>.</w:t>
      </w:r>
      <w:r w:rsidR="00303692">
        <w:rPr>
          <w:rFonts w:cstheme="minorHAnsi"/>
          <w:lang w:val="en-US"/>
        </w:rPr>
        <w:t xml:space="preserve"> Thus</w:t>
      </w:r>
      <w:r w:rsidR="00E61D0E">
        <w:rPr>
          <w:rFonts w:cstheme="minorHAnsi"/>
          <w:lang w:val="en-US"/>
        </w:rPr>
        <w:t>,</w:t>
      </w:r>
      <w:r w:rsidR="00303692">
        <w:rPr>
          <w:rFonts w:cstheme="minorHAnsi"/>
          <w:lang w:val="en-US"/>
        </w:rPr>
        <w:t xml:space="preserve"> under </w:t>
      </w:r>
      <w:r w:rsidR="008A5158">
        <w:rPr>
          <w:rFonts w:cstheme="minorHAnsi"/>
          <w:lang w:val="en-US"/>
        </w:rPr>
        <w:t xml:space="preserve">higher temperatures and decreased rainfall it is likely that arid mangroves contribute less to </w:t>
      </w:r>
      <w:r w:rsidR="00E763FD">
        <w:rPr>
          <w:rFonts w:cstheme="minorHAnsi"/>
          <w:lang w:val="en-US"/>
        </w:rPr>
        <w:t>autochthonous</w:t>
      </w:r>
      <w:r w:rsidR="008A5158">
        <w:rPr>
          <w:rFonts w:cstheme="minorHAnsi"/>
          <w:lang w:val="en-US"/>
        </w:rPr>
        <w:t xml:space="preserve"> </w:t>
      </w:r>
      <w:r w:rsidR="0052668B">
        <w:rPr>
          <w:rFonts w:cstheme="minorHAnsi"/>
          <w:lang w:val="en-US"/>
        </w:rPr>
        <w:t xml:space="preserve">organic carbon </w:t>
      </w:r>
      <w:r w:rsidR="008A5158">
        <w:rPr>
          <w:rFonts w:cstheme="minorHAnsi"/>
          <w:lang w:val="en-US"/>
        </w:rPr>
        <w:t xml:space="preserve">inputs. </w:t>
      </w:r>
    </w:p>
    <w:p w14:paraId="33E8CEA6" w14:textId="77777777" w:rsidR="00CF7991" w:rsidRPr="00260745" w:rsidRDefault="00CF7991" w:rsidP="00CF7991">
      <w:pPr>
        <w:spacing w:line="480" w:lineRule="auto"/>
        <w:rPr>
          <w:rFonts w:cstheme="minorHAnsi"/>
          <w:lang w:val="en-US"/>
        </w:rPr>
      </w:pPr>
    </w:p>
    <w:p w14:paraId="054C874E" w14:textId="033B94F3" w:rsidR="00CF7991" w:rsidRPr="00260745" w:rsidRDefault="00CF7991" w:rsidP="00CF7991">
      <w:pPr>
        <w:spacing w:line="480" w:lineRule="auto"/>
        <w:rPr>
          <w:rFonts w:cstheme="minorHAnsi"/>
          <w:lang w:val="en-US"/>
        </w:rPr>
      </w:pPr>
      <w:r w:rsidRPr="00260745">
        <w:rPr>
          <w:rFonts w:cstheme="minorHAnsi"/>
          <w:lang w:val="en-US"/>
        </w:rPr>
        <w:t xml:space="preserve">As a result of being largely climate driven, broad scale patterns in mangrove NPP are not spatially or temporally uniform </w:t>
      </w:r>
      <w:r w:rsidRPr="00260745">
        <w:rPr>
          <w:rFonts w:cstheme="minorHAnsi"/>
          <w:lang w:val="en-US"/>
        </w:rPr>
        <w:fldChar w:fldCharType="begin" w:fldLock="1"/>
      </w:r>
      <w:r w:rsidRPr="00260745">
        <w:rPr>
          <w:rFonts w:cstheme="minorHAnsi"/>
          <w:lang w:val="en-US"/>
        </w:rPr>
        <w:instrText>ADDIN CSL_CITATION {"citationItems":[{"id":"ITEM-1","itemData":{"DOI":"10.1029/2007GB003052","ISBN":"0886-6236","ISSN":"08866236","PMID":"208059789","abstract":"Mangrove forests are highly productive but globally threatened coastal ecosystems, whose role in the carbon budget of the coastal zone has long been debated. Here we provide a comprehensive synthesis of the available data on carbon fluxes in mangrove ecosystems. A reassessment of global mangrove primary production from the literature results in a conservative estimate of similar to 218 +/- 72 Tg C a(-1). When using the best available estimates of various carbon sinks (organic carbon export, sediment burial, and mineralization), it appears that &gt; 50% of the carbon fixed by mangrove vegetation is unaccounted for. This unaccounted carbon sink is conservatively estimated at similar to 112 +/- 85 Tg C a(-1), equivalent in magnitude to similar to 30-40% of the global riverine organic carbon input to the coastal zone. Our analysis suggests that mineralization is severely underestimated, and that the majority of carbon export from mangroves to adjacent waters occurs as dissolved inorganic carbon (DIC). CO(2) efflux from sediments and creek waters and tidal export of DIC appear to be the major sinks. These processes are quantitatively comparable in magnitude to the unaccounted carbon sink in current budgets, but are not yet adequately constrained with the limited published data available so far.","author":[{"dropping-particle":"","family":"Bouillon","given":"Steven","non-dropping-particle":"","parse-names":false,"suffix":""},{"dropping-particle":"V.","family":"Borges","given":"Alberto","non-dropping-particle":"","parse-names":false,"suffix":""},{"dropping-particle":"","family":"Castañeda-Moya","given":"Edward","non-dropping-particle":"","parse-names":false,"suffix":""},{"dropping-particle":"","family":"Diele","given":"Karen","non-dropping-particle":"","parse-names":false,"suffix":""},{"dropping-particle":"","family":"Dittmar","given":"Thorsten","non-dropping-particle":"","parse-names":false,"suffix":""},{"dropping-particle":"","family":"Duke","given":"Norman C.","non-dropping-particle":"","parse-names":false,"suffix":""},{"dropping-particle":"","family":"Kristensen","given":"Erik","non-dropping-particle":"","parse-names":false,"suffix":""},{"dropping-particle":"","family":"Lee","given":"Shing Y.","non-dropping-particle":"","parse-names":false,"suffix":""},{"dropping-particle":"","family":"Marchand","given":"Cyril","non-dropping-particle":"","parse-names":false,"suffix":""},{"dropping-particle":"","family":"Middelburg","given":"Jack J.","non-dropping-particle":"","parse-names":false,"suffix":""},{"dropping-particle":"","family":"Rivera-Monroy","given":"Victor H.","non-dropping-particle":"","parse-names":false,"suffix":""},{"dropping-particle":"","family":"Smith","given":"Thomas J.","non-dropping-particle":"","parse-names":false,"suffix":""},{"dropping-particle":"","family":"Twilley","given":"Robert R.","non-dropping-particle":"","parse-names":false,"suffix":""}],"container-title":"Global Biogeochemical Cycles","id":"ITEM-1","issue":"2","issued":{"date-parts":[["2008","6","9"]]},"title":"Mangrove production and carbon sinks: A revision of global budget estimates","type":"article-journal","volume":"22"},"uris":["http://www.mendeley.com/documents/?uuid=4c6861df-7364-4b1c-b518-f90c03ee1c54"]},{"id":"ITEM-2","itemData":{"DOI":"10.1038/s41561-018-0279-1","ISSN":"1752-0894","author":[{"dropping-particle":"","family":"Simard","given":"M","non-dropping-particle":"","parse-names":false,"suffix":""},{"dropping-particle":"","family":"Fatoyinbo","given":"T","non-dropping-particle":"","parse-names":false,"suffix":""},{"dropping-particle":"","family":"Smetanka","given":"C","non-dropping-particle":"","parse-names":false,"suffix":""},{"dropping-particle":"","family":"Rivera-Monroy","given":"V","non-dropping-particle":"","parse-names":false,"suffix":""},{"dropping-particle":"","family":"Castaneda-Moya","given":"E","non-dropping-particle":"","parse-names":false,"suffix":""},{"dropping-particle":"","family":"Thomas","given":"N","non-dropping-particle":"","parse-names":false,"suffix":""},{"dropping-particle":"","family":"Stocken","given":"T","non-dropping-particle":"Van der","parse-names":false,"suffix":""}],"container-title":"Nature Geoscience","id":"ITEM-2","issued":{"date-parts":[["2019"]]},"page":"40-45","title":"Mangrove canopy height globally related to precipitation, temperature and cyclone frequency","type":"article-journal","volume":"12"},"uris":["http://www.mendeley.com/documents/?uuid=c193cdd2-1a70-43c9-a844-79490daf0667"]},{"id":"ITEM-3","itemData":{"DOI":"10.1016/B978-0-444-63893-9.00021-6","ISBN":"9780444638939","abstract":"Mangrove-dominated estuaries and coastlines contribute significantly to biogeochemical processes at local, regional, and global scales. This review will utilize multiple conceptual models to test how mangrove geomorphological settings (muddy, estuarine, and carbonate coasts) are related to patterns of nutrient biogeochemistry and how disturbances influence these processes over time and space. The ecogeomorphology model describes mangrove wetlands along a hierarchical scale from local multigradient interactions to regional sedimentary environments and to global patterns of climatic and biogeographic constraints. As an example, nitrogen is potentially limiting in many locations where sediment deposition provides sufficient soil phosphorus (P) density to saturate growth conditions, whereas P is more limiting in karstic mangrove settings, reflecting the influence of geomorphological setting on the ecology of mangrove wetlands. Next, the geochemical model provides ecological links along fringe and inland zones where resource and regulator gradients across soil redox zones vary with depth and season. These models can be used in combination to explain biogeochemical variation among coastal settings, such as sulfate reduction and iron availability affecting growth conditions as either a regulator (i.e., sulfide as a plant stressor) or resource (i.e., P availability).","author":[{"dropping-particle":"","family":"Twilley","given":"Robert R.","non-dropping-particle":"","parse-names":false,"suffix":""},{"dropping-particle":"","family":"Rivera-Monroy","given":"Victor H.","non-dropping-particle":"","parse-names":false,"suffix":""},{"dropping-particle":"","family":"Rovai","given":"Andre S.","non-dropping-particle":"","parse-names":false,"suffix":""},{"dropping-particle":"","family":"Castañeda-Moya","given":"Edward","non-dropping-particle":"","parse-names":false,"suffix":""},{"dropping-particle":"","family":"Davis","given":"Stephen","non-dropping-particle":"","parse-names":false,"suffix":""}],"container-title":"Coastal Wetlands: An Integrated Ecosystem Approach","id":"ITEM-3","issued":{"date-parts":[["2019"]]},"page":"717-785","title":"Mangrove biogeochemistry at local to global scales using ecogeomorphic approaches","type":"chapter"},"uris":["http://www.mendeley.com/documents/?uuid=97bb4544-cbb9-4268-8aa8-48d0f219ea6d"]}],"mendeley":{"formattedCitation":"(Bouillon et al., 2008; Simard et al., 2019; Twilley et al., 2019)","plainTextFormattedCitation":"(Bouillon et al., 2008; Simard et al., 2019; Twilley et al., 2019)","previouslyFormattedCitation":"(Bouillon et al., 2008; Simard et al., 2019; Twilley et al., 2019)"},"properties":{"noteIndex":0},"schema":"https://github.com/citation-style-language/schema/raw/master/csl-citation.json"}</w:instrText>
      </w:r>
      <w:r w:rsidRPr="00260745">
        <w:rPr>
          <w:rFonts w:cstheme="minorHAnsi"/>
          <w:lang w:val="en-US"/>
        </w:rPr>
        <w:fldChar w:fldCharType="separate"/>
      </w:r>
      <w:r w:rsidRPr="00260745">
        <w:rPr>
          <w:rFonts w:cstheme="minorHAnsi"/>
          <w:noProof/>
          <w:lang w:val="en-US"/>
        </w:rPr>
        <w:t>(Bouillon et al., 2008; Simard et al., 2019; Twilley et al., 2019)</w:t>
      </w:r>
      <w:r w:rsidRPr="00260745">
        <w:rPr>
          <w:rFonts w:cstheme="minorHAnsi"/>
          <w:lang w:val="en-US"/>
        </w:rPr>
        <w:fldChar w:fldCharType="end"/>
      </w:r>
      <w:r w:rsidRPr="00260745">
        <w:rPr>
          <w:rFonts w:cstheme="minorHAnsi"/>
          <w:lang w:val="en-US"/>
        </w:rPr>
        <w:t xml:space="preserve">. Spatial variation in mangrove productivity on large and local scales is well documented </w:t>
      </w:r>
      <w:r w:rsidRPr="00260745">
        <w:rPr>
          <w:rFonts w:cstheme="minorHAnsi"/>
          <w:lang w:val="en-US"/>
        </w:rPr>
        <w:fldChar w:fldCharType="begin" w:fldLock="1"/>
      </w:r>
      <w:r w:rsidR="008A48C6" w:rsidRPr="00260745">
        <w:rPr>
          <w:rFonts w:cstheme="minorHAnsi"/>
          <w:lang w:val="en-US"/>
        </w:rPr>
        <w:instrText>ADDIN CSL_CITATION {"citationItems":[{"id":"ITEM-1","itemData":{"DOI":"10.1016/0304-3770(96)01063-7","ISSN":"03043770","abstract":"Spatial and temporal variations in net above-ground primary production (NPP) and litter turnover rate were studied, from 1987 to 1993, in a mangrove forest bordering Laguna de Terminos, Mexico. NPP, the sum of total litter fall and wood production, was measured over the entire study period in three zones in a basin forest: zone I, where Rhizophora mangle (red mangrove) occurs but Avicennia germinans (black mangrove) is the dominant species; zone II, a scrub forest of A. germinans; zone III, where larger A. germinans trees occur. In 1991, a fringe zone dominated by A. germinans and R. mangle was added to the study. Three distinctive climatic seasons occur in the region: rainy, dry, and cold front (locally named 'nortes'). Average total litter fall in the fringe zone (793 g m-2 year-1) was significantly higher than in the basin forest (496, 307, and 410 g m-2 year-1 for basin zones I, II, and III, respectively). All zones showed significant differences among seasons with the none season having significantly lower litter fall. Litter turnover rates were about 7 months in zones I and II and 10 months in zone III, reflecting the low tidal range that occurs in the basin forest. Low litter turnover rates in the basin forest were reflected in a high organic matter standing crop. Annual average stem growth was significantly higher in zones I and III (1.27 and 1.36 kg per tree year-1, respectively) than in zone II (0.62 kg per tree year-1). Above-ground NPP rates in the basin forest (399-695 g m-2 year-1) were lower than in fringe and riverine forests, reflecting patterns of litter fall and wood production. There was no seasonal variation in soil salinity but the basin forest had significantly higher soil salinity than the fringe forest. Spatially, mean soil salinity was inversely related to litter fall. Long-term patterns in soil salinity, precipitation and air temperature explained 74% of the inter-annual litter fall variability. Over the 7 year study, productivity in zone II was more variable than in zones I and 111, and productivity (litter fall and wood growth) were less variable than litter standing crop and turnover.","author":[{"dropping-particle":"","family":"Day","given":"JW","non-dropping-particle":"","parse-names":false,"suffix":""},{"dropping-particle":"","family":"Coronado-Molina","given":"C","non-dropping-particle":"","parse-names":false,"suffix":""},{"dropping-particle":"","family":"Vera-Herrera","given":"FR","non-dropping-particle":"","parse-names":false,"suffix":""},{"dropping-particle":"","family":"Twilley","given":"R","non-dropping-particle":"","parse-names":false,"suffix":""},{"dropping-particle":"","family":"Rivera-Monroy","given":"VH","non-dropping-particle":"","parse-names":false,"suffix":""},{"dropping-particle":"","family":"Alvarez-Guillen","given":"H","non-dropping-particle":"","parse-names":false,"suffix":""},{"dropping-particle":"","family":"Day","given":"R","non-dropping-particle":"","parse-names":false,"suffix":""},{"dropping-particle":"","family":"Conner","given":"W","non-dropping-particle":"","parse-names":false,"suffix":""}],"container-title":"Aquatic Botany","id":"ITEM-1","issue":"1","issued":{"date-parts":[["1996","9","1"]]},"page":"39-60","publisher":"Elsevier","title":"A 7 year record of above-ground net primary production in a southeastern Mexican mangrove forest","type":"article-journal","volume":"55"},"uris":["http://www.mendeley.com/documents/?uuid=f0209e59-1634-30e0-bbf2-c64d0d0e9e27"]},{"id":"ITEM-2","itemData":{"DOI":"10.21608/ejabf.2010.2063","ISSN":"2536-9814","abstract":"his study was conducted on a naturally growing mangrove population at Ras Mohammed and Nabq protected areas, South Sinai, during the period 2005-2006. Avicennia marina is the only growing mangrove species in South Sinai. Its structure, litterfall and seedling distribution were investigated. The total area of mangrove stands is 99.1 hectares with 42% canopy coverage, average tree height is between 1.7 -2.6 m, basal area up to 9.2 m 2 . ha -1 . Ras Mohammed represents the densest stand (428 stems ha -1). An annual litterfall of 2036.7 Kg. ha -1 . yr -1 was recorded at Rowaiseya with a maximum peak during April. Mangroves at Nabq area have well distribution of seedlings over Abu Zabad site and a localized dense aggregation of seedlings in intertidal areas at Monqataa and Gharqana sites with a seedling density up to 1848 ha -1 .","author":[{"dropping-particle":"","family":"Gab-Alla","given":"Ali","non-dropping-particle":"","parse-names":false,"suffix":""},{"dropping-particle":"","family":"Fouda","given":"Moustafa","non-dropping-particle":"","parse-names":false,"suffix":""},{"dropping-particle":"","family":"Morsy","given":"Waleed","non-dropping-particle":"","parse-names":false,"suffix":""}],"container-title":"Egyptian Journal of Aquatic Biology and Fisheries","id":"ITEM-2","issue":"2","issued":{"date-parts":[["2010"]]},"page":"79-93","title":"Ecology of Avicennia marina mangals along Gulf of Aqaba, South Sinai, Red Sea","type":"article-journal","volume":"14"},"uris":["http://www.mendeley.com/documents/?uuid=6c0f0e0d-6cfc-4d8d-91a4-2c6787b79b76"]},{"id":"ITEM-3","itemData":{"DOI":"10.1016/0304-3770(85)90067-1","ISSN":"03043770","abstract":"Productivity, as measured by litter trapping, of a mangrove dominated by Rhizophora stylosa Griff. at Motupore Island (lat. 9° 31′34′́S; long. 147° 17 $ ́02' E) was 1430 g dry weight m-2 year-1. This is a high figure when compared with other studied mangrove sites. Phenological data were obtained for R. stylosa, R. apiculata Blume and Sonneratia alba Smith. All species have a major leaf fall in the wet season. Flowering in both Rhizophora species is greatest during the wet season, but S. alba peaks during the dry season. Leaf emergence data were only available for R. stylosa and these appeared to be trimodal. Correlations were calculated for each component with rainfall, wind run, maximum temperature and minimum temperature. Some significant correlations were obtained with rainfall and maximum temperature. These correlations are discussed and it is suggested that the seasonality of mangrove phenologies needs to be considered in terms of whole tree physiology rather than isolated environmental factors. © 1985.","author":[{"dropping-particle":"","family":"Leach","given":"G. J.","non-dropping-particle":"","parse-names":false,"suffix":""},{"dropping-particle":"","family":"Burgin","given":"S.","non-dropping-particle":"","parse-names":false,"suffix":""}],"container-title":"Aquatic Botany","id":"ITEM-3","issue":"3","issued":{"date-parts":[["1985"]]},"page":"215-224","title":"Litter production and seasonality of mangroves in Papua New Guinea","type":"article-journal","volume":"23"},"uris":["http://www.mendeley.com/documents/?uuid=90d61cc1-92cb-4c66-9aa3-cdab0af8ed14"]},{"id":"ITEM-4","itemData":{"DOI":"10.1038/srep37785","ISSN":"2045-2322","abstract":"The formation of nodes, stem elongation and the phenology of stunted Avicennia marina was examined in the Central Red Sea, where Avicennia marina is at the limit of its distribution range and submitted to extremely arid conditions with salinity above 38 psu and water temperature as high as 35° C. The annual node production was rather uniform among locations averaging 9.59 node y−1, which resulted in a plastocron interval, the interval in between production of two consecutive nodes along a stem, of 38 days. However, the internodal length varied significantly between locations, resulting in growth differences possibly reflecting the environmental conditions of locations. The reproductive cycle lasted for approximately 12 months, and was characterized by peak flowering and propagule development in November and January. These phenological observations provide a starting point for research and restoration programs on the ecology of mangroves in the Central Red Sea, while the plastochrone index reported here would allow calculations of the growth and production of the species from simple morphological measurements.","author":[{"dropping-particle":"","family":"Almahasheer","given":"Hanan","non-dropping-particle":"","parse-names":false,"suffix":""},{"dropping-particle":"","family":"Duarte","given":"Carlos M.","non-dropping-particle":"","parse-names":false,"suffix":""},{"dropping-particle":"","family":"Irigoien","given":"Xabier","non-dropping-particle":"","parse-names":false,"suffix":""}],"container-title":"Scientific Reports","id":"ITEM-4","issue":"1","issued":{"date-parts":[["2016"]]},"page":"37785","title":"Phenology and Growth dynamics of Avicennia marina in the Central Red Sea","type":"article-journal","volume":"6"},"uris":["http://www.mendeley.com/documents/?uuid=7ffde406-4733-3bf1-a5ab-5c3b1c4e71d9"]},{"id":"ITEM-5","itemData":{"DOI":"10.1016/0272-7714(85)90042-3","ISBN":"0272-7714","ISSN":"02727714","abstract":"The mangrove, Avicennia marina var. resinifera in a tidally-flooded explosion crater, Tuff Crater, near the southern latitudinal limit of mangroves in New Zealand adopts two distinct growth forms, taller tree-like mangroves up to 4 m tall along the banks of the tidal creek, and low stunted shrub mangroves less than 1 m tall on the mudflats. Twelve trees were felled and on the basis of a biomass/height relationship for the taller trees and a biomass/canopy width relationship for the lower, above-ground biomass (excluding pneumatophores) was estimated. Average above-ground biomass for the taller mangrove was estimated to be 104??1 t ha-1 and for the lower 6??8 t ha-1. While the value for the taller mangroves is similar to figures reported for more complex tropical mangroves, the fact that 94% of the basin is covered by low generally sparse mangroves means that total biomass for the basin is estimated to be 153 t, an average of only 7??6 t ha-1. Litter-fall beneath the taller mangroves is estimated as 7??6??2??5 t ha-1 a-1 and beneath the lower mangroves 3??3??0??5 t ha-1 a-1. The value for the taller mangroves is similar to that reported from mangroves in many other parts of the world, but because of the extensive low sparse mangroves the total for the basin is estimated as 53??7 t a-1, an average rate of 2??7 t ha-1 a-1, a very low rate of litter-fall when compared with elsewhere. Decomposition of mangrove leaves occurs relatively rapidly with leaves losing half their dry weight in 10 weeks and then continuing to degrade but at a slower rate. Substrate sediment samples contain high organic matter content, and although some organic matter appears to be exported via the tidal creek, a proportion of the detrital production is evidently recycled in situ. ?? 1985.","author":[{"dropping-particle":"","family":"Woodroffe","given":"Colin D.","non-dropping-particle":"","parse-names":false,"suffix":""}],"container-title":"Estuarine, Coastal and Shelf Science","id":"ITEM-5","issue":"3","issued":{"date-parts":[["1985"]]},"page":"265-280","title":"Studies of a mangrove basin, Tuff Crater, New Zealand: I. Mangrove biomass and production of detritus","type":"article-journal","volume":"20"},"uris":["http://www.mendeley.com/documents/?uuid=31ade351-e2bc-4f84-9cf6-21de9fd42770"]},{"id":"ITEM-6","itemData":{"DOI":"10.1007/s11273-012-9249-3","ISSN":"09234861","abstract":"From 1996 to 2002, we measured litterfall, standing litter crop, and litter turnover rates in scrub, basin, fringe and riverine forests in two contrasting mangrove ecosystems: a carbonate-dominated system in the Southeastern Everglades and a terrigenous-dominated system in Laguna de Terminos (LT), Mexico. We hypothesized that litter dynamics is driven by latitude, geomorphology, hydrology, soil fertility and soil salinity stress. There were significant temporal patterns in LT with litterfall rates higher during the rainy season (2.4 g m-2 day-1) than during the dry season (1.8 g m-2 day-1). Total annual litterfall was significantly higher in the riverine forest (12.8 Mg ha-2 year-1) than in the fringe and basin forests (9.7 and 5.2 Mg ha-2 year-1, respectively). In Southeastern Everglades, total annual litterfall was also significantly higher during the rainy season than during the dry season. Spatially, the scrub forest had the lowest annual litterfall (2.5 Mg ha-2 year-1), while the fringe and basin had the highest (9.1 and 6.5 Mg ha-2 year-1, respectively). In LT, annual standing litter crop was 3.3 Mg ha-1 in the fringe and 2.2 Mg ha-1 in the basin. Litter turnover rates were significantly higher in the fringe mangrove forest (4.1 year-1) relative to the basin forests (2.2 year-1). At Southeastern Everglades there were significant differences in annual standing litter crop: 1.9, 3.3 and 4.5 Mg ha-1 at scrub, basin and fringe mangrove sites, respectively. Furthermore, turnover rates were similar at both basin and fringe mangrove types (2.1 and 2.0 year-1, respectively) but significantly higher than scrub mangrove forest (1.3 year-1). These findings suggest that litter export is important in regulating litter turnover rates in frequently flooded riverine and fringe forests, while in infrequently flooded basin forests, in situ litter decomposition controls litter turnover rates. © 2012 Springer Science+Business Media B.V.","author":[{"dropping-particle":"","family":"Coronado-Molina","given":"Carlos","non-dropping-particle":"","parse-names":false,"suffix":""},{"dropping-particle":"","family":"Alvarez-Guillen","given":"H.","non-dropping-particle":"","parse-names":false,"suffix":""},{"dropping-particle":"","family":"Day","given":"J. W.","non-dropping-particle":"","parse-names":false,"suffix":""},{"dropping-particle":"","family":"Reyes","given":"E.","non-dropping-particle":"","parse-names":false,"suffix":""},{"dropping-particle":"","family":"Perez","given":"B. C.","non-dropping-particle":"","parse-names":false,"suffix":""},{"dropping-particle":"","family":"Vera-Herrera","given":"F.","non-dropping-particle":"","parse-names":false,"suffix":""},{"dropping-particle":"","family":"Twilley","given":"R.","non-dropping-particle":"","parse-names":false,"suffix":""}],"container-title":"Wetlands Ecology and Management","id":"ITEM-6","issue":"2","issued":{"date-parts":[["2012"]]},"page":"123-136","title":"Litterfall dynamics in carbonate and deltaic mangrove ecosystems in the Gulf of Mexico","type":"article-journal","volume":"20"},"uris":["http://www.mendeley.com/documents/?uuid=29581208-eed5-4f00-a268-5420a41f3686"]}],"mendeley":{"formattedCitation":"(Almahasheer et al., 2016; Coronado-Molina et al., 2012; Day et al., 1996; Gab-Alla et al., 2010; Leach and Burgin, 1985; Woodroffe, 1985)","plainTextFormattedCitation":"(Almahasheer et al., 2016; Coronado-Molina et al., 2012; Day et al., 1996; Gab-Alla et al., 2010; Leach and Burgin, 1985; Woodroffe, 1985)","previouslyFormattedCitation":"(Almahasheer et al., 2016; Coronado-Molina et al., 2012; Day et al., 1996; Gab-Alla et al., 2010; Leach and Burgin, 1985; Woodroffe, 1985)"},"properties":{"noteIndex":0},"schema":"https://github.com/citation-style-language/schema/raw/master/csl-citation.json"}</w:instrText>
      </w:r>
      <w:r w:rsidRPr="00260745">
        <w:rPr>
          <w:rFonts w:cstheme="minorHAnsi"/>
          <w:lang w:val="en-US"/>
        </w:rPr>
        <w:fldChar w:fldCharType="separate"/>
      </w:r>
      <w:r w:rsidR="008A48C6" w:rsidRPr="00260745">
        <w:rPr>
          <w:rFonts w:cstheme="minorHAnsi"/>
          <w:noProof/>
          <w:lang w:val="en-US"/>
        </w:rPr>
        <w:t>(Almahasheer et al., 2016; Coronado-Molina et al., 2012; Day et al., 1996; Gab-Alla et al., 2010; Leach and Burgin, 1985; Woodroffe, 1985)</w:t>
      </w:r>
      <w:r w:rsidRPr="00260745">
        <w:rPr>
          <w:rFonts w:cstheme="minorHAnsi"/>
          <w:lang w:val="en-US"/>
        </w:rPr>
        <w:fldChar w:fldCharType="end"/>
      </w:r>
      <w:r w:rsidRPr="00260745">
        <w:rPr>
          <w:rFonts w:cstheme="minorHAnsi"/>
          <w:lang w:val="en-US"/>
        </w:rPr>
        <w:t xml:space="preserve">. However, temporal variation in NPP has only been reported on local scales, where litterfall rates have been shown to increase 6 fold in one location within three months and vary by 40% inter-annually </w:t>
      </w:r>
      <w:r w:rsidRPr="00260745">
        <w:rPr>
          <w:rFonts w:cstheme="minorHAnsi"/>
          <w:lang w:val="en-US"/>
        </w:rPr>
        <w:fldChar w:fldCharType="begin" w:fldLock="1"/>
      </w:r>
      <w:r w:rsidRPr="00260745">
        <w:rPr>
          <w:rFonts w:cstheme="minorHAnsi"/>
          <w:lang w:val="en-US"/>
        </w:rPr>
        <w:instrText>ADDIN CSL_CITATION {"citationItems":[{"id":"ITEM-1","itemData":{"DOI":"10.1007/s11273-012-9249-3","ISSN":"09234861","abstract":"From 1996 to 2002, we measured litterfall, standing litter crop, and litter turnover rates in scrub, basin, fringe and riverine forests in two contrasting mangrove ecosystems: a carbonate-dominated system in the Southeastern Everglades and a terrigenous-dominated system in Laguna de Terminos (LT), Mexico. We hypothesized that litter dynamics is driven by latitude, geomorphology, hydrology, soil fertility and soil salinity stress. There were significant temporal patterns in LT with litterfall rates higher during the rainy season (2.4 g m-2 day-1) than during the dry season (1.8 g m-2 day-1). Total annual litterfall was significantly higher in the riverine forest (12.8 Mg ha-2 year-1) than in the fringe and basin forests (9.7 and 5.2 Mg ha-2 year-1, respectively). In Southeastern Everglades, total annual litterfall was also significantly higher during the rainy season than during the dry season. Spatially, the scrub forest had the lowest annual litterfall (2.5 Mg ha-2 year-1), while the fringe and basin had the highest (9.1 and 6.5 Mg ha-2 year-1, respectively). In LT, annual standing litter crop was 3.3 Mg ha-1 in the fringe and 2.2 Mg ha-1 in the basin. Litter turnover rates were significantly higher in the fringe mangrove forest (4.1 year-1) relative to the basin forests (2.2 year-1). At Southeastern Everglades there were significant differences in annual standing litter crop: 1.9, 3.3 and 4.5 Mg ha-1 at scrub, basin and fringe mangrove sites, respectively. Furthermore, turnover rates were similar at both basin and fringe mangrove types (2.1 and 2.0 year-1, respectively) but significantly higher than scrub mangrove forest (1.3 year-1). These findings suggest that litter export is important in regulating litter turnover rates in frequently flooded riverine and fringe forests, while in infrequently flooded basin forests, in situ litter decomposition controls litter turnover rates. © 2012 Springer Science+Business Media B.V.","author":[{"dropping-particle":"","family":"Coronado-Molina","given":"Carlos","non-dropping-particle":"","parse-names":false,"suffix":""},{"dropping-particle":"","family":"Alvarez-Guillen","given":"H.","non-dropping-particle":"","parse-names":false,"suffix":""},{"dropping-particle":"","family":"Day","given":"J. W.","non-dropping-particle":"","parse-names":false,"suffix":""},{"dropping-particle":"","family":"Reyes","given":"E.","non-dropping-particle":"","parse-names":false,"suffix":""},{"dropping-particle":"","family":"Perez","given":"B. C.","non-dropping-particle":"","parse-names":false,"suffix":""},{"dropping-particle":"","family":"Vera-Herrera","given":"F.","non-dropping-particle":"","parse-names":false,"suffix":""},{"dropping-particle":"","family":"Twilley","given":"R.","non-dropping-particle":"","parse-names":false,"suffix":""}],"container-title":"Wetlands Ecology and Management","id":"ITEM-1","issue":"2","issued":{"date-parts":[["2012"]]},"page":"123-136","title":"Litterfall dynamics in carbonate and deltaic mangrove ecosystems in the Gulf of Mexico","type":"article-journal","volume":"20"},"uris":["http://www.mendeley.com/documents/?uuid=29581208-eed5-4f00-a268-5420a41f3686"]}],"mendeley":{"formattedCitation":"(Coronado-Molina et al., 2012)","plainTextFormattedCitation":"(Coronado-Molina et al., 2012)","previouslyFormattedCitation":"(Coronado-Molina et al., 2012)"},"properties":{"noteIndex":0},"schema":"https://github.com/citation-style-language/schema/raw/master/csl-citation.json"}</w:instrText>
      </w:r>
      <w:r w:rsidRPr="00260745">
        <w:rPr>
          <w:rFonts w:cstheme="minorHAnsi"/>
          <w:lang w:val="en-US"/>
        </w:rPr>
        <w:fldChar w:fldCharType="separate"/>
      </w:r>
      <w:r w:rsidRPr="00260745">
        <w:rPr>
          <w:rFonts w:cstheme="minorHAnsi"/>
          <w:noProof/>
          <w:lang w:val="en-US"/>
        </w:rPr>
        <w:t>(Coronado-Molina et al., 2012)</w:t>
      </w:r>
      <w:r w:rsidRPr="00260745">
        <w:rPr>
          <w:rFonts w:cstheme="minorHAnsi"/>
          <w:lang w:val="en-US"/>
        </w:rPr>
        <w:fldChar w:fldCharType="end"/>
      </w:r>
      <w:r w:rsidRPr="00260745">
        <w:rPr>
          <w:rFonts w:cstheme="minorHAnsi"/>
          <w:lang w:val="en-US"/>
        </w:rPr>
        <w:t xml:space="preserve">. </w:t>
      </w:r>
      <w:r w:rsidRPr="00260745">
        <w:rPr>
          <w:rFonts w:cstheme="minorHAnsi"/>
        </w:rPr>
        <w:t xml:space="preserve">Numerous </w:t>
      </w:r>
      <w:r w:rsidRPr="00260745">
        <w:rPr>
          <w:rFonts w:cstheme="minorHAnsi"/>
          <w:lang w:val="en-US"/>
        </w:rPr>
        <w:t>studies have contrasted within-region variation in litterfall rates</w:t>
      </w:r>
      <w:r w:rsidRPr="00260745">
        <w:rPr>
          <w:rFonts w:cstheme="minorHAnsi"/>
          <w:b/>
          <w:bCs/>
          <w:lang w:val="en-US"/>
        </w:rPr>
        <w:t xml:space="preserve"> </w:t>
      </w:r>
      <w:r w:rsidRPr="00260745">
        <w:rPr>
          <w:rFonts w:cstheme="minorHAnsi"/>
          <w:b/>
          <w:bCs/>
          <w:lang w:val="en-US"/>
        </w:rPr>
        <w:fldChar w:fldCharType="begin" w:fldLock="1"/>
      </w:r>
      <w:r w:rsidR="008A48C6" w:rsidRPr="00260745">
        <w:rPr>
          <w:rFonts w:cstheme="minorHAnsi"/>
          <w:b/>
          <w:bCs/>
          <w:lang w:val="en-US"/>
        </w:rPr>
        <w:instrText>ADDIN CSL_CITATION {"citationItems":[{"id":"ITEM-1","itemData":{"DOI":"10.1002/ecs2.2841","ISSN":"21508925","abstract":"Mangroves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-1","issue":"8","issued":{"date-parts":[["2019","8","22"]]},"publisher":"John Wiley &amp; Sons, Ltd","title":"Spatial variability of mangrove primary productivity in the neotropics","type":"article-journal","volume":"10"},"uris":["http://www.mendeley.com/documents/?uuid=e62cba23-c956-306d-a48f-a25ddc004d7f"]},{"id":"ITEM-2","itemData":{"DOI":"10.1007/s10021-002-0191-8","ISBN":"1432-9840","ISSN":"14329840","abstract":"The objective of this study was to quantify spatial patterns in above- and belowground biomass, primary productivity, and growth efficiency along a tidal gradient in a 4700-ha mangrove forest in the Dominican Republic. We tested the hypothesis that spatial patterns of forest structure and growth following 50 years of development were associated with variations in the soil environment across the tidal gradient. Twenty-three plots were monitored from 1994 to 1998. Aboveground biomass and biomass accumulation were estimated by applying allometric regression equations derived from dimension analysis of trees harvested at our study site. Soil porewater salinity ranged from 5 to 38 g . kg(-1) across the tidal gradient, and most measurements of forest biomass and productivity were inversely related to salinity. Mean standing biomass (233 +/- 16.0 Mg . ha(-1); range, 123.5-383.5), biomass increment (9.7 +/- 1.0 Mg . ha(-1) y(-1); range, 3.7-18.1), annual litterfall rates (11.4 Mg . ha(-1) yr(-1); range, 10.2-12.8), leaf area index (LAI) (4.4 m(2) . m(-2); range, 2.9-5.6), aboveground net primary productivity (ANPP) (19.7 Mg . ha(-1) y(-1); range, 15.6-25.0), and growth efficiency (1.6 +/- 0.2 kg . ha(-1) y(-1); range, 1.0-3.6) all showed an inverse linear relationship with salinity. Fine-root biomass (less than or equal to 2 mm) (9.7 +/- 1.2 Mg . ha(-1); range, 2.7-13.8) showed a weak tendency to increase with salinity, and the ratio of root to aboveground biomass increased strongly with salinity. Our results suggest that physiological stresses associated with salinity, or with some combination of salinity and other covarying soil factors, control forest structure and growth along the tidal gradient. The higher allocation of carbon to belowground resources in more saline sites apparently contributed to reductions in ANPP along the tidal gradient.","author":[{"dropping-particle":"","family":"Sherman","given":"Ruth E.","non-dropping-particle":"","parse-names":false,"suffix":""},{"dropping-particle":"","family":"Fahey","given":"Timothy J.","non-dropping-particle":"","parse-names":false,"suffix":""},{"dropping-particle":"","family":"Martinez","given":"Pedro","non-dropping-particle":"","parse-names":false,"suffix":""}],"container-title":"Ecosystems","id":"ITEM-2","issue":"4","issued":{"date-parts":[["2003"]]},"page":"384-398","title":"Spatial Patterns of Biomass and Aboveground Net Primary Productivity in a Mangrove Ecosystem in the Dominican Republic","type":"article-journal","volume":"6"},"uris":["http://www.mendeley.com/documents/?uuid=f02db92d-3381-445b-b85c-d65205a65215"]},{"id":"ITEM-3","itemData":{"DOI":"10.1016/0304-3770(87)90046-5","ISSN":"03043770","abstract":"The composition and productivity of two mangrove sites surrounding the Laguna de Términos, Mexico, were studied from March 1979 to January 1984. Measurements were made of the tree composition, above-ground woody biomass changes, and litterfall production at a high-salinity fringing site and a low-salinity riverine site. Rhizophora mangle L. was the dominant tree at the fringing site, but occurred only at the water's edge at the riverine site. Avicennia germinans L. dominated the inland area of the riverine site. Laguncularia racemosa Gaertn. f. had a more even distribution from shore to inland and from site to site. Average diameter at breast height (DBH) was greater at the riverine site for each of the three species; however, tree density (trees &gt; 2.5 cm DBH) was more than twice as high at the fringing site (7510 ha-1) than at the riverine site (3360 ha-1). Wood production (1206 g m-2 year-1 vs. 772 g m-2 year-1) and litterfall (1252 g m-2 year-1 vs. 835 g m-2) were higher at the riverine site than at the fringing site. Total estimated above-ground net production was 2458 g m-2 year-1 at the riverine site and 1607 g m-2 year-1 at the fringing site. © 1987.","author":[{"dropping-particle":"","family":"Day","given":"JW","non-dropping-particle":"","parse-names":false,"suffix":""},{"dropping-particle":"","family":"Conner","given":"WH","non-dropping-particle":"","parse-names":false,"suffix":""},{"dropping-particle":"","family":"Ley-Lou","given":"F","non-dropping-particle":"","parse-names":false,"suffix":""},{"dropping-particle":"","family":"Day","given":"Richard H","non-dropping-particle":"","parse-names":false,"suffix":""},{"dropping-particle":"","family":"Navarro","given":"AM","non-dropping-particle":"","parse-names":false,"suffix":""}],"container-title":"Aquatic Botany","id":"ITEM-3","issue":"3","issued":{"date-parts":[["1987"]]},"page":"267-284","title":"The productivity and composition of mangrove forests, Laguna de Términos, Mexico","type":"article-journal","volume":"27"},"uris":["http://www.mendeley.com/documents/?uuid=c52a1a43-8046-3eed-a0a9-4552b0a7a5b9"]},{"id":"ITEM-4","itemData":{"DOI":"10.1016/0304-3770(96)01063-7","ISSN":"03043770","abstract":"Spatial and temporal variations in net above-ground primary production (NPP) and litter turnover rate were studied, from 1987 to 1993, in a mangrove forest bordering Laguna de Terminos, Mexico. NPP, the sum of total litter fall and wood production, was measured over the entire study period in three zones in a basin forest: zone I, where Rhizophora mangle (red mangrove) occurs but Avicennia germinans (black mangrove) is the dominant species; zone II, a scrub forest of A. germinans; zone III, where larger A. germinans trees occur. In 1991, a fringe zone dominated by A. germinans and R. mangle was added to the study. Three distinctive climatic seasons occur in the region: rainy, dry, and cold front (locally named 'nortes'). Average total litter fall in the fringe zone (793 g m-2 year-1) was significantly higher than in the basin forest (496, 307, and 410 g m-2 year-1 for basin zones I, II, and III, respectively). All zones showed significant differences among seasons with the none season having significantly lower litter fall. Litter turnover rates were about 7 months in zones I and II and 10 months in zone III, reflecting the low tidal range that occurs in the basin forest. Low litter turnover rates in the basin forest were reflected in a high organic matter standing crop. Annual average stem growth was significantly higher in zones I and III (1.27 and 1.36 kg per tree year-1, respectively) than in zone II (0.62 kg per tree year-1). Above-ground NPP rates in the basin forest (399-695 g m-2 year-1) were lower than in fringe and riverine forests, reflecting patterns of litter fall and wood production. There was no seasonal variation in soil salinity but the basin forest had significantly higher soil salinity than the fringe forest. Spatially, mean soil salinity was inversely related to litter fall. Long-term patterns in soil salinity, precipitation and air temperature explained 74% of the inter-annual litter fall variability. Over the 7 year study, productivity in zone II was more variable than in zones I and 111, and productivity (litter fall and wood growth) were less variable than litter standing crop and turnover.","author":[{"dropping-particle":"","family":"Day","given":"JW","non-dropping-particle":"","parse-names":false,"suffix":""},{"dropping-particle":"","family":"Coronado-Molina","given":"C","non-dropping-particle":"","parse-names":false,"suffix":""},{"dropping-particle":"","family":"Vera-Herrera","given":"FR","non-dropping-particle":"","parse-names":false,"suffix":""},{"dropping-particle":"","family":"Twilley","given":"R","non-dropping-particle":"","parse-names":false,"suffix":""},{"dropping-particle":"","family":"Rivera-Monroy","given":"VH","non-dropping-particle":"","parse-names":false,"suffix":""},{"dropping-particle":"","family":"Alvarez-Guillen","given":"H","non-dropping-particle":"","parse-names":false,"suffix":""},{"dropping-particle":"","family":"Day","given":"R","non-dropping-particle":"","parse-names":false,"suffix":""},{"dropping-particle":"","family":"Conner","given":"W","non-dropping-particle":"","parse-names":false,"suffix":""}],"container-title":"Aquatic Botany","id":"ITEM-4","issue":"1","issued":{"date-parts":[["1996","9","1"]]},"page":"39-60","publisher":"Elsevier","title":"A 7 year record of above-ground net primary production in a southeastern Mexican mangrove forest","type":"article-journal","volume":"55"},"uris":["http://www.mendeley.com/documents/?uuid=f0209e59-1634-30e0-bbf2-c64d0d0e9e27"]},{"id":"ITEM-5","itemData":{"DOI":"10.1016/j.aquabot.2007.12.005","ISBN":"0304-3770","ISSN":"03043770","PMID":"961","abstract":"Our current knowledge on production, composition, transport, pathways and transformations of organic carbon in tropical mangrove environments is reviewed and discussed. Organic carbon entering mangrove foodwebs is either produced autochthonously or imported by tides and/or rivers. Mangrove litter and benthic microalgae are usually the most important autochthonous carbon sources. Depending on local conditions, phytoplankton and seagrass detritus imported with tides may represent a significant supplementary carbon input. Litter handling by the fauna not only affects microbial carbon transformations, but also the amount of organic carbon available for export. Most mangrove detritus that enters the sediment is degraded by microorganisms. Aerobic respiration and anaerobic sulfate reduction are usually considered the most important microbial respiration processes, but recent evidence suggests that iron respiration may be important in mangrove sediments as well. Organic carbon that escapes microbial degradation is stored in sediments and in some mangrove ecosystems, organic-rich sediments may extend to several meters depth. Many mangrove forests also lose a significant fraction of their net primary production to coastal waters. Large differences occur between mangrove forests with respect to litter production and export. Mangrove-derived DOC is also released into the water column and can add to the total organic carbon export. Numerous compounds have been characterized from mangrove tissues, including carbohydrates, amino acids, lignin-derived phenols, tannins, fatty acids, triterpenoids and n-alkanes. Many of these may, together with stable isotopes, exhibit a strong source signature and are potentially useful tracers of mangrove-derived organic matter. Our knowledge on mangrove carbon dynamics has improved considerably in recent years, but there are still significant gaps and shortcomings. These are emphasized and relevant research directions are suggested. ?? 2007 Elsevier B.V. All rights reserved.","author":[{"dropping-particle":"","family":"Kristensen","given":"Erik","non-dropping-particle":"","parse-names":false,"suffix":""},{"dropping-particle":"","family":"Bouillon","given":"Steven","non-dropping-particle":"","parse-names":false,"suffix":""},{"dropping-particle":"","family":"Dittmar","given":"Thorsten","non-dropping-particle":"","parse-names":false,"suffix":""},{"dropping-particle":"","family":"Marchand","given":"Cyril","non-dropping-particle":"","parse-names":false,"suffix":""}],"container-title":"Aquatic Botany","id":"ITEM-5","issue":"2","issued":{"date-parts":[["2008"]]},"page":"201-219","title":"Organic carbon dynamics in mangrove ecosystems: A review","type":"article-journal","volume":"89"},"uris":["http://www.mendeley.com/documents/?uuid=662a71f6-6086-3fc9-9108-b7a4c2a67500"]},{"id":"ITEM-6","itemData":{"DOI":"http://dx.doi.org/10.1016/j.aquabot.2007.12.006","ISBN":"0304-3770","abstract":"We review 72 published articles to elucidate characteristics of biomass allocation and productivity of mangrove forests and also introduce recent progress on the study of mangrove allometry to solve the site- and species-specific problems. This includes the testing of a common allometric equation, which may be applicable to mangroves worldwide. The biomass of mangrove forests varies with age, dominant species, and locality. In primary mangrove forests, the above-ground biomass tends to be relatively low near the sea and increases inland. On a global scale, mangrove forests in the tropics have much higher above-ground biomass than those in temperate areas. Mangroves often accumulate large amounts of biomass in their roots, and the above-ground biomass to below-ground biomass ratio of mangrove forests is significantly low compared to that of upland forests (ANCOVA, PP","author":[{"dropping-particle":"","family":"Komiyama","given":"A","non-dropping-particle":"","parse-names":false,"suffix":""},{"dropping-particle":"","family":"Ong","given":"JinEong","non-dropping-particle":"","parse-names":false,"suffix":""},{"dropping-particle":"","family":"Poungparn","given":"S","non-dropping-particle":"","parse-names":false,"suffix":""}],"container-title":"Aquatic Botany","id":"ITEM-6","issue":"2","issued":{"date-parts":[["2008"]]},"page":"128-137","title":"Allometry, biomass, and productivity of mangrove forests: a review. (Special Issue: Mangrove ecology - applications in forestry and coastal zone management.)","type":"article-journal","volume":"89"},"uris":["http://www.mendeley.com/documents/?uuid=54fb0cea-dac1-34bc-bc8a-04908838b429"]}],"mendeley":{"formattedCitation":"(Day et al., 1996, 1987; Komiyama et al., 2008; Kristensen et al., 2008; Ribeiro et al., 2019; Sherman et al., 2003)","plainTextFormattedCitation":"(Day et al., 1996, 1987; Komiyama et al., 2008; Kristensen et al., 2008; Ribeiro et al., 2019; Sherman et al., 2003)","previouslyFormattedCitation":"(Day et al., 1996, 1987; Komiyama et al., 2008; Kristensen et al., 2008; Ribeiro et al., 2019; Sherman et al., 2003)"},"properties":{"noteIndex":0},"schema":"https://github.com/citation-style-language/schema/raw/master/csl-citation.json"}</w:instrText>
      </w:r>
      <w:r w:rsidRPr="00260745">
        <w:rPr>
          <w:rFonts w:cstheme="minorHAnsi"/>
          <w:b/>
          <w:bCs/>
          <w:lang w:val="en-US"/>
        </w:rPr>
        <w:fldChar w:fldCharType="separate"/>
      </w:r>
      <w:r w:rsidR="008A48C6" w:rsidRPr="00260745">
        <w:rPr>
          <w:rFonts w:cstheme="minorHAnsi"/>
          <w:bCs/>
          <w:noProof/>
          <w:lang w:val="en-US"/>
        </w:rPr>
        <w:t>(Day et al., 1996, 1987; Komiyama et al., 2008; Kristensen et al., 2008; Ribeiro et al., 2019; Sherman et al., 2003)</w:t>
      </w:r>
      <w:r w:rsidRPr="00260745">
        <w:rPr>
          <w:rFonts w:cstheme="minorHAnsi"/>
          <w:b/>
          <w:bCs/>
          <w:lang w:val="en-US"/>
        </w:rPr>
        <w:fldChar w:fldCharType="end"/>
      </w:r>
      <w:r w:rsidRPr="00260745">
        <w:rPr>
          <w:rFonts w:cstheme="minorHAnsi"/>
          <w:b/>
          <w:bCs/>
          <w:lang w:val="en-US"/>
        </w:rPr>
        <w:t>,</w:t>
      </w:r>
      <w:r w:rsidRPr="00260745">
        <w:rPr>
          <w:rFonts w:cstheme="minorHAnsi"/>
          <w:lang w:val="en-US"/>
        </w:rPr>
        <w:t xml:space="preserve"> based on location averages calculated across sampling periods from a few months to several years </w:t>
      </w:r>
      <w:r w:rsidRPr="00260745">
        <w:rPr>
          <w:rFonts w:cstheme="minorHAnsi"/>
          <w:lang w:val="en-US"/>
        </w:rPr>
        <w:fldChar w:fldCharType="begin" w:fldLock="1"/>
      </w:r>
      <w:r w:rsidRPr="00260745">
        <w:rPr>
          <w:rFonts w:cstheme="minorHAnsi"/>
          <w:lang w:val="en-US"/>
        </w:rPr>
        <w:instrText>ADDIN CSL_CITATION {"citationItems":[{"id":"ITEM-1","itemData":{"DOI":"10.1007/s11273-012-9249-3","ISSN":"09234861","abstract":"From 1996 to 2002, we measured litterfall, standing litter crop, and litter turnover rates in scrub, basin, fringe and riverine forests in two contrasting mangrove ecosystems: a carbonate-dominated system in the Southeastern Everglades and a terrigenous-dominated system in Laguna de Terminos (LT), Mexico. We hypothesized that litter dynamics is driven by latitude, geomorphology, hydrology, soil fertility and soil salinity stress. There were significant temporal patterns in LT with litterfall rates higher during the rainy season (2.4 g m-2 day-1) than during the dry season (1.8 g m-2 day-1). Total annual litterfall was significantly higher in the riverine forest (12.8 Mg ha-2 year-1) than in the fringe and basin forests (9.7 and 5.2 Mg ha-2 year-1, respectively). In Southeastern Everglades, total annual litterfall was also significantly higher during the rainy season than during the dry season. Spatially, the scrub forest had the lowest annual litterfall (2.5 Mg ha-2 year-1), while the fringe and basin had the highest (9.1 and 6.5 Mg ha-2 year-1, respectively). In LT, annual standing litter crop was 3.3 Mg ha-1 in the fringe and 2.2 Mg ha-1 in the basin. Litter turnover rates were significantly higher in the fringe mangrove forest (4.1 year-1) relative to the basin forests (2.2 year-1). At Southeastern Everglades there were significant differences in annual standing litter crop: 1.9, 3.3 and 4.5 Mg ha-1 at scrub, basin and fringe mangrove sites, respectively. Furthermore, turnover rates were similar at both basin and fringe mangrove types (2.1 and 2.0 year-1, respectively) but significantly higher than scrub mangrove forest (1.3 year-1). These findings suggest that litter export is important in regulating litter turnover rates in frequently flooded riverine and fringe forests, while in infrequently flooded basin forests, in situ litter decomposition controls litter turnover rates. © 2012 Springer Science+Business Media B.V.","author":[{"dropping-particle":"","family":"Coronado-Molina","given":"Carlos","non-dropping-particle":"","parse-names":false,"suffix":""},{"dropping-particle":"","family":"Alvarez-Guillen","given":"H.","non-dropping-particle":"","parse-names":false,"suffix":""},{"dropping-particle":"","family":"Day","given":"J. W.","non-dropping-particle":"","parse-names":false,"suffix":""},{"dropping-particle":"","family":"Reyes","given":"E.","non-dropping-particle":"","parse-names":false,"suffix":""},{"dropping-particle":"","family":"Perez","given":"B. C.","non-dropping-particle":"","parse-names":false,"suffix":""},{"dropping-particle":"","family":"Vera-Herrera","given":"F.","non-dropping-particle":"","parse-names":false,"suffix":""},{"dropping-particle":"","family":"Twilley","given":"R.","non-dropping-particle":"","parse-names":false,"suffix":""}],"container-title":"Wetlands Ecology and Management","id":"ITEM-1","issue":"2","issued":{"date-parts":[["2012"]]},"page":"123-136","title":"Litterfall dynamics in carbonate and deltaic mangrove ecosystems in the Gulf of Mexico","type":"article-journal","volume":"20"},"uris":["http://www.mendeley.com/documents/?uuid=29581208-eed5-4f00-a268-5420a41f3686"]}],"mendeley":{"formattedCitation":"(Coronado-Molina et al., 2012)","plainTextFormattedCitation":"(Coronado-Molina et al., 2012)","previouslyFormattedCitation":"(Coronado-Molina et al., 2012)"},"properties":{"noteIndex":0},"schema":"https://github.com/citation-style-language/schema/raw/master/csl-citation.json"}</w:instrText>
      </w:r>
      <w:r w:rsidRPr="00260745">
        <w:rPr>
          <w:rFonts w:cstheme="minorHAnsi"/>
          <w:lang w:val="en-US"/>
        </w:rPr>
        <w:fldChar w:fldCharType="separate"/>
      </w:r>
      <w:r w:rsidRPr="00260745">
        <w:rPr>
          <w:rFonts w:cstheme="minorHAnsi"/>
          <w:noProof/>
          <w:lang w:val="en-US"/>
        </w:rPr>
        <w:t>(Coronado-Molina et al., 2012)</w:t>
      </w:r>
      <w:r w:rsidRPr="00260745">
        <w:rPr>
          <w:rFonts w:cstheme="minorHAnsi"/>
          <w:lang w:val="en-US"/>
        </w:rPr>
        <w:fldChar w:fldCharType="end"/>
      </w:r>
      <w:r w:rsidRPr="00260745">
        <w:rPr>
          <w:rFonts w:cstheme="minorHAnsi"/>
          <w:lang w:val="en-US"/>
        </w:rPr>
        <w:t xml:space="preserve">. Through averaging, information on seasonal variation </w:t>
      </w:r>
      <w:r w:rsidR="00FA2731">
        <w:rPr>
          <w:rFonts w:cstheme="minorHAnsi"/>
          <w:lang w:val="en-US"/>
        </w:rPr>
        <w:t>and cyclic events, such as El Ni</w:t>
      </w:r>
      <w:r w:rsidR="00FA2731">
        <w:rPr>
          <w:rFonts w:ascii="Calibri" w:hAnsi="Calibri" w:cs="Calibri"/>
          <w:lang w:val="en-US"/>
        </w:rPr>
        <w:t>ñ</w:t>
      </w:r>
      <w:r w:rsidR="00FA2731">
        <w:rPr>
          <w:rFonts w:cstheme="minorHAnsi"/>
          <w:lang w:val="en-US"/>
        </w:rPr>
        <w:t xml:space="preserve">o and </w:t>
      </w:r>
      <w:r w:rsidR="00FA2731">
        <w:rPr>
          <w:rFonts w:cstheme="minorHAnsi"/>
          <w:lang w:val="en-US"/>
        </w:rPr>
        <w:lastRenderedPageBreak/>
        <w:t>La Ni</w:t>
      </w:r>
      <w:r w:rsidR="00FA2731">
        <w:rPr>
          <w:rFonts w:ascii="Calibri" w:hAnsi="Calibri" w:cs="Calibri"/>
          <w:lang w:val="en-US"/>
        </w:rPr>
        <w:t>ñ</w:t>
      </w:r>
      <w:r w:rsidR="00FA2731">
        <w:rPr>
          <w:rFonts w:cstheme="minorHAnsi"/>
          <w:lang w:val="en-US"/>
        </w:rPr>
        <w:t xml:space="preserve">a, </w:t>
      </w:r>
      <w:r w:rsidRPr="00260745">
        <w:rPr>
          <w:rFonts w:cstheme="minorHAnsi"/>
          <w:lang w:val="en-US"/>
        </w:rPr>
        <w:t xml:space="preserve">is lost and temporal predictions with monthly resolution can no longer be made. As a result, global mangrove NPP estimates serve only as a ‘snapshot’ of mangrove NPP at one point in time </w:t>
      </w:r>
      <w:r w:rsidRPr="00260745">
        <w:rPr>
          <w:rFonts w:cstheme="minorHAnsi"/>
          <w:lang w:val="en-US"/>
        </w:rPr>
        <w:fldChar w:fldCharType="begin" w:fldLock="1"/>
      </w:r>
      <w:r w:rsidRPr="00260745">
        <w:rPr>
          <w:rFonts w:cstheme="minorHAnsi"/>
          <w:lang w:val="en-US"/>
        </w:rPr>
        <w:instrText>ADDIN CSL_CITATION {"citationItems":[{"id":"ITEM-1","itemData":{"DOI":"10.1029/2007GB003052","ISBN":"0886-6236","ISSN":"08866236","PMID":"208059789","abstract":"Mangrove forests are highly productive but globally threatened coastal ecosystems, whose role in the carbon budget of the coastal zone has long been debated. Here we provide a comprehensive synthesis of the available data on carbon fluxes in mangrove ecosystems. A reassessment of global mangrove primary production from the literature results in a conservative estimate of similar to 218 +/- 72 Tg C a(-1). When using the best available estimates of various carbon sinks (organic carbon export, sediment burial, and mineralization), it appears that &gt; 50% of the carbon fixed by mangrove vegetation is unaccounted for. This unaccounted carbon sink is conservatively estimated at similar to 112 +/- 85 Tg C a(-1), equivalent in magnitude to similar to 30-40% of the global riverine organic carbon input to the coastal zone. Our analysis suggests that mineralization is severely underestimated, and that the majority of carbon export from mangroves to adjacent waters occurs as dissolved inorganic carbon (DIC). CO(2) efflux from sediments and creek waters and tidal export of DIC appear to be the major sinks. These processes are quantitatively comparable in magnitude to the unaccounted carbon sink in current budgets, but are not yet adequately constrained with the limited published data available so far.","author":[{"dropping-particle":"","family":"Bouillon","given":"Steven","non-dropping-particle":"","parse-names":false,"suffix":""},{"dropping-particle":"V.","family":"Borges","given":"Alberto","non-dropping-particle":"","parse-names":false,"suffix":""},{"dropping-particle":"","family":"Castañeda-Moya","given":"Edward","non-dropping-particle":"","parse-names":false,"suffix":""},{"dropping-particle":"","family":"Diele","given":"Karen","non-dropping-particle":"","parse-names":false,"suffix":""},{"dropping-particle":"","family":"Dittmar","given":"Thorsten","non-dropping-particle":"","parse-names":false,"suffix":""},{"dropping-particle":"","family":"Duke","given":"Norman C.","non-dropping-particle":"","parse-names":false,"suffix":""},{"dropping-particle":"","family":"Kristensen","given":"Erik","non-dropping-particle":"","parse-names":false,"suffix":""},{"dropping-particle":"","family":"Lee","given":"Shing Y.","non-dropping-particle":"","parse-names":false,"suffix":""},{"dropping-particle":"","family":"Marchand","given":"Cyril","non-dropping-particle":"","parse-names":false,"suffix":""},{"dropping-particle":"","family":"Middelburg","given":"Jack J.","non-dropping-particle":"","parse-names":false,"suffix":""},{"dropping-particle":"","family":"Rivera-Monroy","given":"Victor H.","non-dropping-particle":"","parse-names":false,"suffix":""},{"dropping-particle":"","family":"Smith","given":"Thomas J.","non-dropping-particle":"","parse-names":false,"suffix":""},{"dropping-particle":"","family":"Twilley","given":"Robert R.","non-dropping-particle":"","parse-names":false,"suffix":""}],"container-title":"Global Biogeochemical Cycles","id":"ITEM-1","issue":"2","issued":{"date-parts":[["2008","6","9"]]},"title":"Mangrove production and carbon sinks: A revision of global budget estimates","type":"article-journal","volume":"22"},"uris":["http://www.mendeley.com/documents/?uuid=4c6861df-7364-4b1c-b518-f90c03ee1c54"]},{"id":"ITEM-2","itemData":{"DOI":"10.1002/ecs2.2841","ISSN":"21508925","abstract":"Mangroves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-2","issue":"8","issued":{"date-parts":[["2019","8","22"]]},"publisher":"John Wiley &amp; Sons, Ltd","title":"Spatial variability of mangrove primary productivity in the neotropics","type":"article-journal","volume":"10"},"uris":["http://www.mendeley.com/documents/?uuid=e62cba23-c956-306d-a48f-a25ddc004d7f"]}],"mendeley":{"formattedCitation":"(Bouillon et al., 2008; Ribeiro et al., 2019)","plainTextFormattedCitation":"(Bouillon et al., 2008; Ribeiro et al., 2019)","previouslyFormattedCitation":"(Bouillon et al., 2008; Ribeiro et al., 2019)"},"properties":{"noteIndex":0},"schema":"https://github.com/citation-style-language/schema/raw/master/csl-citation.json"}</w:instrText>
      </w:r>
      <w:r w:rsidRPr="00260745">
        <w:rPr>
          <w:rFonts w:cstheme="minorHAnsi"/>
          <w:lang w:val="en-US"/>
        </w:rPr>
        <w:fldChar w:fldCharType="separate"/>
      </w:r>
      <w:r w:rsidRPr="00260745">
        <w:rPr>
          <w:rFonts w:cstheme="minorHAnsi"/>
          <w:noProof/>
          <w:lang w:val="en-US"/>
        </w:rPr>
        <w:t>(Bouillon et al., 2008; Ribeiro et al., 2019)</w:t>
      </w:r>
      <w:r w:rsidRPr="00260745">
        <w:rPr>
          <w:rFonts w:cstheme="minorHAnsi"/>
          <w:lang w:val="en-US"/>
        </w:rPr>
        <w:fldChar w:fldCharType="end"/>
      </w:r>
      <w:r w:rsidRPr="00260745">
        <w:rPr>
          <w:rFonts w:cstheme="minorHAnsi"/>
          <w:lang w:val="en-US"/>
        </w:rPr>
        <w:t xml:space="preserve">, making it difficult to investigate temporal shifts in mangrove NPP, or the implications of climate change on NPP. </w:t>
      </w:r>
    </w:p>
    <w:p w14:paraId="63EF7C5F" w14:textId="77777777" w:rsidR="00CF7991" w:rsidRPr="00260745" w:rsidRDefault="00CF7991" w:rsidP="00CF7991">
      <w:pPr>
        <w:spacing w:line="480" w:lineRule="auto"/>
        <w:rPr>
          <w:rFonts w:cstheme="minorHAnsi"/>
          <w:lang w:val="en-US"/>
        </w:rPr>
      </w:pPr>
    </w:p>
    <w:p w14:paraId="75833BD3" w14:textId="184E4FB3" w:rsidR="00CF7991" w:rsidRPr="00260745" w:rsidRDefault="00CF7991" w:rsidP="00CF7991">
      <w:pPr>
        <w:spacing w:line="480" w:lineRule="auto"/>
        <w:rPr>
          <w:rFonts w:cstheme="minorHAnsi"/>
          <w:lang w:val="en-US"/>
        </w:rPr>
      </w:pPr>
      <w:r w:rsidRPr="00260745">
        <w:rPr>
          <w:rFonts w:cstheme="minorHAnsi"/>
          <w:lang w:val="en-US"/>
        </w:rPr>
        <w:t xml:space="preserve">The current study collated monthly leaf litter values </w:t>
      </w:r>
      <w:r w:rsidR="00376B3A">
        <w:rPr>
          <w:rFonts w:cstheme="minorHAnsi"/>
          <w:lang w:val="en-US"/>
        </w:rPr>
        <w:t xml:space="preserve">from previously published research literature </w:t>
      </w:r>
      <w:r w:rsidRPr="00260745">
        <w:rPr>
          <w:rFonts w:cstheme="minorHAnsi"/>
          <w:lang w:val="en-US"/>
        </w:rPr>
        <w:t xml:space="preserve">to </w:t>
      </w:r>
      <w:r w:rsidR="00EA537E">
        <w:rPr>
          <w:rFonts w:cstheme="minorHAnsi"/>
          <w:lang w:val="en-US"/>
        </w:rPr>
        <w:t>predict leaf litter rates on</w:t>
      </w:r>
      <w:r w:rsidRPr="00260745">
        <w:rPr>
          <w:rFonts w:cstheme="minorHAnsi"/>
          <w:lang w:val="en-US"/>
        </w:rPr>
        <w:t xml:space="preserve"> </w:t>
      </w:r>
      <w:r w:rsidR="00CC7C6B">
        <w:rPr>
          <w:rFonts w:cstheme="minorHAnsi"/>
          <w:lang w:val="en-US"/>
        </w:rPr>
        <w:t xml:space="preserve">a </w:t>
      </w:r>
      <w:r w:rsidR="002D4F61">
        <w:rPr>
          <w:rFonts w:cstheme="minorHAnsi"/>
          <w:lang w:val="en-US"/>
        </w:rPr>
        <w:t xml:space="preserve">monthly temporal scale, which has previously </w:t>
      </w:r>
      <w:r w:rsidR="00BC6CE0">
        <w:rPr>
          <w:rFonts w:cstheme="minorHAnsi"/>
          <w:lang w:val="en-US"/>
        </w:rPr>
        <w:t>not been performed</w:t>
      </w:r>
      <w:r w:rsidRPr="00260745">
        <w:rPr>
          <w:rFonts w:cstheme="minorHAnsi"/>
        </w:rPr>
        <w:t xml:space="preserve">. </w:t>
      </w:r>
      <w:r w:rsidR="00D63431">
        <w:rPr>
          <w:rFonts w:cstheme="minorHAnsi"/>
        </w:rPr>
        <w:t xml:space="preserve">In addition, </w:t>
      </w:r>
      <w:r w:rsidR="00450BB4">
        <w:rPr>
          <w:rFonts w:cstheme="minorHAnsi"/>
          <w:lang w:val="en-US"/>
        </w:rPr>
        <w:t>t</w:t>
      </w:r>
      <w:r w:rsidRPr="00260745">
        <w:rPr>
          <w:rFonts w:cstheme="minorHAnsi"/>
          <w:lang w:val="en-US"/>
        </w:rPr>
        <w:t xml:space="preserve">he impacts of climate change on mangrove systems around the world are not expected to be spatially uniform </w:t>
      </w:r>
      <w:r w:rsidRPr="00260745">
        <w:rPr>
          <w:rFonts w:cstheme="minorHAnsi"/>
          <w:lang w:val="en-US"/>
        </w:rPr>
        <w:fldChar w:fldCharType="begin" w:fldLock="1"/>
      </w:r>
      <w:r w:rsidR="008A48C6" w:rsidRPr="00260745">
        <w:rPr>
          <w:rFonts w:cstheme="minorHAnsi"/>
          <w:lang w:val="en-US"/>
        </w:rPr>
        <w:instrText>ADDIN CSL_CITATION {"citationItems":[{"id":"ITEM-1","itemData":{"DOI":"10.3389/fmars.2022.781876","author":[{"dropping-particle":"","family":"Chatting","given":"M","non-dropping-particle":"","parse-names":false,"suffix":""},{"dropping-particle":"","family":"Al-Maslamani","given":"I","non-dropping-particle":"","parse-names":false,"suffix":""},{"dropping-particle":"","family":"Walton","given":"M","non-dropping-particle":"","parse-names":false,"suffix":""},{"dropping-particle":"","family":"Skov","given":"MW","non-dropping-particle":"","parse-names":false,"suffix":""},{"dropping-particle":"","family":"Kennedy","given":"H","non-dropping-particle":"","parse-names":false,"suffix":""},{"dropping-particle":"","family":"Husrevoglu","given":"YS","non-dropping-particle":"","parse-names":false,"suffix":""},{"dropping-particle":"","family":"LeVay","given":"L","non-dropping-particle":"","parse-names":false,"suffix":""}],"container-title":"Frontiers in Marine Science","id":"ITEM-1","issued":{"date-parts":[["2022"]]},"page":"781876","title":"Future mangrove carbon storage under climate change and deforestation","type":"article-journal","volume":"9"},"uris":["http://www.mendeley.com/documents/?uuid=67e76fff-b01e-443c-8c5e-f31ef407f598"]},{"id":"ITEM-2","itemData":{"DOI":"10.1126/science.aba2656","ISSN":"10959203","PMID":"32499441","abstract":"The response of mangroves to high rates of relative sea level rise (RSLR) is poorly understood. We explore the limits of mangrove vertical accretion to sustained periods of RSLR in the final stages of deglaciation. The timing of initiation and rate of mangrove vertical accretion were compared with independently modeled rates of RSLR for 78 locations. Mangrove forests expanded between 9800 and 7500 years ago, vertically accreting thick sequences of organic sediments at a rate principally driven by the rate of RSLR, representing an important carbon sink. We found it very likely (&gt;90% probability) that mangroves were unable to initiate sustained accretion when RSLR rates exceeded 6.1 millimeters per year. This threshold is likely to be surpassed on tropical coastlines within 30 years under high-emissions scenarios.","author":[{"dropping-particle":"","family":"Saintilan","given":"N.","non-dropping-particle":"","parse-names":false,"suffix":""},{"dropping-particle":"","family":"Khan","given":"N. S.","non-dropping-particle":"","parse-names":false,"suffix":""},{"dropping-particle":"","family":"Ashe","given":"E.","non-dropping-particle":"","parse-names":false,"suffix":""},{"dropping-particle":"","family":"Kelleway","given":"J. J.","non-dropping-particle":"","parse-names":false,"suffix":""},{"dropping-particle":"","family":"Rogers","given":"K.","non-dropping-particle":"","parse-names":false,"suffix":""},{"dropping-particle":"","family":"Woodroffe","given":"C. D.","non-dropping-particle":"","parse-names":false,"suffix":""},{"dropping-particle":"","family":"Horton","given":"B. P.","non-dropping-particle":"","parse-names":false,"suffix":""}],"container-title":"Science","id":"ITEM-2","issue":"6495","issued":{"date-parts":[["2020"]]},"page":"1118-1121","title":"Thresholds of mangrove survival under rapid sea level rise","type":"article-journal","volume":"368"},"uris":["http://www.mendeley.com/documents/?uuid=92159ddd-1777-45f3-b984-4b59bdbfa7f1"]},{"id":"ITEM-3","itemData":{"DOI":"10.1007/s40641-015-0002-x","ISBN":"9789048129447","ISSN":"2198-6061","PMID":"20558709","abstract":"Mangrove forests have survived a number of cata- strophic climate events since first appearing along the shores of the Tethys Sea during the late Cretaceous-Early Tertiary. The existence of mangrove peat deposits worldwide attests to past episodes of local and regional extinction, primarily in response to abrupt, rapid rises in sea level. Occupying a harsh margin between land and sea, most mangrove plants and as- sociated organisms are predisposed to be either resilient or resistant to most environmental change. Based on the most recent Intergovernmental Panel on Climate Change (IPCC) forecasts, mangrove forests along arid coasts, in subsiding river deltas, and on many islands are predicted to decline in area, structural complexity, and/or in functionality, but man- groves will continue to expand polewards. It is highly likely that they will survive into the foreseeable future as sea level, global temperatures, and atmospheric CO2 concentrations continue to rise. Keywords","author":[{"dropping-particle":"","family":"Alongi","given":"Daniel M.","non-dropping-particle":"","parse-names":false,"suffix":""}],"container-title":"Current Climate Change Reports","id":"ITEM-3","issue":"1","issued":{"date-parts":[["2015"]]},"page":"30-39","title":"The Impact of Climate Change on Mangrove Forests","type":"article-journal","volume":"1"},"uris":["http://www.mendeley.com/documents/?uuid=f79bab08-cbed-412c-a810-d1854e4a6b4d"]}],"mendeley":{"formattedCitation":"(Alongi, 2015; Chatting et al., 2022; Saintilan et al., 2020)","plainTextFormattedCitation":"(Alongi, 2015; Chatting et al., 2022; Saintilan et al., 2020)","previouslyFormattedCitation":"(Alongi, 2015; Chatting et al., 2022; Saintilan et al., 2020)"},"properties":{"noteIndex":0},"schema":"https://github.com/citation-style-language/schema/raw/master/csl-citation.json"}</w:instrText>
      </w:r>
      <w:r w:rsidRPr="00260745">
        <w:rPr>
          <w:rFonts w:cstheme="minorHAnsi"/>
          <w:lang w:val="en-US"/>
        </w:rPr>
        <w:fldChar w:fldCharType="separate"/>
      </w:r>
      <w:r w:rsidR="008A48C6" w:rsidRPr="00260745">
        <w:rPr>
          <w:rFonts w:cstheme="minorHAnsi"/>
          <w:noProof/>
          <w:lang w:val="en-US"/>
        </w:rPr>
        <w:t>(Alongi, 2015; Chatting et al., 2022; Saintilan et al., 2020)</w:t>
      </w:r>
      <w:r w:rsidRPr="00260745">
        <w:rPr>
          <w:rFonts w:cstheme="minorHAnsi"/>
          <w:lang w:val="en-US"/>
        </w:rPr>
        <w:fldChar w:fldCharType="end"/>
      </w:r>
      <w:r w:rsidRPr="00260745">
        <w:rPr>
          <w:rFonts w:cstheme="minorHAnsi"/>
          <w:lang w:val="en-US"/>
        </w:rPr>
        <w:t xml:space="preserve">. Shifts in large scale climatic regimes could place some regional mangroves at risk of significantly reduced NPP. For example, sea level rise would cause changes to inundation periods and durations, potentially increasing tree mortality and significantly reducing NPP (Ward et al., 2016). Moreover, </w:t>
      </w:r>
      <w:r w:rsidR="00DD7B72">
        <w:rPr>
          <w:rFonts w:cstheme="minorHAnsi"/>
          <w:lang w:val="en-US"/>
        </w:rPr>
        <w:t>decreases in winter air temperatures</w:t>
      </w:r>
      <w:r w:rsidR="0032233A">
        <w:rPr>
          <w:rFonts w:cstheme="minorHAnsi"/>
          <w:lang w:val="en-US"/>
        </w:rPr>
        <w:t xml:space="preserve">, which currently limits poleward expansion of mangroves, </w:t>
      </w:r>
      <w:r w:rsidR="00FE5560">
        <w:rPr>
          <w:rFonts w:cstheme="minorHAnsi"/>
          <w:lang w:val="en-US"/>
        </w:rPr>
        <w:t xml:space="preserve">may </w:t>
      </w:r>
      <w:r w:rsidR="00AE47FC">
        <w:rPr>
          <w:rFonts w:cstheme="minorHAnsi"/>
          <w:lang w:val="en-US"/>
        </w:rPr>
        <w:t xml:space="preserve">cause </w:t>
      </w:r>
      <w:r w:rsidR="009F6D8F">
        <w:rPr>
          <w:rFonts w:cstheme="minorHAnsi"/>
          <w:lang w:val="en-US"/>
        </w:rPr>
        <w:t xml:space="preserve">reductions of mangrove NPP at their latitudinal limits </w:t>
      </w:r>
      <w:r w:rsidR="00CE2913">
        <w:rPr>
          <w:rFonts w:cstheme="minorHAnsi"/>
          <w:lang w:val="en-US"/>
        </w:rPr>
        <w:fldChar w:fldCharType="begin" w:fldLock="1"/>
      </w:r>
      <w:r w:rsidR="00F24456">
        <w:rPr>
          <w:rFonts w:cstheme="minorHAnsi"/>
          <w:lang w:val="en-US"/>
        </w:rPr>
        <w:instrText>ADDIN CSL_CITATION {"citationItems":[{"id":"ITEM-1","itemData":{"DOI":"10.1111/ddi.13119","author":[{"dropping-particle":"","family":"Osland","given":"MJ","non-dropping-particle":"","parse-names":false,"suffix":""},{"dropping-particle":"","family":"Day","given":"RH","non-dropping-particle":"","parse-names":false,"suffix":""},{"dropping-particle":"","family":"Michot","given":"TC","non-dropping-particle":"","parse-names":false,"suffix":""}],"container-title":"Biodiversity Research","id":"ITEM-1","issued":{"date-parts":[["2020"]]},"page":"1366-1382","title":"Frequency of extreme freeze events controls the distribution and structure of black mangroves (Avicennia germinans) near their northern range limit in coastal Louisiana","type":"article-journal","volume":"26"},"uris":["http://www.mendeley.com/documents/?uuid=43b042a7-5e61-4223-b9c1-46210c53a14c"]}],"mendeley":{"formattedCitation":"(Osland et al., 2020)","plainTextFormattedCitation":"(Osland et al., 2020)","previouslyFormattedCitation":"(Osland et al., 2018)"},"properties":{"noteIndex":0},"schema":"https://github.com/citation-style-language/schema/raw/master/csl-citation.json"}</w:instrText>
      </w:r>
      <w:r w:rsidR="00CE2913">
        <w:rPr>
          <w:rFonts w:cstheme="minorHAnsi"/>
          <w:lang w:val="en-US"/>
        </w:rPr>
        <w:fldChar w:fldCharType="separate"/>
      </w:r>
      <w:r w:rsidR="00F24456" w:rsidRPr="00F24456">
        <w:rPr>
          <w:rFonts w:cstheme="minorHAnsi"/>
          <w:noProof/>
          <w:lang w:val="en-US"/>
        </w:rPr>
        <w:t>(Osland et al., 2020)</w:t>
      </w:r>
      <w:r w:rsidR="00CE2913">
        <w:rPr>
          <w:rFonts w:cstheme="minorHAnsi"/>
          <w:lang w:val="en-US"/>
        </w:rPr>
        <w:fldChar w:fldCharType="end"/>
      </w:r>
      <w:r w:rsidR="00D43A4F">
        <w:rPr>
          <w:rFonts w:cstheme="minorHAnsi"/>
          <w:lang w:val="en-US"/>
        </w:rPr>
        <w:t xml:space="preserve">. </w:t>
      </w:r>
      <w:r w:rsidR="007E7205">
        <w:rPr>
          <w:rFonts w:cstheme="minorHAnsi"/>
          <w:lang w:val="en-US"/>
        </w:rPr>
        <w:t xml:space="preserve">However, </w:t>
      </w:r>
      <w:r w:rsidR="00E94AF1">
        <w:rPr>
          <w:rFonts w:cstheme="minorHAnsi"/>
          <w:lang w:val="en-US"/>
        </w:rPr>
        <w:t xml:space="preserve">reduced mangrove NPP at their poleward limits may only shift productivity towards </w:t>
      </w:r>
      <w:r w:rsidR="00B91EA2">
        <w:rPr>
          <w:rFonts w:cstheme="minorHAnsi"/>
          <w:lang w:val="en-US"/>
        </w:rPr>
        <w:t>saltmarsh habitats</w:t>
      </w:r>
      <w:r w:rsidR="00B10070">
        <w:rPr>
          <w:rFonts w:cstheme="minorHAnsi"/>
          <w:lang w:val="en-US"/>
        </w:rPr>
        <w:t xml:space="preserve"> </w:t>
      </w:r>
      <w:r w:rsidR="00F24456">
        <w:rPr>
          <w:rFonts w:cstheme="minorHAnsi"/>
          <w:lang w:val="en-US"/>
        </w:rPr>
        <w:fldChar w:fldCharType="begin" w:fldLock="1"/>
      </w:r>
      <w:r w:rsidR="00F24456">
        <w:rPr>
          <w:rFonts w:cstheme="minorHAnsi"/>
          <w:lang w:val="en-US"/>
        </w:rPr>
        <w:instrText>ADDIN CSL_CITATION {"citationItems":[{"id":"ITEM-1","itemData":{"DOI":"10.1111/gcb.14376","ISSN":"13652486","abstract":"Coastal wetlands are among the most productive and carbon-rich ecosystems on Earth. Long-term carbon storage in coastal wetlands occurs primarily belowground as soil organic matter (SOM). In addition to serving as a carbon sink, SOM influences wetland ecosystem structure, function, and stability. To anticipate and mitigate the effects of climate change, there is a need to advance understanding of environmental controls on wetland SOM. Here, we investigated the influence of four soil formation factors: climate, biota, parent materials, and topography. Along the northern Gulf of Mexico, we collected wetland plant and soil data across elevation and zonation gradients within 10 estuaries that span broad temperature and precipitation gradients. Our results highlight the importance of climate–plant controls and indicate that the influence of elevation is scale and location dependent. Coastal wetland plants are sensitive to climate change; small changes in temperature or precipitation can transform coastal wetland plant communities. Across the region, SOM was greatest in mangrove forests and in salt marshes dominated by graminoid plants. SOM was lower in salt flats that lacked vascular plants and in salt marshes dominated by succulent plants. We quantified strong relationships between precipitation, salinity, plant productivity, and SOM. Low precipitation leads to high salinity, which limits plant productivity and appears to constrain SOM accumulation. Our analyses use data from the Gulf of Mexico, but our results can be related to coastal wetlands across the globe and provide a foundation for predicting the ecological effects of future reductions in precipitation and freshwater availability. Coastal wetlands provide many ecosystem services that are SOM dependent and highly vulnerable to climate change. Collectively, our results indicate that future changes in SOM and plant productivity, regulated by cascading effects of precipitation on freshwater availability and salinity, could impact wetland stability and affect the supply of some wetland ecosystem services.","author":[{"dropping-particle":"","family":"Osland","given":"Michael J.","non-dropping-particle":"","parse-names":false,"suffix":""},{"dropping-particle":"","family":"Gabler","given":"Christopher A.","non-dropping-particle":"","parse-names":false,"suffix":""},{"dropping-particle":"","family":"Grace","given":"James B.","non-dropping-particle":"","parse-names":false,"suffix":""},{"dropping-particle":"","family":"Day","given":"Richard H.","non-dropping-particle":"","parse-names":false,"suffix":""},{"dropping-particle":"","family":"McCoy","given":"Meagan L.","non-dropping-particle":"","parse-names":false,"suffix":""},{"dropping-particle":"","family":"McLeod","given":"Jennie L.","non-dropping-particle":"","parse-names":false,"suffix":""},{"dropping-particle":"","family":"From","given":"Andrew S.","non-dropping-particle":"","parse-names":false,"suffix":""},{"dropping-particle":"","family":"Enwright","given":"Nicholas M.","non-dropping-particle":"","parse-names":false,"suffix":""},{"dropping-particle":"","family":"Feher","given":"Laura C.","non-dropping-particle":"","parse-names":false,"suffix":""},{"dropping-particle":"","family":"Stagg","given":"Camille L.","non-dropping-particle":"","parse-names":false,"suffix":""},{"dropping-particle":"","family":"Hartley","given":"Stephen B.","non-dropping-particle":"","parse-names":false,"suffix":""}],"container-title":"Global Change Biology","id":"ITEM-1","issue":"11","issued":{"date-parts":[["2018"]]},"page":"5361-5379","title":"Climate and plant controls on soil organic matter in coastal wetlands","type":"article-journal","volume":"24"},"uris":["http://www.mendeley.com/documents/?uuid=190fce1d-80ef-470e-a0ab-f92ff5bfc590"]}],"mendeley":{"formattedCitation":"(Osland et al., 2018)","plainTextFormattedCitation":"(Osland et al., 2018)","previouslyFormattedCitation":"(Osland et al., 2018)"},"properties":{"noteIndex":0},"schema":"https://github.com/citation-style-language/schema/raw/master/csl-citation.json"}</w:instrText>
      </w:r>
      <w:r w:rsidR="00F24456">
        <w:rPr>
          <w:rFonts w:cstheme="minorHAnsi"/>
          <w:lang w:val="en-US"/>
        </w:rPr>
        <w:fldChar w:fldCharType="separate"/>
      </w:r>
      <w:r w:rsidR="00F24456" w:rsidRPr="00F24456">
        <w:rPr>
          <w:rFonts w:cstheme="minorHAnsi"/>
          <w:noProof/>
          <w:lang w:val="en-US"/>
        </w:rPr>
        <w:t>(Osland et al., 2018)</w:t>
      </w:r>
      <w:r w:rsidR="00F24456">
        <w:rPr>
          <w:rFonts w:cstheme="minorHAnsi"/>
          <w:lang w:val="en-US"/>
        </w:rPr>
        <w:fldChar w:fldCharType="end"/>
      </w:r>
      <w:r w:rsidR="00B001EF">
        <w:rPr>
          <w:rFonts w:cstheme="minorHAnsi"/>
          <w:lang w:val="en-US"/>
        </w:rPr>
        <w:t>.</w:t>
      </w:r>
    </w:p>
    <w:p w14:paraId="469AFC65" w14:textId="77777777" w:rsidR="00CF7991" w:rsidRPr="00260745" w:rsidRDefault="00CF7991" w:rsidP="00CF7991">
      <w:pPr>
        <w:spacing w:line="480" w:lineRule="auto"/>
        <w:rPr>
          <w:rFonts w:cstheme="minorHAnsi"/>
          <w:highlight w:val="magenta"/>
          <w:lang w:val="en-US"/>
        </w:rPr>
      </w:pPr>
    </w:p>
    <w:p w14:paraId="42D19A83" w14:textId="5FDEFA72" w:rsidR="00CF7991" w:rsidRPr="00260745" w:rsidRDefault="00CF7991" w:rsidP="00CF7991">
      <w:pPr>
        <w:spacing w:line="480" w:lineRule="auto"/>
        <w:rPr>
          <w:lang w:val="en-US"/>
        </w:rPr>
      </w:pPr>
      <w:r w:rsidRPr="00260745">
        <w:rPr>
          <w:rFonts w:cstheme="minorHAnsi"/>
          <w:lang w:val="en-US"/>
        </w:rPr>
        <w:t xml:space="preserve">This study explored how climate change will affect global rates of mangrove NPP. The study then compared these changes to past NPP and evaluated whether any shifts in productivity will vary between global mangrove regions. Emphasis was placed on predicting mangrove productivity at a monthly resolution, to examine if climate change will cause an increase or decrease in the seasonality of NPP. The study </w:t>
      </w:r>
      <w:proofErr w:type="spellStart"/>
      <w:r w:rsidRPr="00260745">
        <w:rPr>
          <w:rFonts w:cstheme="minorHAnsi"/>
          <w:lang w:val="en-US"/>
        </w:rPr>
        <w:t>hypothesised</w:t>
      </w:r>
      <w:proofErr w:type="spellEnd"/>
      <w:r w:rsidRPr="00260745">
        <w:rPr>
          <w:rFonts w:cstheme="minorHAnsi"/>
          <w:lang w:val="en-US"/>
        </w:rPr>
        <w:t xml:space="preserve"> that global NPP and NPP seasonality </w:t>
      </w:r>
      <w:r w:rsidR="005816D9">
        <w:rPr>
          <w:rFonts w:cstheme="minorHAnsi"/>
          <w:lang w:val="en-US"/>
        </w:rPr>
        <w:t>(seasonality is defined as variance from the annual mean</w:t>
      </w:r>
      <w:r w:rsidR="002A23B3">
        <w:rPr>
          <w:rFonts w:cstheme="minorHAnsi"/>
          <w:lang w:val="en-US"/>
        </w:rPr>
        <w:t xml:space="preserve"> </w:t>
      </w:r>
      <w:r w:rsidR="002A23B3" w:rsidRPr="00260745">
        <w:rPr>
          <w:noProof/>
          <w:lang w:eastAsia="en-GB"/>
        </w:rPr>
        <w:fldChar w:fldCharType="begin" w:fldLock="1"/>
      </w:r>
      <w:r w:rsidR="002A23B3" w:rsidRPr="00260745">
        <w:rPr>
          <w:noProof/>
          <w:lang w:eastAsia="en-GB"/>
        </w:rPr>
        <w:instrText>ADDIN CSL_CITATION {"citationItems":[{"id":"ITEM-1","itemData":{"DOI":"10.1016/j.mimet.2011.04.001","ISBN":"0950-5849","ISSN":"09505849","PMID":"21504767","abstract":"The U.S. Geological Survey (USGS) has developed climate indices, referred to as bioclimatic predictors, which highlight climate conditions best related to species physiology. A set of 20 bioclimatic predictors were developed as Geographic Information Systems (GIS) continuous raster surfaces for each year between 1895 and 2009. The Parameter-elevation Regression on Independent Slopes Model (PRISM) and down-scaled PRISM data, which included both averaged multi-year and averaged monthly climate summaries, was used to develop these multi-scale bioclimatic predictors. Bioclimatic predictors capture information about annual conditions (annual mean temperature, annual precipitation, annual range in temperature and precipitation), as well as seasonal mean climate conditions and intra-year seasonality (temperature of the coldest and warmest months, precipitation of the wettest and driest quarters). Examining climate over time is useful when quantifying the effects of climate changes on species’ distributions for past, current, and forecasted scenarios. These data, which have not been readily available to scientists, can provide biologists and ecologists with relevant and multi-scaled climate data to augment research on the responses of species to changing climate conditions. The relationships established between species demographics and distributions with bioclimatic predictors can inform land managers of climatic effects on species during decisionmaking processes.","author":[{"dropping-particle":"","family":"O'Donnell","given":"Michael. S.","non-dropping-particle":"","parse-names":false,"suffix":""},{"dropping-particle":"","family":"Ignizio","given":"Drew. A.","non-dropping-particle":"","parse-names":false,"suffix":""}],"container-title":"US Geological Survey Data Series","id":"ITEM-1","issue":"10","issued":{"date-parts":[["2012"]]},"number-of-pages":"1-17","title":"Bioclimatic Predictors for Supporting Ecological Applications in the Conterminous United States","type":"report","volume":"691"},"uris":["http://www.mendeley.com/documents/?uuid=f73e2407-6497-4fb4-ae1f-8d57fc27909a"]}],"mendeley":{"formattedCitation":"(O’Donnell and Ignizio, 2012)","plainTextFormattedCitation":"(O’Donnell and Ignizio, 2012)","previouslyFormattedCitation":"(O’Donnell and Ignizio, 2012)"},"properties":{"noteIndex":0},"schema":"https://github.com/citation-style-language/schema/raw/master/csl-citation.json"}</w:instrText>
      </w:r>
      <w:r w:rsidR="002A23B3" w:rsidRPr="00260745">
        <w:rPr>
          <w:noProof/>
          <w:lang w:eastAsia="en-GB"/>
        </w:rPr>
        <w:fldChar w:fldCharType="separate"/>
      </w:r>
      <w:r w:rsidR="002A23B3" w:rsidRPr="00260745">
        <w:rPr>
          <w:noProof/>
          <w:lang w:eastAsia="en-GB"/>
        </w:rPr>
        <w:t xml:space="preserve">(O’Donnell and Ignizio, </w:t>
      </w:r>
      <w:r w:rsidR="002A23B3" w:rsidRPr="00260745">
        <w:rPr>
          <w:noProof/>
          <w:lang w:eastAsia="en-GB"/>
        </w:rPr>
        <w:lastRenderedPageBreak/>
        <w:t>2012)</w:t>
      </w:r>
      <w:r w:rsidR="002A23B3" w:rsidRPr="00260745">
        <w:rPr>
          <w:noProof/>
          <w:lang w:eastAsia="en-GB"/>
        </w:rPr>
        <w:fldChar w:fldCharType="end"/>
      </w:r>
      <w:r w:rsidR="005816D9">
        <w:rPr>
          <w:rFonts w:cstheme="minorHAnsi"/>
          <w:lang w:val="en-US"/>
        </w:rPr>
        <w:t xml:space="preserve">) </w:t>
      </w:r>
      <w:r w:rsidRPr="00260745">
        <w:rPr>
          <w:rFonts w:cstheme="minorHAnsi"/>
          <w:lang w:val="en-US"/>
        </w:rPr>
        <w:t>would increase by the end of the 21</w:t>
      </w:r>
      <w:r w:rsidRPr="00260745">
        <w:rPr>
          <w:rFonts w:cstheme="minorHAnsi"/>
          <w:vertAlign w:val="superscript"/>
          <w:lang w:val="en-US"/>
        </w:rPr>
        <w:t>st</w:t>
      </w:r>
      <w:r w:rsidRPr="00260745">
        <w:rPr>
          <w:rFonts w:cstheme="minorHAnsi"/>
          <w:lang w:val="en-US"/>
        </w:rPr>
        <w:t xml:space="preserve"> century, particularly at the extremities of global distribution. To explore the aims and hypotheses, the study used predictive modelling of existing data sourced from the literature. To inform on how climate change will impact on primary productivity, the model projections were made to the middle and the end of the 21</w:t>
      </w:r>
      <w:r w:rsidRPr="00260745">
        <w:rPr>
          <w:rFonts w:cstheme="minorHAnsi"/>
          <w:vertAlign w:val="superscript"/>
          <w:lang w:val="en-US"/>
        </w:rPr>
        <w:t>st</w:t>
      </w:r>
      <w:r w:rsidRPr="00260745">
        <w:rPr>
          <w:rFonts w:cstheme="minorHAnsi"/>
          <w:lang w:val="en-US"/>
        </w:rPr>
        <w:t xml:space="preserve"> century and under four different climate change scenarios.</w:t>
      </w:r>
      <w:r w:rsidRPr="00260745">
        <w:rPr>
          <w:lang w:val="en-US"/>
        </w:rPr>
        <w:t xml:space="preserve"> </w:t>
      </w:r>
    </w:p>
    <w:p w14:paraId="7E217C09" w14:textId="77777777" w:rsidR="00CF7991" w:rsidRPr="002B314E" w:rsidRDefault="00CF7991" w:rsidP="00CF7991">
      <w:pPr>
        <w:spacing w:line="480" w:lineRule="auto"/>
        <w:rPr>
          <w:b/>
          <w:bCs/>
          <w:lang w:val="en-US"/>
        </w:rPr>
      </w:pPr>
    </w:p>
    <w:p w14:paraId="65A06D6A" w14:textId="798CB62D" w:rsidR="00CF7991" w:rsidRPr="001E65D6" w:rsidRDefault="00CF7991" w:rsidP="00CF7991">
      <w:pPr>
        <w:pStyle w:val="Heading2"/>
        <w:rPr>
          <w:rFonts w:cstheme="minorHAnsi"/>
          <w:b/>
          <w:bCs/>
          <w:lang w:val="en-US"/>
        </w:rPr>
      </w:pPr>
      <w:bookmarkStart w:id="28" w:name="_Toc120622117"/>
      <w:r w:rsidRPr="001E65D6">
        <w:rPr>
          <w:rFonts w:asciiTheme="minorHAnsi" w:hAnsiTheme="minorHAnsi" w:cstheme="minorHAnsi"/>
          <w:b/>
          <w:bCs/>
          <w:color w:val="auto"/>
          <w:lang w:val="en-US"/>
        </w:rPr>
        <w:t>3.3</w:t>
      </w:r>
      <w:r w:rsidRPr="001E65D6">
        <w:rPr>
          <w:rFonts w:asciiTheme="minorHAnsi" w:hAnsiTheme="minorHAnsi" w:cstheme="minorHAnsi"/>
          <w:b/>
          <w:bCs/>
          <w:color w:val="auto"/>
          <w:lang w:val="en-US"/>
        </w:rPr>
        <w:tab/>
        <w:t>Methods</w:t>
      </w:r>
      <w:bookmarkEnd w:id="28"/>
    </w:p>
    <w:p w14:paraId="569256FF" w14:textId="1CCB99A7" w:rsidR="00CF7991" w:rsidRPr="001E65D6" w:rsidRDefault="00CF7991" w:rsidP="00CF7991">
      <w:pPr>
        <w:pStyle w:val="Heading3"/>
        <w:rPr>
          <w:rFonts w:cstheme="minorHAnsi"/>
          <w:b/>
          <w:bCs/>
        </w:rPr>
      </w:pPr>
      <w:bookmarkStart w:id="29" w:name="_Toc120622118"/>
      <w:r w:rsidRPr="001E65D6">
        <w:rPr>
          <w:rFonts w:asciiTheme="minorHAnsi" w:hAnsiTheme="minorHAnsi" w:cstheme="minorHAnsi"/>
          <w:b/>
          <w:bCs/>
          <w:color w:val="auto"/>
        </w:rPr>
        <w:t>3.3.1</w:t>
      </w:r>
      <w:r w:rsidRPr="001E65D6">
        <w:rPr>
          <w:rFonts w:asciiTheme="minorHAnsi" w:hAnsiTheme="minorHAnsi" w:cstheme="minorHAnsi"/>
          <w:b/>
          <w:bCs/>
          <w:color w:val="auto"/>
        </w:rPr>
        <w:tab/>
        <w:t>Sourcing literature data</w:t>
      </w:r>
      <w:bookmarkEnd w:id="29"/>
    </w:p>
    <w:p w14:paraId="47204629" w14:textId="0F544040" w:rsidR="00CF7991" w:rsidRPr="00260745" w:rsidRDefault="00CF7991" w:rsidP="00CF7991">
      <w:pPr>
        <w:spacing w:line="480" w:lineRule="auto"/>
        <w:rPr>
          <w:noProof/>
          <w:lang w:eastAsia="en-GB"/>
        </w:rPr>
      </w:pPr>
      <w:r w:rsidRPr="00260745">
        <w:rPr>
          <w:lang w:val="en-US"/>
        </w:rPr>
        <w:t xml:space="preserve">Mangrove litterfall was used as a proxy for mangrove Net Primary </w:t>
      </w:r>
      <w:r w:rsidR="008B0B11">
        <w:rPr>
          <w:lang w:val="en-US"/>
        </w:rPr>
        <w:t>P</w:t>
      </w:r>
      <w:r w:rsidRPr="00260745">
        <w:rPr>
          <w:lang w:val="en-US"/>
        </w:rPr>
        <w:t xml:space="preserve">roductivity (NPP), as is typically done </w:t>
      </w:r>
      <w:r w:rsidRPr="00260745">
        <w:rPr>
          <w:lang w:val="en-US"/>
        </w:rPr>
        <w:fldChar w:fldCharType="begin" w:fldLock="1"/>
      </w:r>
      <w:r w:rsidR="008A48C6" w:rsidRPr="00260745">
        <w:rPr>
          <w:lang w:val="en-US"/>
        </w:rPr>
        <w:instrText>ADDIN CSL_CITATION {"citationItems":[{"id":"ITEM-1","itemData":{"DOI":"10.1007/978-1-4020-4271-3","ISBN":"9781402042706","abstract":"Despite their importance in sustaining livelihoods for many people living along some of the world's most populous coastlines, tropical mangrove forests are disappearing at an alarming rate. Occupying a crucial place between land and sea, these tidal ecosystems provide a valuable ecological and economic resource as important nursery grounds and breeding sites for many organisms, and as a renewable source of wood and traditional foods and medicines. Perhaps most importantly, they are accumulation sites for sediment, contaminants, carbon and nutrients, and offer significant protection against coastal erosion. This book presents a functional overview of mangrove forest ecosystems; how they live and grow at the edge of tropical seas, how they play a critical role along most of the world's tropical coasts, and how their future might look in a world affected by climate change. Such a process-oriented approach is necessary in order to further understand the role of these dynamic forests in ecosystem function, and as a first step towards developing adequate strategies for their conservation and sustainable use and management. The book will provide a valuable resource for researchers in mangrove ecology as well as reference for resource managers. © 2009 Springer Science + Business Media B.V.","author":[{"dropping-particle":"","family":"Alongi","given":"Daniel M.","non-dropping-particle":"","parse-names":false,"suffix":""}],"container-title":"The Energetics of Mangrove Forests","id":"ITEM-1","issued":{"date-parts":[["2009"]]},"number-of-pages":"1-216","publisher":"Springer Science &amp; Business Media","publisher-place":"New York","title":"The energetics of mangrove forests","type":"book"},"uris":["http://www.mendeley.com/documents/?uuid=cbb1df17-e857-4abd-95d9-5dd9e7b78cbc"]},{"id":"ITEM-2","itemData":{"DOI":"10.1029/2007GB003052","ISBN":"0886-6236","ISSN":"08866236","PMID":"208059789","abstract":"Mangrove forests are highly productive but globally threatened coastal ecosystems, whose role in the carbon budget of the coastal zone has long been debated. Here we provide a comprehensive synthesis of the available data on carbon fluxes in mangrove ecosystems. A reassessment of global mangrove primary production from the literature results in a conservative estimate of similar to 218 +/- 72 Tg C a(-1). When using the best available estimates of various carbon sinks (organic carbon export, sediment burial, and mineralization), it appears that &gt; 50% of the carbon fixed by mangrove vegetation is unaccounted for. This unaccounted carbon sink is conservatively estimated at similar to 112 +/- 85 Tg C a(-1), equivalent in magnitude to similar to 30-40% of the global riverine organic carbon input to the coastal zone. Our analysis suggests that mineralization is severely underestimated, and that the majority of carbon export from mangroves to adjacent waters occurs as dissolved inorganic carbon (DIC). CO(2) efflux from sediments and creek waters and tidal export of DIC appear to be the major sinks. These processes are quantitatively comparable in magnitude to the unaccounted carbon sink in current budgets, but are not yet adequately constrained with the limited published data available so far.","author":[{"dropping-particle":"","family":"Bouillon","given":"Steven","non-dropping-particle":"","parse-names":false,"suffix":""},{"dropping-particle":"V.","family":"Borges","given":"Alberto","non-dropping-particle":"","parse-names":false,"suffix":""},{"dropping-particle":"","family":"Castañeda-Moya","given":"Edward","non-dropping-particle":"","parse-names":false,"suffix":""},{"dropping-particle":"","family":"Diele","given":"Karen","non-dropping-particle":"","parse-names":false,"suffix":""},{"dropping-particle":"","family":"Dittmar","given":"Thorsten","non-dropping-particle":"","parse-names":false,"suffix":""},{"dropping-particle":"","family":"Duke","given":"Norman C.","non-dropping-particle":"","parse-names":false,"suffix":""},{"dropping-particle":"","family":"Kristensen","given":"Erik","non-dropping-particle":"","parse-names":false,"suffix":""},{"dropping-particle":"","family":"Lee","given":"Shing Y.","non-dropping-particle":"","parse-names":false,"suffix":""},{"dropping-particle":"","family":"Marchand","given":"Cyril","non-dropping-particle":"","parse-names":false,"suffix":""},{"dropping-particle":"","family":"Middelburg","given":"Jack J.","non-dropping-particle":"","parse-names":false,"suffix":""},{"dropping-particle":"","family":"Rivera-Monroy","given":"Victor H.","non-dropping-particle":"","parse-names":false,"suffix":""},{"dropping-particle":"","family":"Smith","given":"Thomas J.","non-dropping-particle":"","parse-names":false,"suffix":""},{"dropping-particle":"","family":"Twilley","given":"Robert R.","non-dropping-particle":"","parse-names":false,"suffix":""}],"container-title":"Global Biogeochemical Cycles","id":"ITEM-2","issue":"2","issued":{"date-parts":[["2008","6","9"]]},"title":"Mangrove production and carbon sinks: A revision of global budget estimates","type":"article-journal","volume":"22"},"uris":["http://www.mendeley.com/documents/?uuid=4c6861df-7364-4b1c-b518-f90c03ee1c54"]}],"mendeley":{"formattedCitation":"(Alongi, 2009; Bouillon et al., 2008)","plainTextFormattedCitation":"(Alongi, 2009; Bouillon et al., 2008)","previouslyFormattedCitation":"(Alongi, 2009; Bouillon et al., 2008)"},"properties":{"noteIndex":0},"schema":"https://github.com/citation-style-language/schema/raw/master/csl-citation.json"}</w:instrText>
      </w:r>
      <w:r w:rsidRPr="00260745">
        <w:rPr>
          <w:lang w:val="en-US"/>
        </w:rPr>
        <w:fldChar w:fldCharType="separate"/>
      </w:r>
      <w:r w:rsidR="008A48C6" w:rsidRPr="00260745">
        <w:rPr>
          <w:noProof/>
          <w:lang w:val="en-US"/>
        </w:rPr>
        <w:t>(Alongi, 2009; Bouillon et al., 2008)</w:t>
      </w:r>
      <w:r w:rsidRPr="00260745">
        <w:rPr>
          <w:lang w:val="en-US"/>
        </w:rPr>
        <w:fldChar w:fldCharType="end"/>
      </w:r>
      <w:r w:rsidRPr="00260745">
        <w:rPr>
          <w:lang w:val="en-US"/>
        </w:rPr>
        <w:t xml:space="preserve">. The study collated a </w:t>
      </w:r>
      <w:r w:rsidRPr="00260745">
        <w:t xml:space="preserve">database of measured </w:t>
      </w:r>
      <w:r w:rsidRPr="00260745">
        <w:rPr>
          <w:lang w:val="en-US"/>
        </w:rPr>
        <w:t xml:space="preserve">monthly </w:t>
      </w:r>
      <w:r w:rsidRPr="00260745">
        <w:t>litterfall rates, corresponding site coordinates and sampling dates from previously published literature. Only studies that reported litterfall rates at approximate monthly intervals were retained. Candidate studies were identified using Google Scholar (</w:t>
      </w:r>
      <w:hyperlink r:id="rId33" w:history="1">
        <w:r w:rsidRPr="00260745">
          <w:rPr>
            <w:rStyle w:val="Hyperlink"/>
          </w:rPr>
          <w:t>http://scholar.google.com/</w:t>
        </w:r>
      </w:hyperlink>
      <w:r w:rsidRPr="00260745">
        <w:t xml:space="preserve">) and the following search terms: “mangrove” AND “litter” OR “productivity” OR “leaf litter” OR “litter fall” OR “litterfall”. Only Google Scholar was used as the literature indexed on the website is a superset of Web of Science and Scopus, two other commonly used search databases in meta-analysis studies </w:t>
      </w:r>
      <w:r w:rsidRPr="00260745">
        <w:fldChar w:fldCharType="begin" w:fldLock="1"/>
      </w:r>
      <w:r w:rsidRPr="00260745">
        <w:instrText>ADDIN CSL_CITATION {"citationItems":[{"id":"ITEM-1","itemData":{"DOI":"10.1016/j.joi.2018.09.002","ISSN":"18755879","abstract":"Despite citation counts from Google Scholar (GS), Web of Science (WoS), and Scopus being widely consulted by researchers and sometimes used in research evaluations, there is no recent or systematic evidence about the differences between them. In response, this paper investigates 2,448,055 citations to 2299 English-language highly-cited documents from 252 GS subject categories published in 2006, comparing GS, the WoS Core Collection, and Scopus. GS consistently found the largest percentage of citations across all areas (93%-96%), far ahead of Scopus (35%-77%) and WoS (27%-73%). GS found nearly all the WoS (95%) and Scopus (92%) citations. Most citations found only by GS were from non-journal sources (48%-65%), including theses, books, conference papers, and unpublished materials. Many were non-English (19%-38%), and they tended to be much less cited than citing sources that were also in Scopus or WoS. Despite the many unique GS citing sources, Spearman correlations between citation counts in GS and WoS or Scopus are high (0.78-0.99). They are lower in the Humanities, and lower between GS and WoS than between GS and Scopus. The results suggest that in all areas GS citation data is essentially a superset of WoS and Scopus, with substantial extra coverage.","author":[{"dropping-particle":"","family":"Martín-Martín","given":"Alberto","non-dropping-particle":"","parse-names":false,"suffix":""},{"dropping-particle":"","family":"Orduna-Malea","given":"Enrique","non-dropping-particle":"","parse-names":false,"suffix":""},{"dropping-particle":"","family":"Thelwall","given":"Mike","non-dropping-particle":"","parse-names":false,"suffix":""},{"dropping-particle":"","family":"Delgado López-Cózar","given":"Emilio","non-dropping-particle":"","parse-names":false,"suffix":""}],"container-title":"Journal of Informetrics","id":"ITEM-1","issue":"4","issued":{"date-parts":[["2018"]]},"page":"1160-1177","title":"Google Scholar, Web of Science, and Scopus: A systematic comparison of citations in 252 subject categories","type":"article-journal","volume":"12"},"uris":["http://www.mendeley.com/documents/?uuid=a69dfb69-2818-4dbf-92bc-f72e9dfbdab3"]}],"mendeley":{"formattedCitation":"(Martín-Martín et al., 2018)","plainTextFormattedCitation":"(Martín-Martín et al., 2018)","previouslyFormattedCitation":"(Martín-Martín et al., 2018)"},"properties":{"noteIndex":0},"schema":"https://github.com/citation-style-language/schema/raw/master/csl-citation.json"}</w:instrText>
      </w:r>
      <w:r w:rsidRPr="00260745">
        <w:fldChar w:fldCharType="separate"/>
      </w:r>
      <w:r w:rsidRPr="00260745">
        <w:rPr>
          <w:noProof/>
        </w:rPr>
        <w:t>(Martín-Martín et al., 2018)</w:t>
      </w:r>
      <w:r w:rsidRPr="00260745">
        <w:fldChar w:fldCharType="end"/>
      </w:r>
      <w:r w:rsidRPr="00260745">
        <w:t xml:space="preserve">. </w:t>
      </w:r>
      <w:r w:rsidRPr="00260745">
        <w:rPr>
          <w:noProof/>
          <w:lang w:eastAsia="en-GB"/>
        </w:rPr>
        <w:t xml:space="preserve">The longitude and latitude of sampling site were obtained from studies when reported. </w:t>
      </w:r>
      <w:r w:rsidRPr="00260745">
        <w:t>When studies only reported sampling locations</w:t>
      </w:r>
      <w:r w:rsidRPr="00260745">
        <w:rPr>
          <w:noProof/>
          <w:lang w:eastAsia="en-GB"/>
        </w:rPr>
        <w:t xml:space="preserve"> graphically, images of graphics were captured and points were digitized in Plot Digitizer software by manually overlaying points onto graphical coordinates </w:t>
      </w:r>
      <w:r w:rsidRPr="00260745">
        <w:rPr>
          <w:noProof/>
          <w:lang w:eastAsia="en-GB"/>
        </w:rPr>
        <w:fldChar w:fldCharType="begin" w:fldLock="1"/>
      </w:r>
      <w:r w:rsidR="008A48C6" w:rsidRPr="00260745">
        <w:rPr>
          <w:noProof/>
          <w:lang w:eastAsia="en-GB"/>
        </w:rPr>
        <w:instrText>ADDIN CSL_CITATION {"citationItems":[{"id":"ITEM-1","itemData":{"DOI":"10.3389/fmars.2022.781876","author":[{"dropping-particle":"","family":"Chatting","given":"M","non-dropping-particle":"","parse-names":false,"suffix":""},{"dropping-particle":"","family":"Al-Maslamani","given":"I","non-dropping-particle":"","parse-names":false,"suffix":""},{"dropping-particle":"","family":"Walton","given":"M","non-dropping-particle":"","parse-names":false,"suffix":""},{"dropping-particle":"","family":"Skov","given":"MW","non-dropping-particle":"","parse-names":false,"suffix":""},{"dropping-particle":"","family":"Kennedy","given":"H","non-dropping-particle":"","parse-names":false,"suffix":""},{"dropping-particle":"","family":"Husrevoglu","given":"YS","non-dropping-particle":"","parse-names":false,"suffix":""},{"dropping-particle":"","family":"LeVay","given":"L","non-dropping-particle":"","parse-names":false,"suffix":""}],"container-title":"Frontiers in Marine Science","id":"ITEM-1","issued":{"date-parts":[["2022"]]},"page":"781876","title":"Future mangrove carbon storage under climate change and deforestation","type":"article-journal","volume":"9"},"uris":["http://www.mendeley.com/documents/?uuid=67e76fff-b01e-443c-8c5e-f31ef407f598"]},{"id":"ITEM-2","itemData":{"DOI":"10.1038/s41558-018-0162-5","ISBN":"4155801801625","ISSN":"17586798","abstract":"Global-scale variation in mangrove ecosystem properties has been explained using a conceptual framework linking geomorphological processes to distinct coastal environmental settings (CES) for nearly 50 years. However, these assumptions have not been empirically tested at the global scale. Here, we show that CES account for global variability in mangrove soil C:N:P stoichiometry and soil organic carbon (SOC) stocks. Using this ecogeomorphology framework, we developed a global model that captures variation in mangrove SOC stocks compatible with distinct CES. We show that mangrove SOC stocks have been underestimated by up to 50% (a difference of roughly 200 Mg ha−1) in carbonate settings and overestimated by up to 86% (around 400 Mg ha−1) in deltaic coastlines. Moreover, we provide information for 57 nations that currently lack SOC data, enabling these and other countries to develop or evaluate their blue carbon inventories.","author":[{"dropping-particle":"","family":"Rovai","given":"André S.","non-dropping-particle":"","parse-names":false,"suffix":""},{"dropping-particle":"","family":"Twilley","given":"Robert R.","non-dropping-particle":"","parse-names":false,"suffix":""},{"dropping-particle":"","family":"Castañeda-Moya","given":"Edward","non-dropping-particle":"","parse-names":false,"suffix":""},{"dropping-particle":"","family":"Riul","given":"Pablo","non-dropping-particle":"","parse-names":false,"suffix":""},{"dropping-particle":"","family":"Cifuentes-Jara","given":"Miguel","non-dropping-particle":"","parse-names":false,"suffix":""},{"dropping-particle":"","family":"Manrow-Villalobos","given":"Marilyn","non-dropping-particle":"","parse-names":false,"suffix":""},{"dropping-particle":"","family":"Horta","given":"Paulo A.","non-dropping-particle":"","parse-names":false,"suffix":""},{"dropping-particle":"","family":"Simonassi","given":"José C.","non-dropping-particle":"","parse-names":false,"suffix":""},{"dropping-particle":"","family":"Fonseca","given":"Alessandra L.","non-dropping-particle":"","parse-names":false,"suffix":""},{"dropping-particle":"","family":"Pagliosa","given":"Paulo R.","non-dropping-particle":"","parse-names":false,"suffix":""}],"container-title":"Nature Climate Change","id":"ITEM-2","issue":"6","issued":{"date-parts":[["2018","6","28"]]},"page":"534-538","publisher":"Nature Publishing Group","title":"Global controls on carbon storage in mangrove soils","type":"article-journal","volume":"8"},"uris":["http://www.mendeley.com/documents/?uuid=e218dcd6-b535-3f7d-a08f-4983ee271d59"]}],"mendeley":{"formattedCitation":"(Chatting et al., 2022; Rovai et al., 2018)","plainTextFormattedCitation":"(Chatting et al., 2022; Rovai et al., 2018)","previouslyFormattedCitation":"(Chatting et al., 2022; Rovai et al., 2018)"},"properties":{"noteIndex":0},"schema":"https://github.com/citation-style-language/schema/raw/master/csl-citation.json"}</w:instrText>
      </w:r>
      <w:r w:rsidRPr="00260745">
        <w:rPr>
          <w:noProof/>
          <w:lang w:eastAsia="en-GB"/>
        </w:rPr>
        <w:fldChar w:fldCharType="separate"/>
      </w:r>
      <w:r w:rsidR="008A48C6" w:rsidRPr="00260745">
        <w:rPr>
          <w:noProof/>
          <w:lang w:eastAsia="en-GB"/>
        </w:rPr>
        <w:t>(Chatting et al., 2022; Rovai et al., 2018)</w:t>
      </w:r>
      <w:r w:rsidRPr="00260745">
        <w:rPr>
          <w:noProof/>
          <w:lang w:eastAsia="en-GB"/>
        </w:rPr>
        <w:fldChar w:fldCharType="end"/>
      </w:r>
      <w:r w:rsidRPr="00260745">
        <w:rPr>
          <w:noProof/>
          <w:lang w:eastAsia="en-GB"/>
        </w:rPr>
        <w:t xml:space="preserve">. Statistical uncertanties reported by studies (standard deviation with associated n and/or standard error) were included in the database to be propagated later in model development and when predicting litter-rate estimates. </w:t>
      </w:r>
    </w:p>
    <w:p w14:paraId="3C305E59" w14:textId="77777777" w:rsidR="00CF7991" w:rsidRPr="001E65D6" w:rsidRDefault="00CF7991" w:rsidP="00CF7991">
      <w:pPr>
        <w:spacing w:line="480" w:lineRule="auto"/>
        <w:rPr>
          <w:i/>
          <w:iCs/>
          <w:noProof/>
          <w:sz w:val="22"/>
          <w:szCs w:val="22"/>
          <w:lang w:eastAsia="en-GB"/>
        </w:rPr>
      </w:pPr>
    </w:p>
    <w:p w14:paraId="26A052CD" w14:textId="47961687" w:rsidR="00CF7991" w:rsidRPr="001E65D6" w:rsidRDefault="00CF7991" w:rsidP="00CF7991">
      <w:pPr>
        <w:pStyle w:val="Heading3"/>
        <w:rPr>
          <w:rFonts w:cstheme="minorHAnsi"/>
          <w:b/>
          <w:bCs/>
          <w:noProof/>
          <w:lang w:eastAsia="en-GB"/>
        </w:rPr>
      </w:pPr>
      <w:bookmarkStart w:id="30" w:name="_Toc120622119"/>
      <w:r w:rsidRPr="001E65D6">
        <w:rPr>
          <w:rFonts w:asciiTheme="minorHAnsi" w:hAnsiTheme="minorHAnsi" w:cstheme="minorHAnsi"/>
          <w:b/>
          <w:bCs/>
          <w:noProof/>
          <w:color w:val="auto"/>
          <w:lang w:eastAsia="en-GB"/>
        </w:rPr>
        <w:lastRenderedPageBreak/>
        <w:t>3.3.2</w:t>
      </w:r>
      <w:r w:rsidRPr="001E65D6">
        <w:rPr>
          <w:rFonts w:asciiTheme="minorHAnsi" w:hAnsiTheme="minorHAnsi" w:cstheme="minorHAnsi"/>
          <w:b/>
          <w:bCs/>
          <w:noProof/>
          <w:color w:val="auto"/>
          <w:lang w:eastAsia="en-GB"/>
        </w:rPr>
        <w:tab/>
        <w:t>Method of predictive modelling</w:t>
      </w:r>
      <w:bookmarkEnd w:id="30"/>
    </w:p>
    <w:p w14:paraId="6F954D79" w14:textId="20DC0DFE" w:rsidR="00CF7991" w:rsidRPr="00260745" w:rsidRDefault="00CF7991" w:rsidP="00CF7991">
      <w:pPr>
        <w:spacing w:line="480" w:lineRule="auto"/>
        <w:rPr>
          <w:b/>
          <w:bCs/>
          <w:noProof/>
          <w:lang w:eastAsia="en-GB"/>
        </w:rPr>
      </w:pPr>
      <w:r w:rsidRPr="00260745">
        <w:rPr>
          <w:noProof/>
          <w:lang w:eastAsia="en-GB"/>
        </w:rPr>
        <w:t>The general approach was to predict leaf litter rates from climate data for each month of the year, from the 1</w:t>
      </w:r>
      <w:r w:rsidRPr="00260745">
        <w:rPr>
          <w:noProof/>
          <w:vertAlign w:val="superscript"/>
          <w:lang w:eastAsia="en-GB"/>
        </w:rPr>
        <w:t>st</w:t>
      </w:r>
      <w:r w:rsidRPr="00260745">
        <w:rPr>
          <w:noProof/>
          <w:lang w:eastAsia="en-GB"/>
        </w:rPr>
        <w:t xml:space="preserve"> of January 2015 to the 31</w:t>
      </w:r>
      <w:r w:rsidRPr="00260745">
        <w:rPr>
          <w:noProof/>
          <w:vertAlign w:val="superscript"/>
          <w:lang w:eastAsia="en-GB"/>
        </w:rPr>
        <w:t>st</w:t>
      </w:r>
      <w:r w:rsidRPr="00260745">
        <w:rPr>
          <w:noProof/>
          <w:lang w:eastAsia="en-GB"/>
        </w:rPr>
        <w:t xml:space="preserve"> of December 2094. For comparison to past NPP rates, litterfall was also preditced from the 1</w:t>
      </w:r>
      <w:r w:rsidRPr="00260745">
        <w:rPr>
          <w:noProof/>
          <w:vertAlign w:val="superscript"/>
          <w:lang w:eastAsia="en-GB"/>
        </w:rPr>
        <w:t>st</w:t>
      </w:r>
      <w:r w:rsidRPr="00260745">
        <w:rPr>
          <w:noProof/>
          <w:lang w:eastAsia="en-GB"/>
        </w:rPr>
        <w:t xml:space="preserve"> of January 1980 to the 31</w:t>
      </w:r>
      <w:r w:rsidRPr="00260745">
        <w:rPr>
          <w:noProof/>
          <w:vertAlign w:val="superscript"/>
          <w:lang w:eastAsia="en-GB"/>
        </w:rPr>
        <w:t>st</w:t>
      </w:r>
      <w:r w:rsidRPr="00260745">
        <w:rPr>
          <w:noProof/>
          <w:lang w:eastAsia="en-GB"/>
        </w:rPr>
        <w:t xml:space="preserve"> of Decmber 2014. A suite of climatic variables </w:t>
      </w:r>
      <w:r w:rsidRPr="00260745">
        <w:rPr>
          <w:noProof/>
          <w:lang w:eastAsia="en-GB"/>
        </w:rPr>
        <w:fldChar w:fldCharType="begin" w:fldLock="1"/>
      </w:r>
      <w:r w:rsidR="008A48C6" w:rsidRPr="00260745">
        <w:rPr>
          <w:noProof/>
          <w:lang w:eastAsia="en-GB"/>
        </w:rPr>
        <w:instrText>ADDIN CSL_CITATION {"citationItems":[{"id":"ITEM-1","itemData":{"DOI":"10.1016/j.mimet.2011.04.001","ISBN":"0950-5849","ISSN":"09505849","PMID":"21504767","abstract":"The U.S. Geological Survey (USGS) has developed climate indices, referred to as bioclimatic predictors, which highlight climate conditions best related to species physiology. A set of 20 bioclimatic predictors were developed as Geographic Information Systems (GIS) continuous raster surfaces for each year between 1895 and 2009. The Parameter-elevation Regression on Independent Slopes Model (PRISM) and down-scaled PRISM data, which included both averaged multi-year and averaged monthly climate summaries, was used to develop these multi-scale bioclimatic predictors. Bioclimatic predictors capture information about annual conditions (annual mean temperature, annual precipitation, annual range in temperature and precipitation), as well as seasonal mean climate conditions and intra-year seasonality (temperature of the coldest and warmest months, precipitation of the wettest and driest quarters). Examining climate over time is useful when quantifying the effects of climate changes on species’ distributions for past, current, and forecasted scenarios. These data, which have not been readily available to scientists, can provide biologists and ecologists with relevant and multi-scaled climate data to augment research on the responses of species to changing climate conditions. The relationships established between species demographics and distributions with bioclimatic predictors can inform land managers of climatic effects on species during decisionmaking processes.","author":[{"dropping-particle":"","family":"O'Donnell","given":"Michael. S.","non-dropping-particle":"","parse-names":false,"suffix":""},{"dropping-particle":"","family":"Ignizio","given":"Drew. A.","non-dropping-particle":"","parse-names":false,"suffix":""}],"container-title":"US Geological Survey Data Series","id":"ITEM-1","issue":"10","issued":{"date-parts":[["2012"]]},"number-of-pages":"1-17","title":"Bioclimatic Predictors for Supporting Ecological Applications in the Conterminous United States","type":"report","volume":"691"},"uris":["http://www.mendeley.com/documents/?uuid=f73e2407-6497-4fb4-ae1f-8d57fc27909a"]}],"mendeley":{"formattedCitation":"(O’Donnell and Ignizio, 2012)","plainTextFormattedCitation":"(O’Donnell and Ignizio, 2012)","previouslyFormattedCitation":"(O’Donnell and Ignizio, 2012)"},"properties":{"noteIndex":0},"schema":"https://github.com/citation-style-language/schema/raw/master/csl-citation.json"}</w:instrText>
      </w:r>
      <w:r w:rsidRPr="00260745">
        <w:rPr>
          <w:noProof/>
          <w:lang w:eastAsia="en-GB"/>
        </w:rPr>
        <w:fldChar w:fldCharType="separate"/>
      </w:r>
      <w:r w:rsidRPr="00260745">
        <w:rPr>
          <w:noProof/>
          <w:lang w:eastAsia="en-GB"/>
        </w:rPr>
        <w:t>(O’Donnell and Ignizio, 2012)</w:t>
      </w:r>
      <w:r w:rsidRPr="00260745">
        <w:rPr>
          <w:noProof/>
          <w:lang w:eastAsia="en-GB"/>
        </w:rPr>
        <w:fldChar w:fldCharType="end"/>
      </w:r>
      <w:r w:rsidRPr="00260745">
        <w:rPr>
          <w:noProof/>
          <w:lang w:eastAsia="en-GB"/>
        </w:rPr>
        <w:t xml:space="preserve">, commonly used in previous global mangrove modelling efforts (Table A1) </w:t>
      </w:r>
      <w:r w:rsidRPr="00260745">
        <w:rPr>
          <w:noProof/>
          <w:lang w:eastAsia="en-GB"/>
        </w:rPr>
        <w:fldChar w:fldCharType="begin" w:fldLock="1"/>
      </w:r>
      <w:r w:rsidR="008A48C6" w:rsidRPr="00260745">
        <w:rPr>
          <w:noProof/>
          <w:lang w:eastAsia="en-GB"/>
        </w:rPr>
        <w:instrText>ADDIN CSL_CITATION {"citationItems":[{"id":"ITEM-1","itemData":{"DOI":"10.1111/conl.12060","ISBN":"1755-263X","ISSN":"1755263X","abstract":"Understanding spatial variation in carbon storage in natural habitats is critical for climate change mitigation efforts such as REDD. Terrestrial forests are being mapped with increasing accuracy, but the distribution of ``blue carbon'' in marine ecosystems remains poorly understood. We reviewed the literature to obtain field data on carbon storage and fluxes in mangroves world-wide. Using this material we developed a climate-based model for potential mangrove above-ground biomass (AGB) with almost four times the explanatory power of the only previous published model. From this model, we present the first ever global map of potential mangrove AGB and estimate a total global mangrove AGB of 2.83 Pg, with an average of 184.8 t ha−1. Data on other carbon stocks and fluxes confirm the importance of mangroves in carbon accounting. The map highlights the high variability in mangrove AGB and indicates areas that should be prioritised for mangrove conservation and restoration.","author":[{"dropping-particle":"","family":"Hutchison","given":"James","non-dropping-particle":"","parse-names":false,"suffix":""},{"dropping-particle":"","family":"Manica","given":"Andrea","non-dropping-particle":"","parse-names":false,"suffix":""},{"dropping-particle":"","family":"Swetnam","given":"Ruth","non-dropping-particle":"","parse-names":false,"suffix":""},{"dropping-particle":"","family":"Balmford","given":"Andrew","non-dropping-particle":"","parse-names":false,"suffix":""},{"dropping-particle":"","family":"Spalding","given":"Mark","non-dropping-particle":"","parse-names":false,"suffix":""}],"container-title":"Conservation Letters","id":"ITEM-1","issue":"3","issued":{"date-parts":[["2014","5"]]},"page":"233-240","title":"Predicting global patterns in mangrove forest biomass","type":"article-journal","volume":"7"},"uris":["http://www.mendeley.com/documents/?uuid=c0cc1011-f931-3578-8f2c-56c7f7c458c6"]},{"id":"ITEM-2","itemData":{"DOI":"10.1007/s00704-017-2053-5","ISSN":"0177-798X","author":[{"dropping-particle":"","family":"Wagner","given":"Monika","non-dropping-particle":"","parse-names":false,"suffix":""},{"dropping-particle":"","family":"Trutschnig","given":"Wolfgang","non-dropping-particle":"","parse-names":false,"suffix":""},{"dropping-particle":"","family":"Bathke","given":"Arne C.","non-dropping-particle":"","parse-names":false,"suffix":""},{"dropping-particle":"","family":"Ruprecht","given":"Ulrike","non-dropping-particle":"","parse-names":false,"suffix":""}],"container-title":"Theoretical and Applied Climatology","id":"ITEM-2","issue":"3-4","issued":{"date-parts":[["2018","2","7"]]},"page":"1397-1415","publisher":"Springer Vienna","title":"A first approach to calculate BIOCLIM variables and climate zones for Antarctica","type":"article-journal","volume":"131"},"uris":["http://www.mendeley.com/documents/?uuid=a0e07b22-a5af-37ec-87ad-168457d9381f"]},{"id":"ITEM-3","itemData":{"DOI":"10.3389/fmars.2022.781876","author":[{"dropping-particle":"","family":"Chatting","given":"M","non-dropping-particle":"","parse-names":false,"suffix":""},{"dropping-particle":"","family":"Al-Maslamani","given":"I","non-dropping-particle":"","parse-names":false,"suffix":""},{"dropping-particle":"","family":"Walton","given":"M","non-dropping-particle":"","parse-names":false,"suffix":""},{"dropping-particle":"","family":"Skov","given":"MW","non-dropping-particle":"","parse-names":false,"suffix":""},{"dropping-particle":"","family":"Kennedy","given":"H","non-dropping-particle":"","parse-names":false,"suffix":""},{"dropping-particle":"","family":"Husrevoglu","given":"YS","non-dropping-particle":"","parse-names":false,"suffix":""},{"dropping-particle":"","family":"LeVay","given":"L","non-dropping-particle":"","parse-names":false,"suffix":""}],"container-title":"Frontiers in Marine Science","id":"ITEM-3","issued":{"date-parts":[["2022"]]},"page":"781876","title":"Future mangrove carbon storage under climate change and deforestation","type":"article-journal","volume":"9"},"uris":["http://www.mendeley.com/documents/?uuid=67e76fff-b01e-443c-8c5e-f31ef407f598"]}],"mendeley":{"formattedCitation":"(Chatting et al., 2022; Hutchison et al., 2014; Wagner et al., 2018)","plainTextFormattedCitation":"(Chatting et al., 2022; Hutchison et al., 2014; Wagner et al., 2018)","previouslyFormattedCitation":"(Chatting et al., 2022; Hutchison et al., 2014; Wagner et al., 2018)"},"properties":{"noteIndex":0},"schema":"https://github.com/citation-style-language/schema/raw/master/csl-citation.json"}</w:instrText>
      </w:r>
      <w:r w:rsidRPr="00260745">
        <w:rPr>
          <w:noProof/>
          <w:lang w:eastAsia="en-GB"/>
        </w:rPr>
        <w:fldChar w:fldCharType="separate"/>
      </w:r>
      <w:r w:rsidR="008A48C6" w:rsidRPr="00260745">
        <w:rPr>
          <w:noProof/>
          <w:lang w:eastAsia="en-GB"/>
        </w:rPr>
        <w:t>(Chatting et al., 2022; Hutchison et al., 2014; Wagner et al., 2018)</w:t>
      </w:r>
      <w:r w:rsidRPr="00260745">
        <w:rPr>
          <w:noProof/>
          <w:lang w:eastAsia="en-GB"/>
        </w:rPr>
        <w:fldChar w:fldCharType="end"/>
      </w:r>
      <w:r w:rsidRPr="00260745">
        <w:rPr>
          <w:noProof/>
          <w:lang w:eastAsia="en-GB"/>
        </w:rPr>
        <w:t xml:space="preserve"> and hereafter collectively referred to as “bioclim”, were used as predictors of monthly leaf litter rates. Bioclim predictors were calculated from historical datasets of mean monthly precipitation (P</w:t>
      </w:r>
      <w:r w:rsidRPr="00260745">
        <w:rPr>
          <w:noProof/>
          <w:vertAlign w:val="subscript"/>
          <w:lang w:eastAsia="en-GB"/>
        </w:rPr>
        <w:t>mean</w:t>
      </w:r>
      <w:r w:rsidRPr="00260745">
        <w:rPr>
          <w:noProof/>
          <w:lang w:eastAsia="en-GB"/>
        </w:rPr>
        <w:t>), mean monthly air temperatures (T</w:t>
      </w:r>
      <w:r w:rsidRPr="00260745">
        <w:rPr>
          <w:noProof/>
          <w:vertAlign w:val="subscript"/>
          <w:lang w:eastAsia="en-GB"/>
        </w:rPr>
        <w:t>mean</w:t>
      </w:r>
      <w:r w:rsidRPr="00260745">
        <w:rPr>
          <w:noProof/>
          <w:lang w:eastAsia="en-GB"/>
        </w:rPr>
        <w:t>), daily maximum air temperatures (T</w:t>
      </w:r>
      <w:r w:rsidRPr="00260745">
        <w:rPr>
          <w:noProof/>
          <w:vertAlign w:val="subscript"/>
          <w:lang w:eastAsia="en-GB"/>
        </w:rPr>
        <w:t>max</w:t>
      </w:r>
      <w:r w:rsidRPr="00260745">
        <w:rPr>
          <w:noProof/>
          <w:lang w:eastAsia="en-GB"/>
        </w:rPr>
        <w:t>) and daily minimum air temperatures  (T</w:t>
      </w:r>
      <w:r w:rsidRPr="00260745">
        <w:rPr>
          <w:noProof/>
          <w:vertAlign w:val="subscript"/>
          <w:lang w:eastAsia="en-GB"/>
        </w:rPr>
        <w:t>min</w:t>
      </w:r>
      <w:r w:rsidRPr="00260745">
        <w:rPr>
          <w:noProof/>
          <w:lang w:eastAsia="en-GB"/>
        </w:rPr>
        <w:t xml:space="preserve">). Monthly averages were calculated for variables that had day-resolution data. Historical climate datsets were obtained from the Global Precipitation Climatology Centre </w:t>
      </w:r>
      <w:r w:rsidRPr="00260745">
        <w:rPr>
          <w:noProof/>
          <w:lang w:eastAsia="en-GB"/>
        </w:rPr>
        <w:fldChar w:fldCharType="begin" w:fldLock="1"/>
      </w:r>
      <w:r w:rsidRPr="00260745">
        <w:rPr>
          <w:noProof/>
          <w:lang w:eastAsia="en-GB"/>
        </w:rPr>
        <w:instrText>ADDIN CSL_CITATION {"citationItems":[{"id":"ITEM-1","itemData":{"DOI":"10.5676/DWD_GPCC/FD_M_V7_050","author":[{"dropping-particle":"","family":"Schneider","given":"U","non-dropping-particle":"","parse-names":false,"suffix":""},{"dropping-particle":"","family":"Becker","given":"A","non-dropping-particle":"","parse-names":false,"suffix":""},{"dropping-particle":"","family":"Finger","given":"P","non-dropping-particle":"","parse-names":false,"suffix":""},{"dropping-particle":"","family":"Meyer-Christoffer","given":"A","non-dropping-particle":"","parse-names":false,"suffix":""},{"dropping-particle":"","family":"Rudolf","given":"B","non-dropping-particle":"","parse-names":false,"suffix":""},{"dropping-particle":"","family":"Ziese","given":"M","non-dropping-particle":"","parse-names":false,"suffix":""}],"id":"ITEM-1","issued":{"date-parts":[["2011"]]},"publisher":"Global Precipitation Climatology Centre","title":"GPCC full data reanalysis version 6.0 at 0.5°: monthly land-surface precipitation from rain-gauges built on GTS-based and historic data","type":"article"},"uris":["http://www.mendeley.com/documents/?uuid=83bc849e-358e-43dc-ae2a-d39b48eb769c"]}],"mendeley":{"formattedCitation":"(Schneider et al., 2011)","plainTextFormattedCitation":"(Schneider et al., 2011)","previouslyFormattedCitation":"(Schneider et al., 2011)"},"properties":{"noteIndex":0},"schema":"https://github.com/citation-style-language/schema/raw/master/csl-citation.json"}</w:instrText>
      </w:r>
      <w:r w:rsidRPr="00260745">
        <w:rPr>
          <w:noProof/>
          <w:lang w:eastAsia="en-GB"/>
        </w:rPr>
        <w:fldChar w:fldCharType="separate"/>
      </w:r>
      <w:r w:rsidRPr="00260745">
        <w:rPr>
          <w:noProof/>
          <w:lang w:eastAsia="en-GB"/>
        </w:rPr>
        <w:t>(Schneider et al., 2011)</w:t>
      </w:r>
      <w:r w:rsidRPr="00260745">
        <w:rPr>
          <w:noProof/>
          <w:lang w:eastAsia="en-GB"/>
        </w:rPr>
        <w:fldChar w:fldCharType="end"/>
      </w:r>
      <w:r w:rsidRPr="00260745">
        <w:rPr>
          <w:noProof/>
          <w:lang w:eastAsia="en-GB"/>
        </w:rPr>
        <w:t xml:space="preserve"> (GPCC) and National Center for Environmental Prediction (NCEP) </w:t>
      </w:r>
      <w:r w:rsidRPr="00260745">
        <w:rPr>
          <w:noProof/>
          <w:lang w:eastAsia="en-GB"/>
        </w:rPr>
        <w:fldChar w:fldCharType="begin" w:fldLock="1"/>
      </w:r>
      <w:r w:rsidRPr="00260745">
        <w:rPr>
          <w:noProof/>
          <w:lang w:eastAsia="en-GB"/>
        </w:rPr>
        <w:instrText>ADDIN CSL_CITATION {"citationItems":[{"id":"ITEM-1","itemData":{"DOI":"10.1175/1520-0477(1996)077&lt;0437:TNYRP&gt;2.0.CO;2","ISBN":"0003-0007","ISSN":"00030007","PMID":"25246403","author":[{"dropping-particle":"","family":"Kalnay","given":"E.","non-dropping-particle":"","parse-names":false,"suffix":""},{"dropping-particle":"","family":"Kanamitsu","given":"Masao","non-dropping-particle":"","parse-names":false,"suffix":""},{"dropping-particle":"","family":"Kistler","given":"Robert","non-dropping-particle":"","parse-names":false,"suffix":""},{"dropping-particle":"","family":"Collins","given":"William","non-dropping-particle":"","parse-names":false,"suffix":""},{"dropping-particle":"","family":"Deaven","given":"D.","non-dropping-particle":"","parse-names":false,"suffix":""},{"dropping-particle":"","family":"Gandin","given":"L.","non-dropping-particle":"","parse-names":false,"suffix":""},{"dropping-particle":"","family":"Iredell","given":"M.","non-dropping-particle":"","parse-names":false,"suffix":""},{"dropping-particle":"","family":"Saha","given":"Suranjana","non-dropping-particle":"","parse-names":false,"suffix":""},{"dropping-particle":"","family":"White","given":"Glenn","non-dropping-particle":"","parse-names":false,"suffix":""},{"dropping-particle":"","family":"Woollen","given":"John","non-dropping-particle":"","parse-names":false,"suffix":""},{"dropping-particle":"","family":"Zhu","given":"Y.","non-dropping-particle":"","parse-names":false,"suffix":""},{"dropping-particle":"","family":"Chelliah","given":"Muthuvel","non-dropping-particle":"","parse-names":false,"suffix":""},{"dropping-particle":"","family":"Ebisuzaki","given":"Wesley","non-dropping-particle":"","parse-names":false,"suffix":""},{"dropping-particle":"","family":"Higgins","given":"W.","non-dropping-particle":"","parse-names":false,"suffix":""},{"dropping-particle":"","family":"Janowiak","given":"J. E.","non-dropping-particle":"","parse-names":false,"suffix":""},{"dropping-particle":"","family":"Mo","given":"K.C. C","non-dropping-particle":"","parse-names":false,"suffix":""},{"dropping-particle":"","family":"Ropelewski","given":"C.","non-dropping-particle":"","parse-names":false,"suffix":""},{"dropping-particle":"","family":"Wang","given":"J.","non-dropping-particle":"","parse-names":false,"suffix":""},{"dropping-particle":"","family":"Leetma","given":"A","non-dropping-particle":"","parse-names":false,"suffix":""},{"dropping-particle":"","family":"Reynolds","given":"R. W.","non-dropping-particle":"","parse-names":false,"suffix":""},{"dropping-particle":"","family":"Jenne","given":"Roy","non-dropping-particle":"","parse-names":false,"suffix":""},{"dropping-particle":"","family":"Joseph","given":"Dennis","non-dropping-particle":"","parse-names":false,"suffix":""},{"dropping-particle":"","family":"Leetmaa","given":"A.","non-dropping-particle":"","parse-names":false,"suffix":""},{"dropping-particle":"","family":"Reynolds","given":"R. W.","non-dropping-particle":"","parse-names":false,"suffix":""},{"dropping-particle":"","family":"Jenne","given":"Roy","non-dropping-particle":"","parse-names":false,"suffix":""},{"dropping-particle":"","family":"Joseph","given":"Dennis","non-dropping-particle":"","parse-names":false,"suffix":""},{"dropping-particle":"","family":"Chelliah","given":"Muthuvel","non-dropping-particle":"","parse-names":false,"suffix":""},{"dropping-particle":"","family":"Ebisuzaki","given":"Wesley","non-dropping-particle":"","parse-names":false,"suffix":""},{"dropping-particle":"","family":"Higgins","given":"W.","non-dropping-particle":"","parse-names":false,"suffix":""},{"dropping-particle":"","family":"Janowiak","given":"J. E.","non-dropping-particle":"","parse-names":false,"suffix":""},{"dropping-particle":"","family":"Mo","given":"K.C. C","non-dropping-particle":"","parse-names":false,"suffix":""},{"dropping-particle":"","family":"Ropelewski","given":"C.","non-dropping-particle":"","parse-names":false,"suffix":""},{"dropping-particle":"","family":"Wang","given":"J.","non-dropping-particle":"","parse-names":false,"suffix":""},{"dropping-particle":"","family":"Jenne","given":"Roy","non-dropping-particle":"","parse-names":false,"suffix":""},{"dropping-particle":"","family":"Joseph","given":"Dennis","non-dropping-particle":"","parse-names":false,"suffix":""}],"container-title":"Bulletin of the American Meteorological Society","id":"ITEM-1","issue":"3","issued":{"date-parts":[["1996"]]},"page":"437-495","title":"The NCEP/NCAR 40-year reanalysis project","type":"article-journal","volume":"77"},"uris":["http://www.mendeley.com/documents/?uuid=3333dc0a-9a11-4bbd-aaa3-e10af81b4816"]}],"mendeley":{"formattedCitation":"(Kalnay et al., 1996)","plainTextFormattedCitation":"(Kalnay et al., 1996)","previouslyFormattedCitation":"(Kalnay et al., 1996)"},"properties":{"noteIndex":0},"schema":"https://github.com/citation-style-language/schema/raw/master/csl-citation.json"}</w:instrText>
      </w:r>
      <w:r w:rsidRPr="00260745">
        <w:rPr>
          <w:noProof/>
          <w:lang w:eastAsia="en-GB"/>
        </w:rPr>
        <w:fldChar w:fldCharType="separate"/>
      </w:r>
      <w:r w:rsidRPr="00260745">
        <w:rPr>
          <w:noProof/>
          <w:lang w:eastAsia="en-GB"/>
        </w:rPr>
        <w:t>(Kalnay et al., 1996)</w:t>
      </w:r>
      <w:r w:rsidRPr="00260745">
        <w:rPr>
          <w:noProof/>
          <w:lang w:eastAsia="en-GB"/>
        </w:rPr>
        <w:fldChar w:fldCharType="end"/>
      </w:r>
      <w:r w:rsidRPr="00260745">
        <w:rPr>
          <w:noProof/>
          <w:lang w:eastAsia="en-GB"/>
        </w:rPr>
        <w:t>. Because many bioclim variables needed 12 months of climate data for before monthly averages could be determined (for example: mean temperature of the wettest quarter of the year, which requires 12 months of temperature and precipitation data to find the wettest quarter of the year), bioclim variables from the preceeding 12 months were averaged to predict one month of leaf litterfall. For instance, to predict leaf litterfall in January 1980, bioclim values were calculated for the period January to December 1979.</w:t>
      </w:r>
    </w:p>
    <w:p w14:paraId="4DCA1457" w14:textId="77777777" w:rsidR="00CF7991" w:rsidRPr="00260745" w:rsidRDefault="00CF7991" w:rsidP="00CF7991">
      <w:pPr>
        <w:spacing w:line="480" w:lineRule="auto"/>
        <w:rPr>
          <w:noProof/>
          <w:lang w:eastAsia="en-GB"/>
        </w:rPr>
      </w:pPr>
    </w:p>
    <w:p w14:paraId="5C7B3155" w14:textId="75A35C13" w:rsidR="00CF7991" w:rsidRPr="00260745" w:rsidRDefault="005C0D75" w:rsidP="00CF7991">
      <w:pPr>
        <w:spacing w:line="480" w:lineRule="auto"/>
      </w:pPr>
      <w:r>
        <w:t>M</w:t>
      </w:r>
      <w:r w:rsidR="00CF7991" w:rsidRPr="00260745">
        <w:t xml:space="preserve">ultiple </w:t>
      </w:r>
      <w:r w:rsidR="00CD350D">
        <w:t>L</w:t>
      </w:r>
      <w:r w:rsidR="00CF7991" w:rsidRPr="00260745">
        <w:t xml:space="preserve">inear </w:t>
      </w:r>
      <w:r w:rsidR="00CD350D">
        <w:t>R</w:t>
      </w:r>
      <w:r w:rsidR="00CF7991" w:rsidRPr="00260745">
        <w:t xml:space="preserve">egression </w:t>
      </w:r>
      <w:r w:rsidR="00CD350D">
        <w:t xml:space="preserve">(MLR) </w:t>
      </w:r>
      <w:r>
        <w:t xml:space="preserve">and </w:t>
      </w:r>
      <w:r w:rsidR="00CF7991" w:rsidRPr="00260745">
        <w:t xml:space="preserve">random forest </w:t>
      </w:r>
      <w:r>
        <w:t xml:space="preserve">predictive models were </w:t>
      </w:r>
      <w:r w:rsidR="00CF7991" w:rsidRPr="00260745">
        <w:t xml:space="preserve">contrasted to test which better predicted leaf litter datasets. Data were split into an 80% training set and 20% test set </w:t>
      </w:r>
      <w:r w:rsidR="00CF7991" w:rsidRPr="00260745">
        <w:fldChar w:fldCharType="begin" w:fldLock="1"/>
      </w:r>
      <w:r w:rsidR="00CF7991" w:rsidRPr="00260745">
        <w:instrText>ADDIN CSL_CITATION {"citationItems":[{"id":"ITEM-1","itemData":{"DOI":"10.1038/s41558-018-0162-5","ISBN":"4155801801625","ISSN":"17586798","abstract":"Global-scale variation in mangrove ecosystem properties has been explained using a conceptual framework linking geomorphological processes to distinct coastal environmental settings (CES) for nearly 50 years. However, these assumptions have not been empirically tested at the global scale. Here, we show that CES account for global variability in mangrove soil C:N:P stoichiometry and soil organic carbon (SOC) stocks. Using this ecogeomorphology framework, we developed a global model that captures variation in mangrove SOC stocks compatible with distinct CES. We show that mangrove SOC stocks have been underestimated by up to 50% (a difference of roughly 200 Mg ha−1) in carbonate settings and overestimated by up to 86% (around 400 Mg ha−1) in deltaic coastlines. Moreover, we provide information for 57 nations that currently lack SOC data, enabling these and other countries to develop or evaluate their blue carbon inventories.","author":[{"dropping-particle":"","family":"Rovai","given":"André S.","non-dropping-particle":"","parse-names":false,"suffix":""},{"dropping-particle":"","family":"Twilley","given":"Robert R.","non-dropping-particle":"","parse-names":false,"suffix":""},{"dropping-particle":"","family":"Castañeda-Moya","given":"Edward","non-dropping-particle":"","parse-names":false,"suffix":""},{"dropping-particle":"","family":"Riul","given":"Pablo","non-dropping-particle":"","parse-names":false,"suffix":""},{"dropping-particle":"","family":"Cifuentes-Jara","given":"Miguel","non-dropping-particle":"","parse-names":false,"suffix":""},{"dropping-particle":"","family":"Manrow-Villalobos","given":"Marilyn","non-dropping-particle":"","parse-names":false,"suffix":""},{"dropping-particle":"","family":"Horta","given":"Paulo A.","non-dropping-particle":"","parse-names":false,"suffix":""},{"dropping-particle":"","family":"Simonassi","given":"José C.","non-dropping-particle":"","parse-names":false,"suffix":""},{"dropping-particle":"","family":"Fonseca","given":"Alessandra L.","non-dropping-particle":"","parse-names":false,"suffix":""},{"dropping-particle":"","family":"Pagliosa","given":"Paulo R.","non-dropping-particle":"","parse-names":false,"suffix":""}],"container-title":"Nature Climate Change","id":"ITEM-1","issue":"6","issued":{"date-parts":[["2018","6","28"]]},"page":"534-538","publisher":"Nature Publishing Group","title":"Global controls on carbon storage in mangrove soils","type":"article-journal","volume":"8"},"uris":["http://www.mendeley.com/documents/?uuid=e218dcd6-b535-3f7d-a08f-4983ee271d59"]}],"mendeley":{"formattedCitation":"(Rovai et al., 2018)","plainTextFormattedCitation":"(Rovai et al., 2018)","previouslyFormattedCitation":"(Rovai et al., 2018)"},"properties":{"noteIndex":0},"schema":"https://github.com/citation-style-language/schema/raw/master/csl-citation.json"}</w:instrText>
      </w:r>
      <w:r w:rsidR="00CF7991" w:rsidRPr="00260745">
        <w:fldChar w:fldCharType="separate"/>
      </w:r>
      <w:r w:rsidR="00CF7991" w:rsidRPr="00260745">
        <w:rPr>
          <w:noProof/>
        </w:rPr>
        <w:t>(Rovai et al., 2018)</w:t>
      </w:r>
      <w:r w:rsidR="00CF7991" w:rsidRPr="00260745">
        <w:fldChar w:fldCharType="end"/>
      </w:r>
      <w:r w:rsidR="00BE3B77">
        <w:t xml:space="preserve">, which resulted in 915 training </w:t>
      </w:r>
      <w:r w:rsidR="00EB67EE">
        <w:t xml:space="preserve">set </w:t>
      </w:r>
      <w:r w:rsidR="00BE3B77">
        <w:t xml:space="preserve">data points and 229 test </w:t>
      </w:r>
      <w:r w:rsidR="00EB67EE">
        <w:t xml:space="preserve">set </w:t>
      </w:r>
      <w:r w:rsidR="00BE3B77">
        <w:t>data points</w:t>
      </w:r>
      <w:r w:rsidR="00CF7991" w:rsidRPr="00260745">
        <w:t xml:space="preserve">. Models were fit using the training set and the test set was used in model </w:t>
      </w:r>
      <w:r w:rsidR="00CF7991" w:rsidRPr="00260745">
        <w:lastRenderedPageBreak/>
        <w:t>selection</w:t>
      </w:r>
      <w:r w:rsidR="00FA2617">
        <w:t xml:space="preserve">. </w:t>
      </w:r>
      <w:r w:rsidR="00440646">
        <w:t xml:space="preserve">Metrics to determine </w:t>
      </w:r>
      <w:r w:rsidR="002B0C42">
        <w:t>which model better predicted test set data were Root Mean Squared Error (RMSE) and R</w:t>
      </w:r>
      <w:r w:rsidR="002B0C42" w:rsidRPr="00906EF9">
        <w:rPr>
          <w:vertAlign w:val="superscript"/>
        </w:rPr>
        <w:t>2</w:t>
      </w:r>
      <w:r w:rsidR="002B0C42">
        <w:t xml:space="preserve"> values. </w:t>
      </w:r>
      <w:r w:rsidR="007C40C8">
        <w:t>T</w:t>
      </w:r>
      <w:r w:rsidR="00CF7991" w:rsidRPr="00260745">
        <w:t xml:space="preserve">he model with the lower RMSE and greater </w:t>
      </w:r>
      <w:r w:rsidR="007C40C8">
        <w:t>R</w:t>
      </w:r>
      <w:r w:rsidR="007C40C8" w:rsidRPr="00906EF9">
        <w:rPr>
          <w:vertAlign w:val="superscript"/>
        </w:rPr>
        <w:t>2</w:t>
      </w:r>
      <w:r w:rsidR="007C40C8">
        <w:t xml:space="preserve"> values was </w:t>
      </w:r>
      <w:r w:rsidR="00CF7991" w:rsidRPr="00260745">
        <w:t xml:space="preserve">selected </w:t>
      </w:r>
      <w:r w:rsidR="00CF7991" w:rsidRPr="00260745">
        <w:fldChar w:fldCharType="begin" w:fldLock="1"/>
      </w:r>
      <w:r w:rsidR="00CF7991" w:rsidRPr="00260745">
        <w:instrText>ADDIN CSL_CITATION {"citationItems":[{"id":"ITEM-1","itemData":{"DOI":"10.1088/1748-9326/aabe1c","ISSN":"17489326","author":[{"dropping-particle":"","family":"Sanderman","given":"Jonathan","non-dropping-particle":"","parse-names":false,"suffix":""},{"dropping-particle":"","family":"Hengl","given":"Tomislav","non-dropping-particle":"","parse-names":false,"suffix":""},{"dropping-particle":"","family":"Fiske","given":"Greg","non-dropping-particle":"","parse-names":false,"suffix":""},{"dropping-particle":"","family":"Solvik","given":"Kylen","non-dropping-particle":"","parse-names":false,"suffix":""},{"dropping-particle":"","family":"Adame","given":"Maria Fernanda","non-dropping-particle":"","parse-names":false,"suffix":""},{"dropping-particle":"","family":"Benson","given":"Lisa","non-dropping-particle":"","parse-names":false,"suffix":""},{"dropping-particle":"","family":"Bukoski","given":"Jacob J","non-dropping-particle":"","parse-names":false,"suffix":""},{"dropping-particle":"","family":"Carnell","given":"Paul","non-dropping-particle":"","parse-names":false,"suffix":""},{"dropping-particle":"","family":"Cifuentes-Jara","given":"Miguel","non-dropping-particle":"","parse-names":false,"suffix":""},{"dropping-particle":"","family":"Donato","given":"Daniel","non-dropping-particle":"","parse-names":false,"suffix":""},{"dropping-particle":"","family":"Duncan","given":"Clare","non-dropping-particle":"","parse-names":false,"suffix":""},{"dropping-particle":"","family":"Eid","given":"Ebrahem M","non-dropping-particle":"","parse-names":false,"suffix":""},{"dropping-particle":"","family":"Ermgassen","given":"Philine zu","non-dropping-particle":"","parse-names":false,"suffix":""},{"dropping-particle":"","family":"Lewis","given":"Carolyn J.Ewers","non-dropping-particle":"","parse-names":false,"suffix":""},{"dropping-particle":"","family":"Macreadie","given":"Peter I","non-dropping-particle":"","parse-names":false,"suffix":""},{"dropping-particle":"","family":"Glass","given":"Leah","non-dropping-particle":"","parse-names":false,"suffix":""},{"dropping-particle":"","family":"Gress","given":"Selena","non-dropping-particle":"","parse-names":false,"suffix":""},{"dropping-particle":"","family":"Jardine","given":"Sunny L","non-dropping-particle":"","parse-names":false,"suffix":""},{"dropping-particle":"","family":"Jones","given":"Trevor G","non-dropping-particle":"","parse-names":false,"suffix":""},{"dropping-particle":"","family":"Nsombo","given":"Eugéne Ndemem","non-dropping-particle":"","parse-names":false,"suffix":""},{"dropping-particle":"","family":"Rahman","given":"Md Mizanur","non-dropping-particle":"","parse-names":false,"suffix":""},{"dropping-particle":"","family":"Sanders","given":"Christian J","non-dropping-particle":"","parse-names":false,"suffix":""},{"dropping-particle":"","family":"Spalding","given":"Mark","non-dropping-particle":"","parse-names":false,"suffix":""},{"dropping-particle":"","family":"Landis","given":"Emily","non-dropping-particle":"","parse-names":false,"suffix":""}],"container-title":"Environmental Research Letters","id":"ITEM-1","issue":"5","issued":{"date-parts":[["2018","5","1"]]},"page":"055002","publisher":"IOP Publishing","title":"A global map of mangrove forest soil carbon at 30 m spatial resolution","type":"article-journal","volume":"13"},"uris":["http://www.mendeley.com/documents/?uuid=a27008a0-a4d5-343e-89c7-c4a4c0b60818"]},{"id":"ITEM-2","itemData":{"DOI":"10.1038/s41558-018-0162-5","ISBN":"4155801801625","ISSN":"17586798","abstract":"Global-scale variation in mangrove ecosystem properties has been explained using a conceptual framework linking geomorphological processes to distinct coastal environmental settings (CES) for nearly 50 years. However, these assumptions have not been empirically tested at the global scale. Here, we show that CES account for global variability in mangrove soil C:N:P stoichiometry and soil organic carbon (SOC) stocks. Using this ecogeomorphology framework, we developed a global model that captures variation in mangrove SOC stocks compatible with distinct CES. We show that mangrove SOC stocks have been underestimated by up to 50% (a difference of roughly 200 Mg ha−1) in carbonate settings and overestimated by up to 86% (around 400 Mg ha−1) in deltaic coastlines. Moreover, we provide information for 57 nations that currently lack SOC data, enabling these and other countries to develop or evaluate their blue carbon inventories.","author":[{"dropping-particle":"","family":"Rovai","given":"André S.","non-dropping-particle":"","parse-names":false,"suffix":""},{"dropping-particle":"","family":"Twilley","given":"Robert R.","non-dropping-particle":"","parse-names":false,"suffix":""},{"dropping-particle":"","family":"Castañeda-Moya","given":"Edward","non-dropping-particle":"","parse-names":false,"suffix":""},{"dropping-particle":"","family":"Riul","given":"Pablo","non-dropping-particle":"","parse-names":false,"suffix":""},{"dropping-particle":"","family":"Cifuentes-Jara","given":"Miguel","non-dropping-particle":"","parse-names":false,"suffix":""},{"dropping-particle":"","family":"Manrow-Villalobos","given":"Marilyn","non-dropping-particle":"","parse-names":false,"suffix":""},{"dropping-particle":"","family":"Horta","given":"Paulo A.","non-dropping-particle":"","parse-names":false,"suffix":""},{"dropping-particle":"","family":"Simonassi","given":"José C.","non-dropping-particle":"","parse-names":false,"suffix":""},{"dropping-particle":"","family":"Fonseca","given":"Alessandra L.","non-dropping-particle":"","parse-names":false,"suffix":""},{"dropping-particle":"","family":"Pagliosa","given":"Paulo R.","non-dropping-particle":"","parse-names":false,"suffix":""}],"container-title":"Nature Climate Change","id":"ITEM-2","issue":"6","issued":{"date-parts":[["2018","6","28"]]},"page":"534-538","publisher":"Nature Publishing Group","title":"Global controls on carbon storage in mangrove soils","type":"article-journal","volume":"8"},"uris":["http://www.mendeley.com/documents/?uuid=e218dcd6-b535-3f7d-a08f-4983ee271d59"]}],"mendeley":{"formattedCitation":"(Rovai et al., 2018; Sanderman et al., 2018)","plainTextFormattedCitation":"(Rovai et al., 2018; Sanderman et al., 2018)","previouslyFormattedCitation":"(Rovai et al., 2018; Sanderman et al., 2018)"},"properties":{"noteIndex":0},"schema":"https://github.com/citation-style-language/schema/raw/master/csl-citation.json"}</w:instrText>
      </w:r>
      <w:r w:rsidR="00CF7991" w:rsidRPr="00260745">
        <w:fldChar w:fldCharType="separate"/>
      </w:r>
      <w:r w:rsidR="00CF7991" w:rsidRPr="00260745">
        <w:rPr>
          <w:noProof/>
        </w:rPr>
        <w:t>(Rovai et al., 2018; Sanderman et al., 2018)</w:t>
      </w:r>
      <w:r w:rsidR="00CF7991" w:rsidRPr="00260745">
        <w:fldChar w:fldCharType="end"/>
      </w:r>
      <w:r w:rsidR="00CF7991" w:rsidRPr="00260745">
        <w:t>. Measures of uncertainty (</w:t>
      </w:r>
      <w:proofErr w:type="spellStart"/>
      <w:r w:rsidR="00CF7991" w:rsidRPr="00260745">
        <w:t>stdev</w:t>
      </w:r>
      <w:proofErr w:type="spellEnd"/>
      <w:r w:rsidR="00CF7991" w:rsidRPr="00260745">
        <w:t xml:space="preserve">) compiled from literature were included as inverse weights in both linear and random forest modelling to account for reported sampling uncertainty. </w:t>
      </w:r>
      <w:r w:rsidR="00CD350D">
        <w:t>To comply with linear regression assumptions, r</w:t>
      </w:r>
      <w:r w:rsidR="00CF7991" w:rsidRPr="00260745">
        <w:t>esponse data for linear regression analyses were log10</w:t>
      </w:r>
      <w:r w:rsidR="00CD350D">
        <w:t xml:space="preserve">. </w:t>
      </w:r>
      <w:r w:rsidR="00060911">
        <w:t xml:space="preserve">Multiple linear regression </w:t>
      </w:r>
      <w:r w:rsidR="00CF7991" w:rsidRPr="00260745">
        <w:rPr>
          <w:noProof/>
          <w:lang w:eastAsia="en-GB"/>
        </w:rPr>
        <w:t>predictors were chosen based on stepwise regression</w:t>
      </w:r>
      <w:r w:rsidR="00144D9C">
        <w:rPr>
          <w:noProof/>
          <w:lang w:eastAsia="en-GB"/>
        </w:rPr>
        <w:t xml:space="preserve"> and m</w:t>
      </w:r>
      <w:r w:rsidR="00CF7991" w:rsidRPr="00260745">
        <w:rPr>
          <w:noProof/>
          <w:lang w:eastAsia="en-GB"/>
        </w:rPr>
        <w:t xml:space="preserve">ulticolinearity was addresed by removing explanatory variables with a variance inflation factor &gt;3.3 </w:t>
      </w:r>
      <w:r w:rsidR="00CF7991" w:rsidRPr="00260745">
        <w:rPr>
          <w:noProof/>
          <w:lang w:eastAsia="en-GB"/>
        </w:rPr>
        <w:fldChar w:fldCharType="begin" w:fldLock="1"/>
      </w:r>
      <w:r w:rsidR="00CF7991" w:rsidRPr="00260745">
        <w:rPr>
          <w:noProof/>
          <w:lang w:eastAsia="en-GB"/>
        </w:rPr>
        <w:instrText>ADDIN CSL_CITATION {"citationItems":[{"id":"ITEM-1","itemData":{"DOI":"10.17705/1jais.00302","ISSN":"15369323","abstract":"Variance-based structural equation modeling is extensively used in information systems research, and many related findings may have been distorted by hidden collinearity. This is a problem that may extend to multivariate analyses, in general, in the field of information systems as well as in many other fields. In multivariate analyses, collinearity is usually assessed as a predictor-predictor relationship phenomenon, where two or more predictors are checked for redundancy. This type of assessment addresses vertical, or \"classic\", collinearity. However, another type of collinearity may also exist, here called \"lateral\" collinearity. It refers to predictor-criterion collinearity. Lateral collinearity problems are exemplified based on an illustrative variance-based structural equation modeling analysis. The analysis employs WarpPLS 2.0, with the results double-checked with other statistical analysis software tools. It is shown that standard validity and reliability tests do not properly capture lateral collinearity. A new approach for the assessment of both vertical and lateral collinearity in variance-based structural equation modeling is proposed and demonstrated in the context of the illustrative analysis.","author":[{"dropping-particle":"","family":"Kock","given":"Ned","non-dropping-particle":"","parse-names":false,"suffix":""},{"dropping-particle":"","family":"Lynn","given":"Gary S.","non-dropping-particle":"","parse-names":false,"suffix":""}],"container-title":"Journal of the Association for Information Systems","id":"ITEM-1","issue":"7","issued":{"date-parts":[["2012"]]},"page":"546-580","title":"Lateral collinearity and misleading results in variance-based SEM: An illustration and recommendations","type":"article-journal","volume":"13"},"uris":["http://www.mendeley.com/documents/?uuid=19317e99-edaa-4888-a580-d8937c17b45f"]}],"mendeley":{"formattedCitation":"(Kock and Lynn, 2012)","plainTextFormattedCitation":"(Kock and Lynn, 2012)","previouslyFormattedCitation":"(Kock and Lynn, 2012)"},"properties":{"noteIndex":0},"schema":"https://github.com/citation-style-language/schema/raw/master/csl-citation.json"}</w:instrText>
      </w:r>
      <w:r w:rsidR="00CF7991" w:rsidRPr="00260745">
        <w:rPr>
          <w:noProof/>
          <w:lang w:eastAsia="en-GB"/>
        </w:rPr>
        <w:fldChar w:fldCharType="separate"/>
      </w:r>
      <w:r w:rsidR="00CF7991" w:rsidRPr="00260745">
        <w:rPr>
          <w:noProof/>
          <w:lang w:eastAsia="en-GB"/>
        </w:rPr>
        <w:t>(Kock and Lynn, 2012)</w:t>
      </w:r>
      <w:r w:rsidR="00CF7991" w:rsidRPr="00260745">
        <w:rPr>
          <w:noProof/>
          <w:lang w:eastAsia="en-GB"/>
        </w:rPr>
        <w:fldChar w:fldCharType="end"/>
      </w:r>
      <w:r w:rsidR="00CF7991" w:rsidRPr="00260745">
        <w:rPr>
          <w:noProof/>
          <w:lang w:eastAsia="en-GB"/>
        </w:rPr>
        <w:t xml:space="preserve">. The random forest model was built using the </w:t>
      </w:r>
      <w:r w:rsidR="00CF7991" w:rsidRPr="00260745">
        <w:rPr>
          <w:i/>
          <w:iCs/>
          <w:noProof/>
          <w:lang w:eastAsia="en-GB"/>
        </w:rPr>
        <w:t>randomForest</w:t>
      </w:r>
      <w:r w:rsidR="00CF7991" w:rsidRPr="00260745">
        <w:rPr>
          <w:noProof/>
          <w:lang w:eastAsia="en-GB"/>
        </w:rPr>
        <w:t xml:space="preserve"> package in R. Random forests are not subject to assumptions of normaility and multicolinearity, therefore, all predictors were used and the response data were left un-transformed. Out of sample performance was tested by k-fold cross validation using an 80-20% training-test split for both linear and random forest models </w:t>
      </w:r>
      <w:r w:rsidR="00CF7991" w:rsidRPr="00260745">
        <w:rPr>
          <w:noProof/>
          <w:lang w:eastAsia="en-GB"/>
        </w:rPr>
        <w:fldChar w:fldCharType="begin" w:fldLock="1"/>
      </w:r>
      <w:r w:rsidR="00CF7991" w:rsidRPr="00260745">
        <w:rPr>
          <w:noProof/>
          <w:lang w:eastAsia="en-GB"/>
        </w:rPr>
        <w:instrText>ADDIN CSL_CITATION {"citationItems":[{"id":"ITEM-1","itemData":{"DOI":"10.1109/USBEREIT.2019.8736679","ISBN":"9781538683644","abstract":"Due to serious health concerns, recently air quality monitoring and advance prediction model development have become a key focus for researchers. In view of prediction models, Ensemble data mining tool Random Forest was employed to predict the concentration of Nitrogen Dioxide (NO2) in air. For this paper, the monitoring dataset of emission inventory and meteorological parameters was analyzed as input predictors. While, the prediction performance of the model was calculated by using evaluation measures namely Correlation coefficient (R2), Root Mean Squared Error (RMSE) and Relative Absolute Error (RAE). The model performance was validated by comparing the results with two well-known classification algorithms known as M5P and Support Vector Machines (SVM) for regression. The models were further assessed under different filtering techniques such as Principle Component Analysis and Relief Attribute Evaluator. The results obtained suggest that the performance of Random Forest to predict the atmospheric concentration of NO2 is better than other two data mining approaches.","author":[{"dropping-particle":"","family":"Masih","given":"Adven","non-dropping-particle":"","parse-names":false,"suffix":""}],"container-title":"Proceedings - 2019 Ural Symposium on Biomedical Engineering, Radioelectronics and Information Technology, USBEREIT 2019","id":"ITEM-1","issued":{"date-parts":[["2019"]]},"page":"252-255","title":"Application of Random Forest Algorithm to Predict the Atmospheric Concentration of NO2","type":"article-journal"},"uris":["http://www.mendeley.com/documents/?uuid=84bfc206-e7b3-4784-b0a0-75cc5a0dc1e9"]}],"mendeley":{"formattedCitation":"(Masih, 2019)","plainTextFormattedCitation":"(Masih, 2019)","previouslyFormattedCitation":"(Masih, 2019)"},"properties":{"noteIndex":0},"schema":"https://github.com/citation-style-language/schema/raw/master/csl-citation.json"}</w:instrText>
      </w:r>
      <w:r w:rsidR="00CF7991" w:rsidRPr="00260745">
        <w:rPr>
          <w:noProof/>
          <w:lang w:eastAsia="en-GB"/>
        </w:rPr>
        <w:fldChar w:fldCharType="separate"/>
      </w:r>
      <w:r w:rsidR="00CF7991" w:rsidRPr="00260745">
        <w:rPr>
          <w:noProof/>
          <w:lang w:eastAsia="en-GB"/>
        </w:rPr>
        <w:t>(Masih, 2019)</w:t>
      </w:r>
      <w:r w:rsidR="00CF7991" w:rsidRPr="00260745">
        <w:rPr>
          <w:noProof/>
          <w:lang w:eastAsia="en-GB"/>
        </w:rPr>
        <w:fldChar w:fldCharType="end"/>
      </w:r>
      <w:r w:rsidR="00CF7991" w:rsidRPr="00260745">
        <w:rPr>
          <w:noProof/>
          <w:lang w:eastAsia="en-GB"/>
        </w:rPr>
        <w:t xml:space="preserve">. </w:t>
      </w:r>
      <w:r w:rsidR="00CF7991" w:rsidRPr="00260745">
        <w:t>All statistical analysis was performed using R 3.6.2 software.</w:t>
      </w:r>
    </w:p>
    <w:p w14:paraId="7D208103" w14:textId="77777777" w:rsidR="00CF7991" w:rsidRPr="00260745" w:rsidRDefault="00CF7991" w:rsidP="00CF7991">
      <w:pPr>
        <w:spacing w:line="480" w:lineRule="auto"/>
      </w:pPr>
    </w:p>
    <w:p w14:paraId="69B56BAA" w14:textId="77777777" w:rsidR="00CF7991" w:rsidRPr="001E65D6" w:rsidRDefault="00CF7991" w:rsidP="00CF7991">
      <w:pPr>
        <w:spacing w:line="480" w:lineRule="auto"/>
        <w:rPr>
          <w:sz w:val="22"/>
          <w:szCs w:val="22"/>
        </w:rPr>
      </w:pPr>
    </w:p>
    <w:p w14:paraId="6FF04D58" w14:textId="2DF10780" w:rsidR="00CF7991" w:rsidRPr="001E65D6" w:rsidRDefault="00CF7991" w:rsidP="00CF7991">
      <w:pPr>
        <w:pStyle w:val="Heading3"/>
        <w:rPr>
          <w:rFonts w:cstheme="minorHAnsi"/>
          <w:b/>
          <w:bCs/>
        </w:rPr>
      </w:pPr>
      <w:bookmarkStart w:id="31" w:name="_Toc120622120"/>
      <w:r w:rsidRPr="001E65D6">
        <w:rPr>
          <w:rFonts w:asciiTheme="minorHAnsi" w:hAnsiTheme="minorHAnsi" w:cstheme="minorHAnsi"/>
          <w:b/>
          <w:bCs/>
          <w:color w:val="auto"/>
        </w:rPr>
        <w:t>3.3.3</w:t>
      </w:r>
      <w:r w:rsidRPr="001E65D6">
        <w:rPr>
          <w:rFonts w:asciiTheme="minorHAnsi" w:hAnsiTheme="minorHAnsi" w:cstheme="minorHAnsi"/>
          <w:b/>
          <w:bCs/>
          <w:color w:val="auto"/>
        </w:rPr>
        <w:tab/>
        <w:t>Generating monthly global leaf litter estimates from 1980 to 2094</w:t>
      </w:r>
      <w:bookmarkEnd w:id="31"/>
    </w:p>
    <w:p w14:paraId="626A0685" w14:textId="4566F307" w:rsidR="0028465E" w:rsidRPr="00260745" w:rsidRDefault="001C052F" w:rsidP="0028465E">
      <w:pPr>
        <w:spacing w:line="480" w:lineRule="auto"/>
        <w:rPr>
          <w:lang w:val="en-US"/>
        </w:rPr>
      </w:pPr>
      <w:r>
        <w:t xml:space="preserve">Once the final model was selected, model outputs were projected onto a </w:t>
      </w:r>
      <w:r w:rsidR="009C6A06">
        <w:t xml:space="preserve">global </w:t>
      </w:r>
      <w:r w:rsidR="00B614AD">
        <w:t xml:space="preserve">mangrove mask </w:t>
      </w:r>
      <w:r>
        <w:t>(</w:t>
      </w:r>
      <w:r w:rsidR="0028465E" w:rsidRPr="00260745">
        <w:t>Hamilton and Casey 2016)</w:t>
      </w:r>
      <w:r>
        <w:t>. Hamilton and Casey’s mangrove coverage</w:t>
      </w:r>
      <w:r w:rsidR="0028465E" w:rsidRPr="00260745">
        <w:t xml:space="preserve"> for the year 2012 was used </w:t>
      </w:r>
      <w:r w:rsidR="00B614AD">
        <w:t>to predict mangrove litter rates</w:t>
      </w:r>
      <w:r w:rsidR="008A075A">
        <w:t xml:space="preserve"> worldwide</w:t>
      </w:r>
      <w:r w:rsidR="0028465E" w:rsidRPr="00260745">
        <w:t>. The original ~30m</w:t>
      </w:r>
      <w:r w:rsidR="0028465E" w:rsidRPr="00260745">
        <w:rPr>
          <w:vertAlign w:val="superscript"/>
        </w:rPr>
        <w:t>2</w:t>
      </w:r>
      <w:r w:rsidR="0028465E" w:rsidRPr="00260745">
        <w:t xml:space="preserve"> pixel spatial resolution was converted to ~3000</w:t>
      </w:r>
      <w:r w:rsidR="0028465E" w:rsidRPr="00260745">
        <w:rPr>
          <w:lang w:val="en-US"/>
        </w:rPr>
        <w:t>x3000</w:t>
      </w:r>
      <w:r w:rsidR="0028465E" w:rsidRPr="00260745">
        <w:t>m</w:t>
      </w:r>
      <w:r w:rsidR="0028465E" w:rsidRPr="00260745">
        <w:rPr>
          <w:vertAlign w:val="superscript"/>
        </w:rPr>
        <w:t>2</w:t>
      </w:r>
      <w:r w:rsidR="0028465E" w:rsidRPr="00260745">
        <w:t xml:space="preserve"> spatial resolution by </w:t>
      </w:r>
      <w:r w:rsidR="0028465E" w:rsidRPr="00260745">
        <w:rPr>
          <w:lang w:val="en-US"/>
        </w:rPr>
        <w:t xml:space="preserve">resampling </w:t>
      </w:r>
      <w:r w:rsidR="0028465E" w:rsidRPr="00260745">
        <w:t>points.</w:t>
      </w:r>
      <w:r w:rsidR="0028465E" w:rsidRPr="00260745">
        <w:rPr>
          <w:lang w:val="en-US"/>
        </w:rPr>
        <w:t xml:space="preserve"> This level of spatial resolution was selected as it reduced computational requirements, while still being fine enough to track regional level changes in climate and litter. Previously, 1km</w:t>
      </w:r>
      <w:r w:rsidR="0028465E" w:rsidRPr="00260745">
        <w:rPr>
          <w:vertAlign w:val="superscript"/>
          <w:lang w:val="en-US"/>
        </w:rPr>
        <w:t>2</w:t>
      </w:r>
      <w:r w:rsidR="0028465E" w:rsidRPr="00260745">
        <w:rPr>
          <w:lang w:val="en-US"/>
        </w:rPr>
        <w:t xml:space="preserve"> to ~25km</w:t>
      </w:r>
      <w:r w:rsidR="0028465E" w:rsidRPr="00260745">
        <w:rPr>
          <w:vertAlign w:val="superscript"/>
          <w:lang w:val="en-US"/>
        </w:rPr>
        <w:t>2</w:t>
      </w:r>
      <w:r w:rsidR="0028465E" w:rsidRPr="00260745">
        <w:rPr>
          <w:lang w:val="en-US"/>
        </w:rPr>
        <w:t xml:space="preserve"> pixel sizes have been used in global mangrove modeling studies </w:t>
      </w:r>
      <w:r w:rsidR="0028465E" w:rsidRPr="00260745">
        <w:rPr>
          <w:lang w:val="en-US"/>
        </w:rPr>
        <w:fldChar w:fldCharType="begin" w:fldLock="1"/>
      </w:r>
      <w:r w:rsidR="0028465E" w:rsidRPr="00260745">
        <w:rPr>
          <w:lang w:val="en-US"/>
        </w:rPr>
        <w:instrText>ADDIN CSL_CITATION {"citationItems":[{"id":"ITEM-1","itemData":{"DOI":"10.1111/conl.12060","ISBN":"1755-263X","ISSN":"1755263X","abstract":"Understanding spatial variation in carbon storage in natural habitats is critical for climate change mitigation efforts such as REDD. Terrestrial forests are being mapped with increasing accuracy, but the distribution of ``blue carbon'' in marine ecosystems remains poorly understood. We reviewed the literature to obtain field data on carbon storage and fluxes in mangroves world-wide. Using this material we developed a climate-based model for potential mangrove above-ground biomass (AGB) with almost four times the explanatory power of the only previous published model. From this model, we present the first ever global map of potential mangrove AGB and estimate a total global mangrove AGB of 2.83 Pg, with an average of 184.8 t ha−1. Data on other carbon stocks and fluxes confirm the importance of mangroves in carbon accounting. The map highlights the high variability in mangrove AGB and indicates areas that should be prioritised for mangrove conservation and restoration.","author":[{"dropping-particle":"","family":"Hutchison","given":"James","non-dropping-particle":"","parse-names":false,"suffix":""},{"dropping-particle":"","family":"Manica","given":"Andrea","non-dropping-particle":"","parse-names":false,"suffix":""},{"dropping-particle":"","family":"Swetnam","given":"Ruth","non-dropping-particle":"","parse-names":false,"suffix":""},{"dropping-particle":"","family":"Balmford","given":"Andrew","non-dropping-particle":"","parse-names":false,"suffix":""},{"dropping-particle":"","family":"Spalding","given":"Mark","non-dropping-particle":"","parse-names":false,"suffix":""}],"container-title":"Conservation Letters","id":"ITEM-1","issue":"3","issued":{"date-parts":[["2014","5"]]},"page":"233-240","title":"Predicting global patterns in mangrove forest biomass","type":"article-journal","volume":"7"},"uris":["http://www.mendeley.com/documents/?uuid=c0cc1011-f931-3578-8f2c-56c7f7c458c6"]},{"id":"ITEM-2","itemData":{"DOI":"10.1038/s41558-018-0162-5","ISBN":"4155801801625","ISSN":"17586798","abstract":"Global-scale variation in mangrove ecosystem properties has been explained using a conceptual framework linking geomorphological processes to distinct coastal environmental settings (CES) for nearly 50 years. However, these assumptions have not been empirically tested at the global scale. Here, we show that CES account for global variability in mangrove soil C:N:P stoichiometry and soil organic carbon (SOC) stocks. Using this ecogeomorphology framework, we developed a global model that captures variation in mangrove SOC stocks compatible with distinct CES. We show that mangrove SOC stocks have been underestimated by up to 50% (a difference of roughly 200 Mg ha−1) in carbonate settings and overestimated by up to 86% (around 400 Mg ha−1) in deltaic coastlines. Moreover, we provide information for 57 nations that currently lack SOC data, enabling these and other countries to develop or evaluate their blue carbon inventories.","author":[{"dropping-particle":"","family":"Rovai","given":"André S.","non-dropping-particle":"","parse-names":false,"suffix":""},{"dropping-particle":"","family":"Twilley","given":"Robert R.","non-dropping-particle":"","parse-names":false,"suffix":""},{"dropping-particle":"","family":"Castañeda-Moya","given":"Edward","non-dropping-particle":"","parse-names":false,"suffix":""},{"dropping-particle":"","family":"Riul","given":"Pablo","non-dropping-particle":"","parse-names":false,"suffix":""},{"dropping-particle":"","family":"Cifuentes-Jara","given":"Miguel","non-dropping-particle":"","parse-names":false,"suffix":""},{"dropping-particle":"","family":"Manrow-Villalobos","given":"Marilyn","non-dropping-particle":"","parse-names":false,"suffix":""},{"dropping-particle":"","family":"Horta","given":"Paulo A.","non-dropping-particle":"","parse-names":false,"suffix":""},{"dropping-particle":"","family":"Simonassi","given":"José C.","non-dropping-particle":"","parse-names":false,"suffix":""},{"dropping-particle":"","family":"Fonseca","given":"Alessandra L.","non-dropping-particle":"","parse-names":false,"suffix":""},{"dropping-particle":"","family":"Pagliosa","given":"Paulo R.","non-dropping-particle":"","parse-names":false,"suffix":""}],"container-title":"Nature Climate Change","id":"ITEM-2","issue":"6","issued":{"date-parts":[["2018","6","28"]]},"page":"534-538","publisher":"Nature Publishing Group","title":"Global controls on carbon storage in mangrove soils","type":"article-journal","volume":"8"},"uris":["http://www.mendeley.com/documents/?uuid=e218dcd6-b535-3f7d-a08f-4983ee271d59"]}],"mendeley":{"formattedCitation":"(Hutchison et al., 2014; Rovai et al., 2018)","plainTextFormattedCitation":"(Hutchison et al., 2014; Rovai et al., 2018)","previouslyFormattedCitation":"(Hutchison et al., 2014; Rovai et al., 2018)"},"properties":{"noteIndex":0},"schema":"https://github.com/citation-style-language/schema/raw/master/csl-citation.json"}</w:instrText>
      </w:r>
      <w:r w:rsidR="0028465E" w:rsidRPr="00260745">
        <w:rPr>
          <w:lang w:val="en-US"/>
        </w:rPr>
        <w:fldChar w:fldCharType="separate"/>
      </w:r>
      <w:r w:rsidR="0028465E" w:rsidRPr="00260745">
        <w:rPr>
          <w:noProof/>
          <w:lang w:val="en-US"/>
        </w:rPr>
        <w:t xml:space="preserve">(Hutchison et al., </w:t>
      </w:r>
      <w:r w:rsidR="0028465E" w:rsidRPr="00260745">
        <w:rPr>
          <w:noProof/>
          <w:lang w:val="en-US"/>
        </w:rPr>
        <w:lastRenderedPageBreak/>
        <w:t>2014; Rovai et al., 2018)</w:t>
      </w:r>
      <w:r w:rsidR="0028465E" w:rsidRPr="00260745">
        <w:rPr>
          <w:lang w:val="en-US"/>
        </w:rPr>
        <w:fldChar w:fldCharType="end"/>
      </w:r>
      <w:r w:rsidR="0028465E" w:rsidRPr="00260745">
        <w:rPr>
          <w:lang w:val="en-US"/>
        </w:rPr>
        <w:t xml:space="preserve">. The spatial resolution of the mangrove litter database was also aligned to the same resolution of the mangrove mask. When data points occurred within the same pixel for the same month, they were averaged. </w:t>
      </w:r>
    </w:p>
    <w:p w14:paraId="5549AEE4" w14:textId="77777777" w:rsidR="0028465E" w:rsidRDefault="0028465E" w:rsidP="00CF7991">
      <w:pPr>
        <w:spacing w:line="480" w:lineRule="auto"/>
        <w:rPr>
          <w:lang w:val="en-US"/>
        </w:rPr>
      </w:pPr>
    </w:p>
    <w:p w14:paraId="70D41B15" w14:textId="6332D5AE" w:rsidR="00CF7991" w:rsidRPr="00906EF9" w:rsidRDefault="00CF7991" w:rsidP="00CF7991">
      <w:pPr>
        <w:spacing w:line="480" w:lineRule="auto"/>
        <w:rPr>
          <w:lang w:val="en-US"/>
        </w:rPr>
      </w:pPr>
      <w:r w:rsidRPr="00260745">
        <w:rPr>
          <w:lang w:val="en-US"/>
        </w:rPr>
        <w:t xml:space="preserve">Historical monthly </w:t>
      </w:r>
      <w:proofErr w:type="spellStart"/>
      <w:r w:rsidRPr="00260745">
        <w:rPr>
          <w:lang w:val="en-US"/>
        </w:rPr>
        <w:t>bioclim</w:t>
      </w:r>
      <w:proofErr w:type="spellEnd"/>
      <w:r w:rsidRPr="00260745">
        <w:rPr>
          <w:lang w:val="en-US"/>
        </w:rPr>
        <w:t xml:space="preserve"> predictors were used to predict leaf litterfall rates </w:t>
      </w:r>
      <w:r w:rsidRPr="00260745">
        <w:t>(</w:t>
      </w:r>
      <w:r w:rsidRPr="00260745">
        <w:rPr>
          <w:lang w:val="en-US"/>
        </w:rPr>
        <w:t>g m</w:t>
      </w:r>
      <w:r w:rsidRPr="00260745">
        <w:rPr>
          <w:vertAlign w:val="superscript"/>
          <w:lang w:val="en-US"/>
        </w:rPr>
        <w:t>2</w:t>
      </w:r>
      <w:r w:rsidRPr="00260745">
        <w:rPr>
          <w:lang w:val="en-US"/>
        </w:rPr>
        <w:t xml:space="preserve"> d</w:t>
      </w:r>
      <w:r w:rsidRPr="00260745">
        <w:rPr>
          <w:vertAlign w:val="superscript"/>
        </w:rPr>
        <w:t>-1</w:t>
      </w:r>
      <w:r w:rsidRPr="00260745">
        <w:t xml:space="preserve">) for all global mangrove pixels </w:t>
      </w:r>
      <w:r w:rsidRPr="00260745">
        <w:rPr>
          <w:lang w:val="en-US"/>
        </w:rPr>
        <w:t xml:space="preserve">for each month from 1980 to 2015 </w:t>
      </w:r>
      <w:r w:rsidRPr="00260745">
        <w:t xml:space="preserve">using </w:t>
      </w:r>
      <w:r w:rsidRPr="00260745">
        <w:rPr>
          <w:lang w:val="en-US"/>
        </w:rPr>
        <w:t xml:space="preserve">the final predictive model selected. Model standard errors </w:t>
      </w:r>
      <w:r w:rsidRPr="00260745">
        <w:t xml:space="preserve">were multiplied by 1.96 and either added or subtracted from mean predicted values to calculate upper and lower 95% confidence intervals (CI’s) for </w:t>
      </w:r>
      <w:r w:rsidRPr="00260745">
        <w:rPr>
          <w:lang w:val="en-US"/>
        </w:rPr>
        <w:t xml:space="preserve">leaf litterfall rates </w:t>
      </w:r>
      <w:r w:rsidRPr="00260745">
        <w:fldChar w:fldCharType="begin" w:fldLock="1"/>
      </w:r>
      <w:r w:rsidRPr="00260745">
        <w:instrText>ADDIN CSL_CITATION {"citationItems":[{"id":"ITEM-1","itemData":{"ISBN":"978-0-9571741-3-9","abstract":"This book presents Generalized Linear Models (GLM) and Generalized Linear Mixed Models (GLMM) based on both frequency-based and Bayesian concepts.","author":[{"dropping-particle":"","family":"Zuur","given":"Alain F","non-dropping-particle":"","parse-names":false,"suffix":""},{"dropping-particle":"","family":"Hilbe","given":"Joseph M","non-dropping-particle":"","parse-names":false,"suffix":""},{"dropping-particle":"","family":"Ieno","given":"Elena N","non-dropping-particle":"","parse-names":false,"suffix":""}],"container-title":"Beginner's Guide Series","id":"ITEM-1","issued":{"date-parts":[["2013"]]},"number-of-pages":"253","title":"A Beginner’s Guide to GLM and GLMM with R","type":"book"},"uris":["http://www.mendeley.com/documents/?uuid=dcfe2837-be58-40f5-bb15-8f6244a8704e"]}],"mendeley":{"formattedCitation":"(Zuur et al., 2013)","plainTextFormattedCitation":"(Zuur et al., 2013)","previouslyFormattedCitation":"(Zuur et al., 2013)"},"properties":{"noteIndex":0},"schema":"https://github.com/citation-style-language/schema/raw/master/csl-citation.json"}</w:instrText>
      </w:r>
      <w:r w:rsidRPr="00260745">
        <w:fldChar w:fldCharType="separate"/>
      </w:r>
      <w:r w:rsidRPr="00260745">
        <w:rPr>
          <w:noProof/>
        </w:rPr>
        <w:t>(Zuur et al., 2013)</w:t>
      </w:r>
      <w:r w:rsidRPr="00260745">
        <w:fldChar w:fldCharType="end"/>
      </w:r>
      <w:r w:rsidRPr="00260745">
        <w:t xml:space="preserve">. </w:t>
      </w:r>
      <w:r w:rsidR="00961025">
        <w:t xml:space="preserve">It is estimated that leaf litter comprises </w:t>
      </w:r>
      <w:r w:rsidR="00E53CEA">
        <w:t xml:space="preserve">~20 to 60% </w:t>
      </w:r>
      <w:r w:rsidR="003647C1">
        <w:t xml:space="preserve">of total mangrove Net Primary Productivity (NPP) </w:t>
      </w:r>
      <w:r w:rsidR="006F1310">
        <w:t xml:space="preserve">To convert model litterfall estimates into Net Primary Productivity (NPP) </w:t>
      </w:r>
      <w:r w:rsidR="008D142D">
        <w:rPr>
          <w:lang w:val="en-US"/>
        </w:rPr>
        <w:fldChar w:fldCharType="begin" w:fldLock="1"/>
      </w:r>
      <w:r w:rsidR="002C1F4A">
        <w:rPr>
          <w:lang w:val="en-US"/>
        </w:rPr>
        <w:instrText>ADDIN CSL_CITATION {"citationItems":[{"id":"ITEM-1","itemData":{"DOI":"10.1007/978-3-319-62206-4_5","ISBN":"9783319622064","abstract":"This chapter focuses on the net primary productivity and carbon (C) dynamics of mangrove wetlands as related to the potential to sequester atmospheric C in above- and belowground biomass and in the soil. We discuss the large variation in ecosystem properties across different coastal environmental settings and pay particular attention to global patterns of these ecosystem processes comparing the Atlantic-East-Pacific and Indo-West-Pacific biogeographic regions. Deltaic coasts have higher aboveground biomass (AGB) compared to other continental settings, but the highest average AGB was found in high oceanic islands. The global average rates of litter fall (NPPL) and (NPPW) wood production are about 6 t ha-1 yr-1 for aboveground net primary productivity (NPPA) of about 12 t ha-1 yr-1. The relative contribution of belowground allocation to soil C storage and wood production to total net primary productivity (NPPT) in mangrove wetlands has significant implications to net C exchange in these coastal forested wetlands. Examples are given to demonstrate that net ecosystem production (NEP) and net ecosystem carbon exchange for mangrove wetlands have implications to the debate on how coastal ecosystems influence the global C budget. Wood production is about 600 g dry mass m yr or about 300 gC m-2 yr-1. The average C sequestration in mangroves soils org(∆Sorg) is about 224 gC m yr. The sum of these two measures (NPPW + ∆Sorg) is an estimate of NEP at about 525 gC m-2 yr-1. A general conclusion based on these different approaches, and reviewing the existing global literature, is that NEP accumulates about 500 gC m-2 yr-1, equally distributed between wood production and soil C accumulation. The importance of above and belowground contributions to global estimates of C sequestration above- and belowground reinforces the need for a better understanding of biomass allocation in these systems. The net tidal exchange of inorganic and organic carbon is about 400 gC m-2 yr-1 with nearly equal distribution in these forms of carbon to coastal waters. It is not clear how the fate of this material may influence net carbon exchange in the coastal zone, which is a very active area of research. We also suggest that more information is needed on how the disturbance of mangrove wetlands, including their recovery, may influence net carbon flux in the coastal zone.","author":[{"dropping-particle":"","family":"Twilley","given":"Robert R.","non-dropping-particle":"","parse-names":false,"suffix":""},{"dropping-particle":"","family":"Castañeda-Moya","given":"Edward","non-dropping-particle":"","parse-names":false,"suffix":""},{"dropping-particle":"","family":"Rivera-Monroy","given":"Victor H.","non-dropping-particle":"","parse-names":false,"suffix":""},{"dropping-particle":"","family":"Rovai","given":"Andre","non-dropping-particle":"","parse-names":false,"suffix":""}],"container-title":"Mangrove Ecosystems: A Global Biogeographic Perspective: Structure, Function, and Services","id":"ITEM-1","issued":{"date-parts":[["2017"]]},"page":"113-162","title":"Productivity and carbon dynamics in mangrove wetlands","type":"chapter"},"uris":["http://www.mendeley.com/documents/?uuid=558d75c5-5721-4921-a5a0-772b73ae4589"]},{"id":"ITEM-2","itemData":{"DOI":"10.1029/2007GB003052","ISBN":"0886-6236","ISSN":"08866236","PMID":"208059789","abstract":"Mangrove forests are highly productive but globally threatened coastal ecosystems, whose role in the carbon budget of the coastal zone has long been debated. Here we provide a comprehensive synthesis of the available data on carbon fluxes in mangrove ecosystems. A reassessment of global mangrove primary production from the literature results in a conservative estimate of similar to 218 +/- 72 Tg C a(-1). When using the best available estimates of various carbon sinks (organic carbon export, sediment burial, and mineralization), it appears that &gt; 50% of the carbon fixed by mangrove vegetation is unaccounted for. This unaccounted carbon sink is conservatively estimated at similar to 112 +/- 85 Tg C a(-1), equivalent in magnitude to similar to 30-40% of the global riverine organic carbon input to the coastal zone. Our analysis suggests that mineralization is severely underestimated, and that the majority of carbon export from mangroves to adjacent waters occurs as dissolved inorganic carbon (DIC). CO(2) efflux from sediments and creek waters and tidal export of DIC appear to be the major sinks. These processes are quantitatively comparable in magnitude to the unaccounted carbon sink in current budgets, but are not yet adequately constrained with the limited published data available so far.","author":[{"dropping-particle":"","family":"Bouillon","given":"Steven","non-dropping-particle":"","parse-names":false,"suffix":""},{"dropping-particle":"V.","family":"Borges","given":"Alberto","non-dropping-particle":"","parse-names":false,"suffix":""},{"dropping-particle":"","family":"Castañeda-Moya","given":"Edward","non-dropping-particle":"","parse-names":false,"suffix":""},{"dropping-particle":"","family":"Diele","given":"Karen","non-dropping-particle":"","parse-names":false,"suffix":""},{"dropping-particle":"","family":"Dittmar","given":"Thorsten","non-dropping-particle":"","parse-names":false,"suffix":""},{"dropping-particle":"","family":"Duke","given":"Norman C.","non-dropping-particle":"","parse-names":false,"suffix":""},{"dropping-particle":"","family":"Kristensen","given":"Erik","non-dropping-particle":"","parse-names":false,"suffix":""},{"dropping-particle":"","family":"Lee","given":"Shing Y.","non-dropping-particle":"","parse-names":false,"suffix":""},{"dropping-particle":"","family":"Marchand","given":"Cyril","non-dropping-particle":"","parse-names":false,"suffix":""},{"dropping-particle":"","family":"Middelburg","given":"Jack J.","non-dropping-particle":"","parse-names":false,"suffix":""},{"dropping-particle":"","family":"Rivera-Monroy","given":"Victor H.","non-dropping-particle":"","parse-names":false,"suffix":""},{"dropping-particle":"","family":"Smith","given":"Thomas J.","non-dropping-particle":"","parse-names":false,"suffix":""},{"dropping-particle":"","family":"Twilley","given":"Robert R.","non-dropping-particle":"","parse-names":false,"suffix":""}],"container-title":"Global Biogeochemical Cycles","id":"ITEM-2","issue":"2","issued":{"date-parts":[["2008","6","9"]]},"title":"Mangrove production and carbon sinks: A revision of global budget estimates","type":"article-journal","volume":"22"},"uris":["http://www.mendeley.com/documents/?uuid=4c6861df-7364-4b1c-b518-f90c03ee1c54"]}],"mendeley":{"formattedCitation":"(Bouillon et al., 2008; Twilley et al., 2017)","plainTextFormattedCitation":"(Bouillon et al., 2008; Twilley et al., 2017)","previouslyFormattedCitation":"(Bouillon et al., 2008; Twilley et al., 2017)"},"properties":{"noteIndex":0},"schema":"https://github.com/citation-style-language/schema/raw/master/csl-citation.json"}</w:instrText>
      </w:r>
      <w:r w:rsidR="008D142D">
        <w:rPr>
          <w:lang w:val="en-US"/>
        </w:rPr>
        <w:fldChar w:fldCharType="separate"/>
      </w:r>
      <w:r w:rsidR="008D142D" w:rsidRPr="008D142D">
        <w:rPr>
          <w:noProof/>
          <w:lang w:val="en-US"/>
        </w:rPr>
        <w:t>(Bouillon et al., 2008; Twilley et al., 2017)</w:t>
      </w:r>
      <w:r w:rsidR="008D142D">
        <w:rPr>
          <w:lang w:val="en-US"/>
        </w:rPr>
        <w:fldChar w:fldCharType="end"/>
      </w:r>
      <w:r w:rsidR="00D4237D">
        <w:rPr>
          <w:lang w:val="en-US"/>
        </w:rPr>
        <w:t xml:space="preserve">, thus </w:t>
      </w:r>
      <w:r w:rsidR="0031238D">
        <w:rPr>
          <w:lang w:val="en-US"/>
        </w:rPr>
        <w:t xml:space="preserve">the central estimate </w:t>
      </w:r>
      <w:r w:rsidR="00506A1A">
        <w:rPr>
          <w:lang w:val="en-US"/>
        </w:rPr>
        <w:t xml:space="preserve">(40%) </w:t>
      </w:r>
      <w:r w:rsidR="0031238D">
        <w:rPr>
          <w:lang w:val="en-US"/>
        </w:rPr>
        <w:t xml:space="preserve">was used to </w:t>
      </w:r>
      <w:r w:rsidR="00506A1A">
        <w:rPr>
          <w:lang w:val="en-US"/>
        </w:rPr>
        <w:t xml:space="preserve">convert </w:t>
      </w:r>
      <w:r w:rsidRPr="00260745">
        <w:rPr>
          <w:lang w:val="en-US"/>
        </w:rPr>
        <w:t xml:space="preserve">litter rate </w:t>
      </w:r>
      <w:r w:rsidRPr="00260745">
        <w:t xml:space="preserve">estimates and CI’s into </w:t>
      </w:r>
      <w:r w:rsidRPr="00260745">
        <w:rPr>
          <w:lang w:val="en-US"/>
        </w:rPr>
        <w:t xml:space="preserve">NPP </w:t>
      </w:r>
      <w:r w:rsidRPr="00260745">
        <w:t xml:space="preserve">using </w:t>
      </w:r>
      <w:r w:rsidRPr="00260745">
        <w:rPr>
          <w:lang w:val="en-US"/>
        </w:rPr>
        <w:t>an 2.5</w:t>
      </w:r>
      <w:r w:rsidRPr="00260745">
        <w:t xml:space="preserve"> conversion factor (NPP = 2.5 </w:t>
      </w:r>
      <w:r w:rsidRPr="00260745">
        <w:rPr>
          <w:rFonts w:cstheme="minorHAnsi"/>
        </w:rPr>
        <w:t>×</w:t>
      </w:r>
      <w:r w:rsidRPr="00260745">
        <w:t xml:space="preserve"> litterfall rate)</w:t>
      </w:r>
      <w:r w:rsidRPr="00260745">
        <w:rPr>
          <w:lang w:val="en-US"/>
        </w:rPr>
        <w:t>.</w:t>
      </w:r>
      <w:r w:rsidR="00B555C8">
        <w:rPr>
          <w:lang w:val="en-US"/>
        </w:rPr>
        <w:t xml:space="preserve"> This assumption is not likely to hold true globally as </w:t>
      </w:r>
      <w:r w:rsidR="00115F3B">
        <w:rPr>
          <w:lang w:val="en-US"/>
        </w:rPr>
        <w:t>differing environmental climates have been shown to change mangrove biomass allocation</w:t>
      </w:r>
      <w:r w:rsidR="006073AC">
        <w:rPr>
          <w:lang w:val="en-US"/>
        </w:rPr>
        <w:t xml:space="preserve">. For example, </w:t>
      </w:r>
      <w:proofErr w:type="gramStart"/>
      <w:r w:rsidR="00FE732E">
        <w:rPr>
          <w:lang w:val="en-US"/>
        </w:rPr>
        <w:t>Chatting</w:t>
      </w:r>
      <w:proofErr w:type="gramEnd"/>
      <w:r w:rsidR="00FE732E">
        <w:rPr>
          <w:lang w:val="en-US"/>
        </w:rPr>
        <w:t xml:space="preserve"> et al. (2020) found greater below ground to above ground biomass allocation in an arid mangrove system when compared to </w:t>
      </w:r>
      <w:r w:rsidR="00703AD6">
        <w:rPr>
          <w:lang w:val="en-US"/>
        </w:rPr>
        <w:t xml:space="preserve">the same species in </w:t>
      </w:r>
      <w:r w:rsidR="00837838">
        <w:rPr>
          <w:lang w:val="en-US"/>
        </w:rPr>
        <w:t>a tropical location.</w:t>
      </w:r>
    </w:p>
    <w:p w14:paraId="141FE70C" w14:textId="77777777" w:rsidR="00CF7991" w:rsidRPr="00260745" w:rsidRDefault="00CF7991" w:rsidP="00CF7991">
      <w:pPr>
        <w:spacing w:line="480" w:lineRule="auto"/>
        <w:rPr>
          <w:i/>
          <w:iCs/>
        </w:rPr>
      </w:pPr>
    </w:p>
    <w:p w14:paraId="26EF78EC" w14:textId="22D53807" w:rsidR="00CF7991" w:rsidRPr="00260745" w:rsidRDefault="00CF7991" w:rsidP="00CF7991">
      <w:pPr>
        <w:spacing w:line="480" w:lineRule="auto"/>
      </w:pPr>
      <w:r w:rsidRPr="00260745">
        <w:rPr>
          <w:lang w:val="en-US"/>
        </w:rPr>
        <w:t xml:space="preserve">Future monthly litterfall rates </w:t>
      </w:r>
      <w:r w:rsidRPr="00260745">
        <w:t xml:space="preserve">and associated 95% CI’s </w:t>
      </w:r>
      <w:r w:rsidRPr="00260745">
        <w:rPr>
          <w:lang w:val="en-US"/>
        </w:rPr>
        <w:t xml:space="preserve">(2015 to 2094) </w:t>
      </w:r>
      <w:r w:rsidRPr="00260745">
        <w:t xml:space="preserve">were predicted in the same way as </w:t>
      </w:r>
      <w:r w:rsidRPr="00260745">
        <w:rPr>
          <w:lang w:val="en-US"/>
        </w:rPr>
        <w:t xml:space="preserve">historical </w:t>
      </w:r>
      <w:r w:rsidRPr="00260745">
        <w:t>day estimates</w:t>
      </w:r>
      <w:r w:rsidR="004D0C53">
        <w:t xml:space="preserve">. </w:t>
      </w:r>
      <w:proofErr w:type="spellStart"/>
      <w:r w:rsidR="007D5B29">
        <w:t>Breifly</w:t>
      </w:r>
      <w:proofErr w:type="spellEnd"/>
      <w:r w:rsidR="007D5B29">
        <w:t>, f</w:t>
      </w:r>
      <w:r w:rsidR="004D0C53">
        <w:t xml:space="preserve">uture </w:t>
      </w:r>
      <w:proofErr w:type="spellStart"/>
      <w:r w:rsidR="004D0C53">
        <w:t>bioclims</w:t>
      </w:r>
      <w:proofErr w:type="spellEnd"/>
      <w:r w:rsidR="004D0C53">
        <w:t xml:space="preserve">, depending on emissions </w:t>
      </w:r>
      <w:r w:rsidR="00BB17C8">
        <w:t>scenario, were</w:t>
      </w:r>
      <w:r w:rsidR="004D0C53">
        <w:t xml:space="preserve"> extracted from </w:t>
      </w:r>
      <w:r w:rsidR="00306B3D">
        <w:t>forecasted climate data</w:t>
      </w:r>
      <w:r w:rsidR="00A35BE4">
        <w:t>sets</w:t>
      </w:r>
      <w:r w:rsidR="00306B3D">
        <w:t xml:space="preserve"> (</w:t>
      </w:r>
      <w:proofErr w:type="spellStart"/>
      <w:r w:rsidR="00306B3D">
        <w:t>P</w:t>
      </w:r>
      <w:r w:rsidR="00306B3D" w:rsidRPr="00906EF9">
        <w:rPr>
          <w:vertAlign w:val="subscript"/>
        </w:rPr>
        <w:t>mean</w:t>
      </w:r>
      <w:proofErr w:type="spellEnd"/>
      <w:r w:rsidR="00306B3D">
        <w:t xml:space="preserve">, </w:t>
      </w:r>
      <w:proofErr w:type="spellStart"/>
      <w:r w:rsidR="00306B3D">
        <w:t>T</w:t>
      </w:r>
      <w:r w:rsidR="00306B3D" w:rsidRPr="00906EF9">
        <w:rPr>
          <w:vertAlign w:val="subscript"/>
        </w:rPr>
        <w:t>mean</w:t>
      </w:r>
      <w:proofErr w:type="spellEnd"/>
      <w:r w:rsidR="00306B3D">
        <w:t xml:space="preserve">, </w:t>
      </w:r>
      <w:proofErr w:type="spellStart"/>
      <w:r w:rsidR="00306B3D">
        <w:t>T</w:t>
      </w:r>
      <w:r w:rsidR="00306B3D" w:rsidRPr="00906EF9">
        <w:rPr>
          <w:vertAlign w:val="subscript"/>
        </w:rPr>
        <w:t>min</w:t>
      </w:r>
      <w:proofErr w:type="spellEnd"/>
      <w:r w:rsidR="00306B3D">
        <w:t xml:space="preserve"> and </w:t>
      </w:r>
      <w:proofErr w:type="spellStart"/>
      <w:r w:rsidR="00306B3D">
        <w:t>T</w:t>
      </w:r>
      <w:r w:rsidR="00306B3D" w:rsidRPr="00906EF9">
        <w:rPr>
          <w:vertAlign w:val="subscript"/>
        </w:rPr>
        <w:t>max</w:t>
      </w:r>
      <w:proofErr w:type="spellEnd"/>
      <w:r w:rsidR="00306B3D">
        <w:t xml:space="preserve">) </w:t>
      </w:r>
      <w:r w:rsidR="00557BAB">
        <w:t xml:space="preserve">for all global mangrove mask points </w:t>
      </w:r>
      <w:r w:rsidR="00233548">
        <w:t xml:space="preserve">and the same </w:t>
      </w:r>
      <w:r w:rsidR="007D5B29">
        <w:t xml:space="preserve">random forest model as used for present day litterfall rates was used on future </w:t>
      </w:r>
      <w:r w:rsidR="00C509FB">
        <w:t xml:space="preserve">forecasted </w:t>
      </w:r>
      <w:proofErr w:type="spellStart"/>
      <w:r w:rsidR="00C509FB">
        <w:t>bioclim</w:t>
      </w:r>
      <w:proofErr w:type="spellEnd"/>
      <w:r w:rsidR="00C509FB">
        <w:t xml:space="preserve"> predictors.</w:t>
      </w:r>
      <w:r w:rsidRPr="00260745">
        <w:t xml:space="preserve"> </w:t>
      </w:r>
      <w:r w:rsidR="00723DF4">
        <w:t xml:space="preserve">The main difference between present day and future </w:t>
      </w:r>
      <w:proofErr w:type="spellStart"/>
      <w:r w:rsidR="00723DF4">
        <w:t>llitterfall</w:t>
      </w:r>
      <w:proofErr w:type="spellEnd"/>
      <w:r w:rsidR="00723DF4">
        <w:t xml:space="preserve"> rates was that forecasted </w:t>
      </w:r>
      <w:r w:rsidR="00723DF4">
        <w:rPr>
          <w:lang w:val="en-US"/>
        </w:rPr>
        <w:t>m</w:t>
      </w:r>
      <w:r w:rsidRPr="00260745">
        <w:rPr>
          <w:lang w:val="en-US"/>
        </w:rPr>
        <w:t>onthly</w:t>
      </w:r>
      <w:r w:rsidR="0069567B">
        <w:rPr>
          <w:lang w:val="en-US"/>
        </w:rPr>
        <w:t xml:space="preserve"> </w:t>
      </w:r>
      <w:r w:rsidRPr="00260745">
        <w:t xml:space="preserve">climate data </w:t>
      </w:r>
      <w:r w:rsidRPr="00260745">
        <w:lastRenderedPageBreak/>
        <w:t>for all global mangrove coverage pixels were used instead of historical datasets. To calculate future climate data, the latest Coupled Model Inter-comparison Project phase 6 (CMIP6) climate scenarios were use</w:t>
      </w:r>
      <w:r w:rsidRPr="00260745">
        <w:rPr>
          <w:rFonts w:cstheme="minorHAnsi"/>
        </w:rPr>
        <w:t>d (</w:t>
      </w:r>
      <w:hyperlink r:id="rId34" w:history="1">
        <w:r w:rsidRPr="00260745">
          <w:rPr>
            <w:rStyle w:val="Hyperlink"/>
            <w:rFonts w:cstheme="minorHAnsi"/>
          </w:rPr>
          <w:t>https://esgf-node.llnl.gov/search/cmip6/</w:t>
        </w:r>
      </w:hyperlink>
      <w:r w:rsidRPr="00260745">
        <w:rPr>
          <w:rFonts w:cstheme="minorHAnsi"/>
        </w:rPr>
        <w:t>). The</w:t>
      </w:r>
      <w:r w:rsidRPr="00260745">
        <w:t xml:space="preserve"> study used Shared Socioeconomic Pathway</w:t>
      </w:r>
      <w:r w:rsidRPr="00260745">
        <w:rPr>
          <w:lang w:val="en-US"/>
        </w:rPr>
        <w:t>s</w:t>
      </w:r>
      <w:r w:rsidRPr="00260745">
        <w:t xml:space="preserve"> </w:t>
      </w:r>
      <w:r w:rsidRPr="00260745">
        <w:rPr>
          <w:lang w:val="en-US"/>
        </w:rPr>
        <w:t>(SSP) scenarios 126, 245, 370 and 585 from the 6</w:t>
      </w:r>
      <w:r w:rsidRPr="00260745">
        <w:rPr>
          <w:vertAlign w:val="superscript"/>
          <w:lang w:val="en-US"/>
        </w:rPr>
        <w:t>th</w:t>
      </w:r>
      <w:r w:rsidRPr="00260745">
        <w:rPr>
          <w:lang w:val="en-US"/>
        </w:rPr>
        <w:t xml:space="preserve"> IPCC Assessment Report (AR6), </w:t>
      </w:r>
      <w:r w:rsidRPr="00260745">
        <w:t xml:space="preserve">as they </w:t>
      </w:r>
      <w:r w:rsidR="00627715">
        <w:t>broadly</w:t>
      </w:r>
      <w:r w:rsidR="00D024B1">
        <w:t xml:space="preserve"> </w:t>
      </w:r>
      <w:r w:rsidRPr="00260745">
        <w:t xml:space="preserve">represent </w:t>
      </w:r>
      <w:r w:rsidR="00D024B1">
        <w:t xml:space="preserve">a range of </w:t>
      </w:r>
      <w:r w:rsidRPr="00260745">
        <w:rPr>
          <w:lang w:val="en-US"/>
        </w:rPr>
        <w:t xml:space="preserve">low </w:t>
      </w:r>
      <w:r w:rsidR="00EE0D39">
        <w:rPr>
          <w:lang w:val="en-US"/>
        </w:rPr>
        <w:t xml:space="preserve">to high </w:t>
      </w:r>
      <w:r w:rsidR="00D024B1">
        <w:rPr>
          <w:lang w:val="en-US"/>
        </w:rPr>
        <w:t>global CO</w:t>
      </w:r>
      <w:r w:rsidR="00D024B1" w:rsidRPr="00906EF9">
        <w:rPr>
          <w:vertAlign w:val="subscript"/>
          <w:lang w:val="en-US"/>
        </w:rPr>
        <w:t>2</w:t>
      </w:r>
      <w:r w:rsidR="00D024B1">
        <w:rPr>
          <w:lang w:val="en-US"/>
        </w:rPr>
        <w:t xml:space="preserve"> </w:t>
      </w:r>
      <w:r w:rsidR="00EE0D39">
        <w:rPr>
          <w:lang w:val="en-US"/>
        </w:rPr>
        <w:t>emissions scenarios</w:t>
      </w:r>
      <w:r w:rsidR="00D024B1">
        <w:rPr>
          <w:lang w:val="en-US"/>
        </w:rPr>
        <w:t xml:space="preserve"> by the year 2100 </w:t>
      </w:r>
      <w:r w:rsidR="00FC535A">
        <w:rPr>
          <w:lang w:val="en-US"/>
        </w:rPr>
        <w:fldChar w:fldCharType="begin" w:fldLock="1"/>
      </w:r>
      <w:r w:rsidR="00F16D17">
        <w:rPr>
          <w:lang w:val="en-US"/>
        </w:rPr>
        <w:instrText>ADDIN CSL_CITATION {"citationItems":[{"id":"ITEM-1","itemData":{"DOI":"10.1038/s41558-018-0091-3","ISSN":"17586798","abstract":"The 2015 Paris Agreement calls for countries to pursue efforts to limit global-mean temperature rise to 1.5 °C. The transition pathways that can meet such a target have not, however, been extensively explored. Here we describe scenarios that limit end-of-century radiative forcing to 1.9 W m-2, and consequently restrict median warming in the year 2100 to below 1.5 °C. We use six integrated assessment models and a simple climate model, under different socio-economic, technological and resource assumptions from five Shared Socio-economic Pathways (SSPs). Some, but not all, SSPs are amenable to pathways to 1.5 °C. Successful 1.9 W m-2 scenarios are characterized by a rapid shift away from traditional fossil-fuel use towards large-scale low-carbon energy supplies, reduced energy use, and carbon-dioxide removal. However, 1.9 W m-2 scenarios could not be achieved in several models under SSPs with strong inequalities, high baseline fossil-fuel use, or scattered short-term climate policy. Further research can help policy-makers to understand the real-world implications of these scenarios.","author":[{"dropping-particle":"","family":"Rogelj","given":"Joeri","non-dropping-particle":"","parse-names":false,"suffix":""},{"dropping-particle":"","family":"Popp","given":"Alexander","non-dropping-particle":"","parse-names":false,"suffix":""},{"dropping-particle":"V.","family":"Calvin","given":"Katherine","non-dropping-particle":"","parse-names":false,"suffix":""},{"dropping-particle":"","family":"Luderer","given":"Gunnar","non-dropping-particle":"","parse-names":false,"suffix":""},{"dropping-particle":"","family":"Emmerling","given":"Johannes","non-dropping-particle":"","parse-names":false,"suffix":""},{"dropping-particle":"","family":"Gernaat","given":"David","non-dropping-particle":"","parse-names":false,"suffix":""},{"dropping-particle":"","family":"Fujimori","given":"Shinichiro","non-dropping-particle":"","parse-names":false,"suffix":""},{"dropping-particle":"","family":"Strefler","given":"Jessica","non-dropping-particle":"","parse-names":false,"suffix":""},{"dropping-particle":"","family":"Hasegawa","given":"Tomoko","non-dropping-particle":"","parse-names":false,"suffix":""},{"dropping-particle":"","family":"Marangoni","given":"Giacomo","non-dropping-particle":"","parse-names":false,"suffix":""},{"dropping-particle":"","family":"Krey","given":"Volker","non-dropping-particle":"","parse-names":false,"suffix":""},{"dropping-particle":"","family":"Kriegler","given":"Elmar","non-dropping-particle":"","parse-names":false,"suffix":""},{"dropping-particle":"","family":"Riahi","given":"Keywan","non-dropping-particle":"","parse-names":false,"suffix":""},{"dropping-particle":"","family":"Vuuren","given":"Detlef P.","non-dropping-particle":"Van","parse-names":false,"suffix":""},{"dropping-particle":"","family":"Doelman","given":"Jonathan","non-dropping-particle":"","parse-names":false,"suffix":""},{"dropping-particle":"","family":"Drouet","given":"Laurent","non-dropping-particle":"","parse-names":false,"suffix":""},{"dropping-particle":"","family":"Edmonds","given":"Jae","non-dropping-particle":"","parse-names":false,"suffix":""},{"dropping-particle":"","family":"Fricko","given":"Oliver","non-dropping-particle":"","parse-names":false,"suffix":""},{"dropping-particle":"","family":"Harmsen","given":"Mathijs","non-dropping-particle":"","parse-names":false,"suffix":""},{"dropping-particle":"","family":"Havlík","given":"Petr","non-dropping-particle":"","parse-names":false,"suffix":""},{"dropping-particle":"","family":"Humpenöder","given":"Florian","non-dropping-particle":"","parse-names":false,"suffix":""},{"dropping-particle":"","family":"Stehfest","given":"Elke","non-dropping-particle":"","parse-names":false,"suffix":""},{"dropping-particle":"","family":"Tavoni","given":"Massimo","non-dropping-particle":"","parse-names":false,"suffix":""}],"container-title":"Nature Climate Change","id":"ITEM-1","issue":"4","issued":{"date-parts":[["2018"]]},"page":"325-332","title":"Scenarios towards limiting global mean temperature increase below 1.5 °c","type":"article-journal","volume":"8"},"uris":["http://www.mendeley.com/documents/?uuid=7ee0c1ca-cfd6-4c2b-9a44-be099a8560c4"]}],"mendeley":{"formattedCitation":"(Rogelj et al., 2018)","plainTextFormattedCitation":"(Rogelj et al., 2018)","previouslyFormattedCitation":"(Rogelj et al., 2018)"},"properties":{"noteIndex":0},"schema":"https://github.com/citation-style-language/schema/raw/master/csl-citation.json"}</w:instrText>
      </w:r>
      <w:r w:rsidR="00FC535A">
        <w:rPr>
          <w:lang w:val="en-US"/>
        </w:rPr>
        <w:fldChar w:fldCharType="separate"/>
      </w:r>
      <w:r w:rsidR="00FC535A" w:rsidRPr="00FC535A">
        <w:rPr>
          <w:noProof/>
          <w:lang w:val="en-US"/>
        </w:rPr>
        <w:t>(Rogelj et al., 2018)</w:t>
      </w:r>
      <w:r w:rsidR="00FC535A">
        <w:rPr>
          <w:lang w:val="en-US"/>
        </w:rPr>
        <w:fldChar w:fldCharType="end"/>
      </w:r>
      <w:r w:rsidR="00EE0D39">
        <w:rPr>
          <w:lang w:val="en-US"/>
        </w:rPr>
        <w:t xml:space="preserve">. </w:t>
      </w:r>
      <w:r w:rsidR="005369B8">
        <w:rPr>
          <w:lang w:val="en-US"/>
        </w:rPr>
        <w:t xml:space="preserve">Shared Socioeconomic Pathway 126 </w:t>
      </w:r>
      <w:r w:rsidRPr="00260745">
        <w:rPr>
          <w:lang w:val="en-US"/>
        </w:rPr>
        <w:t>(SSP126)</w:t>
      </w:r>
      <w:r w:rsidR="005369B8">
        <w:rPr>
          <w:lang w:val="en-US"/>
        </w:rPr>
        <w:t xml:space="preserve"> </w:t>
      </w:r>
      <w:r w:rsidR="006663D8">
        <w:rPr>
          <w:lang w:val="en-US"/>
        </w:rPr>
        <w:t>is</w:t>
      </w:r>
      <w:r w:rsidR="005369B8">
        <w:rPr>
          <w:lang w:val="en-US"/>
        </w:rPr>
        <w:t xml:space="preserve"> the lowest </w:t>
      </w:r>
      <w:r w:rsidR="006663D8">
        <w:rPr>
          <w:lang w:val="en-US"/>
        </w:rPr>
        <w:t xml:space="preserve">emissions scenario </w:t>
      </w:r>
      <w:r w:rsidR="00057F49">
        <w:rPr>
          <w:lang w:val="en-US"/>
        </w:rPr>
        <w:t xml:space="preserve">and reaches negative </w:t>
      </w:r>
      <w:r w:rsidR="00061F43">
        <w:rPr>
          <w:lang w:val="en-US"/>
        </w:rPr>
        <w:t xml:space="preserve">annual </w:t>
      </w:r>
      <w:r w:rsidR="00057F49">
        <w:rPr>
          <w:lang w:val="en-US"/>
        </w:rPr>
        <w:t>global CO</w:t>
      </w:r>
      <w:r w:rsidR="00057F49" w:rsidRPr="00906EF9">
        <w:rPr>
          <w:vertAlign w:val="subscript"/>
          <w:lang w:val="en-US"/>
        </w:rPr>
        <w:t>2</w:t>
      </w:r>
      <w:r w:rsidR="00057F49">
        <w:rPr>
          <w:lang w:val="en-US"/>
        </w:rPr>
        <w:t xml:space="preserve"> emissions </w:t>
      </w:r>
      <w:r w:rsidR="002F32E8">
        <w:rPr>
          <w:lang w:val="en-US"/>
        </w:rPr>
        <w:t>by ~2075</w:t>
      </w:r>
      <w:r w:rsidR="001F5BE0">
        <w:rPr>
          <w:lang w:val="en-US"/>
        </w:rPr>
        <w:t xml:space="preserve"> </w:t>
      </w:r>
      <w:r w:rsidR="001F5BE0">
        <w:rPr>
          <w:lang w:val="en-US"/>
        </w:rPr>
        <w:fldChar w:fldCharType="begin" w:fldLock="1"/>
      </w:r>
      <w:r w:rsidR="00F16D17">
        <w:rPr>
          <w:lang w:val="en-US"/>
        </w:rPr>
        <w:instrText>ADDIN CSL_CITATION {"citationItems":[{"id":"ITEM-1","itemData":{"DOI":"10.1038/s41558-018-0091-3","ISSN":"17586798","abstract":"The 2015 Paris Agreement calls for countries to pursue efforts to limit global-mean temperature rise to 1.5 °C. The transition pathways that can meet such a target have not, however, been extensively explored. Here we describe scenarios that limit end-of-century radiative forcing to 1.9 W m-2, and consequently restrict median warming in the year 2100 to below 1.5 °C. We use six integrated assessment models and a simple climate model, under different socio-economic, technological and resource assumptions from five Shared Socio-economic Pathways (SSPs). Some, but not all, SSPs are amenable to pathways to 1.5 °C. Successful 1.9 W m-2 scenarios are characterized by a rapid shift away from traditional fossil-fuel use towards large-scale low-carbon energy supplies, reduced energy use, and carbon-dioxide removal. However, 1.9 W m-2 scenarios could not be achieved in several models under SSPs with strong inequalities, high baseline fossil-fuel use, or scattered short-term climate policy. Further research can help policy-makers to understand the real-world implications of these scenarios.","author":[{"dropping-particle":"","family":"Rogelj","given":"Joeri","non-dropping-particle":"","parse-names":false,"suffix":""},{"dropping-particle":"","family":"Popp","given":"Alexander","non-dropping-particle":"","parse-names":false,"suffix":""},{"dropping-particle":"V.","family":"Calvin","given":"Katherine","non-dropping-particle":"","parse-names":false,"suffix":""},{"dropping-particle":"","family":"Luderer","given":"Gunnar","non-dropping-particle":"","parse-names":false,"suffix":""},{"dropping-particle":"","family":"Emmerling","given":"Johannes","non-dropping-particle":"","parse-names":false,"suffix":""},{"dropping-particle":"","family":"Gernaat","given":"David","non-dropping-particle":"","parse-names":false,"suffix":""},{"dropping-particle":"","family":"Fujimori","given":"Shinichiro","non-dropping-particle":"","parse-names":false,"suffix":""},{"dropping-particle":"","family":"Strefler","given":"Jessica","non-dropping-particle":"","parse-names":false,"suffix":""},{"dropping-particle":"","family":"Hasegawa","given":"Tomoko","non-dropping-particle":"","parse-names":false,"suffix":""},{"dropping-particle":"","family":"Marangoni","given":"Giacomo","non-dropping-particle":"","parse-names":false,"suffix":""},{"dropping-particle":"","family":"Krey","given":"Volker","non-dropping-particle":"","parse-names":false,"suffix":""},{"dropping-particle":"","family":"Kriegler","given":"Elmar","non-dropping-particle":"","parse-names":false,"suffix":""},{"dropping-particle":"","family":"Riahi","given":"Keywan","non-dropping-particle":"","parse-names":false,"suffix":""},{"dropping-particle":"","family":"Vuuren","given":"Detlef P.","non-dropping-particle":"Van","parse-names":false,"suffix":""},{"dropping-particle":"","family":"Doelman","given":"Jonathan","non-dropping-particle":"","parse-names":false,"suffix":""},{"dropping-particle":"","family":"Drouet","given":"Laurent","non-dropping-particle":"","parse-names":false,"suffix":""},{"dropping-particle":"","family":"Edmonds","given":"Jae","non-dropping-particle":"","parse-names":false,"suffix":""},{"dropping-particle":"","family":"Fricko","given":"Oliver","non-dropping-particle":"","parse-names":false,"suffix":""},{"dropping-particle":"","family":"Harmsen","given":"Mathijs","non-dropping-particle":"","parse-names":false,"suffix":""},{"dropping-particle":"","family":"Havlík","given":"Petr","non-dropping-particle":"","parse-names":false,"suffix":""},{"dropping-particle":"","family":"Humpenöder","given":"Florian","non-dropping-particle":"","parse-names":false,"suffix":""},{"dropping-particle":"","family":"Stehfest","given":"Elke","non-dropping-particle":"","parse-names":false,"suffix":""},{"dropping-particle":"","family":"Tavoni","given":"Massimo","non-dropping-particle":"","parse-names":false,"suffix":""}],"container-title":"Nature Climate Change","id":"ITEM-1","issue":"4","issued":{"date-parts":[["2018"]]},"page":"325-332","title":"Scenarios towards limiting global mean temperature increase below 1.5 °c","type":"article-journal","volume":"8"},"uris":["http://www.mendeley.com/documents/?uuid=7ee0c1ca-cfd6-4c2b-9a44-be099a8560c4"]}],"mendeley":{"formattedCitation":"(Rogelj et al., 2018)","plainTextFormattedCitation":"(Rogelj et al., 2018)","previouslyFormattedCitation":"(Rogelj et al., 2018)"},"properties":{"noteIndex":0},"schema":"https://github.com/citation-style-language/schema/raw/master/csl-citation.json"}</w:instrText>
      </w:r>
      <w:r w:rsidR="001F5BE0">
        <w:rPr>
          <w:lang w:val="en-US"/>
        </w:rPr>
        <w:fldChar w:fldCharType="separate"/>
      </w:r>
      <w:r w:rsidR="001F5BE0" w:rsidRPr="00FC535A">
        <w:rPr>
          <w:noProof/>
          <w:lang w:val="en-US"/>
        </w:rPr>
        <w:t>(Rogelj et al., 2018)</w:t>
      </w:r>
      <w:r w:rsidR="001F5BE0">
        <w:rPr>
          <w:lang w:val="en-US"/>
        </w:rPr>
        <w:fldChar w:fldCharType="end"/>
      </w:r>
      <w:r w:rsidR="00061F43">
        <w:rPr>
          <w:lang w:val="en-US"/>
        </w:rPr>
        <w:t xml:space="preserve">; SSP245 reaches </w:t>
      </w:r>
      <w:r w:rsidR="00D33CFA">
        <w:rPr>
          <w:lang w:val="en-US"/>
        </w:rPr>
        <w:t>~</w:t>
      </w:r>
      <w:r w:rsidR="00061F43">
        <w:rPr>
          <w:lang w:val="en-US"/>
        </w:rPr>
        <w:t>10 GtCO</w:t>
      </w:r>
      <w:r w:rsidR="00061F43" w:rsidRPr="00906EF9">
        <w:rPr>
          <w:vertAlign w:val="subscript"/>
          <w:lang w:val="en-US"/>
        </w:rPr>
        <w:t>2</w:t>
      </w:r>
      <w:r w:rsidR="00061F43">
        <w:rPr>
          <w:lang w:val="en-US"/>
        </w:rPr>
        <w:t xml:space="preserve"> yr</w:t>
      </w:r>
      <w:r w:rsidR="00061F43" w:rsidRPr="00906EF9">
        <w:rPr>
          <w:vertAlign w:val="superscript"/>
          <w:lang w:val="en-US"/>
        </w:rPr>
        <w:t>-1</w:t>
      </w:r>
      <w:r w:rsidR="00D33CFA">
        <w:rPr>
          <w:lang w:val="en-US"/>
        </w:rPr>
        <w:t xml:space="preserve"> by the year 2100, a reduction of </w:t>
      </w:r>
      <w:r w:rsidR="00891D08">
        <w:rPr>
          <w:lang w:val="en-US"/>
        </w:rPr>
        <w:t xml:space="preserve">~67% from </w:t>
      </w:r>
      <w:r w:rsidR="00C5009F">
        <w:rPr>
          <w:lang w:val="en-US"/>
        </w:rPr>
        <w:t>historical</w:t>
      </w:r>
      <w:r w:rsidR="00891D08">
        <w:rPr>
          <w:lang w:val="en-US"/>
        </w:rPr>
        <w:t xml:space="preserve"> levels; </w:t>
      </w:r>
      <w:r w:rsidR="00340F10">
        <w:rPr>
          <w:lang w:val="en-US"/>
        </w:rPr>
        <w:t>both scenarios SSP370 and SSP585</w:t>
      </w:r>
      <w:r w:rsidR="00D34F0C">
        <w:rPr>
          <w:lang w:val="en-US"/>
        </w:rPr>
        <w:t xml:space="preserve"> </w:t>
      </w:r>
      <w:r w:rsidR="00C5009F">
        <w:rPr>
          <w:lang w:val="en-US"/>
        </w:rPr>
        <w:t xml:space="preserve">represent significant increases </w:t>
      </w:r>
      <w:r w:rsidR="00B25F7D">
        <w:rPr>
          <w:lang w:val="en-US"/>
        </w:rPr>
        <w:t>(</w:t>
      </w:r>
      <w:r w:rsidR="005E698A">
        <w:rPr>
          <w:lang w:val="en-US"/>
        </w:rPr>
        <w:t>&gt;250% under SSP370 and &gt;400% under SSP585</w:t>
      </w:r>
      <w:r w:rsidR="00B25F7D">
        <w:rPr>
          <w:lang w:val="en-US"/>
        </w:rPr>
        <w:t xml:space="preserve">) </w:t>
      </w:r>
      <w:r w:rsidR="00C5009F">
        <w:rPr>
          <w:lang w:val="en-US"/>
        </w:rPr>
        <w:t>on annual CO</w:t>
      </w:r>
      <w:r w:rsidR="00C5009F" w:rsidRPr="00906EF9">
        <w:rPr>
          <w:vertAlign w:val="subscript"/>
          <w:lang w:val="en-US"/>
        </w:rPr>
        <w:t>2</w:t>
      </w:r>
      <w:r w:rsidR="00C5009F">
        <w:rPr>
          <w:lang w:val="en-US"/>
        </w:rPr>
        <w:t xml:space="preserve"> emissions </w:t>
      </w:r>
      <w:r w:rsidR="00657E08">
        <w:rPr>
          <w:lang w:val="en-US"/>
        </w:rPr>
        <w:t>by the end of the century</w:t>
      </w:r>
      <w:r w:rsidR="00E3528F">
        <w:rPr>
          <w:lang w:val="en-US"/>
        </w:rPr>
        <w:t xml:space="preserve"> </w:t>
      </w:r>
      <w:r w:rsidR="00E3528F">
        <w:rPr>
          <w:lang w:val="en-US"/>
        </w:rPr>
        <w:fldChar w:fldCharType="begin" w:fldLock="1"/>
      </w:r>
      <w:r w:rsidR="00F16D17">
        <w:rPr>
          <w:lang w:val="en-US"/>
        </w:rPr>
        <w:instrText>ADDIN CSL_CITATION {"citationItems":[{"id":"ITEM-1","itemData":{"DOI":"10.1038/s41558-018-0091-3","ISSN":"17586798","abstract":"The 2015 Paris Agreement calls for countries to pursue efforts to limit global-mean temperature rise to 1.5 °C. The transition pathways that can meet such a target have not, however, been extensively explored. Here we describe scenarios that limit end-of-century radiative forcing to 1.9 W m-2, and consequently restrict median warming in the year 2100 to below 1.5 °C. We use six integrated assessment models and a simple climate model, under different socio-economic, technological and resource assumptions from five Shared Socio-economic Pathways (SSPs). Some, but not all, SSPs are amenable to pathways to 1.5 °C. Successful 1.9 W m-2 scenarios are characterized by a rapid shift away from traditional fossil-fuel use towards large-scale low-carbon energy supplies, reduced energy use, and carbon-dioxide removal. However, 1.9 W m-2 scenarios could not be achieved in several models under SSPs with strong inequalities, high baseline fossil-fuel use, or scattered short-term climate policy. Further research can help policy-makers to understand the real-world implications of these scenarios.","author":[{"dropping-particle":"","family":"Rogelj","given":"Joeri","non-dropping-particle":"","parse-names":false,"suffix":""},{"dropping-particle":"","family":"Popp","given":"Alexander","non-dropping-particle":"","parse-names":false,"suffix":""},{"dropping-particle":"V.","family":"Calvin","given":"Katherine","non-dropping-particle":"","parse-names":false,"suffix":""},{"dropping-particle":"","family":"Luderer","given":"Gunnar","non-dropping-particle":"","parse-names":false,"suffix":""},{"dropping-particle":"","family":"Emmerling","given":"Johannes","non-dropping-particle":"","parse-names":false,"suffix":""},{"dropping-particle":"","family":"Gernaat","given":"David","non-dropping-particle":"","parse-names":false,"suffix":""},{"dropping-particle":"","family":"Fujimori","given":"Shinichiro","non-dropping-particle":"","parse-names":false,"suffix":""},{"dropping-particle":"","family":"Strefler","given":"Jessica","non-dropping-particle":"","parse-names":false,"suffix":""},{"dropping-particle":"","family":"Hasegawa","given":"Tomoko","non-dropping-particle":"","parse-names":false,"suffix":""},{"dropping-particle":"","family":"Marangoni","given":"Giacomo","non-dropping-particle":"","parse-names":false,"suffix":""},{"dropping-particle":"","family":"Krey","given":"Volker","non-dropping-particle":"","parse-names":false,"suffix":""},{"dropping-particle":"","family":"Kriegler","given":"Elmar","non-dropping-particle":"","parse-names":false,"suffix":""},{"dropping-particle":"","family":"Riahi","given":"Keywan","non-dropping-particle":"","parse-names":false,"suffix":""},{"dropping-particle":"","family":"Vuuren","given":"Detlef P.","non-dropping-particle":"Van","parse-names":false,"suffix":""},{"dropping-particle":"","family":"Doelman","given":"Jonathan","non-dropping-particle":"","parse-names":false,"suffix":""},{"dropping-particle":"","family":"Drouet","given":"Laurent","non-dropping-particle":"","parse-names":false,"suffix":""},{"dropping-particle":"","family":"Edmonds","given":"Jae","non-dropping-particle":"","parse-names":false,"suffix":""},{"dropping-particle":"","family":"Fricko","given":"Oliver","non-dropping-particle":"","parse-names":false,"suffix":""},{"dropping-particle":"","family":"Harmsen","given":"Mathijs","non-dropping-particle":"","parse-names":false,"suffix":""},{"dropping-particle":"","family":"Havlík","given":"Petr","non-dropping-particle":"","parse-names":false,"suffix":""},{"dropping-particle":"","family":"Humpenöder","given":"Florian","non-dropping-particle":"","parse-names":false,"suffix":""},{"dropping-particle":"","family":"Stehfest","given":"Elke","non-dropping-particle":"","parse-names":false,"suffix":""},{"dropping-particle":"","family":"Tavoni","given":"Massimo","non-dropping-particle":"","parse-names":false,"suffix":""}],"container-title":"Nature Climate Change","id":"ITEM-1","issue":"4","issued":{"date-parts":[["2018"]]},"page":"325-332","title":"Scenarios towards limiting global mean temperature increase below 1.5 °c","type":"article-journal","volume":"8"},"uris":["http://www.mendeley.com/documents/?uuid=7ee0c1ca-cfd6-4c2b-9a44-be099a8560c4"]}],"mendeley":{"formattedCitation":"(Rogelj et al., 2018)","plainTextFormattedCitation":"(Rogelj et al., 2018)","previouslyFormattedCitation":"(Rogelj et al., 2018)"},"properties":{"noteIndex":0},"schema":"https://github.com/citation-style-language/schema/raw/master/csl-citation.json"}</w:instrText>
      </w:r>
      <w:r w:rsidR="00E3528F">
        <w:rPr>
          <w:lang w:val="en-US"/>
        </w:rPr>
        <w:fldChar w:fldCharType="separate"/>
      </w:r>
      <w:r w:rsidR="00E3528F" w:rsidRPr="00FC535A">
        <w:rPr>
          <w:noProof/>
          <w:lang w:val="en-US"/>
        </w:rPr>
        <w:t>(Rogelj et al., 2018)</w:t>
      </w:r>
      <w:r w:rsidR="00E3528F">
        <w:rPr>
          <w:lang w:val="en-US"/>
        </w:rPr>
        <w:fldChar w:fldCharType="end"/>
      </w:r>
      <w:r w:rsidR="00E3528F">
        <w:rPr>
          <w:lang w:val="en-US"/>
        </w:rPr>
        <w:t>.</w:t>
      </w:r>
      <w:r w:rsidRPr="00260745">
        <w:t>The ensemble of climate datasets (</w:t>
      </w:r>
      <w:r w:rsidRPr="00260745">
        <w:rPr>
          <w:noProof/>
          <w:lang w:eastAsia="en-GB"/>
        </w:rPr>
        <w:t>mean monthly precipitation (P</w:t>
      </w:r>
      <w:r w:rsidRPr="00260745">
        <w:rPr>
          <w:noProof/>
          <w:vertAlign w:val="subscript"/>
          <w:lang w:eastAsia="en-GB"/>
        </w:rPr>
        <w:t>mean</w:t>
      </w:r>
      <w:r w:rsidRPr="00260745">
        <w:rPr>
          <w:noProof/>
          <w:lang w:eastAsia="en-GB"/>
        </w:rPr>
        <w:t>), mean monthly air temperatures (T</w:t>
      </w:r>
      <w:r w:rsidRPr="00260745">
        <w:rPr>
          <w:noProof/>
          <w:vertAlign w:val="subscript"/>
          <w:lang w:eastAsia="en-GB"/>
        </w:rPr>
        <w:t>mean</w:t>
      </w:r>
      <w:r w:rsidRPr="00260745">
        <w:rPr>
          <w:noProof/>
          <w:lang w:eastAsia="en-GB"/>
        </w:rPr>
        <w:t>) daily maximum air temperatures (T</w:t>
      </w:r>
      <w:r w:rsidRPr="00260745">
        <w:rPr>
          <w:noProof/>
          <w:vertAlign w:val="subscript"/>
          <w:lang w:eastAsia="en-GB"/>
        </w:rPr>
        <w:t>max</w:t>
      </w:r>
      <w:r w:rsidRPr="00260745">
        <w:rPr>
          <w:noProof/>
          <w:lang w:eastAsia="en-GB"/>
        </w:rPr>
        <w:t>) and daily minimum air temperatures  (T</w:t>
      </w:r>
      <w:r w:rsidRPr="00260745">
        <w:rPr>
          <w:noProof/>
          <w:vertAlign w:val="subscript"/>
          <w:lang w:eastAsia="en-GB"/>
        </w:rPr>
        <w:t>min</w:t>
      </w:r>
      <w:r w:rsidRPr="00260745">
        <w:rPr>
          <w:noProof/>
          <w:lang w:eastAsia="en-GB"/>
        </w:rPr>
        <w:t>)</w:t>
      </w:r>
      <w:r w:rsidRPr="00260745">
        <w:t xml:space="preserve"> that were used to calculate </w:t>
      </w:r>
      <w:proofErr w:type="spellStart"/>
      <w:r w:rsidRPr="00260745">
        <w:t>bioclim</w:t>
      </w:r>
      <w:proofErr w:type="spellEnd"/>
      <w:r w:rsidRPr="00260745">
        <w:t xml:space="preserve"> predictors (Table A1) were bias-corrected and mean-weighted, prior to applying </w:t>
      </w:r>
      <w:r w:rsidRPr="00260745">
        <w:rPr>
          <w:lang w:val="en-US"/>
        </w:rPr>
        <w:t>the leaf litter</w:t>
      </w:r>
      <w:r w:rsidRPr="00260745">
        <w:t xml:space="preserve"> predictive model to the climate data. Bias correction of future datasets was done for each ensemble member, based on their alignment with historical climate datasets, and performed using the following equations</w:t>
      </w:r>
      <w:r w:rsidRPr="00260745">
        <w:rPr>
          <w:lang w:val="en-US"/>
        </w:rPr>
        <w:t xml:space="preserve"> </w:t>
      </w:r>
      <w:r w:rsidRPr="00260745">
        <w:rPr>
          <w:lang w:val="en-US"/>
        </w:rPr>
        <w:fldChar w:fldCharType="begin" w:fldLock="1"/>
      </w:r>
      <w:r w:rsidRPr="00260745">
        <w:rPr>
          <w:lang w:val="en-US"/>
        </w:rPr>
        <w:instrText>ADDIN CSL_CITATION {"citationItems":[{"id":"ITEM-1","itemData":{"DOI":"10.3390/w10081046","ISSN":"20734441","abstract":"The systemic biases of Regional Climate Models (RCMs) impede their application in regional hydrological climate-change effects analysis and lead to errors. As a consequence, bias correction has become a necessary prerequisite for the study of climate change. This paper compares the performance of available bias correction methods that focus on the performance of precipitation and temperature projections. The hydrological effects of these correction methods are evaluated by the modelled discharges of the Kaidu River Basin. The results show that all used methods improve the performance of the original RCM precipitation and temperature simulations across a number of levels. The corrected results obtained by precipitation correction methods demonstrate larger diversities than those produced by the temperature correction methods. The performance of hydrological modelling is highly influenced by the choice of precipitation correction methods. Furthermore, no substantial differences can be identified from the results of the temperature-corrected methods. The biases from input data are often greater from the works of hydrological modelling. The suitability of these approaches depends upon the regional context and the RCM model, while their application procedure and a number of results can be adapted from region to region.","author":[{"dropping-particle":"","family":"Luo","given":"Min","non-dropping-particle":"","parse-names":false,"suffix":""},{"dropping-particle":"","family":"Liu","given":"Tie","non-dropping-particle":"","parse-names":false,"suffix":""},{"dropping-particle":"","family":"Meng","given":"Fanhao","non-dropping-particle":"","parse-names":false,"suffix":""},{"dropping-particle":"","family":"Duan","given":"Yongchao","non-dropping-particle":"","parse-names":false,"suffix":""},{"dropping-particle":"","family":"Frankl","given":"Amaury","non-dropping-particle":"","parse-names":false,"suffix":""},{"dropping-particle":"","family":"Bao","given":"Anming","non-dropping-particle":"","parse-names":false,"suffix":""},{"dropping-particle":"","family":"Maeyer","given":"Philippe","non-dropping-particle":"De","parse-names":false,"suffix":""}],"container-title":"Water","id":"ITEM-1","issue":"8","issued":{"date-parts":[["2018"]]},"title":"Comparing bias correction methods used in downscaling precipitation and temperature from regional climate models: A case study from the Kaidu River Basin in Western China","type":"article-journal","volume":"10"},"uris":["http://www.mendeley.com/documents/?uuid=3e0029f1-71aa-4dff-aa5a-96e142edf017"]}],"mendeley":{"formattedCitation":"(Luo et al., 2018)","plainTextFormattedCitation":"(Luo et al., 2018)","previouslyFormattedCitation":"(Luo et al., 2018)"},"properties":{"noteIndex":0},"schema":"https://github.com/citation-style-language/schema/raw/master/csl-citation.json"}</w:instrText>
      </w:r>
      <w:r w:rsidRPr="00260745">
        <w:rPr>
          <w:lang w:val="en-US"/>
        </w:rPr>
        <w:fldChar w:fldCharType="separate"/>
      </w:r>
      <w:r w:rsidRPr="00260745">
        <w:rPr>
          <w:noProof/>
          <w:lang w:val="en-US"/>
        </w:rPr>
        <w:t>(Luo et al., 2018)</w:t>
      </w:r>
      <w:r w:rsidRPr="00260745">
        <w:rPr>
          <w:lang w:val="en-US"/>
        </w:rPr>
        <w:fldChar w:fldCharType="end"/>
      </w:r>
      <w:r w:rsidRPr="00260745">
        <w:t>:</w:t>
      </w:r>
    </w:p>
    <w:p w14:paraId="4BFECD1A" w14:textId="77777777" w:rsidR="00CF7991" w:rsidRPr="001E65D6" w:rsidRDefault="00CF7991" w:rsidP="00CF7991">
      <w:pPr>
        <w:spacing w:line="480" w:lineRule="auto"/>
        <w:jc w:val="center"/>
        <w:rPr>
          <w:rFonts w:asciiTheme="majorBidi" w:hAnsiTheme="majorBidi" w:cstheme="majorBidi"/>
          <w:i/>
          <w:iCs/>
          <w:sz w:val="22"/>
          <w:szCs w:val="22"/>
        </w:rPr>
      </w:pPr>
      <m:oMath>
        <m:r>
          <w:rPr>
            <w:rFonts w:ascii="Cambria Math" w:hAnsi="Cambria Math" w:cstheme="majorBidi"/>
            <w:sz w:val="22"/>
            <w:szCs w:val="22"/>
          </w:rPr>
          <m:t xml:space="preserve">Cor </m:t>
        </m:r>
        <m:sSub>
          <m:sSubPr>
            <m:ctrlPr>
              <w:rPr>
                <w:rFonts w:ascii="Cambria Math" w:hAnsi="Cambria Math" w:cstheme="majorBidi"/>
                <w:i/>
                <w:iCs/>
                <w:sz w:val="22"/>
                <w:szCs w:val="22"/>
              </w:rPr>
            </m:ctrlPr>
          </m:sSubPr>
          <m:e>
            <m:r>
              <w:rPr>
                <w:rFonts w:ascii="Cambria Math" w:hAnsi="Cambria Math" w:cstheme="majorBidi"/>
                <w:sz w:val="22"/>
                <w:szCs w:val="22"/>
              </w:rPr>
              <m:t>P</m:t>
            </m:r>
          </m:e>
          <m:sub>
            <m:r>
              <w:rPr>
                <w:rFonts w:ascii="Cambria Math" w:hAnsi="Cambria Math" w:cstheme="majorBidi"/>
                <w:sz w:val="22"/>
                <w:szCs w:val="22"/>
              </w:rPr>
              <m:t>mean  m, loc</m:t>
            </m:r>
          </m:sub>
        </m:sSub>
        <m:r>
          <w:rPr>
            <w:rFonts w:ascii="Cambria Math" w:hAnsi="Cambria Math" w:cstheme="majorBidi"/>
            <w:sz w:val="22"/>
            <w:szCs w:val="22"/>
          </w:rPr>
          <m:t xml:space="preserve">= Hist </m:t>
        </m:r>
        <m:sSub>
          <m:sSubPr>
            <m:ctrlPr>
              <w:rPr>
                <w:rFonts w:ascii="Cambria Math" w:hAnsi="Cambria Math" w:cstheme="majorBidi"/>
                <w:i/>
                <w:iCs/>
                <w:sz w:val="22"/>
                <w:szCs w:val="22"/>
              </w:rPr>
            </m:ctrlPr>
          </m:sSubPr>
          <m:e>
            <m:r>
              <w:rPr>
                <w:rFonts w:ascii="Cambria Math" w:hAnsi="Cambria Math" w:cstheme="majorBidi"/>
                <w:sz w:val="22"/>
                <w:szCs w:val="22"/>
              </w:rPr>
              <m:t>P</m:t>
            </m:r>
          </m:e>
          <m:sub>
            <m:r>
              <w:rPr>
                <w:rFonts w:ascii="Cambria Math" w:hAnsi="Cambria Math" w:cstheme="majorBidi"/>
                <w:sz w:val="22"/>
                <w:szCs w:val="22"/>
              </w:rPr>
              <m:t>mean m, loc</m:t>
            </m:r>
          </m:sub>
        </m:sSub>
        <m:r>
          <w:rPr>
            <w:rFonts w:ascii="Cambria Math" w:hAnsi="Cambria Math" w:cstheme="majorBidi"/>
            <w:sz w:val="22"/>
            <w:szCs w:val="22"/>
          </w:rPr>
          <m:t xml:space="preserve"> X </m:t>
        </m:r>
        <m:f>
          <m:fPr>
            <m:ctrlPr>
              <w:rPr>
                <w:rFonts w:ascii="Cambria Math" w:hAnsi="Cambria Math" w:cstheme="majorBidi"/>
                <w:i/>
                <w:iCs/>
                <w:sz w:val="22"/>
                <w:szCs w:val="22"/>
              </w:rPr>
            </m:ctrlPr>
          </m:fPr>
          <m:num>
            <m:r>
              <w:rPr>
                <w:rFonts w:ascii="Cambria Math" w:hAnsi="Cambria Math" w:cstheme="majorBidi"/>
                <w:sz w:val="22"/>
                <w:szCs w:val="22"/>
              </w:rPr>
              <m:t xml:space="preserve"> µ(Obs </m:t>
            </m:r>
            <m:sSub>
              <m:sSubPr>
                <m:ctrlPr>
                  <w:rPr>
                    <w:rFonts w:ascii="Cambria Math" w:hAnsi="Cambria Math" w:cstheme="majorBidi"/>
                    <w:i/>
                    <w:iCs/>
                    <w:sz w:val="22"/>
                    <w:szCs w:val="22"/>
                  </w:rPr>
                </m:ctrlPr>
              </m:sSubPr>
              <m:e>
                <m:r>
                  <w:rPr>
                    <w:rFonts w:ascii="Cambria Math" w:hAnsi="Cambria Math" w:cstheme="majorBidi"/>
                    <w:sz w:val="22"/>
                    <w:szCs w:val="22"/>
                  </w:rPr>
                  <m:t>P</m:t>
                </m:r>
              </m:e>
              <m:sub>
                <m:r>
                  <w:rPr>
                    <w:rFonts w:ascii="Cambria Math" w:hAnsi="Cambria Math" w:cstheme="majorBidi"/>
                    <w:sz w:val="22"/>
                    <w:szCs w:val="22"/>
                  </w:rPr>
                  <m:t>mean m, loc</m:t>
                </m:r>
              </m:sub>
            </m:sSub>
            <m:r>
              <w:rPr>
                <w:rFonts w:ascii="Cambria Math" w:hAnsi="Cambria Math" w:cstheme="majorBidi"/>
                <w:sz w:val="22"/>
                <w:szCs w:val="22"/>
              </w:rPr>
              <m:t>)</m:t>
            </m:r>
          </m:num>
          <m:den>
            <m:r>
              <w:rPr>
                <w:rFonts w:ascii="Cambria Math" w:hAnsi="Cambria Math" w:cstheme="majorBidi"/>
                <w:sz w:val="22"/>
                <w:szCs w:val="22"/>
              </w:rPr>
              <m:t xml:space="preserve">µ(Hist </m:t>
            </m:r>
            <m:sSub>
              <m:sSubPr>
                <m:ctrlPr>
                  <w:rPr>
                    <w:rFonts w:ascii="Cambria Math" w:hAnsi="Cambria Math" w:cstheme="majorBidi"/>
                    <w:i/>
                    <w:iCs/>
                    <w:sz w:val="22"/>
                    <w:szCs w:val="22"/>
                  </w:rPr>
                </m:ctrlPr>
              </m:sSubPr>
              <m:e>
                <m:r>
                  <w:rPr>
                    <w:rFonts w:ascii="Cambria Math" w:hAnsi="Cambria Math" w:cstheme="majorBidi"/>
                    <w:sz w:val="22"/>
                    <w:szCs w:val="22"/>
                  </w:rPr>
                  <m:t>P</m:t>
                </m:r>
              </m:e>
              <m:sub>
                <m:r>
                  <w:rPr>
                    <w:rFonts w:ascii="Cambria Math" w:hAnsi="Cambria Math" w:cstheme="majorBidi"/>
                    <w:sz w:val="22"/>
                    <w:szCs w:val="22"/>
                  </w:rPr>
                  <m:t>mean m, loc</m:t>
                </m:r>
              </m:sub>
            </m:sSub>
            <m:r>
              <w:rPr>
                <w:rFonts w:ascii="Cambria Math" w:hAnsi="Cambria Math" w:cstheme="majorBidi"/>
                <w:sz w:val="22"/>
                <w:szCs w:val="22"/>
              </w:rPr>
              <m:t>)</m:t>
            </m:r>
          </m:den>
        </m:f>
        <m:r>
          <w:rPr>
            <w:rFonts w:ascii="Cambria Math" w:hAnsi="Cambria Math" w:cstheme="majorBidi"/>
            <w:sz w:val="22"/>
            <w:szCs w:val="22"/>
          </w:rPr>
          <m:t xml:space="preserve">  </m:t>
        </m:r>
      </m:oMath>
      <w:r w:rsidRPr="001E65D6">
        <w:rPr>
          <w:rFonts w:asciiTheme="majorBidi" w:hAnsiTheme="majorBidi" w:cstheme="majorBidi"/>
          <w:i/>
          <w:iCs/>
          <w:sz w:val="22"/>
          <w:szCs w:val="22"/>
        </w:rPr>
        <w:t xml:space="preserve"> </w:t>
      </w:r>
    </w:p>
    <w:p w14:paraId="090F3058" w14:textId="77777777" w:rsidR="00CF7991" w:rsidRPr="001E65D6" w:rsidRDefault="00CF7991" w:rsidP="00CF7991">
      <w:pPr>
        <w:spacing w:line="480" w:lineRule="auto"/>
        <w:jc w:val="center"/>
        <w:rPr>
          <w:rFonts w:asciiTheme="majorBidi" w:hAnsiTheme="majorBidi" w:cstheme="majorBidi"/>
          <w:i/>
          <w:sz w:val="22"/>
          <w:szCs w:val="22"/>
        </w:rPr>
      </w:pPr>
      <m:oMathPara>
        <m:oMathParaPr>
          <m:jc m:val="center"/>
        </m:oMathParaPr>
        <m:oMath>
          <m:r>
            <w:rPr>
              <w:rFonts w:ascii="Cambria Math" w:hAnsi="Cambria Math" w:cstheme="majorBidi"/>
              <w:sz w:val="22"/>
              <w:szCs w:val="22"/>
            </w:rPr>
            <m:t xml:space="preserve">Cor </m:t>
          </m:r>
          <m:sSub>
            <m:sSubPr>
              <m:ctrlPr>
                <w:rPr>
                  <w:rFonts w:ascii="Cambria Math" w:hAnsi="Cambria Math" w:cstheme="majorBidi"/>
                  <w:i/>
                  <w:sz w:val="22"/>
                  <w:szCs w:val="22"/>
                </w:rPr>
              </m:ctrlPr>
            </m:sSubPr>
            <m:e>
              <m:r>
                <w:rPr>
                  <w:rFonts w:ascii="Cambria Math" w:hAnsi="Cambria Math" w:cstheme="majorBidi"/>
                  <w:sz w:val="22"/>
                  <w:szCs w:val="22"/>
                </w:rPr>
                <m:t>T</m:t>
              </m:r>
            </m:e>
            <m:sub>
              <m:r>
                <w:rPr>
                  <w:rFonts w:ascii="Cambria Math" w:hAnsi="Cambria Math" w:cstheme="majorBidi"/>
                  <w:sz w:val="22"/>
                  <w:szCs w:val="22"/>
                </w:rPr>
                <m:t>mean m, loc</m:t>
              </m:r>
            </m:sub>
          </m:sSub>
          <m:r>
            <w:rPr>
              <w:rFonts w:ascii="Cambria Math" w:hAnsi="Cambria Math" w:cstheme="majorBidi"/>
              <w:sz w:val="22"/>
              <w:szCs w:val="22"/>
            </w:rPr>
            <m:t xml:space="preserve">=Hist </m:t>
          </m:r>
          <m:sSub>
            <m:sSubPr>
              <m:ctrlPr>
                <w:rPr>
                  <w:rFonts w:ascii="Cambria Math" w:hAnsi="Cambria Math" w:cstheme="majorBidi"/>
                  <w:i/>
                  <w:sz w:val="22"/>
                  <w:szCs w:val="22"/>
                </w:rPr>
              </m:ctrlPr>
            </m:sSubPr>
            <m:e>
              <m:r>
                <w:rPr>
                  <w:rFonts w:ascii="Cambria Math" w:hAnsi="Cambria Math" w:cstheme="majorBidi"/>
                  <w:sz w:val="22"/>
                  <w:szCs w:val="22"/>
                </w:rPr>
                <m:t>T</m:t>
              </m:r>
            </m:e>
            <m:sub>
              <m:r>
                <w:rPr>
                  <w:rFonts w:ascii="Cambria Math" w:hAnsi="Cambria Math" w:cstheme="majorBidi"/>
                  <w:sz w:val="22"/>
                  <w:szCs w:val="22"/>
                </w:rPr>
                <m:t>mean m, loc</m:t>
              </m:r>
            </m:sub>
          </m:sSub>
          <m:r>
            <w:rPr>
              <w:rFonts w:ascii="Cambria Math" w:hAnsi="Cambria Math" w:cstheme="majorBidi"/>
              <w:sz w:val="22"/>
              <w:szCs w:val="22"/>
            </w:rPr>
            <m:t xml:space="preserve">+ </m:t>
          </m:r>
          <m:d>
            <m:dPr>
              <m:begChr m:val="["/>
              <m:endChr m:val="]"/>
              <m:ctrlPr>
                <w:rPr>
                  <w:rFonts w:ascii="Cambria Math" w:hAnsi="Cambria Math" w:cstheme="majorBidi"/>
                  <w:i/>
                  <w:sz w:val="22"/>
                  <w:szCs w:val="22"/>
                </w:rPr>
              </m:ctrlPr>
            </m:dPr>
            <m:e>
              <m:r>
                <w:rPr>
                  <w:rFonts w:ascii="Cambria Math" w:hAnsi="Cambria Math" w:cstheme="majorBidi"/>
                  <w:sz w:val="22"/>
                  <w:szCs w:val="22"/>
                </w:rPr>
                <m:t xml:space="preserve">µ(Obs </m:t>
              </m:r>
              <m:sSub>
                <m:sSubPr>
                  <m:ctrlPr>
                    <w:rPr>
                      <w:rFonts w:ascii="Cambria Math" w:hAnsi="Cambria Math" w:cstheme="majorBidi"/>
                      <w:i/>
                      <w:sz w:val="22"/>
                      <w:szCs w:val="22"/>
                    </w:rPr>
                  </m:ctrlPr>
                </m:sSubPr>
                <m:e>
                  <m:r>
                    <w:rPr>
                      <w:rFonts w:ascii="Cambria Math" w:hAnsi="Cambria Math" w:cstheme="majorBidi"/>
                      <w:sz w:val="22"/>
                      <w:szCs w:val="22"/>
                    </w:rPr>
                    <m:t>T</m:t>
                  </m:r>
                </m:e>
                <m:sub>
                  <m:r>
                    <w:rPr>
                      <w:rFonts w:ascii="Cambria Math" w:hAnsi="Cambria Math" w:cstheme="majorBidi"/>
                      <w:sz w:val="22"/>
                      <w:szCs w:val="22"/>
                    </w:rPr>
                    <m:t>mean m, loc</m:t>
                  </m:r>
                </m:sub>
              </m:sSub>
              <m:r>
                <w:rPr>
                  <w:rFonts w:ascii="Cambria Math" w:hAnsi="Cambria Math" w:cstheme="majorBidi"/>
                  <w:sz w:val="22"/>
                  <w:szCs w:val="22"/>
                </w:rPr>
                <m:t xml:space="preserve">) - µ(Hist </m:t>
              </m:r>
              <m:sSub>
                <m:sSubPr>
                  <m:ctrlPr>
                    <w:rPr>
                      <w:rFonts w:ascii="Cambria Math" w:hAnsi="Cambria Math" w:cstheme="majorBidi"/>
                      <w:i/>
                      <w:sz w:val="22"/>
                      <w:szCs w:val="22"/>
                    </w:rPr>
                  </m:ctrlPr>
                </m:sSubPr>
                <m:e>
                  <m:r>
                    <w:rPr>
                      <w:rFonts w:ascii="Cambria Math" w:hAnsi="Cambria Math" w:cstheme="majorBidi"/>
                      <w:sz w:val="22"/>
                      <w:szCs w:val="22"/>
                    </w:rPr>
                    <m:t>T</m:t>
                  </m:r>
                </m:e>
                <m:sub>
                  <m:r>
                    <w:rPr>
                      <w:rFonts w:ascii="Cambria Math" w:hAnsi="Cambria Math" w:cstheme="majorBidi"/>
                      <w:sz w:val="22"/>
                      <w:szCs w:val="22"/>
                    </w:rPr>
                    <m:t>mean m, loc</m:t>
                  </m:r>
                </m:sub>
              </m:sSub>
              <m:r>
                <w:rPr>
                  <w:rFonts w:ascii="Cambria Math" w:hAnsi="Cambria Math" w:cstheme="majorBidi"/>
                  <w:sz w:val="22"/>
                  <w:szCs w:val="22"/>
                </w:rPr>
                <m:t>)</m:t>
              </m:r>
            </m:e>
          </m:d>
        </m:oMath>
      </m:oMathPara>
    </w:p>
    <w:p w14:paraId="26BE67E7" w14:textId="77777777" w:rsidR="00CF7991" w:rsidRPr="001E65D6" w:rsidRDefault="00CF7991" w:rsidP="00CF7991">
      <w:pPr>
        <w:spacing w:line="480" w:lineRule="auto"/>
        <w:rPr>
          <w:rFonts w:asciiTheme="majorBidi" w:eastAsiaTheme="minorEastAsia" w:hAnsiTheme="majorBidi" w:cstheme="majorBidi"/>
          <w:i/>
          <w:sz w:val="22"/>
          <w:szCs w:val="22"/>
        </w:rPr>
      </w:pPr>
      <m:oMathPara>
        <m:oMathParaPr>
          <m:jc m:val="center"/>
        </m:oMathParaPr>
        <m:oMath>
          <m:r>
            <w:rPr>
              <w:rFonts w:ascii="Cambria Math" w:hAnsi="Cambria Math" w:cstheme="majorBidi"/>
              <w:sz w:val="22"/>
              <w:szCs w:val="22"/>
            </w:rPr>
            <m:t xml:space="preserve">Cor </m:t>
          </m:r>
          <m:sSub>
            <m:sSubPr>
              <m:ctrlPr>
                <w:rPr>
                  <w:rFonts w:ascii="Cambria Math" w:hAnsi="Cambria Math" w:cstheme="majorBidi"/>
                  <w:i/>
                  <w:sz w:val="22"/>
                  <w:szCs w:val="22"/>
                </w:rPr>
              </m:ctrlPr>
            </m:sSubPr>
            <m:e>
              <m:r>
                <w:rPr>
                  <w:rFonts w:ascii="Cambria Math" w:hAnsi="Cambria Math" w:cstheme="majorBidi"/>
                  <w:sz w:val="22"/>
                  <w:szCs w:val="22"/>
                </w:rPr>
                <m:t>T</m:t>
              </m:r>
            </m:e>
            <m:sub>
              <m:func>
                <m:funcPr>
                  <m:ctrlPr>
                    <w:rPr>
                      <w:rFonts w:ascii="Cambria Math" w:hAnsi="Cambria Math" w:cstheme="majorBidi"/>
                      <w:i/>
                      <w:sz w:val="22"/>
                      <w:szCs w:val="22"/>
                    </w:rPr>
                  </m:ctrlPr>
                </m:funcPr>
                <m:fName>
                  <m:r>
                    <w:rPr>
                      <w:rFonts w:ascii="Cambria Math" w:hAnsi="Cambria Math" w:cstheme="majorBidi"/>
                      <w:sz w:val="22"/>
                      <w:szCs w:val="22"/>
                    </w:rPr>
                    <m:t>max/min</m:t>
                  </m:r>
                </m:fName>
                <m:e>
                  <m:r>
                    <w:rPr>
                      <w:rFonts w:ascii="Cambria Math" w:hAnsi="Cambria Math" w:cstheme="majorBidi"/>
                      <w:sz w:val="22"/>
                      <w:szCs w:val="22"/>
                    </w:rPr>
                    <m:t>m, loc</m:t>
                  </m:r>
                </m:e>
              </m:func>
            </m:sub>
          </m:sSub>
          <m:r>
            <w:rPr>
              <w:rFonts w:ascii="Cambria Math" w:hAnsi="Cambria Math" w:cstheme="majorBidi"/>
              <w:sz w:val="22"/>
              <w:szCs w:val="22"/>
            </w:rPr>
            <m:t xml:space="preserve">=Hist </m:t>
          </m:r>
          <m:sSub>
            <m:sSubPr>
              <m:ctrlPr>
                <w:rPr>
                  <w:rFonts w:ascii="Cambria Math" w:hAnsi="Cambria Math" w:cstheme="majorBidi"/>
                  <w:i/>
                  <w:sz w:val="22"/>
                  <w:szCs w:val="22"/>
                </w:rPr>
              </m:ctrlPr>
            </m:sSubPr>
            <m:e>
              <m:r>
                <w:rPr>
                  <w:rFonts w:ascii="Cambria Math" w:hAnsi="Cambria Math" w:cstheme="majorBidi"/>
                  <w:sz w:val="22"/>
                  <w:szCs w:val="22"/>
                </w:rPr>
                <m:t>T</m:t>
              </m:r>
            </m:e>
            <m:sub>
              <m:func>
                <m:funcPr>
                  <m:ctrlPr>
                    <w:rPr>
                      <w:rFonts w:ascii="Cambria Math" w:hAnsi="Cambria Math" w:cstheme="majorBidi"/>
                      <w:i/>
                      <w:sz w:val="22"/>
                      <w:szCs w:val="22"/>
                    </w:rPr>
                  </m:ctrlPr>
                </m:funcPr>
                <m:fName>
                  <m:r>
                    <m:rPr>
                      <m:sty m:val="p"/>
                    </m:rPr>
                    <w:rPr>
                      <w:rFonts w:ascii="Cambria Math" w:hAnsi="Cambria Math" w:cstheme="majorBidi"/>
                      <w:sz w:val="22"/>
                      <w:szCs w:val="22"/>
                    </w:rPr>
                    <m:t>max</m:t>
                  </m:r>
                </m:fName>
                <m:e>
                  <m:r>
                    <w:rPr>
                      <w:rFonts w:ascii="Cambria Math" w:hAnsi="Cambria Math" w:cstheme="majorBidi"/>
                      <w:sz w:val="22"/>
                      <w:szCs w:val="22"/>
                    </w:rPr>
                    <m:t>m, loc</m:t>
                  </m:r>
                </m:e>
              </m:func>
            </m:sub>
          </m:sSub>
          <m:r>
            <w:rPr>
              <w:rFonts w:ascii="Cambria Math" w:hAnsi="Cambria Math" w:cstheme="majorBidi"/>
              <w:sz w:val="22"/>
              <w:szCs w:val="22"/>
            </w:rPr>
            <m:t xml:space="preserve">+ </m:t>
          </m:r>
          <m:d>
            <m:dPr>
              <m:begChr m:val="["/>
              <m:endChr m:val="]"/>
              <m:ctrlPr>
                <w:rPr>
                  <w:rFonts w:ascii="Cambria Math" w:hAnsi="Cambria Math" w:cstheme="majorBidi"/>
                  <w:i/>
                  <w:sz w:val="22"/>
                  <w:szCs w:val="22"/>
                </w:rPr>
              </m:ctrlPr>
            </m:dPr>
            <m:e>
              <m:r>
                <w:rPr>
                  <w:rFonts w:ascii="Cambria Math" w:hAnsi="Cambria Math" w:cstheme="majorBidi"/>
                  <w:sz w:val="22"/>
                  <w:szCs w:val="22"/>
                </w:rPr>
                <m:t xml:space="preserve">µ(Obs </m:t>
              </m:r>
              <m:sSub>
                <m:sSubPr>
                  <m:ctrlPr>
                    <w:rPr>
                      <w:rFonts w:ascii="Cambria Math" w:hAnsi="Cambria Math" w:cstheme="majorBidi"/>
                      <w:i/>
                      <w:sz w:val="22"/>
                      <w:szCs w:val="22"/>
                    </w:rPr>
                  </m:ctrlPr>
                </m:sSubPr>
                <m:e>
                  <m:r>
                    <w:rPr>
                      <w:rFonts w:ascii="Cambria Math" w:hAnsi="Cambria Math" w:cstheme="majorBidi"/>
                      <w:sz w:val="22"/>
                      <w:szCs w:val="22"/>
                    </w:rPr>
                    <m:t>T</m:t>
                  </m:r>
                </m:e>
                <m:sub>
                  <m:r>
                    <w:rPr>
                      <w:rFonts w:ascii="Cambria Math" w:hAnsi="Cambria Math" w:cstheme="majorBidi"/>
                      <w:sz w:val="22"/>
                      <w:szCs w:val="22"/>
                    </w:rPr>
                    <m:t>max m, loc</m:t>
                  </m:r>
                </m:sub>
              </m:sSub>
              <m:r>
                <w:rPr>
                  <w:rFonts w:ascii="Cambria Math" w:hAnsi="Cambria Math" w:cstheme="majorBidi"/>
                  <w:sz w:val="22"/>
                  <w:szCs w:val="22"/>
                </w:rPr>
                <m:t xml:space="preserve">) - µ(Hist </m:t>
              </m:r>
              <m:sSub>
                <m:sSubPr>
                  <m:ctrlPr>
                    <w:rPr>
                      <w:rFonts w:ascii="Cambria Math" w:hAnsi="Cambria Math" w:cstheme="majorBidi"/>
                      <w:i/>
                      <w:sz w:val="22"/>
                      <w:szCs w:val="22"/>
                    </w:rPr>
                  </m:ctrlPr>
                </m:sSubPr>
                <m:e>
                  <m:r>
                    <w:rPr>
                      <w:rFonts w:ascii="Cambria Math" w:hAnsi="Cambria Math" w:cstheme="majorBidi"/>
                      <w:sz w:val="22"/>
                      <w:szCs w:val="22"/>
                    </w:rPr>
                    <m:t>T</m:t>
                  </m:r>
                </m:e>
                <m:sub>
                  <m:r>
                    <w:rPr>
                      <w:rFonts w:ascii="Cambria Math" w:hAnsi="Cambria Math" w:cstheme="majorBidi"/>
                      <w:sz w:val="22"/>
                      <w:szCs w:val="22"/>
                    </w:rPr>
                    <m:t>max m, loc</m:t>
                  </m:r>
                </m:sub>
              </m:sSub>
              <m:r>
                <w:rPr>
                  <w:rFonts w:ascii="Cambria Math" w:hAnsi="Cambria Math" w:cstheme="majorBidi"/>
                  <w:sz w:val="22"/>
                  <w:szCs w:val="22"/>
                </w:rPr>
                <m:t>)</m:t>
              </m:r>
            </m:e>
          </m:d>
        </m:oMath>
      </m:oMathPara>
    </w:p>
    <w:p w14:paraId="71A4CAC7" w14:textId="77777777" w:rsidR="00CF7991" w:rsidRPr="001E65D6" w:rsidRDefault="00CF7991" w:rsidP="00CF7991">
      <w:pPr>
        <w:rPr>
          <w:rFonts w:asciiTheme="majorBidi" w:eastAsiaTheme="minorEastAsia" w:hAnsiTheme="majorBidi" w:cstheme="majorBidi"/>
          <w:i/>
          <w:sz w:val="22"/>
          <w:szCs w:val="22"/>
        </w:rPr>
      </w:pPr>
    </w:p>
    <w:p w14:paraId="5A042788" w14:textId="77777777" w:rsidR="00CF7991" w:rsidRPr="001E65D6" w:rsidRDefault="00CF7991" w:rsidP="00CF7991">
      <w:pPr>
        <w:rPr>
          <w:rFonts w:asciiTheme="majorBidi" w:hAnsiTheme="majorBidi" w:cstheme="majorBidi"/>
          <w:i/>
          <w:sz w:val="22"/>
          <w:szCs w:val="22"/>
        </w:rPr>
      </w:pPr>
    </w:p>
    <w:p w14:paraId="6C6D7454" w14:textId="77777777" w:rsidR="00CF7991" w:rsidRPr="00260745" w:rsidRDefault="00CF7991" w:rsidP="00CF7991">
      <w:pPr>
        <w:spacing w:line="480" w:lineRule="auto"/>
      </w:pPr>
      <w:r w:rsidRPr="00260745">
        <w:t xml:space="preserve">Where Cor </w:t>
      </w:r>
      <w:proofErr w:type="spellStart"/>
      <w:r w:rsidRPr="00260745">
        <w:t>P</w:t>
      </w:r>
      <w:r w:rsidRPr="00260745">
        <w:rPr>
          <w:vertAlign w:val="subscript"/>
        </w:rPr>
        <w:t>mean</w:t>
      </w:r>
      <w:proofErr w:type="spellEnd"/>
      <w:r w:rsidRPr="00260745">
        <w:rPr>
          <w:vertAlign w:val="subscript"/>
        </w:rPr>
        <w:t xml:space="preserve"> (m, </w:t>
      </w:r>
      <w:proofErr w:type="spellStart"/>
      <w:r w:rsidRPr="00260745">
        <w:rPr>
          <w:vertAlign w:val="subscript"/>
        </w:rPr>
        <w:t>loc</w:t>
      </w:r>
      <w:proofErr w:type="spellEnd"/>
      <w:r w:rsidRPr="00260745">
        <w:rPr>
          <w:vertAlign w:val="subscript"/>
        </w:rPr>
        <w:t>)</w:t>
      </w:r>
      <w:r w:rsidRPr="00260745">
        <w:t xml:space="preserve">, Cor </w:t>
      </w:r>
      <w:proofErr w:type="spellStart"/>
      <w:r w:rsidRPr="00260745">
        <w:t>T</w:t>
      </w:r>
      <w:r w:rsidRPr="00260745">
        <w:rPr>
          <w:vertAlign w:val="subscript"/>
        </w:rPr>
        <w:t>mean</w:t>
      </w:r>
      <w:proofErr w:type="spellEnd"/>
      <w:r w:rsidRPr="00260745">
        <w:rPr>
          <w:vertAlign w:val="subscript"/>
        </w:rPr>
        <w:t xml:space="preserve"> (m, </w:t>
      </w:r>
      <w:proofErr w:type="spellStart"/>
      <w:r w:rsidRPr="00260745">
        <w:rPr>
          <w:vertAlign w:val="subscript"/>
        </w:rPr>
        <w:t>loc</w:t>
      </w:r>
      <w:proofErr w:type="spellEnd"/>
      <w:r w:rsidRPr="00260745">
        <w:rPr>
          <w:vertAlign w:val="subscript"/>
        </w:rPr>
        <w:t>)</w:t>
      </w:r>
      <w:r w:rsidRPr="00260745">
        <w:t xml:space="preserve"> and Cor </w:t>
      </w:r>
      <w:proofErr w:type="spellStart"/>
      <w:r w:rsidRPr="00260745">
        <w:t>T</w:t>
      </w:r>
      <w:r w:rsidRPr="00260745">
        <w:rPr>
          <w:vertAlign w:val="subscript"/>
        </w:rPr>
        <w:t>max</w:t>
      </w:r>
      <w:proofErr w:type="spellEnd"/>
      <w:r w:rsidRPr="00260745">
        <w:rPr>
          <w:vertAlign w:val="subscript"/>
        </w:rPr>
        <w:t xml:space="preserve"> (m, </w:t>
      </w:r>
      <w:proofErr w:type="spellStart"/>
      <w:r w:rsidRPr="00260745">
        <w:rPr>
          <w:vertAlign w:val="subscript"/>
        </w:rPr>
        <w:t>loc</w:t>
      </w:r>
      <w:proofErr w:type="spellEnd"/>
      <w:r w:rsidRPr="00260745">
        <w:rPr>
          <w:vertAlign w:val="subscript"/>
        </w:rPr>
        <w:t>)</w:t>
      </w:r>
      <w:r w:rsidRPr="00260745">
        <w:t xml:space="preserve"> stand for corrected future precipitation and temperature on the </w:t>
      </w:r>
      <w:proofErr w:type="spellStart"/>
      <w:r w:rsidRPr="00260745">
        <w:t>m</w:t>
      </w:r>
      <w:r w:rsidRPr="00260745">
        <w:rPr>
          <w:vertAlign w:val="superscript"/>
        </w:rPr>
        <w:t>th</w:t>
      </w:r>
      <w:proofErr w:type="spellEnd"/>
      <w:r w:rsidRPr="00260745">
        <w:t xml:space="preserve"> month in the </w:t>
      </w:r>
      <w:proofErr w:type="spellStart"/>
      <w:r w:rsidRPr="00260745">
        <w:t>loc</w:t>
      </w:r>
      <w:r w:rsidRPr="00260745">
        <w:rPr>
          <w:vertAlign w:val="superscript"/>
        </w:rPr>
        <w:t>th</w:t>
      </w:r>
      <w:proofErr w:type="spellEnd"/>
      <w:r w:rsidRPr="00260745">
        <w:t xml:space="preserve"> location. Prefaces </w:t>
      </w:r>
      <w:proofErr w:type="spellStart"/>
      <w:r w:rsidRPr="00260745">
        <w:t>Obs</w:t>
      </w:r>
      <w:proofErr w:type="spellEnd"/>
      <w:r w:rsidRPr="00260745">
        <w:t xml:space="preserve"> and Hist refer to observed historical and hindcasted historical data. Weighting coefficients for bias-</w:t>
      </w:r>
      <w:r w:rsidRPr="00260745">
        <w:lastRenderedPageBreak/>
        <w:t>corrected climate data was calculated depending on their ability to hindcast historical observed datasets using the following equation</w:t>
      </w:r>
      <w:r w:rsidRPr="00260745">
        <w:rPr>
          <w:lang w:val="en-US"/>
        </w:rPr>
        <w:t xml:space="preserve"> </w:t>
      </w:r>
      <w:r w:rsidRPr="00260745">
        <w:rPr>
          <w:lang w:val="en-US"/>
        </w:rPr>
        <w:fldChar w:fldCharType="begin" w:fldLock="1"/>
      </w:r>
      <w:r w:rsidRPr="00260745">
        <w:rPr>
          <w:lang w:val="en-US"/>
        </w:rPr>
        <w:instrText>ADDIN CSL_CITATION {"citationItems":[{"id":"ITEM-1","itemData":{"DOI":"10.1093/icesjms/fsr008","author":[{"dropping-particle":"","family":"Muhling","given":"B","non-dropping-particle":"","parse-names":false,"suffix":""},{"dropping-particle":"","family":"Lee","given":"SK","non-dropping-particle":"","parse-names":false,"suffix":""},{"dropping-particle":"","family":"Lamkin","given":"JT","non-dropping-particle":"","parse-names":false,"suffix":""},{"dropping-particle":"","family":"Liu","given":"Y","non-dropping-particle":"","parse-names":false,"suffix":""}],"container-title":"ICES Journal of Marine Science","id":"ITEM-1","issue":"6","issued":{"date-parts":[["2011"]]},"page":"1051–1062","title":"Predicting the effects of climate change on bluefin tuna (Thunnus thynnus) spawning habitat in the Gulf of Mexico","type":"article-journal","volume":"68"},"uris":["http://www.mendeley.com/documents/?uuid=d6f159b5-350c-4b4a-a6be-9f1562c47a3f"]}],"mendeley":{"formattedCitation":"(Muhling et al., 2011)","plainTextFormattedCitation":"(Muhling et al., 2011)","previouslyFormattedCitation":"(Muhling et al., 2011)"},"properties":{"noteIndex":0},"schema":"https://github.com/citation-style-language/schema/raw/master/csl-citation.json"}</w:instrText>
      </w:r>
      <w:r w:rsidRPr="00260745">
        <w:rPr>
          <w:lang w:val="en-US"/>
        </w:rPr>
        <w:fldChar w:fldCharType="separate"/>
      </w:r>
      <w:r w:rsidRPr="00260745">
        <w:rPr>
          <w:noProof/>
          <w:lang w:val="en-US"/>
        </w:rPr>
        <w:t>(Muhling et al., 2011)</w:t>
      </w:r>
      <w:r w:rsidRPr="00260745">
        <w:rPr>
          <w:lang w:val="en-US"/>
        </w:rPr>
        <w:fldChar w:fldCharType="end"/>
      </w:r>
      <w:r w:rsidRPr="00260745">
        <w:t xml:space="preserve">: </w:t>
      </w:r>
    </w:p>
    <w:p w14:paraId="3E14B83F" w14:textId="77777777" w:rsidR="00CF7991" w:rsidRPr="001E65D6" w:rsidRDefault="00CF7991" w:rsidP="00CF7991">
      <w:pPr>
        <w:spacing w:line="480" w:lineRule="auto"/>
        <w:jc w:val="center"/>
        <w:rPr>
          <w:sz w:val="22"/>
          <w:szCs w:val="22"/>
        </w:rPr>
      </w:pPr>
      <m:oMathPara>
        <m:oMath>
          <m:r>
            <w:rPr>
              <w:rFonts w:ascii="Cambria Math" w:hAnsi="Cambria Math" w:cs="Cambria Math"/>
              <w:sz w:val="22"/>
              <w:szCs w:val="22"/>
            </w:rPr>
            <m:t>Model weight</m:t>
          </m:r>
          <m:r>
            <m:rPr>
              <m:sty m:val="p"/>
            </m:rPr>
            <w:rPr>
              <w:rFonts w:ascii="Cambria Math" w:hAnsi="Cambria Math" w:cs="Cambria Math"/>
              <w:sz w:val="22"/>
              <w:szCs w:val="22"/>
            </w:rPr>
            <m:t>=</m:t>
          </m:r>
          <m:f>
            <m:fPr>
              <m:ctrlPr>
                <w:rPr>
                  <w:rFonts w:ascii="Cambria Math" w:hAnsi="Cambria Math" w:cstheme="majorBidi"/>
                  <w:sz w:val="22"/>
                  <w:szCs w:val="22"/>
                </w:rPr>
              </m:ctrlPr>
            </m:fPr>
            <m:num>
              <m:r>
                <w:rPr>
                  <w:rFonts w:ascii="Cambria Math" w:hAnsi="Cambria Math" w:cs="Cambria Math"/>
                  <w:sz w:val="22"/>
                  <w:szCs w:val="22"/>
                </w:rPr>
                <m:t>n</m:t>
              </m:r>
            </m:num>
            <m:den>
              <m:nary>
                <m:naryPr>
                  <m:chr m:val="∑"/>
                  <m:limLoc m:val="undOvr"/>
                  <m:ctrlPr>
                    <w:rPr>
                      <w:rFonts w:ascii="Cambria Math" w:hAnsi="Cambria Math" w:cs="Cambria Math"/>
                      <w:sz w:val="22"/>
                      <w:szCs w:val="22"/>
                    </w:rPr>
                  </m:ctrlPr>
                </m:naryPr>
                <m:sub>
                  <m:r>
                    <w:rPr>
                      <w:rFonts w:ascii="Cambria Math" w:hAnsi="Cambria Math" w:cs="Cambria Math"/>
                      <w:sz w:val="22"/>
                      <w:szCs w:val="22"/>
                    </w:rPr>
                    <m:t>i=1</m:t>
                  </m:r>
                </m:sub>
                <m:sup>
                  <m:r>
                    <w:rPr>
                      <w:rFonts w:ascii="Cambria Math" w:hAnsi="Cambria Math" w:cs="Cambria Math"/>
                      <w:sz w:val="22"/>
                      <w:szCs w:val="22"/>
                    </w:rPr>
                    <m:t>n</m:t>
                  </m:r>
                </m:sup>
                <m:e>
                  <m:r>
                    <m:rPr>
                      <m:sty m:val="p"/>
                    </m:rPr>
                    <w:rPr>
                      <w:rFonts w:ascii="Cambria Math" w:hAnsi="Cambria Math" w:cs="Cambria Math"/>
                      <w:sz w:val="22"/>
                      <w:szCs w:val="22"/>
                    </w:rPr>
                    <m:t>{</m:t>
                  </m:r>
                  <m:sSup>
                    <m:sSupPr>
                      <m:ctrlPr>
                        <w:rPr>
                          <w:rFonts w:ascii="Cambria Math" w:hAnsi="Cambria Math" w:cs="Cambria Math"/>
                          <w:sz w:val="22"/>
                          <w:szCs w:val="22"/>
                        </w:rPr>
                      </m:ctrlPr>
                    </m:sSupPr>
                    <m:e>
                      <m:r>
                        <m:rPr>
                          <m:sty m:val="p"/>
                        </m:rPr>
                        <w:rPr>
                          <w:rFonts w:ascii="Cambria Math" w:hAnsi="Cambria Math" w:cs="Cambria Math"/>
                          <w:sz w:val="22"/>
                          <w:szCs w:val="22"/>
                        </w:rPr>
                        <m:t>e</m:t>
                      </m:r>
                    </m:e>
                    <m:sup>
                      <m:r>
                        <m:rPr>
                          <m:sty m:val="p"/>
                        </m:rPr>
                        <w:rPr>
                          <w:rFonts w:ascii="Cambria Math" w:hAnsi="Cambria Math" w:cs="Cambria Math"/>
                          <w:sz w:val="22"/>
                          <w:szCs w:val="22"/>
                        </w:rPr>
                        <m:t>-</m:t>
                      </m:r>
                      <m:sSup>
                        <m:sSupPr>
                          <m:ctrlPr>
                            <w:rPr>
                              <w:rFonts w:ascii="Cambria Math" w:hAnsi="Cambria Math" w:cs="Cambria Math"/>
                              <w:sz w:val="22"/>
                              <w:szCs w:val="22"/>
                            </w:rPr>
                          </m:ctrlPr>
                        </m:sSupPr>
                        <m:e>
                          <m:r>
                            <m:rPr>
                              <m:sty m:val="p"/>
                            </m:rPr>
                            <w:rPr>
                              <w:rFonts w:ascii="Cambria Math" w:hAnsi="Cambria Math" w:cs="Cambria Math"/>
                              <w:sz w:val="22"/>
                              <w:szCs w:val="22"/>
                            </w:rPr>
                            <m:t>RMS(i)</m:t>
                          </m:r>
                        </m:e>
                        <m:sup>
                          <m:r>
                            <m:rPr>
                              <m:sty m:val="p"/>
                            </m:rPr>
                            <w:rPr>
                              <w:rFonts w:ascii="Cambria Math" w:hAnsi="Cambria Math" w:cs="Cambria Math"/>
                              <w:sz w:val="22"/>
                              <w:szCs w:val="22"/>
                            </w:rPr>
                            <m:t>2</m:t>
                          </m:r>
                        </m:sup>
                      </m:sSup>
                    </m:sup>
                  </m:sSup>
                  <m:r>
                    <m:rPr>
                      <m:sty m:val="p"/>
                    </m:rPr>
                    <w:rPr>
                      <w:rFonts w:ascii="Cambria Math" w:hAnsi="Cambria Math" w:cs="Cambria Math"/>
                      <w:sz w:val="22"/>
                      <w:szCs w:val="22"/>
                    </w:rPr>
                    <m:t>}</m:t>
                  </m:r>
                </m:e>
              </m:nary>
            </m:den>
          </m:f>
        </m:oMath>
      </m:oMathPara>
    </w:p>
    <w:p w14:paraId="3BED1AEF" w14:textId="77777777" w:rsidR="00CF7991" w:rsidRPr="001E65D6" w:rsidRDefault="00CF7991" w:rsidP="00CF7991">
      <w:pPr>
        <w:spacing w:line="480" w:lineRule="auto"/>
        <w:rPr>
          <w:sz w:val="22"/>
          <w:szCs w:val="22"/>
        </w:rPr>
      </w:pPr>
    </w:p>
    <w:p w14:paraId="122F18B2" w14:textId="77777777" w:rsidR="00CF7991" w:rsidRPr="00260745" w:rsidRDefault="00CF7991" w:rsidP="00CF7991">
      <w:pPr>
        <w:spacing w:line="480" w:lineRule="auto"/>
        <w:rPr>
          <w:lang w:val="en-US"/>
        </w:rPr>
      </w:pPr>
      <w:r w:rsidRPr="00260745">
        <w:t>Where RMS was the model root mean square (RMS). From weighting coefficients, a bias corrected, mean weighted ensemble climate forecast dataset was then calculated for each predictor (</w:t>
      </w:r>
      <w:proofErr w:type="spellStart"/>
      <w:r w:rsidRPr="00260745">
        <w:t>P</w:t>
      </w:r>
      <w:r w:rsidRPr="00260745">
        <w:rPr>
          <w:vertAlign w:val="subscript"/>
        </w:rPr>
        <w:t>mean</w:t>
      </w:r>
      <w:proofErr w:type="spellEnd"/>
      <w:r w:rsidRPr="00260745">
        <w:t xml:space="preserve">, </w:t>
      </w:r>
      <w:proofErr w:type="spellStart"/>
      <w:r w:rsidRPr="00260745">
        <w:t>T</w:t>
      </w:r>
      <w:r w:rsidRPr="00260745">
        <w:rPr>
          <w:vertAlign w:val="subscript"/>
        </w:rPr>
        <w:t>mean</w:t>
      </w:r>
      <w:proofErr w:type="spellEnd"/>
      <w:r w:rsidRPr="00260745">
        <w:t xml:space="preserve">, </w:t>
      </w:r>
      <w:proofErr w:type="spellStart"/>
      <w:r w:rsidRPr="00260745">
        <w:t>T</w:t>
      </w:r>
      <w:r w:rsidRPr="00260745">
        <w:rPr>
          <w:vertAlign w:val="subscript"/>
        </w:rPr>
        <w:t>max</w:t>
      </w:r>
      <w:proofErr w:type="spellEnd"/>
      <w:r w:rsidRPr="00260745">
        <w:t xml:space="preserve">, and </w:t>
      </w:r>
      <w:proofErr w:type="spellStart"/>
      <w:r w:rsidRPr="00260745">
        <w:t>T</w:t>
      </w:r>
      <w:r w:rsidRPr="00260745">
        <w:rPr>
          <w:vertAlign w:val="subscript"/>
        </w:rPr>
        <w:t>min</w:t>
      </w:r>
      <w:proofErr w:type="spellEnd"/>
      <w:r w:rsidRPr="00260745">
        <w:t>). The ensemble was selected using climate forecasts (and hindcasted data) for each scenario (</w:t>
      </w:r>
      <w:r w:rsidRPr="00260745">
        <w:rPr>
          <w:lang w:val="en-US"/>
        </w:rPr>
        <w:t xml:space="preserve">SSP126, </w:t>
      </w:r>
      <w:r w:rsidRPr="00260745">
        <w:t>SSP245</w:t>
      </w:r>
      <w:r w:rsidRPr="00260745">
        <w:rPr>
          <w:lang w:val="en-US"/>
        </w:rPr>
        <w:t>, SSP370</w:t>
      </w:r>
      <w:r w:rsidRPr="00260745">
        <w:t xml:space="preserve"> and SSP585) and each predictor. Datasets were downloaded from the World Climate Research Programme (https://esgf-node.llnl.gov/search/cmip6/). </w:t>
      </w:r>
      <w:r w:rsidRPr="00260745">
        <w:rPr>
          <w:lang w:val="en-US"/>
        </w:rPr>
        <w:t xml:space="preserve">Future monthly </w:t>
      </w:r>
      <w:proofErr w:type="spellStart"/>
      <w:r w:rsidRPr="00260745">
        <w:rPr>
          <w:lang w:val="en-US"/>
        </w:rPr>
        <w:t>bioclim</w:t>
      </w:r>
      <w:proofErr w:type="spellEnd"/>
      <w:r w:rsidRPr="00260745">
        <w:rPr>
          <w:lang w:val="en-US"/>
        </w:rPr>
        <w:t xml:space="preserve"> variables were then calculated from </w:t>
      </w:r>
      <w:r w:rsidRPr="00260745">
        <w:t xml:space="preserve">the mean weighted </w:t>
      </w:r>
      <w:r w:rsidRPr="00260745">
        <w:rPr>
          <w:lang w:val="en-US"/>
        </w:rPr>
        <w:t xml:space="preserve">monthly </w:t>
      </w:r>
      <w:r w:rsidRPr="00260745">
        <w:t>climate forecast</w:t>
      </w:r>
      <w:r w:rsidRPr="00260745">
        <w:rPr>
          <w:lang w:val="en-US"/>
        </w:rPr>
        <w:t>.</w:t>
      </w:r>
      <w:r w:rsidRPr="00260745">
        <w:t xml:space="preserve"> </w:t>
      </w:r>
      <w:r w:rsidRPr="00260745">
        <w:rPr>
          <w:lang w:val="en-US"/>
        </w:rPr>
        <w:t xml:space="preserve">Future global monthly leaf litter and 95% CIs were then predicted from the future calculated </w:t>
      </w:r>
      <w:proofErr w:type="spellStart"/>
      <w:r w:rsidRPr="00260745">
        <w:rPr>
          <w:lang w:val="en-US"/>
        </w:rPr>
        <w:t>bioclim</w:t>
      </w:r>
      <w:proofErr w:type="spellEnd"/>
      <w:r w:rsidRPr="00260745">
        <w:rPr>
          <w:lang w:val="en-US"/>
        </w:rPr>
        <w:t xml:space="preserve"> predictors, and the predictive model chosen.</w:t>
      </w:r>
    </w:p>
    <w:p w14:paraId="33D31E49" w14:textId="77777777" w:rsidR="00CF7991" w:rsidRPr="001E65D6" w:rsidRDefault="00CF7991" w:rsidP="00CF7991">
      <w:pPr>
        <w:spacing w:line="480" w:lineRule="auto"/>
        <w:rPr>
          <w:sz w:val="22"/>
          <w:szCs w:val="22"/>
          <w:lang w:val="en-US"/>
        </w:rPr>
      </w:pPr>
    </w:p>
    <w:p w14:paraId="453DA425" w14:textId="627CA779" w:rsidR="00CF7991" w:rsidRPr="001E65D6" w:rsidRDefault="00CF7991" w:rsidP="00CF7991">
      <w:pPr>
        <w:pStyle w:val="Heading3"/>
        <w:rPr>
          <w:rFonts w:cstheme="minorHAnsi"/>
          <w:b/>
          <w:bCs/>
        </w:rPr>
      </w:pPr>
      <w:bookmarkStart w:id="32" w:name="_Toc120622121"/>
      <w:r w:rsidRPr="001E65D6">
        <w:rPr>
          <w:rFonts w:asciiTheme="minorHAnsi" w:hAnsiTheme="minorHAnsi" w:cstheme="minorHAnsi"/>
          <w:b/>
          <w:bCs/>
          <w:color w:val="auto"/>
        </w:rPr>
        <w:t>3.3.4</w:t>
      </w:r>
      <w:r w:rsidRPr="001E65D6">
        <w:rPr>
          <w:rFonts w:asciiTheme="minorHAnsi" w:hAnsiTheme="minorHAnsi" w:cstheme="minorHAnsi"/>
          <w:b/>
          <w:bCs/>
          <w:color w:val="auto"/>
        </w:rPr>
        <w:tab/>
        <w:t>Projecting climate driven changes in NPP across global marine provinces</w:t>
      </w:r>
      <w:bookmarkEnd w:id="32"/>
    </w:p>
    <w:p w14:paraId="68CF002C" w14:textId="05BA8494" w:rsidR="00CF7991" w:rsidRPr="00260745" w:rsidRDefault="00CF7991" w:rsidP="00CF7991">
      <w:pPr>
        <w:spacing w:line="480" w:lineRule="auto"/>
        <w:rPr>
          <w:b/>
          <w:bCs/>
          <w:lang w:val="en-US"/>
        </w:rPr>
      </w:pPr>
      <w:r w:rsidRPr="00260745">
        <w:rPr>
          <w:lang w:val="en-US"/>
        </w:rPr>
        <w:t xml:space="preserve">Mangrove Net Primary Productivity (NPP) was partitioned over different marine provinces throughout the world to investigate the spatial heterogeneity of mangrove NPP response to climate change. The marine provinces scheme of the Marine Ecosystems of the World (MEOW) framework was used to group changes in NPP regionally </w:t>
      </w:r>
      <w:r w:rsidRPr="00260745">
        <w:rPr>
          <w:lang w:val="en-US"/>
        </w:rPr>
        <w:fldChar w:fldCharType="begin" w:fldLock="1"/>
      </w:r>
      <w:r w:rsidRPr="00260745">
        <w:rPr>
          <w:lang w:val="en-US"/>
        </w:rPr>
        <w:instrText>ADDIN CSL_CITATION {"citationItems":[{"id":"ITEM-1","itemData":{"abstract":"The conservation and sustainable use of marine resources is a highlighted goal on a growing number of national and international policy agendas.\\r\\nUnfortunately, efforts to assess progress, as well as to strategically plan and prioritize new marine conservation measures, have been hampered by the\\r\\nlack of a detailed, comprehensive biogeographic system to classify the oceans. Here we report on a new global system for coastal and shelf areas: the\\r\\nMarine Ecoregions of the World, or MEOW, a nested system of 12 realms, 62 provinces, and 232 ecoregions. This system provides considerably better\\r\\nspatial resolution than earlier global systems, yet it preserves many common elements and can be cross-referenced to many regional biogeographic\\r\\nclassifications. The designation of terrestrial ecoregions has revolutionized priority setting and planning for terrestrial conservation; we anticipate\\r\\nsimilar benefits from the use of a coherent and credible marine system.","author":[{"dropping-particle":"","family":"Spalding","given":"Mark","non-dropping-particle":"","parse-names":false,"suffix":""},{"dropping-particle":"","family":"Fox","given":"Helen","non-dropping-particle":"","parse-names":false,"suffix":""},{"dropping-particle":"","family":"Allen","given":"Gerald","non-dropping-particle":"","parse-names":false,"suffix":""},{"dropping-particle":"","family":"Davidson","given":"Nick","non-dropping-particle":"","parse-names":false,"suffix":""},{"dropping-particle":"","family":"Ferdana","given":"Zach","non-dropping-particle":"","parse-names":false,"suffix":""},{"dropping-particle":"","family":"Finlayson","given":"Max","non-dropping-particle":"","parse-names":false,"suffix":""},{"dropping-particle":"","family":"Halpern","given":"Benjamin","non-dropping-particle":"","parse-names":false,"suffix":""},{"dropping-particle":"","family":"Jorge","given":"Miguel","non-dropping-particle":"","parse-names":false,"suffix":""},{"dropping-particle":"","family":"Lombana","given":"AL","non-dropping-particle":"","parse-names":false,"suffix":""},{"dropping-particle":"","family":"Lourie","given":"Sara","non-dropping-particle":"","parse-names":false,"suffix":""},{"dropping-particle":"","family":"Kirsten","given":"Martin","non-dropping-particle":"","parse-names":false,"suffix":""},{"dropping-particle":"","family":"McManus","given":"Edmund","non-dropping-particle":"","parse-names":false,"suffix":""},{"dropping-particle":"","family":"Molnar","given":"Jennifer","non-dropping-particle":"","parse-names":false,"suffix":""},{"dropping-particle":"","family":"Recchia","given":"Cheri","non-dropping-particle":"","parse-names":false,"suffix":""},{"dropping-particle":"","family":"Robertson","given":"James","non-dropping-particle":"","parse-names":false,"suffix":""},{"dropping-particle":"","family":"Fox","given":"Helen E","non-dropping-particle":"","parse-names":false,"suffix":""},{"dropping-particle":"","family":"Allen","given":"Gerald R","non-dropping-particle":"","parse-names":false,"suffix":""},{"dropping-particle":"","family":"Davidson","given":"Nick","non-dropping-particle":"","parse-names":false,"suffix":""},{"dropping-particle":"","family":"Ferdaña","given":"Zach A","non-dropping-particle":"","parse-names":false,"suffix":""},{"dropping-particle":"","family":"Finlayson","given":"M A X","non-dropping-particle":"","parse-names":false,"suffix":""},{"dropping-particle":"","family":"Halpern","given":"Benjamin S","non-dropping-particle":"","parse-names":false,"suffix":""},{"dropping-particle":"","family":"Jorge","given":"Miguel A","non-dropping-particle":"","parse-names":false,"suffix":""},{"dropping-particle":"","family":"Lombana","given":"A L","non-dropping-particle":"","parse-names":false,"suffix":""},{"dropping-particle":"","family":"Lourie","given":"Sara A","non-dropping-particle":"","parse-names":false,"suffix":""},{"dropping-particle":"","family":"Martin","given":"Kirsten D","non-dropping-particle":"","parse-names":false,"suffix":""},{"dropping-particle":"","family":"Manus","given":"M C","non-dropping-particle":"","parse-names":false,"suffix":""},{"dropping-particle":"","family":"Molnar","given":"Jennifer","non-dropping-particle":"","parse-names":false,"suffix":""},{"dropping-particle":"","family":"Recchia","given":"Cheri A","non-dropping-particle":"","parse-names":false,"suffix":""},{"dropping-particle":"","family":"Robertson","given":"James","non-dropping-particle":"","parse-names":false,"suffix":""}],"container-title":"BioScience","id":"ITEM-1","issue":"7","issued":{"date-parts":[["2007"]]},"page":"573-583","title":"Marine Ecoregions of the World : A Bioregionalization of Coastal and Shelf Areas","type":"article-journal","volume":"57"},"uris":["http://www.mendeley.com/documents/?uuid=332315a7-4c20-4e99-a208-1615f5861f7a","http://www.mendeley.com/documents/?uuid=4a4f109e-a5ea-46c9-aad4-4c503f823a13"]}],"mendeley":{"formattedCitation":"(Spalding et al., 2007)","plainTextFormattedCitation":"(Spalding et al., 2007)","previouslyFormattedCitation":"(Spalding et al., 2007)"},"properties":{"noteIndex":0},"schema":"https://github.com/citation-style-language/schema/raw/master/csl-citation.json"}</w:instrText>
      </w:r>
      <w:r w:rsidRPr="00260745">
        <w:rPr>
          <w:lang w:val="en-US"/>
        </w:rPr>
        <w:fldChar w:fldCharType="separate"/>
      </w:r>
      <w:r w:rsidRPr="00260745">
        <w:rPr>
          <w:noProof/>
          <w:lang w:val="en-US"/>
        </w:rPr>
        <w:t>(Spalding et al., 2007)</w:t>
      </w:r>
      <w:r w:rsidRPr="00260745">
        <w:rPr>
          <w:lang w:val="en-US"/>
        </w:rPr>
        <w:fldChar w:fldCharType="end"/>
      </w:r>
      <w:r w:rsidRPr="00260745">
        <w:rPr>
          <w:lang w:val="en-US"/>
        </w:rPr>
        <w:t xml:space="preserve">. Changes in NPP on an annual scale and monthly variability (seasonality) were investigated by historical (1980 to 1990), mid-century (2030 to 2040) and late century (2085 to 2095) time periods. The term ‘seasonality’ in this study refers to the variation of one month from the mean over a 12 month period </w:t>
      </w:r>
      <w:r w:rsidRPr="00260745">
        <w:rPr>
          <w:lang w:val="en-US"/>
        </w:rPr>
        <w:fldChar w:fldCharType="begin" w:fldLock="1"/>
      </w:r>
      <w:r w:rsidR="008A48C6" w:rsidRPr="00260745">
        <w:rPr>
          <w:lang w:val="en-US"/>
        </w:rPr>
        <w:instrText>ADDIN CSL_CITATION {"citationItems":[{"id":"ITEM-1","itemData":{"DOI":"10.1016/j.mimet.2011.04.001","ISBN":"0950-5849","ISSN":"09505849","PMID":"21504767","abstract":"The U.S. Geological Survey (USGS) has developed climate indices, referred to as bioclimatic predictors, which highlight climate conditions best related to species physiology. A set of 20 bioclimatic predictors were developed as Geographic Information Systems (GIS) continuous raster surfaces for each year between 1895 and 2009. The Parameter-elevation Regression on Independent Slopes Model (PRISM) and down-scaled PRISM data, which included both averaged multi-year and averaged monthly climate summaries, was used to develop these multi-scale bioclimatic predictors. Bioclimatic predictors capture information about annual conditions (annual mean temperature, annual precipitation, annual range in temperature and precipitation), as well as seasonal mean climate conditions and intra-year seasonality (temperature of the coldest and warmest months, precipitation of the wettest and driest quarters). Examining climate over time is useful when quantifying the effects of climate changes on species’ distributions for past, current, and forecasted scenarios. These data, which have not been readily available to scientists, can provide biologists and ecologists with relevant and multi-scaled climate data to augment research on the responses of species to changing climate conditions. The relationships established between species demographics and distributions with bioclimatic predictors can inform land managers of climatic effects on species during decisionmaking processes.","author":[{"dropping-particle":"","family":"O'Donnell","given":"Michael. S.","non-dropping-particle":"","parse-names":false,"suffix":""},{"dropping-particle":"","family":"Ignizio","given":"Drew. A.","non-dropping-particle":"","parse-names":false,"suffix":""}],"container-title":"US Geological Survey Data Series","id":"ITEM-1","issue":"10","issued":{"date-parts":[["2012"]]},"number-of-pages":"1-17","title":"Bioclimatic Predictors for Supporting Ecological Applications in the Conterminous United States","type":"report","volume":"691"},"uris":["http://www.mendeley.com/documents/?uuid=f73e2407-6497-4fb4-ae1f-8d57fc27909a"]}],"mendeley":{"formattedCitation":"(O’Donnell and Ignizio, 2012)","plainTextFormattedCitation":"(O’Donnell and Ignizio, 2012)","previouslyFormattedCitation":"(O’Donnell and Ignizio, 2012)"},"properties":{"noteIndex":0},"schema":"https://github.com/citation-style-language/schema/raw/master/csl-citation.json"}</w:instrText>
      </w:r>
      <w:r w:rsidRPr="00260745">
        <w:rPr>
          <w:lang w:val="en-US"/>
        </w:rPr>
        <w:fldChar w:fldCharType="separate"/>
      </w:r>
      <w:r w:rsidRPr="00260745">
        <w:rPr>
          <w:noProof/>
          <w:lang w:val="en-US"/>
        </w:rPr>
        <w:t>(O’Donnell and Ignizio, 2012)</w:t>
      </w:r>
      <w:r w:rsidRPr="00260745">
        <w:rPr>
          <w:lang w:val="en-US"/>
        </w:rPr>
        <w:fldChar w:fldCharType="end"/>
      </w:r>
      <w:r w:rsidRPr="00260745">
        <w:rPr>
          <w:lang w:val="en-US"/>
        </w:rPr>
        <w:t xml:space="preserve">. </w:t>
      </w:r>
      <w:r w:rsidR="00780272">
        <w:rPr>
          <w:lang w:val="en-US"/>
        </w:rPr>
        <w:t xml:space="preserve">Seasonality </w:t>
      </w:r>
      <w:r w:rsidR="002F7518">
        <w:rPr>
          <w:lang w:val="en-US"/>
        </w:rPr>
        <w:t>calculate</w:t>
      </w:r>
      <w:r w:rsidR="00CE35C7">
        <w:rPr>
          <w:lang w:val="en-US"/>
        </w:rPr>
        <w:t>d</w:t>
      </w:r>
      <w:r w:rsidR="002F7518">
        <w:rPr>
          <w:lang w:val="en-US"/>
        </w:rPr>
        <w:t xml:space="preserve"> how variable </w:t>
      </w:r>
      <w:r w:rsidR="00B40276">
        <w:rPr>
          <w:lang w:val="en-US"/>
        </w:rPr>
        <w:t xml:space="preserve">NPP estimates </w:t>
      </w:r>
      <w:r w:rsidR="00526377">
        <w:rPr>
          <w:lang w:val="en-US"/>
        </w:rPr>
        <w:t>were from an annual NPP mean over a one</w:t>
      </w:r>
      <w:r w:rsidR="006A0CE6">
        <w:rPr>
          <w:lang w:val="en-US"/>
        </w:rPr>
        <w:t>-</w:t>
      </w:r>
      <w:r w:rsidR="00526377">
        <w:rPr>
          <w:lang w:val="en-US"/>
        </w:rPr>
        <w:t xml:space="preserve">year period. </w:t>
      </w:r>
      <w:r w:rsidR="00962444">
        <w:rPr>
          <w:lang w:val="en-US"/>
        </w:rPr>
        <w:t xml:space="preserve">The aim of </w:t>
      </w:r>
      <w:r w:rsidR="00962444">
        <w:rPr>
          <w:lang w:val="en-US"/>
        </w:rPr>
        <w:lastRenderedPageBreak/>
        <w:t xml:space="preserve">seasonality is to </w:t>
      </w:r>
      <w:r w:rsidR="007E5469">
        <w:rPr>
          <w:lang w:val="en-US"/>
        </w:rPr>
        <w:t xml:space="preserve">capture annual variation in </w:t>
      </w:r>
      <w:r w:rsidR="0010657A">
        <w:rPr>
          <w:lang w:val="en-US"/>
        </w:rPr>
        <w:t xml:space="preserve">NPP rates </w:t>
      </w:r>
      <w:r w:rsidR="00204243">
        <w:rPr>
          <w:lang w:val="en-US"/>
        </w:rPr>
        <w:t xml:space="preserve">with the eventual aim of </w:t>
      </w:r>
      <w:r w:rsidR="006A0CE6">
        <w:rPr>
          <w:lang w:val="en-US"/>
        </w:rPr>
        <w:t xml:space="preserve">comparing annual variability in NPP rates between years. </w:t>
      </w:r>
      <w:r w:rsidRPr="00260745">
        <w:rPr>
          <w:lang w:val="en-US"/>
        </w:rPr>
        <w:t xml:space="preserve">Seasonality was calculated as </w:t>
      </w:r>
      <w:r w:rsidRPr="00260745">
        <w:rPr>
          <w:lang w:val="en-US"/>
        </w:rPr>
        <w:fldChar w:fldCharType="begin" w:fldLock="1"/>
      </w:r>
      <w:r w:rsidR="008A48C6" w:rsidRPr="00260745">
        <w:rPr>
          <w:lang w:val="en-US"/>
        </w:rPr>
        <w:instrText>ADDIN CSL_CITATION {"citationItems":[{"id":"ITEM-1","itemData":{"DOI":"10.1016/j.mimet.2011.04.001","ISBN":"0950-5849","ISSN":"09505849","PMID":"21504767","abstract":"The U.S. Geological Survey (USGS) has developed climate indices, referred to as bioclimatic predictors, which highlight climate conditions best related to species physiology. A set of 20 bioclimatic predictors were developed as Geographic Information Systems (GIS) continuous raster surfaces for each year between 1895 and 2009. The Parameter-elevation Regression on Independent Slopes Model (PRISM) and down-scaled PRISM data, which included both averaged multi-year and averaged monthly climate summaries, was used to develop these multi-scale bioclimatic predictors. Bioclimatic predictors capture information about annual conditions (annual mean temperature, annual precipitation, annual range in temperature and precipitation), as well as seasonal mean climate conditions and intra-year seasonality (temperature of the coldest and warmest months, precipitation of the wettest and driest quarters). Examining climate over time is useful when quantifying the effects of climate changes on species’ distributions for past, current, and forecasted scenarios. These data, which have not been readily available to scientists, can provide biologists and ecologists with relevant and multi-scaled climate data to augment research on the responses of species to changing climate conditions. The relationships established between species demographics and distributions with bioclimatic predictors can inform land managers of climatic effects on species during decisionmaking processes.","author":[{"dropping-particle":"","family":"O'Donnell","given":"Michael. S.","non-dropping-particle":"","parse-names":false,"suffix":""},{"dropping-particle":"","family":"Ignizio","given":"Drew. A.","non-dropping-particle":"","parse-names":false,"suffix":""}],"container-title":"US Geological Survey Data Series","id":"ITEM-1","issue":"10","issued":{"date-parts":[["2012"]]},"number-of-pages":"1-17","title":"Bioclimatic Predictors for Supporting Ecological Applications in the Conterminous United States","type":"report","volume":"691"},"uris":["http://www.mendeley.com/documents/?uuid=f73e2407-6497-4fb4-ae1f-8d57fc27909a"]}],"mendeley":{"formattedCitation":"(O’Donnell and Ignizio, 2012)","plainTextFormattedCitation":"(O’Donnell and Ignizio, 2012)","previouslyFormattedCitation":"(O’Donnell and Ignizio, 2012)"},"properties":{"noteIndex":0},"schema":"https://github.com/citation-style-language/schema/raw/master/csl-citation.json"}</w:instrText>
      </w:r>
      <w:r w:rsidRPr="00260745">
        <w:rPr>
          <w:lang w:val="en-US"/>
        </w:rPr>
        <w:fldChar w:fldCharType="separate"/>
      </w:r>
      <w:r w:rsidRPr="00260745">
        <w:rPr>
          <w:noProof/>
          <w:lang w:val="en-US"/>
        </w:rPr>
        <w:t>(O’Donnell and Ignizio, 2012)</w:t>
      </w:r>
      <w:r w:rsidRPr="00260745">
        <w:rPr>
          <w:lang w:val="en-US"/>
        </w:rPr>
        <w:fldChar w:fldCharType="end"/>
      </w:r>
      <w:r w:rsidRPr="00260745">
        <w:rPr>
          <w:lang w:val="en-US"/>
        </w:rPr>
        <w:t>:</w:t>
      </w:r>
    </w:p>
    <w:p w14:paraId="684684EE" w14:textId="77777777" w:rsidR="00CF7991" w:rsidRPr="001E65D6" w:rsidRDefault="00CF7991" w:rsidP="00CF7991">
      <w:pPr>
        <w:spacing w:line="480" w:lineRule="auto"/>
        <w:rPr>
          <w:sz w:val="22"/>
          <w:szCs w:val="22"/>
          <w:lang w:val="en-US"/>
        </w:rPr>
      </w:pPr>
      <w:r w:rsidRPr="001E65D6">
        <w:rPr>
          <w:rFonts w:ascii="Calibri" w:hAnsi="Calibri"/>
          <w:noProof/>
          <w:color w:val="000000"/>
          <w:sz w:val="22"/>
          <w:szCs w:val="22"/>
          <w:lang w:eastAsia="en-GB"/>
        </w:rPr>
        <mc:AlternateContent>
          <mc:Choice Requires="wps">
            <w:drawing>
              <wp:anchor distT="0" distB="0" distL="114300" distR="114300" simplePos="0" relativeHeight="251680768" behindDoc="0" locked="0" layoutInCell="1" allowOverlap="1" wp14:anchorId="29B1CA35" wp14:editId="24A7180A">
                <wp:simplePos x="0" y="0"/>
                <wp:positionH relativeFrom="column">
                  <wp:posOffset>1873873</wp:posOffset>
                </wp:positionH>
                <wp:positionV relativeFrom="paragraph">
                  <wp:posOffset>-635</wp:posOffset>
                </wp:positionV>
                <wp:extent cx="2471596" cy="433388"/>
                <wp:effectExtent l="0" t="0" r="0" b="0"/>
                <wp:wrapNone/>
                <wp:docPr id="15" name="Text Box 15"/>
                <wp:cNvGraphicFramePr/>
                <a:graphic xmlns:a="http://schemas.openxmlformats.org/drawingml/2006/main">
                  <a:graphicData uri="http://schemas.microsoft.com/office/word/2010/wordprocessingShape">
                    <wps:wsp>
                      <wps:cNvSpPr txBox="1"/>
                      <wps:spPr>
                        <a:xfrm>
                          <a:off x="0" y="0"/>
                          <a:ext cx="2471596" cy="433388"/>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A500744" w14:textId="77777777" w:rsidR="00CF7991" w:rsidRPr="00116590" w:rsidRDefault="00000000" w:rsidP="00CF7991">
                            <w:pPr>
                              <w:pStyle w:val="NormalWeb"/>
                              <w:spacing w:before="0" w:beforeAutospacing="0" w:after="0" w:afterAutospacing="0"/>
                              <w:rPr>
                                <w:color w:val="000000" w:themeColor="text1"/>
                              </w:rPr>
                            </w:pPr>
                            <m:oMathPara>
                              <m:oMathParaPr>
                                <m:jc m:val="centerGroup"/>
                              </m:oMathParaPr>
                              <m:oMath>
                                <m:f>
                                  <m:fPr>
                                    <m:ctrlPr>
                                      <w:rPr>
                                        <w:rFonts w:ascii="Cambria Math" w:hAnsi="Cambria Math" w:cstheme="minorBidi"/>
                                        <w:i/>
                                        <w:iCs/>
                                        <w:color w:val="000000" w:themeColor="text1"/>
                                        <w:sz w:val="22"/>
                                        <w:szCs w:val="22"/>
                                      </w:rPr>
                                    </m:ctrlPr>
                                  </m:fPr>
                                  <m:num>
                                    <m:r>
                                      <w:rPr>
                                        <w:rFonts w:ascii="Cambria Math" w:hAnsi="Cambria Math" w:cstheme="minorBidi"/>
                                        <w:color w:val="000000" w:themeColor="text1"/>
                                        <w:sz w:val="22"/>
                                        <w:szCs w:val="22"/>
                                        <w:lang w:val="en-US"/>
                                      </w:rPr>
                                      <m:t>stdev {NPP1…NPP12}</m:t>
                                    </m:r>
                                  </m:num>
                                  <m:den>
                                    <m:r>
                                      <w:rPr>
                                        <w:rFonts w:ascii="Cambria Math" w:hAnsi="Cambria Math" w:cstheme="minorBidi"/>
                                        <w:color w:val="000000" w:themeColor="text1"/>
                                        <w:sz w:val="22"/>
                                        <w:szCs w:val="22"/>
                                        <w:lang w:val="en-US"/>
                                      </w:rPr>
                                      <m:t>mean {NPP1…NPP12}</m:t>
                                    </m:r>
                                  </m:den>
                                </m:f>
                                <m:r>
                                  <w:rPr>
                                    <w:rFonts w:ascii="Cambria Math" w:hAnsi="Cambria Math" w:cstheme="minorBidi"/>
                                    <w:color w:val="000000" w:themeColor="text1"/>
                                    <w:sz w:val="22"/>
                                    <w:szCs w:val="22"/>
                                  </w:rPr>
                                  <m:t xml:space="preserve"> x 100</m:t>
                                </m:r>
                              </m:oMath>
                            </m:oMathPara>
                          </w:p>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w:pict>
              <v:shape w14:anchorId="29B1CA35" id="Text Box 15" o:spid="_x0000_s1041" type="#_x0000_t202" style="position:absolute;margin-left:147.55pt;margin-top:-.05pt;width:194.6pt;height:34.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" filled="f" stroked="f">
                <v:textbox>
                  <w:txbxContent>
                    <w:p w14:paraId="3A500744" w14:textId="77777777" w:rsidR="00CF7991" w:rsidRPr="00116590" w:rsidRDefault="00000000" w:rsidP="00CF7991">
                      <w:pPr>
                        <w:pStyle w:val="NormalWeb"/>
                        <w:spacing w:before="0" w:beforeAutospacing="0" w:after="0" w:afterAutospacing="0"/>
                        <w:rPr>
                          <w:color w:val="000000" w:themeColor="text1"/>
                        </w:rPr>
                      </w:pPr>
                      <m:oMathPara>
                        <m:oMathParaPr>
                          <m:jc m:val="centerGroup"/>
                        </m:oMathParaPr>
                        <m:oMath>
                          <m:f>
                            <m:fPr>
                              <m:ctrlPr>
                                <w:rPr>
                                  <w:rFonts w:ascii="Cambria Math" w:hAnsi="Cambria Math" w:cstheme="minorBidi"/>
                                  <w:i/>
                                  <w:iCs/>
                                  <w:color w:val="000000" w:themeColor="text1"/>
                                  <w:sz w:val="22"/>
                                  <w:szCs w:val="22"/>
                                </w:rPr>
                              </m:ctrlPr>
                            </m:fPr>
                            <m:num>
                              <m:r>
                                <w:rPr>
                                  <w:rFonts w:ascii="Cambria Math" w:hAnsi="Cambria Math" w:cstheme="minorBidi"/>
                                  <w:color w:val="000000" w:themeColor="text1"/>
                                  <w:sz w:val="22"/>
                                  <w:szCs w:val="22"/>
                                  <w:lang w:val="en-US"/>
                                </w:rPr>
                                <m:t>stdev {NPP1…NPP12}</m:t>
                              </m:r>
                            </m:num>
                            <m:den>
                              <m:r>
                                <w:rPr>
                                  <w:rFonts w:ascii="Cambria Math" w:hAnsi="Cambria Math" w:cstheme="minorBidi"/>
                                  <w:color w:val="000000" w:themeColor="text1"/>
                                  <w:sz w:val="22"/>
                                  <w:szCs w:val="22"/>
                                  <w:lang w:val="en-US"/>
                                </w:rPr>
                                <m:t>mean {NPP1…NPP12}</m:t>
                              </m:r>
                            </m:den>
                          </m:f>
                          <m:r>
                            <w:rPr>
                              <w:rFonts w:ascii="Cambria Math" w:hAnsi="Cambria Math" w:cstheme="minorBidi"/>
                              <w:color w:val="000000" w:themeColor="text1"/>
                              <w:sz w:val="22"/>
                              <w:szCs w:val="22"/>
                            </w:rPr>
                            <m:t xml:space="preserve"> x 100</m:t>
                          </m:r>
                        </m:oMath>
                      </m:oMathPara>
                    </w:p>
                  </w:txbxContent>
                </v:textbox>
              </v:shape>
            </w:pict>
          </mc:Fallback>
        </mc:AlternateContent>
      </w:r>
    </w:p>
    <w:p w14:paraId="74667C58" w14:textId="77777777" w:rsidR="00CF7991" w:rsidRDefault="00CF7991" w:rsidP="00CF7991">
      <w:pPr>
        <w:spacing w:line="480" w:lineRule="auto"/>
        <w:rPr>
          <w:b/>
          <w:bCs/>
          <w:sz w:val="28"/>
          <w:szCs w:val="28"/>
          <w:lang w:val="en-US"/>
        </w:rPr>
      </w:pPr>
    </w:p>
    <w:p w14:paraId="1ABD2CAA" w14:textId="20AAF025" w:rsidR="00CF7991" w:rsidRPr="001E65D6" w:rsidRDefault="00CF7991" w:rsidP="00CF7991">
      <w:pPr>
        <w:pStyle w:val="Heading2"/>
        <w:rPr>
          <w:rFonts w:cstheme="minorHAnsi"/>
          <w:b/>
          <w:bCs/>
          <w:lang w:val="en-US"/>
        </w:rPr>
      </w:pPr>
      <w:bookmarkStart w:id="33" w:name="_Toc120622122"/>
      <w:r w:rsidRPr="001E65D6">
        <w:rPr>
          <w:rFonts w:asciiTheme="minorHAnsi" w:hAnsiTheme="minorHAnsi" w:cstheme="minorHAnsi"/>
          <w:b/>
          <w:bCs/>
          <w:color w:val="auto"/>
          <w:lang w:val="en-US"/>
        </w:rPr>
        <w:t>3.4</w:t>
      </w:r>
      <w:r w:rsidRPr="001E65D6">
        <w:rPr>
          <w:rFonts w:asciiTheme="minorHAnsi" w:hAnsiTheme="minorHAnsi" w:cstheme="minorHAnsi"/>
          <w:b/>
          <w:bCs/>
          <w:color w:val="auto"/>
          <w:lang w:val="en-US"/>
        </w:rPr>
        <w:tab/>
        <w:t>Results</w:t>
      </w:r>
      <w:bookmarkEnd w:id="33"/>
    </w:p>
    <w:p w14:paraId="68755F0F" w14:textId="4600CC14" w:rsidR="0011155F" w:rsidRDefault="00CF7991" w:rsidP="00CF7991">
      <w:pPr>
        <w:spacing w:line="480" w:lineRule="auto"/>
      </w:pPr>
      <w:r w:rsidRPr="00260745">
        <w:rPr>
          <w:lang w:val="en-US"/>
        </w:rPr>
        <w:t xml:space="preserve">Litterfall data were found from 20 studies </w:t>
      </w:r>
      <w:r w:rsidR="007B1608">
        <w:rPr>
          <w:lang w:val="en-US"/>
        </w:rPr>
        <w:t xml:space="preserve">and </w:t>
      </w:r>
      <w:r w:rsidRPr="00260745">
        <w:rPr>
          <w:lang w:val="en-US"/>
        </w:rPr>
        <w:t xml:space="preserve">across 18 </w:t>
      </w:r>
      <w:r w:rsidR="007B1608">
        <w:rPr>
          <w:lang w:val="en-US"/>
        </w:rPr>
        <w:t xml:space="preserve">of 38 </w:t>
      </w:r>
      <w:r w:rsidRPr="00260745">
        <w:rPr>
          <w:lang w:val="en-US"/>
        </w:rPr>
        <w:t>marine provinces</w:t>
      </w:r>
      <w:r w:rsidR="007B1608">
        <w:rPr>
          <w:lang w:val="en-US"/>
        </w:rPr>
        <w:t xml:space="preserve"> where mangroves are found globally </w:t>
      </w:r>
      <w:r w:rsidR="002F6E32">
        <w:rPr>
          <w:lang w:val="en-US"/>
        </w:rPr>
        <w:t>(Figure 3.1a)</w:t>
      </w:r>
      <w:r w:rsidRPr="00260745">
        <w:rPr>
          <w:lang w:val="en-US"/>
        </w:rPr>
        <w:t xml:space="preserve">. </w:t>
      </w:r>
      <w:r w:rsidR="006961D7">
        <w:rPr>
          <w:lang w:val="en-US"/>
        </w:rPr>
        <w:t>M</w:t>
      </w:r>
      <w:r w:rsidR="007F292A">
        <w:rPr>
          <w:lang w:val="en-US"/>
        </w:rPr>
        <w:t xml:space="preserve">angrove litterfall measurements were </w:t>
      </w:r>
      <w:r w:rsidR="00BF3671">
        <w:rPr>
          <w:lang w:val="en-US"/>
        </w:rPr>
        <w:t xml:space="preserve">taken from </w:t>
      </w:r>
      <w:r w:rsidR="00371A31">
        <w:rPr>
          <w:lang w:val="en-US"/>
        </w:rPr>
        <w:t xml:space="preserve">spanned latitudes </w:t>
      </w:r>
      <w:r w:rsidR="002B5F1E">
        <w:rPr>
          <w:lang w:val="en-US"/>
        </w:rPr>
        <w:t>N-31</w:t>
      </w:r>
      <w:r w:rsidR="002B5F1E">
        <w:rPr>
          <w:lang w:val="en-US"/>
        </w:rPr>
        <w:sym w:font="Symbol" w:char="F0B0"/>
      </w:r>
      <w:r w:rsidR="00371A31">
        <w:rPr>
          <w:lang w:val="en-US"/>
        </w:rPr>
        <w:t xml:space="preserve"> to </w:t>
      </w:r>
      <w:r w:rsidR="002B5F1E">
        <w:rPr>
          <w:lang w:val="en-US"/>
        </w:rPr>
        <w:t>N26</w:t>
      </w:r>
      <w:r w:rsidR="002B5F1E">
        <w:rPr>
          <w:lang w:val="en-US"/>
        </w:rPr>
        <w:sym w:font="Symbol" w:char="F0B0"/>
      </w:r>
      <w:r w:rsidR="006871AC">
        <w:rPr>
          <w:lang w:val="en-US"/>
        </w:rPr>
        <w:t>, which</w:t>
      </w:r>
      <w:r w:rsidR="006961D7">
        <w:rPr>
          <w:lang w:val="en-US"/>
        </w:rPr>
        <w:t xml:space="preserve"> includes</w:t>
      </w:r>
      <w:r w:rsidR="006871AC">
        <w:rPr>
          <w:lang w:val="en-US"/>
        </w:rPr>
        <w:t xml:space="preserve"> </w:t>
      </w:r>
      <w:r w:rsidR="00B417A7">
        <w:rPr>
          <w:lang w:val="en-US"/>
        </w:rPr>
        <w:t>&gt;</w:t>
      </w:r>
      <w:r w:rsidR="001575F4">
        <w:rPr>
          <w:lang w:val="en-US"/>
        </w:rPr>
        <w:t>80</w:t>
      </w:r>
      <w:r w:rsidR="00B417A7">
        <w:rPr>
          <w:lang w:val="en-US"/>
        </w:rPr>
        <w:t xml:space="preserve">% of </w:t>
      </w:r>
      <w:r w:rsidR="006871AC">
        <w:rPr>
          <w:lang w:val="en-US"/>
        </w:rPr>
        <w:t>the latitudinal range where mangroves are found globally (N-3</w:t>
      </w:r>
      <w:r w:rsidR="00230749">
        <w:rPr>
          <w:lang w:val="en-US"/>
        </w:rPr>
        <w:t>8</w:t>
      </w:r>
      <w:r w:rsidR="006871AC">
        <w:rPr>
          <w:lang w:val="en-US"/>
        </w:rPr>
        <w:sym w:font="Symbol" w:char="F0B0"/>
      </w:r>
      <w:r w:rsidR="006871AC">
        <w:rPr>
          <w:lang w:val="en-US"/>
        </w:rPr>
        <w:t xml:space="preserve"> to N</w:t>
      </w:r>
      <w:r w:rsidR="00230749">
        <w:rPr>
          <w:lang w:val="en-US"/>
        </w:rPr>
        <w:t>32</w:t>
      </w:r>
      <w:r w:rsidR="006871AC">
        <w:rPr>
          <w:lang w:val="en-US"/>
        </w:rPr>
        <w:sym w:font="Symbol" w:char="F0B0"/>
      </w:r>
      <w:r w:rsidR="006871AC">
        <w:rPr>
          <w:lang w:val="en-US"/>
        </w:rPr>
        <w:t>)</w:t>
      </w:r>
      <w:r w:rsidR="004A5E1C">
        <w:rPr>
          <w:lang w:val="en-US"/>
        </w:rPr>
        <w:t xml:space="preserve"> (</w:t>
      </w:r>
      <w:proofErr w:type="spellStart"/>
      <w:r w:rsidR="004A5E1C">
        <w:rPr>
          <w:lang w:val="en-US"/>
        </w:rPr>
        <w:t>Giri</w:t>
      </w:r>
      <w:proofErr w:type="spellEnd"/>
      <w:r w:rsidR="004A5E1C">
        <w:rPr>
          <w:lang w:val="en-US"/>
        </w:rPr>
        <w:t xml:space="preserve"> et al. 2011)</w:t>
      </w:r>
      <w:r w:rsidR="00371A31">
        <w:rPr>
          <w:lang w:val="en-US"/>
        </w:rPr>
        <w:t xml:space="preserve">. </w:t>
      </w:r>
      <w:r w:rsidR="00344D5B">
        <w:rPr>
          <w:lang w:val="en-US"/>
        </w:rPr>
        <w:t xml:space="preserve">As </w:t>
      </w:r>
      <w:r w:rsidR="00A754D2">
        <w:rPr>
          <w:lang w:val="en-US"/>
        </w:rPr>
        <w:t xml:space="preserve">latitude is a significant predictor of mangrove biomass and productivity </w:t>
      </w:r>
      <w:r w:rsidR="00E85770">
        <w:rPr>
          <w:lang w:val="en-US"/>
        </w:rPr>
        <w:t xml:space="preserve">(Hutchinson et al. 2014; </w:t>
      </w:r>
      <w:r w:rsidR="006F5500">
        <w:rPr>
          <w:lang w:val="en-US"/>
        </w:rPr>
        <w:t xml:space="preserve">Ribeiro et al. 2019) </w:t>
      </w:r>
      <w:r w:rsidR="00F165CE">
        <w:rPr>
          <w:lang w:val="en-US"/>
        </w:rPr>
        <w:t xml:space="preserve">the majority of variation in </w:t>
      </w:r>
      <w:r w:rsidR="009F0387">
        <w:rPr>
          <w:lang w:val="en-US"/>
        </w:rPr>
        <w:t>biomass and productivity due to latitude was captured by the literature data.</w:t>
      </w:r>
      <w:r w:rsidR="005E5A46">
        <w:rPr>
          <w:lang w:val="en-US"/>
        </w:rPr>
        <w:t xml:space="preserve"> </w:t>
      </w:r>
      <w:r w:rsidRPr="00260745">
        <w:rPr>
          <w:lang w:val="en-US"/>
        </w:rPr>
        <w:t xml:space="preserve">These studies yielded a total of 1,144 litterfall data points to later be used in modelling of global litterfall rates. </w:t>
      </w:r>
      <w:r w:rsidRPr="00260745">
        <w:rPr>
          <w:noProof/>
        </w:rPr>
        <w:t>Random</w:t>
      </w:r>
      <w:r w:rsidRPr="00260745">
        <w:t xml:space="preserve"> forest modelling </w:t>
      </w:r>
      <w:r w:rsidR="00D73AB9">
        <w:t xml:space="preserve">that used the full suite of </w:t>
      </w:r>
      <w:proofErr w:type="spellStart"/>
      <w:r w:rsidR="00D73AB9">
        <w:t>bioclim</w:t>
      </w:r>
      <w:proofErr w:type="spellEnd"/>
      <w:r w:rsidR="00D73AB9">
        <w:t xml:space="preserve"> predictor variables (Table A1) </w:t>
      </w:r>
      <w:r w:rsidRPr="00260745">
        <w:t>captured a greater proportion of variation in monthly leaf litter data (R</w:t>
      </w:r>
      <w:r w:rsidRPr="00260745">
        <w:rPr>
          <w:vertAlign w:val="superscript"/>
        </w:rPr>
        <w:t>2</w:t>
      </w:r>
      <w:r w:rsidRPr="00260745">
        <w:t xml:space="preserve"> = 55%) than Linear modelling (Multiple Linear Regression: </w:t>
      </w:r>
      <w:r w:rsidRPr="00260745">
        <w:rPr>
          <w:noProof/>
          <w:lang w:eastAsia="en-GB"/>
        </w:rPr>
        <w:t>F</w:t>
      </w:r>
      <w:r w:rsidRPr="00260745">
        <w:rPr>
          <w:noProof/>
          <w:vertAlign w:val="subscript"/>
          <w:lang w:eastAsia="en-GB"/>
        </w:rPr>
        <w:t>8, 463</w:t>
      </w:r>
      <w:r w:rsidRPr="00260745">
        <w:rPr>
          <w:noProof/>
          <w:lang w:eastAsia="en-GB"/>
        </w:rPr>
        <w:t>=31.00, p&lt;0.01, R</w:t>
      </w:r>
      <w:r w:rsidRPr="00260745">
        <w:rPr>
          <w:noProof/>
          <w:vertAlign w:val="superscript"/>
          <w:lang w:eastAsia="en-GB"/>
        </w:rPr>
        <w:t>2</w:t>
      </w:r>
      <w:r w:rsidRPr="00260745">
        <w:rPr>
          <w:noProof/>
          <w:lang w:eastAsia="en-GB"/>
        </w:rPr>
        <w:t>=0.34)</w:t>
      </w:r>
      <w:r w:rsidRPr="00260745">
        <w:t xml:space="preserve">. Random forest model was selected as the final model for predicting monthly leaf litterfall, as cross validation revealed it outperformed the linear model in making test dataset predictions (CV Random Forest: </w:t>
      </w:r>
      <w:r w:rsidRPr="00260745">
        <w:rPr>
          <w:lang w:val="en-US"/>
        </w:rPr>
        <w:t>∆</w:t>
      </w:r>
      <w:r w:rsidRPr="00260745">
        <w:t>R</w:t>
      </w:r>
      <w:r w:rsidRPr="00260745">
        <w:rPr>
          <w:vertAlign w:val="superscript"/>
        </w:rPr>
        <w:t>2</w:t>
      </w:r>
      <w:r w:rsidRPr="00260745">
        <w:t xml:space="preserve"> = +0.</w:t>
      </w:r>
      <w:r w:rsidRPr="00260745">
        <w:rPr>
          <w:lang w:val="en-US"/>
        </w:rPr>
        <w:t xml:space="preserve">20). </w:t>
      </w:r>
      <w:r w:rsidRPr="00260745">
        <w:t xml:space="preserve">The most important predictor of monthly leaf litterfall was </w:t>
      </w:r>
      <w:r w:rsidRPr="00260745">
        <w:rPr>
          <w:lang w:val="en-US"/>
        </w:rPr>
        <w:t>mean monthly air temperature</w:t>
      </w:r>
      <w:r w:rsidRPr="00260745">
        <w:t>, which when dropped, accounted for 14.2% increase in the model’s mean squared error (MSE</w:t>
      </w:r>
      <w:r w:rsidR="00341ECB">
        <w:t>, Figure 3.</w:t>
      </w:r>
      <w:r w:rsidR="0099737C">
        <w:t>2</w:t>
      </w:r>
      <w:r w:rsidR="00341ECB">
        <w:t>a</w:t>
      </w:r>
      <w:r w:rsidRPr="00260745">
        <w:t>).</w:t>
      </w:r>
      <w:r w:rsidR="00527A60">
        <w:t xml:space="preserve"> </w:t>
      </w:r>
      <w:r w:rsidR="00527A60" w:rsidRPr="00527A60">
        <w:t xml:space="preserve">The partial dependence plot for </w:t>
      </w:r>
      <w:r w:rsidR="00527A60">
        <w:t xml:space="preserve">mean monthly air temperature predicted a significant increase in litterfall rates </w:t>
      </w:r>
      <w:r w:rsidR="00830B2E">
        <w:t>once mean monthly air temperatures were &gt;~11</w:t>
      </w:r>
      <w:r w:rsidR="00830B2E">
        <w:sym w:font="Symbol" w:char="F0B0"/>
      </w:r>
      <w:r w:rsidR="00830B2E">
        <w:t xml:space="preserve">C </w:t>
      </w:r>
      <w:r w:rsidR="00527A60" w:rsidRPr="00527A60">
        <w:t>when the effects of other factors were excluded</w:t>
      </w:r>
      <w:r w:rsidR="00830B2E">
        <w:t xml:space="preserve"> (Figure </w:t>
      </w:r>
      <w:r w:rsidR="003E6985">
        <w:t>3.</w:t>
      </w:r>
      <w:r w:rsidR="0099737C">
        <w:t>2</w:t>
      </w:r>
      <w:r w:rsidR="004329F6">
        <w:t>b</w:t>
      </w:r>
      <w:r w:rsidR="003E6985">
        <w:t xml:space="preserve">). </w:t>
      </w:r>
    </w:p>
    <w:p w14:paraId="6FCDB555" w14:textId="77777777" w:rsidR="00C15BA8" w:rsidRDefault="00C15BA8" w:rsidP="00CF7991">
      <w:pPr>
        <w:spacing w:line="480" w:lineRule="auto"/>
        <w:sectPr w:rsidR="00C15BA8" w:rsidSect="002A3FD6">
          <w:pgSz w:w="11906" w:h="16838"/>
          <w:pgMar w:top="1440" w:right="1440" w:bottom="1440" w:left="1440" w:header="708" w:footer="708" w:gutter="0"/>
          <w:cols w:space="708"/>
          <w:docGrid w:linePitch="360"/>
        </w:sectPr>
      </w:pPr>
    </w:p>
    <w:p w14:paraId="5F0F9494" w14:textId="77777777" w:rsidR="00C15BA8" w:rsidRPr="001E65D6" w:rsidRDefault="00C15BA8" w:rsidP="00C15BA8">
      <w:pPr>
        <w:spacing w:line="480" w:lineRule="auto"/>
        <w:rPr>
          <w:sz w:val="22"/>
          <w:szCs w:val="22"/>
          <w:lang w:val="en-US"/>
        </w:rPr>
      </w:pPr>
      <w:r>
        <w:rPr>
          <w:b/>
          <w:bCs/>
          <w:noProof/>
          <w:sz w:val="18"/>
          <w:szCs w:val="18"/>
        </w:rPr>
        <w:lastRenderedPageBreak/>
        <w:drawing>
          <wp:inline distT="0" distB="0" distL="0" distR="0" wp14:anchorId="3BDC4EA9" wp14:editId="30E998E6">
            <wp:extent cx="6770211" cy="7188741"/>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844464" cy="7267584"/>
                    </a:xfrm>
                    <a:prstGeom prst="rect">
                      <a:avLst/>
                    </a:prstGeom>
                  </pic:spPr>
                </pic:pic>
              </a:graphicData>
            </a:graphic>
          </wp:inline>
        </w:drawing>
      </w:r>
    </w:p>
    <w:p w14:paraId="73C3DC03" w14:textId="77777777" w:rsidR="00C15BA8" w:rsidRDefault="00C15BA8" w:rsidP="00C15BA8">
      <w:pPr>
        <w:rPr>
          <w:sz w:val="22"/>
          <w:szCs w:val="22"/>
          <w:lang w:val="en-US"/>
        </w:rPr>
        <w:sectPr w:rsidR="00C15BA8" w:rsidSect="00026D56">
          <w:pgSz w:w="11906" w:h="16838"/>
          <w:pgMar w:top="720" w:right="720" w:bottom="720" w:left="720" w:header="708" w:footer="708" w:gutter="0"/>
          <w:cols w:space="708"/>
          <w:docGrid w:linePitch="360"/>
        </w:sectPr>
      </w:pPr>
      <w:r>
        <w:rPr>
          <w:b/>
          <w:bCs/>
          <w:sz w:val="20"/>
          <w:szCs w:val="20"/>
          <w:lang w:val="en-US"/>
        </w:rPr>
        <w:t>Figure 3.1: a) Locations of studies where litterfall data were taken from to develop the numerical model used in predicting mangrove productivity in space and time; b) Marine provinces (</w:t>
      </w:r>
      <w:proofErr w:type="spellStart"/>
      <w:r>
        <w:rPr>
          <w:b/>
          <w:bCs/>
          <w:sz w:val="20"/>
          <w:szCs w:val="20"/>
          <w:lang w:val="en-US"/>
        </w:rPr>
        <w:t>colour</w:t>
      </w:r>
      <w:proofErr w:type="spellEnd"/>
      <w:r>
        <w:rPr>
          <w:b/>
          <w:bCs/>
          <w:sz w:val="20"/>
          <w:szCs w:val="20"/>
          <w:lang w:val="en-US"/>
        </w:rPr>
        <w:t xml:space="preserve"> coded) used for grouping global mangrove Net Primary Productivity (NPP) spatially </w:t>
      </w:r>
      <w:r>
        <w:rPr>
          <w:b/>
          <w:bCs/>
          <w:sz w:val="20"/>
          <w:szCs w:val="20"/>
          <w:lang w:val="en-US"/>
        </w:rPr>
        <w:fldChar w:fldCharType="begin" w:fldLock="1"/>
      </w:r>
      <w:r>
        <w:rPr>
          <w:b/>
          <w:bCs/>
          <w:sz w:val="20"/>
          <w:szCs w:val="20"/>
          <w:lang w:val="en-US"/>
        </w:rPr>
        <w:instrText>ADDIN CSL_CITATION {"citationItems":[{"id":"ITEM-1","itemData":{"abstract":"The conservation and sustainable use of marine resources is a highlighted goal on a growing number of national and international policy agendas.\\r\\nUnfortunately, efforts to assess progress, as well as to strategically plan and prioritize new marine conservation measures, have been hampered by the\\r\\nlack of a detailed, comprehensive biogeographic system to classify the oceans. Here we report on a new global system for coastal and shelf areas: the\\r\\nMarine Ecoregions of the World, or MEOW, a nested system of 12 realms, 62 provinces, and 232 ecoregions. This system provides considerably better\\r\\nspatial resolution than earlier global systems, yet it preserves many common elements and can be cross-referenced to many regional biogeographic\\r\\nclassifications. The designation of terrestrial ecoregions has revolutionized priority setting and planning for terrestrial conservation; we anticipate\\r\\nsimilar benefits from the use of a coherent and credible marine system.","author":[{"dropping-particle":"","family":"Spalding","given":"Mark","non-dropping-particle":"","parse-names":false,"suffix":""},{"dropping-particle":"","family":"Fox","given":"Helen","non-dropping-particle":"","parse-names":false,"suffix":""},{"dropping-particle":"","family":"Allen","given":"Gerald","non-dropping-particle":"","parse-names":false,"suffix":""},{"dropping-particle":"","family":"Davidson","given":"Nick","non-dropping-particle":"","parse-names":false,"suffix":""},{"dropping-particle":"","family":"Ferdana","given":"Zach","non-dropping-particle":"","parse-names":false,"suffix":""},{"dropping-particle":"","family":"Finlayson","given":"Max","non-dropping-particle":"","parse-names":false,"suffix":""},{"dropping-particle":"","family":"Halpern","given":"Benjamin","non-dropping-particle":"","parse-names":false,"suffix":""},{"dropping-particle":"","family":"Jorge","given":"Miguel","non-dropping-particle":"","parse-names":false,"suffix":""},{"dropping-particle":"","family":"Lombana","given":"AL","non-dropping-particle":"","parse-names":false,"suffix":""},{"dropping-particle":"","family":"Lourie","given":"Sara","non-dropping-particle":"","parse-names":false,"suffix":""},{"dropping-particle":"","family":"Kirsten","given":"Martin","non-dropping-particle":"","parse-names":false,"suffix":""},{"dropping-particle":"","family":"McManus","given":"Edmund","non-dropping-particle":"","parse-names":false,"suffix":""},{"dropping-particle":"","family":"Molnar","given":"Jennifer","non-dropping-particle":"","parse-names":false,"suffix":""},{"dropping-particle":"","family":"Recchia","given":"Cheri","non-dropping-particle":"","parse-names":false,"suffix":""},{"dropping-particle":"","family":"Robertson","given":"James","non-dropping-particle":"","parse-names":false,"suffix":""},{"dropping-particle":"","family":"Fox","given":"Helen E","non-dropping-particle":"","parse-names":false,"suffix":""},{"dropping-particle":"","family":"Allen","given":"Gerald R","non-dropping-particle":"","parse-names":false,"suffix":""},{"dropping-particle":"","family":"Davidson","given":"Nick","non-dropping-particle":"","parse-names":false,"suffix":""},{"dropping-particle":"","family":"Ferdaña","given":"Zach A","non-dropping-particle":"","parse-names":false,"suffix":""},{"dropping-particle":"","family":"Finlayson","given":"M A X","non-dropping-particle":"","parse-names":false,"suffix":""},{"dropping-particle":"","family":"Halpern","given":"Benjamin S","non-dropping-particle":"","parse-names":false,"suffix":""},{"dropping-particle":"","family":"Jorge","given":"Miguel A","non-dropping-particle":"","parse-names":false,"suffix":""},{"dropping-particle":"","family":"Lombana","given":"A L","non-dropping-particle":"","parse-names":false,"suffix":""},{"dropping-particle":"","family":"Lourie","given":"Sara A","non-dropping-particle":"","parse-names":false,"suffix":""},{"dropping-particle":"","family":"Martin","given":"Kirsten D","non-dropping-particle":"","parse-names":false,"suffix":""},{"dropping-particle":"","family":"Manus","given":"M C","non-dropping-particle":"","parse-names":false,"suffix":""},{"dropping-particle":"","family":"Molnar","given":"Jennifer","non-dropping-particle":"","parse-names":false,"suffix":""},{"dropping-particle":"","family":"Recchia","given":"Cheri A","non-dropping-particle":"","parse-names":false,"suffix":""},{"dropping-particle":"","family":"Robertson","given":"James","non-dropping-particle":"","parse-names":false,"suffix":""}],"container-title":"BioScience","id":"ITEM-1","issue":"7","issued":{"date-parts":[["2007"]]},"page":"573-583","title":"Marine Ecoregions of the World : A Bioregionalization of Coastal and Shelf Areas","type":"article-journal","volume":"57"},"uris":["http://www.mendeley.com/documents/?uuid=332315a7-4c20-4e99-a208-1615f5861f7a"]}],"mendeley":{"formattedCitation":"(Spalding et al., 2007)","plainTextFormattedCitation":"(Spalding et al., 2007)","previouslyFormattedCitation":"(Spalding et al., 2007)"},"properties":{"noteIndex":0},"schema":"https://github.com/citation-style-language/schema/raw/master/csl-citation.json"}</w:instrText>
      </w:r>
      <w:r>
        <w:rPr>
          <w:b/>
          <w:bCs/>
          <w:sz w:val="20"/>
          <w:szCs w:val="20"/>
          <w:lang w:val="en-US"/>
        </w:rPr>
        <w:fldChar w:fldCharType="separate"/>
      </w:r>
      <w:r w:rsidRPr="00BB091F">
        <w:rPr>
          <w:bCs/>
          <w:noProof/>
          <w:sz w:val="20"/>
          <w:szCs w:val="20"/>
          <w:lang w:val="en-US"/>
        </w:rPr>
        <w:t>(Spalding et al., 2007)</w:t>
      </w:r>
      <w:r>
        <w:rPr>
          <w:b/>
          <w:bCs/>
          <w:sz w:val="20"/>
          <w:szCs w:val="20"/>
          <w:lang w:val="en-US"/>
        </w:rPr>
        <w:fldChar w:fldCharType="end"/>
      </w:r>
      <w:r>
        <w:rPr>
          <w:b/>
          <w:bCs/>
          <w:sz w:val="20"/>
          <w:szCs w:val="20"/>
          <w:lang w:val="en-US"/>
        </w:rPr>
        <w:t xml:space="preserve">. Provinces are: 1: </w:t>
      </w:r>
      <w:r w:rsidRPr="00775B6F">
        <w:rPr>
          <w:b/>
          <w:bCs/>
          <w:sz w:val="20"/>
          <w:szCs w:val="20"/>
          <w:lang w:val="en-US"/>
        </w:rPr>
        <w:t>Agulhas</w:t>
      </w:r>
      <w:r>
        <w:rPr>
          <w:b/>
          <w:bCs/>
          <w:sz w:val="20"/>
          <w:szCs w:val="20"/>
          <w:lang w:val="en-US"/>
        </w:rPr>
        <w:t xml:space="preserve">, 2: </w:t>
      </w:r>
      <w:r w:rsidRPr="00775B6F">
        <w:rPr>
          <w:b/>
          <w:bCs/>
          <w:sz w:val="20"/>
          <w:szCs w:val="20"/>
          <w:lang w:val="en-US"/>
        </w:rPr>
        <w:t>Andaman</w:t>
      </w:r>
      <w:r>
        <w:rPr>
          <w:b/>
          <w:bCs/>
          <w:sz w:val="20"/>
          <w:szCs w:val="20"/>
          <w:lang w:val="en-US"/>
        </w:rPr>
        <w:t xml:space="preserve">, 3: </w:t>
      </w:r>
      <w:r w:rsidRPr="00775B6F">
        <w:rPr>
          <w:b/>
          <w:bCs/>
          <w:sz w:val="20"/>
          <w:szCs w:val="20"/>
          <w:lang w:val="en-US"/>
        </w:rPr>
        <w:t>Bay of Bengal</w:t>
      </w:r>
      <w:r>
        <w:rPr>
          <w:b/>
          <w:bCs/>
          <w:sz w:val="20"/>
          <w:szCs w:val="20"/>
          <w:lang w:val="en-US"/>
        </w:rPr>
        <w:t xml:space="preserve">, 4: </w:t>
      </w:r>
      <w:r w:rsidRPr="00775B6F">
        <w:rPr>
          <w:b/>
          <w:bCs/>
          <w:sz w:val="20"/>
          <w:szCs w:val="20"/>
          <w:lang w:val="en-US"/>
        </w:rPr>
        <w:t>Central Indian Ocean Islands</w:t>
      </w:r>
      <w:r>
        <w:rPr>
          <w:b/>
          <w:bCs/>
          <w:sz w:val="20"/>
          <w:szCs w:val="20"/>
          <w:lang w:val="en-US"/>
        </w:rPr>
        <w:t xml:space="preserve">, 5: </w:t>
      </w:r>
      <w:r w:rsidRPr="00775B6F">
        <w:rPr>
          <w:b/>
          <w:bCs/>
          <w:sz w:val="20"/>
          <w:szCs w:val="20"/>
          <w:lang w:val="en-US"/>
        </w:rPr>
        <w:t>East Central Australian Shelf</w:t>
      </w:r>
      <w:r>
        <w:rPr>
          <w:b/>
          <w:bCs/>
          <w:sz w:val="20"/>
          <w:szCs w:val="20"/>
          <w:lang w:val="en-US"/>
        </w:rPr>
        <w:t xml:space="preserve">, 6: </w:t>
      </w:r>
      <w:r w:rsidRPr="00775B6F">
        <w:rPr>
          <w:b/>
          <w:bCs/>
          <w:sz w:val="20"/>
          <w:szCs w:val="20"/>
          <w:lang w:val="en-US"/>
        </w:rPr>
        <w:t>Eastern Coral Triangle</w:t>
      </w:r>
      <w:r>
        <w:rPr>
          <w:b/>
          <w:bCs/>
          <w:sz w:val="20"/>
          <w:szCs w:val="20"/>
          <w:lang w:val="en-US"/>
        </w:rPr>
        <w:t xml:space="preserve">, 7: </w:t>
      </w:r>
      <w:r w:rsidRPr="00775B6F">
        <w:rPr>
          <w:b/>
          <w:bCs/>
          <w:sz w:val="20"/>
          <w:szCs w:val="20"/>
          <w:lang w:val="en-US"/>
        </w:rPr>
        <w:t>Galapagos</w:t>
      </w:r>
      <w:r>
        <w:rPr>
          <w:b/>
          <w:bCs/>
          <w:sz w:val="20"/>
          <w:szCs w:val="20"/>
          <w:lang w:val="en-US"/>
        </w:rPr>
        <w:t xml:space="preserve">, 8: </w:t>
      </w:r>
      <w:r w:rsidRPr="00775B6F">
        <w:rPr>
          <w:b/>
          <w:bCs/>
          <w:sz w:val="20"/>
          <w:szCs w:val="20"/>
          <w:lang w:val="en-US"/>
        </w:rPr>
        <w:t>Gulf of Guinea</w:t>
      </w:r>
      <w:r>
        <w:rPr>
          <w:b/>
          <w:bCs/>
          <w:sz w:val="20"/>
          <w:szCs w:val="20"/>
          <w:lang w:val="en-US"/>
        </w:rPr>
        <w:t xml:space="preserve">, 9: </w:t>
      </w:r>
      <w:r w:rsidRPr="00775B6F">
        <w:rPr>
          <w:b/>
          <w:bCs/>
          <w:sz w:val="20"/>
          <w:szCs w:val="20"/>
          <w:lang w:val="en-US"/>
        </w:rPr>
        <w:t>Hawaii</w:t>
      </w:r>
      <w:r>
        <w:rPr>
          <w:b/>
          <w:bCs/>
          <w:sz w:val="20"/>
          <w:szCs w:val="20"/>
          <w:lang w:val="en-US"/>
        </w:rPr>
        <w:t xml:space="preserve">, 10: </w:t>
      </w:r>
      <w:r w:rsidRPr="00775B6F">
        <w:rPr>
          <w:b/>
          <w:bCs/>
          <w:sz w:val="20"/>
          <w:szCs w:val="20"/>
          <w:lang w:val="en-US"/>
        </w:rPr>
        <w:t>Java Transitional</w:t>
      </w:r>
      <w:r>
        <w:rPr>
          <w:b/>
          <w:bCs/>
          <w:sz w:val="20"/>
          <w:szCs w:val="20"/>
          <w:lang w:val="en-US"/>
        </w:rPr>
        <w:t xml:space="preserve">, 11: </w:t>
      </w:r>
      <w:r w:rsidRPr="00775B6F">
        <w:rPr>
          <w:b/>
          <w:bCs/>
          <w:sz w:val="20"/>
          <w:szCs w:val="20"/>
          <w:lang w:val="en-US"/>
        </w:rPr>
        <w:t>Lusitanian</w:t>
      </w:r>
      <w:r>
        <w:rPr>
          <w:b/>
          <w:bCs/>
          <w:sz w:val="20"/>
          <w:szCs w:val="20"/>
          <w:lang w:val="en-US"/>
        </w:rPr>
        <w:t xml:space="preserve">, 12: </w:t>
      </w:r>
      <w:r w:rsidRPr="00775B6F">
        <w:rPr>
          <w:b/>
          <w:bCs/>
          <w:sz w:val="20"/>
          <w:szCs w:val="20"/>
          <w:lang w:val="en-US"/>
        </w:rPr>
        <w:t>North Brazil Shelf</w:t>
      </w:r>
      <w:r>
        <w:rPr>
          <w:b/>
          <w:bCs/>
          <w:sz w:val="20"/>
          <w:szCs w:val="20"/>
          <w:lang w:val="en-US"/>
        </w:rPr>
        <w:t>, 13:</w:t>
      </w:r>
      <w:r w:rsidRPr="00775B6F">
        <w:t xml:space="preserve"> </w:t>
      </w:r>
      <w:r w:rsidRPr="00775B6F">
        <w:rPr>
          <w:b/>
          <w:bCs/>
          <w:sz w:val="20"/>
          <w:szCs w:val="20"/>
          <w:lang w:val="en-US"/>
        </w:rPr>
        <w:t>Northeast Australian Shelf</w:t>
      </w:r>
      <w:r>
        <w:rPr>
          <w:b/>
          <w:bCs/>
          <w:sz w:val="20"/>
          <w:szCs w:val="20"/>
          <w:lang w:val="en-US"/>
        </w:rPr>
        <w:t xml:space="preserve"> , 14:</w:t>
      </w:r>
      <w:r w:rsidRPr="00775B6F">
        <w:t xml:space="preserve"> </w:t>
      </w:r>
      <w:r w:rsidRPr="00775B6F">
        <w:rPr>
          <w:b/>
          <w:bCs/>
          <w:sz w:val="20"/>
          <w:szCs w:val="20"/>
          <w:lang w:val="en-US"/>
        </w:rPr>
        <w:t>Northern New Zealand</w:t>
      </w:r>
      <w:r>
        <w:rPr>
          <w:b/>
          <w:bCs/>
          <w:sz w:val="20"/>
          <w:szCs w:val="20"/>
          <w:lang w:val="en-US"/>
        </w:rPr>
        <w:t xml:space="preserve"> , 15: </w:t>
      </w:r>
      <w:r w:rsidRPr="00775B6F">
        <w:rPr>
          <w:b/>
          <w:bCs/>
          <w:sz w:val="20"/>
          <w:szCs w:val="20"/>
          <w:lang w:val="en-US"/>
        </w:rPr>
        <w:t>Northwest Australian Shelf</w:t>
      </w:r>
      <w:r>
        <w:rPr>
          <w:b/>
          <w:bCs/>
          <w:sz w:val="20"/>
          <w:szCs w:val="20"/>
          <w:lang w:val="en-US"/>
        </w:rPr>
        <w:t>, 16:</w:t>
      </w:r>
      <w:r w:rsidRPr="00775B6F">
        <w:t xml:space="preserve"> </w:t>
      </w:r>
      <w:r w:rsidRPr="00775B6F">
        <w:rPr>
          <w:b/>
          <w:bCs/>
          <w:sz w:val="20"/>
          <w:szCs w:val="20"/>
          <w:lang w:val="en-US"/>
        </w:rPr>
        <w:t>Red Sea and Gulf of Aden</w:t>
      </w:r>
      <w:r>
        <w:rPr>
          <w:b/>
          <w:bCs/>
          <w:sz w:val="20"/>
          <w:szCs w:val="20"/>
          <w:lang w:val="en-US"/>
        </w:rPr>
        <w:t xml:space="preserve"> , 17: </w:t>
      </w:r>
      <w:r w:rsidRPr="00775B6F">
        <w:rPr>
          <w:b/>
          <w:bCs/>
          <w:sz w:val="20"/>
          <w:szCs w:val="20"/>
          <w:lang w:val="en-US"/>
        </w:rPr>
        <w:t>Sahul Shelf</w:t>
      </w:r>
      <w:r>
        <w:rPr>
          <w:b/>
          <w:bCs/>
          <w:sz w:val="20"/>
          <w:szCs w:val="20"/>
          <w:lang w:val="en-US"/>
        </w:rPr>
        <w:t xml:space="preserve">, 18: </w:t>
      </w:r>
      <w:r w:rsidRPr="00775B6F">
        <w:rPr>
          <w:b/>
          <w:bCs/>
          <w:sz w:val="20"/>
          <w:szCs w:val="20"/>
          <w:lang w:val="en-US"/>
        </w:rPr>
        <w:t>Somali Arabian</w:t>
      </w:r>
      <w:r>
        <w:rPr>
          <w:b/>
          <w:bCs/>
          <w:sz w:val="20"/>
          <w:szCs w:val="20"/>
          <w:lang w:val="en-US"/>
        </w:rPr>
        <w:t xml:space="preserve">, 19: </w:t>
      </w:r>
      <w:r w:rsidRPr="00775B6F">
        <w:rPr>
          <w:b/>
          <w:bCs/>
          <w:sz w:val="20"/>
          <w:szCs w:val="20"/>
          <w:lang w:val="en-US"/>
        </w:rPr>
        <w:t>South China Sea</w:t>
      </w:r>
      <w:r>
        <w:rPr>
          <w:b/>
          <w:bCs/>
          <w:sz w:val="20"/>
          <w:szCs w:val="20"/>
          <w:lang w:val="en-US"/>
        </w:rPr>
        <w:t xml:space="preserve">, 20: </w:t>
      </w:r>
      <w:r w:rsidRPr="00775B6F">
        <w:rPr>
          <w:b/>
          <w:bCs/>
          <w:sz w:val="20"/>
          <w:szCs w:val="20"/>
          <w:lang w:val="en-US"/>
        </w:rPr>
        <w:t>South Kuroshio</w:t>
      </w:r>
      <w:r>
        <w:rPr>
          <w:b/>
          <w:bCs/>
          <w:sz w:val="20"/>
          <w:szCs w:val="20"/>
          <w:lang w:val="en-US"/>
        </w:rPr>
        <w:t xml:space="preserve">, 21: </w:t>
      </w:r>
      <w:r w:rsidRPr="00775B6F">
        <w:rPr>
          <w:b/>
          <w:bCs/>
          <w:sz w:val="20"/>
          <w:szCs w:val="20"/>
          <w:lang w:val="en-US"/>
        </w:rPr>
        <w:t>Southeast Australian Shelf</w:t>
      </w:r>
      <w:r>
        <w:rPr>
          <w:b/>
          <w:bCs/>
          <w:sz w:val="20"/>
          <w:szCs w:val="20"/>
          <w:lang w:val="en-US"/>
        </w:rPr>
        <w:t xml:space="preserve">, 22: </w:t>
      </w:r>
      <w:r w:rsidRPr="00775B6F">
        <w:rPr>
          <w:b/>
          <w:bCs/>
          <w:sz w:val="20"/>
          <w:szCs w:val="20"/>
          <w:lang w:val="en-US"/>
        </w:rPr>
        <w:t>Southern New Zealand</w:t>
      </w:r>
      <w:r>
        <w:rPr>
          <w:b/>
          <w:bCs/>
          <w:sz w:val="20"/>
          <w:szCs w:val="20"/>
          <w:lang w:val="en-US"/>
        </w:rPr>
        <w:t xml:space="preserve">, 23: </w:t>
      </w:r>
      <w:r w:rsidRPr="00775B6F">
        <w:rPr>
          <w:b/>
          <w:bCs/>
          <w:sz w:val="20"/>
          <w:szCs w:val="20"/>
          <w:lang w:val="en-US"/>
        </w:rPr>
        <w:t>Southwest Australian Shelf</w:t>
      </w:r>
      <w:r>
        <w:rPr>
          <w:b/>
          <w:bCs/>
          <w:sz w:val="20"/>
          <w:szCs w:val="20"/>
          <w:lang w:val="en-US"/>
        </w:rPr>
        <w:t xml:space="preserve">, 24: </w:t>
      </w:r>
      <w:proofErr w:type="spellStart"/>
      <w:r w:rsidRPr="00775B6F">
        <w:rPr>
          <w:b/>
          <w:bCs/>
          <w:sz w:val="20"/>
          <w:szCs w:val="20"/>
          <w:lang w:val="en-US"/>
        </w:rPr>
        <w:t>Sunda</w:t>
      </w:r>
      <w:proofErr w:type="spellEnd"/>
      <w:r w:rsidRPr="00775B6F">
        <w:rPr>
          <w:b/>
          <w:bCs/>
          <w:sz w:val="20"/>
          <w:szCs w:val="20"/>
          <w:lang w:val="en-US"/>
        </w:rPr>
        <w:t xml:space="preserve"> Shelf</w:t>
      </w:r>
      <w:r>
        <w:rPr>
          <w:b/>
          <w:bCs/>
          <w:sz w:val="20"/>
          <w:szCs w:val="20"/>
          <w:lang w:val="en-US"/>
        </w:rPr>
        <w:t xml:space="preserve">, 25: </w:t>
      </w:r>
      <w:r w:rsidRPr="00775B6F">
        <w:rPr>
          <w:b/>
          <w:bCs/>
          <w:sz w:val="20"/>
          <w:szCs w:val="20"/>
          <w:lang w:val="en-US"/>
        </w:rPr>
        <w:t>Tropical East Pacific</w:t>
      </w:r>
      <w:r>
        <w:rPr>
          <w:b/>
          <w:bCs/>
          <w:sz w:val="20"/>
          <w:szCs w:val="20"/>
          <w:lang w:val="en-US"/>
        </w:rPr>
        <w:t xml:space="preserve">, 26: </w:t>
      </w:r>
      <w:r w:rsidRPr="00775B6F">
        <w:rPr>
          <w:b/>
          <w:bCs/>
          <w:sz w:val="20"/>
          <w:szCs w:val="20"/>
          <w:lang w:val="en-US"/>
        </w:rPr>
        <w:t>Tropical Northwestern Atlantic</w:t>
      </w:r>
      <w:r>
        <w:rPr>
          <w:b/>
          <w:bCs/>
          <w:sz w:val="20"/>
          <w:szCs w:val="20"/>
          <w:lang w:val="en-US"/>
        </w:rPr>
        <w:t xml:space="preserve">, 27: </w:t>
      </w:r>
      <w:r w:rsidRPr="00775B6F">
        <w:rPr>
          <w:b/>
          <w:bCs/>
          <w:sz w:val="20"/>
          <w:szCs w:val="20"/>
          <w:lang w:val="en-US"/>
        </w:rPr>
        <w:t>Tropical Northwestern Pacific</w:t>
      </w:r>
      <w:r>
        <w:rPr>
          <w:b/>
          <w:bCs/>
          <w:sz w:val="20"/>
          <w:szCs w:val="20"/>
          <w:lang w:val="en-US"/>
        </w:rPr>
        <w:t xml:space="preserve">, 28: </w:t>
      </w:r>
      <w:r w:rsidRPr="00775B6F">
        <w:rPr>
          <w:b/>
          <w:bCs/>
          <w:sz w:val="20"/>
          <w:szCs w:val="20"/>
          <w:lang w:val="en-US"/>
        </w:rPr>
        <w:t>Tropical Southwestern Atlantic</w:t>
      </w:r>
      <w:r>
        <w:rPr>
          <w:b/>
          <w:bCs/>
          <w:sz w:val="20"/>
          <w:szCs w:val="20"/>
          <w:lang w:val="en-US"/>
        </w:rPr>
        <w:t xml:space="preserve">, 29: </w:t>
      </w:r>
      <w:r w:rsidRPr="00775B6F">
        <w:rPr>
          <w:b/>
          <w:bCs/>
          <w:sz w:val="20"/>
          <w:szCs w:val="20"/>
          <w:lang w:val="en-US"/>
        </w:rPr>
        <w:t>Tropical Southwestern Pacific</w:t>
      </w:r>
      <w:r>
        <w:rPr>
          <w:b/>
          <w:bCs/>
          <w:sz w:val="20"/>
          <w:szCs w:val="20"/>
          <w:lang w:val="en-US"/>
        </w:rPr>
        <w:t xml:space="preserve">, 30: </w:t>
      </w:r>
      <w:r w:rsidRPr="00775B6F">
        <w:rPr>
          <w:b/>
          <w:bCs/>
          <w:sz w:val="20"/>
          <w:szCs w:val="20"/>
          <w:lang w:val="en-US"/>
        </w:rPr>
        <w:t>Warm Temperate Northeast Pacific</w:t>
      </w:r>
      <w:r>
        <w:rPr>
          <w:b/>
          <w:bCs/>
          <w:sz w:val="20"/>
          <w:szCs w:val="20"/>
          <w:lang w:val="en-US"/>
        </w:rPr>
        <w:t xml:space="preserve">, 31: </w:t>
      </w:r>
      <w:r w:rsidRPr="002D249D">
        <w:rPr>
          <w:b/>
          <w:bCs/>
          <w:sz w:val="20"/>
          <w:szCs w:val="20"/>
          <w:lang w:val="en-US"/>
        </w:rPr>
        <w:t>Warm Temperate Northwest Atlantic</w:t>
      </w:r>
      <w:r>
        <w:rPr>
          <w:b/>
          <w:bCs/>
          <w:sz w:val="20"/>
          <w:szCs w:val="20"/>
          <w:lang w:val="en-US"/>
        </w:rPr>
        <w:t>, 32:</w:t>
      </w:r>
      <w:r w:rsidRPr="002D249D">
        <w:t xml:space="preserve"> </w:t>
      </w:r>
      <w:r w:rsidRPr="002D249D">
        <w:rPr>
          <w:b/>
          <w:bCs/>
          <w:sz w:val="20"/>
          <w:szCs w:val="20"/>
          <w:lang w:val="en-US"/>
        </w:rPr>
        <w:t>Warm Temperate Northwest Pacific</w:t>
      </w:r>
      <w:r>
        <w:rPr>
          <w:b/>
          <w:bCs/>
          <w:sz w:val="20"/>
          <w:szCs w:val="20"/>
          <w:lang w:val="en-US"/>
        </w:rPr>
        <w:t xml:space="preserve"> , 33: </w:t>
      </w:r>
      <w:r w:rsidRPr="002D249D">
        <w:rPr>
          <w:b/>
          <w:bCs/>
          <w:sz w:val="20"/>
          <w:szCs w:val="20"/>
          <w:lang w:val="en-US"/>
        </w:rPr>
        <w:t>Warm Temperate Southwestern Atlantic</w:t>
      </w:r>
      <w:r>
        <w:rPr>
          <w:b/>
          <w:bCs/>
          <w:sz w:val="20"/>
          <w:szCs w:val="20"/>
          <w:lang w:val="en-US"/>
        </w:rPr>
        <w:t xml:space="preserve">, 34: </w:t>
      </w:r>
      <w:r w:rsidRPr="002D249D">
        <w:rPr>
          <w:b/>
          <w:bCs/>
          <w:sz w:val="20"/>
          <w:szCs w:val="20"/>
          <w:lang w:val="en-US"/>
        </w:rPr>
        <w:t>West African Transition</w:t>
      </w:r>
      <w:r>
        <w:rPr>
          <w:b/>
          <w:bCs/>
          <w:sz w:val="20"/>
          <w:szCs w:val="20"/>
          <w:lang w:val="en-US"/>
        </w:rPr>
        <w:t xml:space="preserve">, 35: </w:t>
      </w:r>
      <w:r w:rsidRPr="002D249D">
        <w:rPr>
          <w:b/>
          <w:bCs/>
          <w:sz w:val="20"/>
          <w:szCs w:val="20"/>
          <w:lang w:val="en-US"/>
        </w:rPr>
        <w:t>West and South Indian Shelf</w:t>
      </w:r>
      <w:r>
        <w:rPr>
          <w:b/>
          <w:bCs/>
          <w:sz w:val="20"/>
          <w:szCs w:val="20"/>
          <w:lang w:val="en-US"/>
        </w:rPr>
        <w:t xml:space="preserve">, 36: </w:t>
      </w:r>
      <w:r w:rsidRPr="002D249D">
        <w:rPr>
          <w:b/>
          <w:bCs/>
          <w:sz w:val="20"/>
          <w:szCs w:val="20"/>
          <w:lang w:val="en-US"/>
        </w:rPr>
        <w:t>West Central Australian Shelf</w:t>
      </w:r>
      <w:r>
        <w:rPr>
          <w:b/>
          <w:bCs/>
          <w:sz w:val="20"/>
          <w:szCs w:val="20"/>
          <w:lang w:val="en-US"/>
        </w:rPr>
        <w:t xml:space="preserve">, 37: </w:t>
      </w:r>
      <w:r w:rsidRPr="002D249D">
        <w:rPr>
          <w:b/>
          <w:bCs/>
          <w:sz w:val="20"/>
          <w:szCs w:val="20"/>
          <w:lang w:val="en-US"/>
        </w:rPr>
        <w:t>Western Coral Triangle</w:t>
      </w:r>
      <w:r>
        <w:rPr>
          <w:b/>
          <w:bCs/>
          <w:sz w:val="20"/>
          <w:szCs w:val="20"/>
          <w:lang w:val="en-US"/>
        </w:rPr>
        <w:t xml:space="preserve">, 38: </w:t>
      </w:r>
      <w:r w:rsidRPr="002D249D">
        <w:rPr>
          <w:b/>
          <w:bCs/>
          <w:sz w:val="20"/>
          <w:szCs w:val="20"/>
          <w:lang w:val="en-US"/>
        </w:rPr>
        <w:t>Western Indian Ocean</w:t>
      </w:r>
      <w:r>
        <w:rPr>
          <w:b/>
          <w:bCs/>
          <w:sz w:val="20"/>
          <w:szCs w:val="20"/>
          <w:lang w:val="en-US"/>
        </w:rPr>
        <w:t>; and c) mean global historical (1980 – 1990) Net Primary Productively (NPP) rates (Mg ha</w:t>
      </w:r>
      <w:r w:rsidRPr="0043430E">
        <w:rPr>
          <w:b/>
          <w:bCs/>
          <w:sz w:val="20"/>
          <w:szCs w:val="20"/>
          <w:vertAlign w:val="superscript"/>
          <w:lang w:val="en-US"/>
        </w:rPr>
        <w:t>-1</w:t>
      </w:r>
      <w:r>
        <w:rPr>
          <w:b/>
          <w:bCs/>
          <w:sz w:val="20"/>
          <w:szCs w:val="20"/>
          <w:lang w:val="en-US"/>
        </w:rPr>
        <w:t xml:space="preserve"> yr</w:t>
      </w:r>
      <w:r w:rsidRPr="0043430E">
        <w:rPr>
          <w:b/>
          <w:bCs/>
          <w:sz w:val="20"/>
          <w:szCs w:val="20"/>
          <w:vertAlign w:val="superscript"/>
          <w:lang w:val="en-US"/>
        </w:rPr>
        <w:t>-1</w:t>
      </w:r>
      <w:r>
        <w:rPr>
          <w:b/>
          <w:bCs/>
          <w:sz w:val="20"/>
          <w:szCs w:val="20"/>
          <w:lang w:val="en-US"/>
        </w:rPr>
        <w:t>).</w:t>
      </w:r>
    </w:p>
    <w:p w14:paraId="1FB9A80E" w14:textId="77777777" w:rsidR="00CF7991" w:rsidRPr="001E65D6" w:rsidRDefault="00CF7991" w:rsidP="00CF7991">
      <w:pPr>
        <w:spacing w:line="480" w:lineRule="auto"/>
        <w:rPr>
          <w:sz w:val="22"/>
          <w:szCs w:val="22"/>
          <w:lang w:val="en-US"/>
        </w:rPr>
      </w:pPr>
    </w:p>
    <w:p w14:paraId="3070EE7D" w14:textId="7D2B0C5D" w:rsidR="00CF7991" w:rsidRPr="001E65D6" w:rsidRDefault="00CF7991" w:rsidP="00CF7991">
      <w:pPr>
        <w:pStyle w:val="Heading3"/>
        <w:rPr>
          <w:rFonts w:cstheme="minorHAnsi"/>
          <w:b/>
          <w:bCs/>
        </w:rPr>
      </w:pPr>
      <w:bookmarkStart w:id="34" w:name="_Toc120622123"/>
      <w:r w:rsidRPr="001E65D6">
        <w:rPr>
          <w:rFonts w:asciiTheme="minorHAnsi" w:hAnsiTheme="minorHAnsi" w:cstheme="minorHAnsi"/>
          <w:b/>
          <w:bCs/>
          <w:color w:val="auto"/>
        </w:rPr>
        <w:t>3.4.1</w:t>
      </w:r>
      <w:r w:rsidRPr="001E65D6">
        <w:rPr>
          <w:rFonts w:asciiTheme="minorHAnsi" w:hAnsiTheme="minorHAnsi" w:cstheme="minorHAnsi"/>
          <w:b/>
          <w:bCs/>
          <w:color w:val="auto"/>
        </w:rPr>
        <w:tab/>
        <w:t>Historical Net Primary Productivity Rates and Seasonality</w:t>
      </w:r>
      <w:bookmarkEnd w:id="34"/>
    </w:p>
    <w:p w14:paraId="7779FD3C" w14:textId="5E50045E" w:rsidR="00CF7991" w:rsidRPr="00260745" w:rsidRDefault="00CF7991" w:rsidP="00CF7991">
      <w:pPr>
        <w:spacing w:line="480" w:lineRule="auto"/>
        <w:rPr>
          <w:lang w:val="en-US"/>
        </w:rPr>
      </w:pPr>
      <w:r w:rsidRPr="00260745">
        <w:rPr>
          <w:lang w:val="en-US"/>
        </w:rPr>
        <w:t xml:space="preserve">Mangroves occurred within 38 </w:t>
      </w:r>
      <w:r w:rsidR="00A03F71">
        <w:rPr>
          <w:lang w:val="en-US"/>
        </w:rPr>
        <w:t>Marine Ecoregions of the World (</w:t>
      </w:r>
      <w:r w:rsidRPr="00260745">
        <w:rPr>
          <w:lang w:val="en-US"/>
        </w:rPr>
        <w:t>MEOW</w:t>
      </w:r>
      <w:r w:rsidR="00A03F71">
        <w:rPr>
          <w:lang w:val="en-US"/>
        </w:rPr>
        <w:t>)</w:t>
      </w:r>
      <w:r w:rsidRPr="00260745">
        <w:rPr>
          <w:lang w:val="en-US"/>
        </w:rPr>
        <w:t xml:space="preserve"> global marine provinces</w:t>
      </w:r>
      <w:r w:rsidR="00090EED">
        <w:rPr>
          <w:lang w:val="en-US"/>
        </w:rPr>
        <w:t xml:space="preserve"> (Figure 3.1b)</w:t>
      </w:r>
      <w:r w:rsidRPr="00260745">
        <w:rPr>
          <w:lang w:val="en-US"/>
        </w:rPr>
        <w:t>, the top 13 of which accounted for &gt;90% of total global Net Primary Productivity (NPP) (Figure 3.</w:t>
      </w:r>
      <w:r w:rsidR="002F6E32">
        <w:rPr>
          <w:lang w:val="en-US"/>
        </w:rPr>
        <w:t>1</w:t>
      </w:r>
      <w:r w:rsidR="00090EED">
        <w:rPr>
          <w:lang w:val="en-US"/>
        </w:rPr>
        <w:t>c</w:t>
      </w:r>
      <w:r w:rsidRPr="00260745">
        <w:rPr>
          <w:lang w:val="en-US"/>
        </w:rPr>
        <w:t xml:space="preserve">). Total global historical (1980-1990) NPP was 239.2 ±58.4 </w:t>
      </w:r>
      <w:proofErr w:type="spellStart"/>
      <w:r w:rsidRPr="00260745">
        <w:rPr>
          <w:lang w:val="en-US"/>
        </w:rPr>
        <w:t>Tg</w:t>
      </w:r>
      <w:proofErr w:type="spellEnd"/>
      <w:r w:rsidRPr="00260745">
        <w:rPr>
          <w:lang w:val="en-US"/>
        </w:rPr>
        <w:t xml:space="preserve"> yr</w:t>
      </w:r>
      <w:r w:rsidRPr="00260745">
        <w:rPr>
          <w:vertAlign w:val="superscript"/>
          <w:lang w:val="en-US"/>
        </w:rPr>
        <w:t xml:space="preserve">-1 </w:t>
      </w:r>
      <w:r w:rsidRPr="00260745">
        <w:rPr>
          <w:lang w:val="en-US"/>
        </w:rPr>
        <w:t>and averaged 24.0 ±19.3 Mg ha</w:t>
      </w:r>
      <w:r w:rsidRPr="00260745">
        <w:rPr>
          <w:vertAlign w:val="superscript"/>
          <w:lang w:val="en-US"/>
        </w:rPr>
        <w:t>-1</w:t>
      </w:r>
      <w:r w:rsidRPr="00260745">
        <w:rPr>
          <w:lang w:val="en-US"/>
        </w:rPr>
        <w:t xml:space="preserve"> yr</w:t>
      </w:r>
      <w:r w:rsidRPr="00260745">
        <w:rPr>
          <w:vertAlign w:val="superscript"/>
          <w:lang w:val="en-US"/>
        </w:rPr>
        <w:t>-1</w:t>
      </w:r>
      <w:r w:rsidRPr="00260745">
        <w:rPr>
          <w:lang w:val="en-US"/>
        </w:rPr>
        <w:t xml:space="preserve">. Unsurprisingly, &gt;95% of global mangrove NPP was in the tropics, and in Southeast Asia and the Indo Pacific. The highest total </w:t>
      </w:r>
      <w:r w:rsidR="00D6224E">
        <w:rPr>
          <w:lang w:val="en-US"/>
        </w:rPr>
        <w:t xml:space="preserve">annual province </w:t>
      </w:r>
      <w:r w:rsidRPr="00260745">
        <w:rPr>
          <w:lang w:val="en-US"/>
        </w:rPr>
        <w:t xml:space="preserve">NPP was in the Western Coral Triangle (46.8 ±10.4 </w:t>
      </w:r>
      <w:proofErr w:type="spellStart"/>
      <w:r w:rsidRPr="00260745">
        <w:rPr>
          <w:lang w:val="en-US"/>
        </w:rPr>
        <w:t>Tg</w:t>
      </w:r>
      <w:proofErr w:type="spellEnd"/>
      <w:r w:rsidRPr="00260745">
        <w:rPr>
          <w:lang w:val="en-US"/>
        </w:rPr>
        <w:t xml:space="preserve"> yr</w:t>
      </w:r>
      <w:r w:rsidRPr="00260745">
        <w:rPr>
          <w:vertAlign w:val="superscript"/>
          <w:lang w:val="en-US"/>
        </w:rPr>
        <w:t>-1</w:t>
      </w:r>
      <w:r w:rsidRPr="00260745">
        <w:rPr>
          <w:lang w:val="en-US"/>
        </w:rPr>
        <w:t xml:space="preserve">), with almost a fifth (19.6%) of total global NPP. The Sahul Shelf had 29.1 ±7.3 </w:t>
      </w:r>
      <w:proofErr w:type="spellStart"/>
      <w:r w:rsidRPr="00260745">
        <w:rPr>
          <w:lang w:val="en-US"/>
        </w:rPr>
        <w:t>Tg</w:t>
      </w:r>
      <w:proofErr w:type="spellEnd"/>
      <w:r w:rsidRPr="00260745">
        <w:rPr>
          <w:lang w:val="en-US"/>
        </w:rPr>
        <w:t xml:space="preserve"> yr</w:t>
      </w:r>
      <w:r w:rsidRPr="00260745">
        <w:rPr>
          <w:vertAlign w:val="superscript"/>
          <w:lang w:val="en-US"/>
        </w:rPr>
        <w:t>-1</w:t>
      </w:r>
      <w:r w:rsidRPr="00260745">
        <w:rPr>
          <w:lang w:val="en-US"/>
        </w:rPr>
        <w:t xml:space="preserve">, while the </w:t>
      </w:r>
      <w:proofErr w:type="spellStart"/>
      <w:r w:rsidRPr="00260745">
        <w:rPr>
          <w:lang w:val="en-US"/>
        </w:rPr>
        <w:t>Sunda</w:t>
      </w:r>
      <w:proofErr w:type="spellEnd"/>
      <w:r w:rsidRPr="00260745">
        <w:rPr>
          <w:lang w:val="en-US"/>
        </w:rPr>
        <w:t xml:space="preserve"> Shelf had 23.1 ±5.4 </w:t>
      </w:r>
      <w:proofErr w:type="spellStart"/>
      <w:r w:rsidRPr="00260745">
        <w:rPr>
          <w:lang w:val="en-US"/>
        </w:rPr>
        <w:t>Tg</w:t>
      </w:r>
      <w:proofErr w:type="spellEnd"/>
      <w:r w:rsidRPr="00260745">
        <w:rPr>
          <w:lang w:val="en-US"/>
        </w:rPr>
        <w:t xml:space="preserve"> yr</w:t>
      </w:r>
      <w:r w:rsidRPr="00260745">
        <w:rPr>
          <w:vertAlign w:val="superscript"/>
          <w:lang w:val="en-US"/>
        </w:rPr>
        <w:t xml:space="preserve">-1 </w:t>
      </w:r>
      <w:r w:rsidRPr="00260745">
        <w:rPr>
          <w:lang w:val="en-US"/>
        </w:rPr>
        <w:t xml:space="preserve">(Table </w:t>
      </w:r>
      <w:r w:rsidR="00B7623A">
        <w:rPr>
          <w:lang w:val="en-US"/>
        </w:rPr>
        <w:t>A</w:t>
      </w:r>
      <w:r w:rsidRPr="00260745">
        <w:rPr>
          <w:lang w:val="en-US"/>
        </w:rPr>
        <w:t xml:space="preserve">2). These three marine provinces together represented 41.4% of the world’s historical mangrove NPP (Table </w:t>
      </w:r>
      <w:r w:rsidR="00CA6081">
        <w:rPr>
          <w:lang w:val="en-US"/>
        </w:rPr>
        <w:t>A</w:t>
      </w:r>
      <w:r w:rsidRPr="00260745">
        <w:rPr>
          <w:lang w:val="en-US"/>
        </w:rPr>
        <w:t>2). On a per area basis, four of the top five most productive provinces were located in Southeast Asia and the Indo Pacific (Figure 3.1</w:t>
      </w:r>
      <w:r w:rsidR="002C24BA">
        <w:rPr>
          <w:lang w:val="en-US"/>
        </w:rPr>
        <w:t>c</w:t>
      </w:r>
      <w:r w:rsidRPr="00260745">
        <w:rPr>
          <w:lang w:val="en-US"/>
        </w:rPr>
        <w:t>). Mangrove forests with the highest productivity were located in the Bay of Bengal (34.4 ±26.1 Mg ha</w:t>
      </w:r>
      <w:r w:rsidRPr="00260745">
        <w:rPr>
          <w:vertAlign w:val="superscript"/>
          <w:lang w:val="en-US"/>
        </w:rPr>
        <w:t>-1</w:t>
      </w:r>
      <w:r w:rsidRPr="00260745">
        <w:rPr>
          <w:lang w:val="en-US"/>
        </w:rPr>
        <w:t xml:space="preserve"> yr</w:t>
      </w:r>
      <w:r w:rsidRPr="00260745">
        <w:rPr>
          <w:vertAlign w:val="superscript"/>
          <w:lang w:val="en-US"/>
        </w:rPr>
        <w:t>-1</w:t>
      </w:r>
      <w:r w:rsidRPr="00260745">
        <w:rPr>
          <w:lang w:val="en-US"/>
        </w:rPr>
        <w:t>), the Sahul Shelf (31.2 ±9.3 Mg ha</w:t>
      </w:r>
      <w:r w:rsidRPr="00260745">
        <w:rPr>
          <w:vertAlign w:val="superscript"/>
          <w:lang w:val="en-US"/>
        </w:rPr>
        <w:t>-1</w:t>
      </w:r>
      <w:r w:rsidRPr="00260745">
        <w:rPr>
          <w:lang w:val="en-US"/>
        </w:rPr>
        <w:t xml:space="preserve"> yr</w:t>
      </w:r>
      <w:r w:rsidRPr="00260745">
        <w:rPr>
          <w:vertAlign w:val="superscript"/>
          <w:lang w:val="en-US"/>
        </w:rPr>
        <w:t>-1</w:t>
      </w:r>
      <w:r w:rsidRPr="00260745">
        <w:rPr>
          <w:lang w:val="en-US"/>
        </w:rPr>
        <w:t>), Andaman (30.7 ±23.5 Mg ha</w:t>
      </w:r>
      <w:r w:rsidRPr="00260745">
        <w:rPr>
          <w:vertAlign w:val="superscript"/>
          <w:lang w:val="en-US"/>
        </w:rPr>
        <w:t>-1</w:t>
      </w:r>
      <w:r w:rsidRPr="00260745">
        <w:rPr>
          <w:lang w:val="en-US"/>
        </w:rPr>
        <w:t xml:space="preserve"> yr</w:t>
      </w:r>
      <w:r w:rsidRPr="00260745">
        <w:rPr>
          <w:vertAlign w:val="superscript"/>
          <w:lang w:val="en-US"/>
        </w:rPr>
        <w:t>-1</w:t>
      </w:r>
      <w:r w:rsidRPr="00260745">
        <w:rPr>
          <w:lang w:val="en-US"/>
        </w:rPr>
        <w:t xml:space="preserve">) and the </w:t>
      </w:r>
      <w:proofErr w:type="spellStart"/>
      <w:r w:rsidRPr="00260745">
        <w:rPr>
          <w:lang w:val="en-US"/>
        </w:rPr>
        <w:t>Sunda</w:t>
      </w:r>
      <w:proofErr w:type="spellEnd"/>
      <w:r w:rsidRPr="00260745">
        <w:rPr>
          <w:lang w:val="en-US"/>
        </w:rPr>
        <w:t xml:space="preserve"> Shelf (30.0 ±12.3 Mg ha</w:t>
      </w:r>
      <w:r w:rsidRPr="00260745">
        <w:rPr>
          <w:vertAlign w:val="superscript"/>
          <w:lang w:val="en-US"/>
        </w:rPr>
        <w:t>-1</w:t>
      </w:r>
      <w:r w:rsidRPr="00260745">
        <w:rPr>
          <w:lang w:val="en-US"/>
        </w:rPr>
        <w:t xml:space="preserve"> yr</w:t>
      </w:r>
      <w:r w:rsidRPr="00260745">
        <w:rPr>
          <w:vertAlign w:val="superscript"/>
          <w:lang w:val="en-US"/>
        </w:rPr>
        <w:t>-1</w:t>
      </w:r>
      <w:r w:rsidRPr="00260745">
        <w:rPr>
          <w:lang w:val="en-US"/>
        </w:rPr>
        <w:t xml:space="preserve">). Outside Southeast Asia and the Indo Pacific, the Tropical Northwestern Atlantic, the Gulf of Guinea and the North Brazil Shelf all had high amounts of total NPP with 25.8 ±5.9, 22.3 ±5.6 and 13.0 ±3.1 </w:t>
      </w:r>
      <w:proofErr w:type="spellStart"/>
      <w:r w:rsidRPr="00260745">
        <w:rPr>
          <w:lang w:val="en-US"/>
        </w:rPr>
        <w:t>Tg</w:t>
      </w:r>
      <w:proofErr w:type="spellEnd"/>
      <w:r w:rsidRPr="00260745">
        <w:rPr>
          <w:lang w:val="en-US"/>
        </w:rPr>
        <w:t xml:space="preserve"> yr</w:t>
      </w:r>
      <w:r w:rsidRPr="00260745">
        <w:rPr>
          <w:vertAlign w:val="superscript"/>
          <w:lang w:val="en-US"/>
        </w:rPr>
        <w:t>-1</w:t>
      </w:r>
      <w:r w:rsidRPr="00260745">
        <w:rPr>
          <w:lang w:val="en-US"/>
        </w:rPr>
        <w:t xml:space="preserve">, respectively (Table </w:t>
      </w:r>
      <w:r w:rsidR="00337BA9">
        <w:rPr>
          <w:lang w:val="en-US"/>
        </w:rPr>
        <w:t>A</w:t>
      </w:r>
      <w:r w:rsidRPr="00260745">
        <w:rPr>
          <w:lang w:val="en-US"/>
        </w:rPr>
        <w:t>2). The Gulf of Guinea also had the second highest NPP on a per area basis (31.2 ±15.6 Mg ha</w:t>
      </w:r>
      <w:r w:rsidRPr="00260745">
        <w:rPr>
          <w:vertAlign w:val="superscript"/>
          <w:lang w:val="en-US"/>
        </w:rPr>
        <w:t>-1</w:t>
      </w:r>
      <w:r w:rsidRPr="00260745">
        <w:rPr>
          <w:lang w:val="en-US"/>
        </w:rPr>
        <w:t xml:space="preserve"> yr</w:t>
      </w:r>
      <w:r w:rsidRPr="00260745">
        <w:rPr>
          <w:vertAlign w:val="superscript"/>
          <w:lang w:val="en-US"/>
        </w:rPr>
        <w:t>-1</w:t>
      </w:r>
      <w:r w:rsidRPr="00260745">
        <w:rPr>
          <w:lang w:val="en-US"/>
        </w:rPr>
        <w:t>).</w:t>
      </w:r>
    </w:p>
    <w:p w14:paraId="59D39A80" w14:textId="77777777" w:rsidR="00CF7991" w:rsidRDefault="00CF7991" w:rsidP="00CF7991">
      <w:pPr>
        <w:spacing w:line="480" w:lineRule="auto"/>
        <w:rPr>
          <w:sz w:val="22"/>
          <w:szCs w:val="22"/>
          <w:lang w:val="en-US"/>
        </w:rPr>
      </w:pPr>
    </w:p>
    <w:p w14:paraId="00F71082" w14:textId="32993D13" w:rsidR="00301B8A" w:rsidRDefault="00DC5C9C" w:rsidP="00CF7991">
      <w:pPr>
        <w:spacing w:line="480" w:lineRule="auto"/>
        <w:rPr>
          <w:sz w:val="22"/>
          <w:szCs w:val="22"/>
          <w:lang w:val="en-US"/>
        </w:rPr>
      </w:pPr>
      <w:r>
        <w:rPr>
          <w:b/>
          <w:bCs/>
          <w:noProof/>
          <w:sz w:val="18"/>
          <w:szCs w:val="18"/>
        </w:rPr>
        <w:lastRenderedPageBreak/>
        <mc:AlternateContent>
          <mc:Choice Requires="wps">
            <w:drawing>
              <wp:anchor distT="0" distB="0" distL="114300" distR="114300" simplePos="0" relativeHeight="251746304" behindDoc="0" locked="0" layoutInCell="1" allowOverlap="1" wp14:anchorId="5680F1A2" wp14:editId="6A278EB1">
                <wp:simplePos x="0" y="0"/>
                <wp:positionH relativeFrom="column">
                  <wp:posOffset>2894127</wp:posOffset>
                </wp:positionH>
                <wp:positionV relativeFrom="paragraph">
                  <wp:posOffset>-1270</wp:posOffset>
                </wp:positionV>
                <wp:extent cx="521051" cy="506994"/>
                <wp:effectExtent l="0" t="0" r="0" b="1270"/>
                <wp:wrapNone/>
                <wp:docPr id="94" name="Text Box 94"/>
                <wp:cNvGraphicFramePr/>
                <a:graphic xmlns:a="http://schemas.openxmlformats.org/drawingml/2006/main">
                  <a:graphicData uri="http://schemas.microsoft.com/office/word/2010/wordprocessingShape">
                    <wps:wsp>
                      <wps:cNvSpPr txBox="1"/>
                      <wps:spPr>
                        <a:xfrm>
                          <a:off x="0" y="0"/>
                          <a:ext cx="521051" cy="506994"/>
                        </a:xfrm>
                        <a:prstGeom prst="rect">
                          <a:avLst/>
                        </a:prstGeom>
                        <a:solidFill>
                          <a:schemeClr val="lt1"/>
                        </a:solidFill>
                        <a:ln w="6350">
                          <a:noFill/>
                        </a:ln>
                      </wps:spPr>
                      <wps:txbx>
                        <w:txbxContent>
                          <w:p w14:paraId="042D490C" w14:textId="452C9B53" w:rsidR="00DC5C9C" w:rsidRPr="00906EF9" w:rsidRDefault="00DC5C9C" w:rsidP="00DC5C9C">
                            <w:pPr>
                              <w:rPr>
                                <w:sz w:val="44"/>
                                <w:szCs w:val="44"/>
                              </w:rPr>
                            </w:pPr>
                            <w:r>
                              <w:rPr>
                                <w:sz w:val="44"/>
                                <w:szCs w:val="44"/>
                              </w:rPr>
                              <w:t>b</w:t>
                            </w:r>
                            <w:r w:rsidRPr="00906EF9">
                              <w:rPr>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80F1A2" id="_x0000_t202" coordsize="21600,21600" o:spt="202" path="m,l,21600r21600,l21600,xe">
                <v:stroke joinstyle="miter"/>
                <v:path gradientshapeok="t" o:connecttype="rect"/>
              </v:shapetype>
              <v:shape id="Text Box 94" o:spid="_x0000_s1042" type="#_x0000_t202" style="position:absolute;margin-left:227.9pt;margin-top:-.1pt;width:41.05pt;height:39.9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" fillcolor="white [3201]" stroked="f" strokeweight=".5pt">
                <v:textbox>
                  <w:txbxContent>
                    <w:p w14:paraId="042D490C" w14:textId="452C9B53" w:rsidR="00DC5C9C" w:rsidRPr="00906EF9" w:rsidRDefault="00DC5C9C" w:rsidP="00DC5C9C">
                      <w:pPr>
                        <w:rPr>
                          <w:sz w:val="44"/>
                          <w:szCs w:val="44"/>
                        </w:rPr>
                      </w:pPr>
                      <w:r>
                        <w:rPr>
                          <w:sz w:val="44"/>
                          <w:szCs w:val="44"/>
                        </w:rPr>
                        <w:t>b</w:t>
                      </w:r>
                      <w:r w:rsidRPr="00906EF9">
                        <w:rPr>
                          <w:sz w:val="44"/>
                          <w:szCs w:val="44"/>
                        </w:rPr>
                        <w:t>)</w:t>
                      </w:r>
                    </w:p>
                  </w:txbxContent>
                </v:textbox>
              </v:shape>
            </w:pict>
          </mc:Fallback>
        </mc:AlternateContent>
      </w:r>
      <w:r>
        <w:rPr>
          <w:b/>
          <w:bCs/>
          <w:noProof/>
          <w:sz w:val="18"/>
          <w:szCs w:val="18"/>
        </w:rPr>
        <mc:AlternateContent>
          <mc:Choice Requires="wps">
            <w:drawing>
              <wp:anchor distT="0" distB="0" distL="114300" distR="114300" simplePos="0" relativeHeight="251744256" behindDoc="0" locked="0" layoutInCell="1" allowOverlap="1" wp14:anchorId="40D2BEAA" wp14:editId="357B209D">
                <wp:simplePos x="0" y="0"/>
                <wp:positionH relativeFrom="column">
                  <wp:posOffset>-1</wp:posOffset>
                </wp:positionH>
                <wp:positionV relativeFrom="paragraph">
                  <wp:posOffset>0</wp:posOffset>
                </wp:positionV>
                <wp:extent cx="521051" cy="506994"/>
                <wp:effectExtent l="0" t="0" r="0" b="1270"/>
                <wp:wrapNone/>
                <wp:docPr id="84" name="Text Box 84"/>
                <wp:cNvGraphicFramePr/>
                <a:graphic xmlns:a="http://schemas.openxmlformats.org/drawingml/2006/main">
                  <a:graphicData uri="http://schemas.microsoft.com/office/word/2010/wordprocessingShape">
                    <wps:wsp>
                      <wps:cNvSpPr txBox="1"/>
                      <wps:spPr>
                        <a:xfrm>
                          <a:off x="0" y="0"/>
                          <a:ext cx="521051" cy="506994"/>
                        </a:xfrm>
                        <a:prstGeom prst="rect">
                          <a:avLst/>
                        </a:prstGeom>
                        <a:solidFill>
                          <a:schemeClr val="lt1"/>
                        </a:solidFill>
                        <a:ln w="6350">
                          <a:noFill/>
                        </a:ln>
                      </wps:spPr>
                      <wps:txbx>
                        <w:txbxContent>
                          <w:p w14:paraId="77C0F4ED" w14:textId="77777777" w:rsidR="00DC5C9C" w:rsidRPr="00906EF9" w:rsidRDefault="00DC5C9C" w:rsidP="00DC5C9C">
                            <w:pPr>
                              <w:rPr>
                                <w:sz w:val="44"/>
                                <w:szCs w:val="44"/>
                              </w:rPr>
                            </w:pPr>
                            <w:r w:rsidRPr="00906EF9">
                              <w:rPr>
                                <w:sz w:val="44"/>
                                <w:szCs w:val="4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2BEAA" id="Text Box 84" o:spid="_x0000_s1043" type="#_x0000_t202" style="position:absolute;margin-left:0;margin-top:0;width:41.05pt;height:39.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" fillcolor="white [3201]" stroked="f" strokeweight=".5pt">
                <v:textbox>
                  <w:txbxContent>
                    <w:p w14:paraId="77C0F4ED" w14:textId="77777777" w:rsidR="00DC5C9C" w:rsidRPr="00906EF9" w:rsidRDefault="00DC5C9C" w:rsidP="00DC5C9C">
                      <w:pPr>
                        <w:rPr>
                          <w:sz w:val="44"/>
                          <w:szCs w:val="44"/>
                        </w:rPr>
                      </w:pPr>
                      <w:r w:rsidRPr="00906EF9">
                        <w:rPr>
                          <w:sz w:val="44"/>
                          <w:szCs w:val="44"/>
                        </w:rPr>
                        <w:t>a)</w:t>
                      </w:r>
                    </w:p>
                  </w:txbxContent>
                </v:textbox>
              </v:shape>
            </w:pict>
          </mc:Fallback>
        </mc:AlternateContent>
      </w:r>
      <w:r w:rsidR="00CE62F6">
        <w:rPr>
          <w:noProof/>
          <w:sz w:val="22"/>
          <w:szCs w:val="22"/>
          <w:lang w:val="en-US"/>
        </w:rPr>
        <w:drawing>
          <wp:inline distT="0" distB="0" distL="0" distR="0" wp14:anchorId="3BC8CAA9" wp14:editId="7B210BB5">
            <wp:extent cx="6103257" cy="3048247"/>
            <wp:effectExtent l="0" t="0" r="571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331759" cy="3162371"/>
                    </a:xfrm>
                    <a:prstGeom prst="rect">
                      <a:avLst/>
                    </a:prstGeom>
                  </pic:spPr>
                </pic:pic>
              </a:graphicData>
            </a:graphic>
          </wp:inline>
        </w:drawing>
      </w:r>
    </w:p>
    <w:p w14:paraId="7674C871" w14:textId="77777777" w:rsidR="00000193" w:rsidRDefault="00000193" w:rsidP="00CF7991">
      <w:pPr>
        <w:spacing w:line="480" w:lineRule="auto"/>
        <w:rPr>
          <w:sz w:val="22"/>
          <w:szCs w:val="22"/>
          <w:lang w:val="en-US"/>
        </w:rPr>
      </w:pPr>
    </w:p>
    <w:p w14:paraId="1DF4E01C" w14:textId="51DDE488" w:rsidR="00301B8A" w:rsidRDefault="00301B8A" w:rsidP="00301B8A">
      <w:pPr>
        <w:rPr>
          <w:sz w:val="22"/>
          <w:szCs w:val="22"/>
          <w:lang w:val="en-US"/>
        </w:rPr>
        <w:sectPr w:rsidR="00301B8A" w:rsidSect="002A3FD6">
          <w:pgSz w:w="11906" w:h="16838"/>
          <w:pgMar w:top="1440" w:right="1440" w:bottom="1440" w:left="1440" w:header="708" w:footer="708" w:gutter="0"/>
          <w:cols w:space="708"/>
          <w:docGrid w:linePitch="360"/>
        </w:sectPr>
      </w:pPr>
      <w:r>
        <w:rPr>
          <w:b/>
          <w:bCs/>
          <w:sz w:val="20"/>
          <w:szCs w:val="20"/>
          <w:lang w:val="en-US"/>
        </w:rPr>
        <w:t xml:space="preserve">Figure 3.2: a) Partial dependance plot of mean monthly air temperature (bio6) and predicted litterfall; b) </w:t>
      </w:r>
      <w:r>
        <w:rPr>
          <w:b/>
          <w:bCs/>
          <w:sz w:val="20"/>
          <w:szCs w:val="20"/>
        </w:rPr>
        <w:t>i</w:t>
      </w:r>
      <w:r w:rsidRPr="00272D1C">
        <w:rPr>
          <w:b/>
          <w:bCs/>
          <w:sz w:val="20"/>
          <w:szCs w:val="20"/>
        </w:rPr>
        <w:t xml:space="preserve">ncrease in Mean Squared Error (MSE) for </w:t>
      </w:r>
      <w:r>
        <w:rPr>
          <w:b/>
          <w:bCs/>
          <w:sz w:val="20"/>
          <w:szCs w:val="20"/>
        </w:rPr>
        <w:t xml:space="preserve">litterfall </w:t>
      </w:r>
      <w:r w:rsidRPr="00272D1C">
        <w:rPr>
          <w:b/>
          <w:bCs/>
          <w:sz w:val="20"/>
          <w:szCs w:val="20"/>
        </w:rPr>
        <w:t xml:space="preserve">when dropping a </w:t>
      </w:r>
      <w:proofErr w:type="spellStart"/>
      <w:r w:rsidRPr="00272D1C">
        <w:rPr>
          <w:b/>
          <w:bCs/>
          <w:sz w:val="20"/>
          <w:szCs w:val="20"/>
        </w:rPr>
        <w:t>bioclim</w:t>
      </w:r>
      <w:proofErr w:type="spellEnd"/>
      <w:r w:rsidRPr="00272D1C">
        <w:rPr>
          <w:b/>
          <w:bCs/>
          <w:sz w:val="20"/>
          <w:szCs w:val="20"/>
        </w:rPr>
        <w:t xml:space="preserve"> predictor from the </w:t>
      </w:r>
      <w:r w:rsidR="00782E56">
        <w:rPr>
          <w:b/>
          <w:bCs/>
          <w:sz w:val="20"/>
          <w:szCs w:val="20"/>
        </w:rPr>
        <w:t>predictive</w:t>
      </w:r>
      <w:r w:rsidRPr="00272D1C">
        <w:rPr>
          <w:b/>
          <w:bCs/>
          <w:sz w:val="20"/>
          <w:szCs w:val="20"/>
        </w:rPr>
        <w:t xml:space="preserve"> model.</w:t>
      </w:r>
    </w:p>
    <w:p w14:paraId="769A9BFA" w14:textId="3890AAF6" w:rsidR="00CF7991" w:rsidRPr="00906EF9" w:rsidRDefault="0070216D" w:rsidP="00AC0A0E">
      <w:pPr>
        <w:spacing w:line="480" w:lineRule="auto"/>
        <w:rPr>
          <w:b/>
          <w:bCs/>
          <w:sz w:val="20"/>
          <w:szCs w:val="20"/>
          <w:lang w:val="en-US"/>
        </w:rPr>
        <w:sectPr w:rsidR="00CF7991" w:rsidRPr="00906EF9" w:rsidSect="00AC0A0E">
          <w:pgSz w:w="11906" w:h="16838"/>
          <w:pgMar w:top="1440" w:right="1440" w:bottom="1440" w:left="1440" w:header="708" w:footer="708" w:gutter="0"/>
          <w:cols w:space="708"/>
          <w:docGrid w:linePitch="360"/>
        </w:sectPr>
      </w:pPr>
      <w:r>
        <w:rPr>
          <w:sz w:val="22"/>
          <w:szCs w:val="22"/>
          <w:lang w:val="en-US"/>
        </w:rPr>
        <w:lastRenderedPageBreak/>
        <w:t>When</w:t>
      </w:r>
      <w:r w:rsidR="00DE27DD">
        <w:rPr>
          <w:sz w:val="22"/>
          <w:szCs w:val="22"/>
          <w:lang w:val="en-US"/>
        </w:rPr>
        <w:t xml:space="preserve"> </w:t>
      </w:r>
      <w:r w:rsidR="00DE27DD">
        <w:rPr>
          <w:lang w:val="en-US"/>
        </w:rPr>
        <w:t>h</w:t>
      </w:r>
      <w:r w:rsidR="00CF7991" w:rsidRPr="00260745">
        <w:rPr>
          <w:lang w:val="en-US"/>
        </w:rPr>
        <w:t xml:space="preserve">istorical global monthly NPP </w:t>
      </w:r>
      <w:r w:rsidR="00FB48B8">
        <w:rPr>
          <w:lang w:val="en-US"/>
        </w:rPr>
        <w:t>estimates</w:t>
      </w:r>
      <w:r w:rsidR="008E3F91">
        <w:rPr>
          <w:lang w:val="en-US"/>
        </w:rPr>
        <w:t xml:space="preserve"> were averaged, </w:t>
      </w:r>
      <w:r w:rsidR="003722CE">
        <w:rPr>
          <w:lang w:val="en-US"/>
        </w:rPr>
        <w:t>two peaks a year were detected</w:t>
      </w:r>
      <w:r w:rsidR="00CF7991" w:rsidRPr="00260745">
        <w:rPr>
          <w:lang w:val="en-US"/>
        </w:rPr>
        <w:t xml:space="preserve"> - one in May, where total global NPP was 20.2 ±4.8 </w:t>
      </w:r>
      <w:proofErr w:type="spellStart"/>
      <w:r w:rsidR="00CF7991" w:rsidRPr="00260745">
        <w:rPr>
          <w:lang w:val="en-US"/>
        </w:rPr>
        <w:t>Tg</w:t>
      </w:r>
      <w:proofErr w:type="spellEnd"/>
      <w:r w:rsidR="00CF7991" w:rsidRPr="00260745">
        <w:rPr>
          <w:lang w:val="en-US"/>
        </w:rPr>
        <w:t xml:space="preserve"> mn</w:t>
      </w:r>
      <w:r w:rsidR="00CF7991" w:rsidRPr="00260745">
        <w:rPr>
          <w:vertAlign w:val="superscript"/>
          <w:lang w:val="en-US"/>
        </w:rPr>
        <w:t>-1</w:t>
      </w:r>
      <w:r w:rsidR="00CF7991" w:rsidRPr="00260745">
        <w:rPr>
          <w:lang w:val="en-US"/>
        </w:rPr>
        <w:t xml:space="preserve"> and again in September (20.1 ±4.9 </w:t>
      </w:r>
      <w:proofErr w:type="spellStart"/>
      <w:r w:rsidR="00CF7991" w:rsidRPr="00260745">
        <w:rPr>
          <w:lang w:val="en-US"/>
        </w:rPr>
        <w:t>Tg</w:t>
      </w:r>
      <w:proofErr w:type="spellEnd"/>
      <w:r w:rsidR="00CF7991" w:rsidRPr="00260745">
        <w:rPr>
          <w:lang w:val="en-US"/>
        </w:rPr>
        <w:t xml:space="preserve"> mn</w:t>
      </w:r>
      <w:r w:rsidR="00CF7991" w:rsidRPr="00260745">
        <w:rPr>
          <w:vertAlign w:val="superscript"/>
          <w:lang w:val="en-US"/>
        </w:rPr>
        <w:t>-1</w:t>
      </w:r>
      <w:r w:rsidR="00CF7991" w:rsidRPr="00260745">
        <w:rPr>
          <w:lang w:val="en-US"/>
        </w:rPr>
        <w:t xml:space="preserve">) - while NPP was at its lowest in July (19.8 </w:t>
      </w:r>
      <w:proofErr w:type="spellStart"/>
      <w:r w:rsidR="00CF7991" w:rsidRPr="00260745">
        <w:rPr>
          <w:lang w:val="en-US"/>
        </w:rPr>
        <w:t>Tg</w:t>
      </w:r>
      <w:proofErr w:type="spellEnd"/>
      <w:r w:rsidR="00CF7991" w:rsidRPr="00260745">
        <w:rPr>
          <w:lang w:val="en-US"/>
        </w:rPr>
        <w:t xml:space="preserve"> ±4.9 mn</w:t>
      </w:r>
      <w:r w:rsidR="00CF7991" w:rsidRPr="00260745">
        <w:rPr>
          <w:vertAlign w:val="superscript"/>
          <w:lang w:val="en-US"/>
        </w:rPr>
        <w:t>-1</w:t>
      </w:r>
      <w:r w:rsidR="00CF7991" w:rsidRPr="00260745">
        <w:rPr>
          <w:lang w:val="en-US"/>
        </w:rPr>
        <w:t xml:space="preserve">) and December (19.6 ±4.9 </w:t>
      </w:r>
      <w:proofErr w:type="spellStart"/>
      <w:r w:rsidR="00CF7991" w:rsidRPr="00260745">
        <w:rPr>
          <w:lang w:val="en-US"/>
        </w:rPr>
        <w:t>Tg</w:t>
      </w:r>
      <w:proofErr w:type="spellEnd"/>
      <w:r w:rsidR="00CF7991" w:rsidRPr="00260745">
        <w:rPr>
          <w:lang w:val="en-US"/>
        </w:rPr>
        <w:t xml:space="preserve"> mn</w:t>
      </w:r>
      <w:r w:rsidR="00CF7991" w:rsidRPr="00260745">
        <w:rPr>
          <w:vertAlign w:val="superscript"/>
          <w:lang w:val="en-US"/>
        </w:rPr>
        <w:t>-1</w:t>
      </w:r>
      <w:r w:rsidR="00CF7991" w:rsidRPr="00260745">
        <w:rPr>
          <w:lang w:val="en-US"/>
        </w:rPr>
        <w:t>) (Figure 3.</w:t>
      </w:r>
      <w:r w:rsidR="003F75C0">
        <w:rPr>
          <w:lang w:val="en-US"/>
        </w:rPr>
        <w:t>3</w:t>
      </w:r>
      <w:r w:rsidR="00CF7991" w:rsidRPr="00260745">
        <w:rPr>
          <w:lang w:val="en-US"/>
        </w:rPr>
        <w:t xml:space="preserve">). Despite these peaks and troughs, monthly NPP was fairly constant throughout the year. Monthly contributions to annual total NPP ranged from a minimum of 8.2% of annual NPP in December to 8.4% in May. However, the annual seasonality of monthly historical NPP, which refers to the variation (standard deviation / mean* 100) over one year, was not uniform across marine provinces, ranging from 0.5 ±3.1% in the Central Indian Ocean Islands to 33.1 ±42.3% in the Southwest Australian Shelf (Table </w:t>
      </w:r>
      <w:r w:rsidR="003F75C0">
        <w:rPr>
          <w:lang w:val="en-US"/>
        </w:rPr>
        <w:t>3</w:t>
      </w:r>
      <w:r w:rsidR="00CF7991" w:rsidRPr="00260745">
        <w:rPr>
          <w:lang w:val="en-US"/>
        </w:rPr>
        <w:t>.</w:t>
      </w:r>
      <w:r w:rsidR="003F75C0">
        <w:rPr>
          <w:lang w:val="en-US"/>
        </w:rPr>
        <w:t>1</w:t>
      </w:r>
      <w:r w:rsidR="00CF7991" w:rsidRPr="00260745">
        <w:rPr>
          <w:lang w:val="en-US"/>
        </w:rPr>
        <w:t xml:space="preserve">). Historical seasonality in NPP was relatively low in the world’s most productive marine provinces. The Western Coral Triangle (1.0 ±1.5%), Sahul Shelf (3.1 ±2.5%), Tropical Northwestern Atlantic (6.7 ±4.1%), </w:t>
      </w:r>
      <w:proofErr w:type="spellStart"/>
      <w:r w:rsidR="00CF7991" w:rsidRPr="00260745">
        <w:rPr>
          <w:lang w:val="en-US"/>
        </w:rPr>
        <w:t>Sunda</w:t>
      </w:r>
      <w:proofErr w:type="spellEnd"/>
      <w:r w:rsidR="00CF7991" w:rsidRPr="00260745">
        <w:rPr>
          <w:lang w:val="en-US"/>
        </w:rPr>
        <w:t xml:space="preserve"> Shelf (1.2 ±2.4%) and Gulf of Guinea (1.1 ±3.8%) were all lower than the 9.2 ±6.1% global average in historical monthly seasonality (Table </w:t>
      </w:r>
      <w:r w:rsidR="00347872">
        <w:rPr>
          <w:lang w:val="en-US"/>
        </w:rPr>
        <w:t>3.1</w:t>
      </w:r>
      <w:r w:rsidR="00CF7991" w:rsidRPr="00260745">
        <w:rPr>
          <w:lang w:val="en-US"/>
        </w:rPr>
        <w:t>). The marine provinces where monthly NPP varied the most (Southwest Australian Shelf (33.1 ±42.3%), Warm Temperate Northwest Atlantic (24.8 ±12.1%), Warm Temperate Northwest Pacific (23.4 ±17.4%), the West Central Australian Shelf (19.2, ±7.5%) and the Warm Temperate Northeast Pacific (18.7 ±9.9%), were all located in the sub-tropics</w:t>
      </w:r>
      <w:r w:rsidR="00AC0A0E">
        <w:rPr>
          <w:lang w:val="en-US"/>
        </w:rPr>
        <w:t>.</w:t>
      </w:r>
    </w:p>
    <w:p w14:paraId="0B76F0C3" w14:textId="77777777" w:rsidR="00CF7991" w:rsidRDefault="00CF7991" w:rsidP="00906EF9">
      <w:pPr>
        <w:rPr>
          <w:sz w:val="22"/>
          <w:szCs w:val="22"/>
          <w:lang w:val="en-US"/>
        </w:rPr>
      </w:pPr>
      <w:r>
        <w:rPr>
          <w:b/>
          <w:bCs/>
          <w:noProof/>
          <w:lang w:eastAsia="en-GB"/>
        </w:rPr>
        <w:lastRenderedPageBreak/>
        <w:drawing>
          <wp:inline distT="0" distB="0" distL="0" distR="0" wp14:anchorId="54AFD417" wp14:editId="7868609A">
            <wp:extent cx="9681912" cy="3764604"/>
            <wp:effectExtent l="0" t="0" r="0" b="0"/>
            <wp:docPr id="18" name="Picture 1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ar char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744701" cy="3789018"/>
                    </a:xfrm>
                    <a:prstGeom prst="rect">
                      <a:avLst/>
                    </a:prstGeom>
                  </pic:spPr>
                </pic:pic>
              </a:graphicData>
            </a:graphic>
          </wp:inline>
        </w:drawing>
      </w:r>
    </w:p>
    <w:p w14:paraId="6CFF138C" w14:textId="77777777" w:rsidR="00CF7991" w:rsidRDefault="00CF7991" w:rsidP="00CF7991">
      <w:pPr>
        <w:spacing w:line="480" w:lineRule="auto"/>
        <w:rPr>
          <w:sz w:val="22"/>
          <w:szCs w:val="22"/>
          <w:lang w:val="en-US"/>
        </w:rPr>
      </w:pPr>
    </w:p>
    <w:p w14:paraId="109DD03B" w14:textId="76ECA29F" w:rsidR="00CF7991" w:rsidRPr="007801F9" w:rsidRDefault="00CF7991" w:rsidP="00CF7991">
      <w:pPr>
        <w:rPr>
          <w:sz w:val="22"/>
          <w:szCs w:val="22"/>
          <w:lang w:val="en-US"/>
        </w:rPr>
      </w:pPr>
      <w:r>
        <w:rPr>
          <w:b/>
          <w:bCs/>
          <w:sz w:val="20"/>
          <w:szCs w:val="20"/>
          <w:lang w:val="en-US"/>
        </w:rPr>
        <w:t>Figure 3.</w:t>
      </w:r>
      <w:r w:rsidR="00DE106C">
        <w:rPr>
          <w:b/>
          <w:bCs/>
          <w:sz w:val="20"/>
          <w:szCs w:val="20"/>
          <w:lang w:val="en-US"/>
        </w:rPr>
        <w:t>3</w:t>
      </w:r>
      <w:r>
        <w:rPr>
          <w:b/>
          <w:bCs/>
          <w:sz w:val="20"/>
          <w:szCs w:val="20"/>
          <w:lang w:val="en-US"/>
        </w:rPr>
        <w:t xml:space="preserve">: Mean </w:t>
      </w:r>
      <w:r>
        <w:rPr>
          <w:rFonts w:cstheme="minorHAnsi"/>
          <w:b/>
          <w:bCs/>
          <w:sz w:val="20"/>
          <w:szCs w:val="20"/>
          <w:lang w:val="en-US"/>
        </w:rPr>
        <w:t>±SE</w:t>
      </w:r>
      <w:r>
        <w:rPr>
          <w:b/>
          <w:bCs/>
          <w:sz w:val="20"/>
          <w:szCs w:val="20"/>
          <w:lang w:val="en-US"/>
        </w:rPr>
        <w:t xml:space="preserve"> monthly global NPP from 1980 to 1990; 2030 to 2040 and 2085 to 2095.</w:t>
      </w:r>
    </w:p>
    <w:p w14:paraId="114A3058" w14:textId="77777777" w:rsidR="00CF7991" w:rsidRPr="007801F9" w:rsidRDefault="00CF7991" w:rsidP="00CF7991">
      <w:pPr>
        <w:rPr>
          <w:sz w:val="22"/>
          <w:szCs w:val="22"/>
          <w:lang w:val="en-US"/>
        </w:rPr>
      </w:pPr>
    </w:p>
    <w:p w14:paraId="662D4954" w14:textId="77777777" w:rsidR="00CF7991" w:rsidRPr="007801F9" w:rsidRDefault="00CF7991" w:rsidP="00CF7991">
      <w:pPr>
        <w:rPr>
          <w:sz w:val="22"/>
          <w:szCs w:val="22"/>
          <w:lang w:val="en-US"/>
        </w:rPr>
      </w:pPr>
    </w:p>
    <w:p w14:paraId="7262FF8B" w14:textId="77777777" w:rsidR="00CF7991" w:rsidRDefault="00CF7991" w:rsidP="00CF7991">
      <w:pPr>
        <w:rPr>
          <w:sz w:val="22"/>
          <w:szCs w:val="22"/>
          <w:lang w:val="en-US"/>
        </w:rPr>
        <w:sectPr w:rsidR="00CF7991" w:rsidSect="00680023">
          <w:pgSz w:w="16838" w:h="11906" w:orient="landscape"/>
          <w:pgMar w:top="720" w:right="720" w:bottom="720" w:left="720" w:header="708" w:footer="708" w:gutter="0"/>
          <w:cols w:space="708"/>
          <w:docGrid w:linePitch="360"/>
        </w:sectPr>
      </w:pPr>
    </w:p>
    <w:p w14:paraId="5AF26424" w14:textId="5F891711" w:rsidR="00CF7991" w:rsidRDefault="00CF7991" w:rsidP="00CF7991">
      <w:pPr>
        <w:tabs>
          <w:tab w:val="left" w:pos="8380"/>
        </w:tabs>
        <w:rPr>
          <w:b/>
          <w:bCs/>
          <w:sz w:val="20"/>
          <w:szCs w:val="20"/>
          <w:lang w:val="en-US"/>
        </w:rPr>
      </w:pPr>
      <w:r>
        <w:rPr>
          <w:b/>
          <w:bCs/>
          <w:sz w:val="20"/>
          <w:szCs w:val="20"/>
          <w:lang w:val="en-US"/>
        </w:rPr>
        <w:lastRenderedPageBreak/>
        <w:t xml:space="preserve">Table </w:t>
      </w:r>
      <w:r w:rsidR="00701409">
        <w:rPr>
          <w:b/>
          <w:bCs/>
          <w:sz w:val="20"/>
          <w:szCs w:val="20"/>
          <w:lang w:val="en-US"/>
        </w:rPr>
        <w:t>3</w:t>
      </w:r>
      <w:r>
        <w:rPr>
          <w:b/>
          <w:bCs/>
          <w:sz w:val="20"/>
          <w:szCs w:val="20"/>
          <w:lang w:val="en-US"/>
        </w:rPr>
        <w:t>.</w:t>
      </w:r>
      <w:r w:rsidR="00373022">
        <w:rPr>
          <w:b/>
          <w:bCs/>
          <w:sz w:val="20"/>
          <w:szCs w:val="20"/>
          <w:lang w:val="en-US"/>
        </w:rPr>
        <w:t>1</w:t>
      </w:r>
      <w:r>
        <w:rPr>
          <w:b/>
          <w:bCs/>
          <w:sz w:val="20"/>
          <w:szCs w:val="20"/>
          <w:lang w:val="en-US"/>
        </w:rPr>
        <w:t>: Mean</w:t>
      </w:r>
      <w:r>
        <w:rPr>
          <w:rFonts w:cstheme="minorHAnsi"/>
          <w:b/>
          <w:bCs/>
          <w:sz w:val="20"/>
          <w:szCs w:val="20"/>
          <w:lang w:val="en-US"/>
        </w:rPr>
        <w:t>±</w:t>
      </w:r>
      <w:r>
        <w:rPr>
          <w:b/>
          <w:bCs/>
          <w:sz w:val="20"/>
          <w:szCs w:val="20"/>
          <w:lang w:val="en-US"/>
        </w:rPr>
        <w:t xml:space="preserve"> 95% confidence intervals of past (1980 to 1990) annual seasonality (standard deviation / mean x 100; and is expressed as a percent) of Net Primary Productivity (NPP) for all 38 global marine provinces that contain mangroves. Change in seasonality in NPP by mid-century (2030 to 2040) and late-century (2085 to 2095) under the </w:t>
      </w:r>
      <w:r w:rsidR="003C77E8">
        <w:rPr>
          <w:b/>
          <w:bCs/>
          <w:sz w:val="20"/>
          <w:szCs w:val="20"/>
          <w:lang w:val="en-US"/>
        </w:rPr>
        <w:t>low end</w:t>
      </w:r>
      <w:r w:rsidR="004A7BAF">
        <w:rPr>
          <w:b/>
          <w:bCs/>
          <w:sz w:val="20"/>
          <w:szCs w:val="20"/>
          <w:lang w:val="en-US"/>
        </w:rPr>
        <w:t xml:space="preserve"> SSP245 </w:t>
      </w:r>
      <w:r>
        <w:rPr>
          <w:b/>
          <w:bCs/>
          <w:sz w:val="20"/>
          <w:szCs w:val="20"/>
          <w:lang w:val="en-US"/>
        </w:rPr>
        <w:t>emissions scenario.</w:t>
      </w:r>
    </w:p>
    <w:p w14:paraId="1FF8A19B" w14:textId="77777777" w:rsidR="00CF7991" w:rsidRDefault="00CF7991" w:rsidP="00CF7991">
      <w:pPr>
        <w:tabs>
          <w:tab w:val="left" w:pos="8380"/>
        </w:tabs>
        <w:rPr>
          <w:sz w:val="22"/>
          <w:szCs w:val="22"/>
          <w:lang w:val="en-US"/>
        </w:rPr>
      </w:pPr>
    </w:p>
    <w:tbl>
      <w:tblPr>
        <w:tblW w:w="8409" w:type="dxa"/>
        <w:jc w:val="center"/>
        <w:tblLook w:val="04A0" w:firstRow="1" w:lastRow="0" w:firstColumn="1" w:lastColumn="0" w:noHBand="0" w:noVBand="1"/>
      </w:tblPr>
      <w:tblGrid>
        <w:gridCol w:w="2749"/>
        <w:gridCol w:w="1952"/>
        <w:gridCol w:w="1854"/>
        <w:gridCol w:w="1854"/>
      </w:tblGrid>
      <w:tr w:rsidR="00CF7991" w:rsidRPr="00C530B5" w14:paraId="7765C639" w14:textId="77777777" w:rsidTr="00672286">
        <w:trPr>
          <w:trHeight w:val="221"/>
          <w:jc w:val="center"/>
        </w:trPr>
        <w:tc>
          <w:tcPr>
            <w:tcW w:w="2749" w:type="dxa"/>
            <w:vMerge w:val="restart"/>
            <w:tcBorders>
              <w:top w:val="single" w:sz="8" w:space="0" w:color="auto"/>
              <w:left w:val="nil"/>
              <w:bottom w:val="single" w:sz="8" w:space="0" w:color="000000"/>
              <w:right w:val="nil"/>
            </w:tcBorders>
            <w:shd w:val="clear" w:color="auto" w:fill="auto"/>
            <w:vAlign w:val="center"/>
            <w:hideMark/>
          </w:tcPr>
          <w:p w14:paraId="205C79B3" w14:textId="77777777" w:rsidR="00CF7991" w:rsidRPr="00C530B5" w:rsidRDefault="00CF7991" w:rsidP="00672286">
            <w:pPr>
              <w:jc w:val="center"/>
              <w:rPr>
                <w:rFonts w:ascii="Calibri" w:eastAsia="Times New Roman" w:hAnsi="Calibri" w:cs="Times New Roman"/>
                <w:b/>
                <w:bCs/>
                <w:color w:val="000000"/>
                <w:sz w:val="16"/>
                <w:szCs w:val="16"/>
                <w:lang w:eastAsia="en-GB"/>
              </w:rPr>
            </w:pPr>
            <w:r w:rsidRPr="00C530B5">
              <w:rPr>
                <w:rFonts w:ascii="Calibri" w:eastAsia="Times New Roman" w:hAnsi="Calibri" w:cs="Times New Roman"/>
                <w:b/>
                <w:bCs/>
                <w:color w:val="000000"/>
                <w:sz w:val="16"/>
                <w:szCs w:val="16"/>
                <w:lang w:eastAsia="en-GB"/>
              </w:rPr>
              <w:t>Province</w:t>
            </w:r>
          </w:p>
        </w:tc>
        <w:tc>
          <w:tcPr>
            <w:tcW w:w="1952" w:type="dxa"/>
            <w:vMerge w:val="restart"/>
            <w:tcBorders>
              <w:top w:val="single" w:sz="8" w:space="0" w:color="auto"/>
              <w:left w:val="nil"/>
              <w:bottom w:val="single" w:sz="8" w:space="0" w:color="000000"/>
              <w:right w:val="nil"/>
            </w:tcBorders>
            <w:shd w:val="clear" w:color="auto" w:fill="auto"/>
            <w:vAlign w:val="center"/>
            <w:hideMark/>
          </w:tcPr>
          <w:p w14:paraId="16B578F5" w14:textId="77777777" w:rsidR="00CF7991" w:rsidRPr="00C530B5" w:rsidRDefault="00CF7991" w:rsidP="00672286">
            <w:pPr>
              <w:jc w:val="center"/>
              <w:rPr>
                <w:rFonts w:ascii="Calibri" w:eastAsia="Times New Roman" w:hAnsi="Calibri" w:cs="Times New Roman"/>
                <w:b/>
                <w:bCs/>
                <w:color w:val="000000"/>
                <w:sz w:val="16"/>
                <w:szCs w:val="16"/>
                <w:lang w:eastAsia="en-GB"/>
              </w:rPr>
            </w:pPr>
            <w:r w:rsidRPr="00C530B5">
              <w:rPr>
                <w:rFonts w:ascii="Calibri" w:eastAsia="Times New Roman" w:hAnsi="Calibri" w:cs="Times New Roman"/>
                <w:b/>
                <w:bCs/>
                <w:color w:val="000000"/>
                <w:sz w:val="16"/>
                <w:szCs w:val="16"/>
                <w:lang w:eastAsia="en-GB"/>
              </w:rPr>
              <w:t>Current Seasonality (%)</w:t>
            </w:r>
          </w:p>
        </w:tc>
        <w:tc>
          <w:tcPr>
            <w:tcW w:w="1854" w:type="dxa"/>
            <w:tcBorders>
              <w:top w:val="single" w:sz="8" w:space="0" w:color="auto"/>
              <w:left w:val="nil"/>
              <w:bottom w:val="single" w:sz="8" w:space="0" w:color="auto"/>
              <w:right w:val="nil"/>
            </w:tcBorders>
            <w:shd w:val="clear" w:color="auto" w:fill="auto"/>
            <w:noWrap/>
            <w:vAlign w:val="center"/>
            <w:hideMark/>
          </w:tcPr>
          <w:p w14:paraId="4AEE19EF" w14:textId="77777777" w:rsidR="00CF7991" w:rsidRPr="00C530B5" w:rsidRDefault="00CF7991" w:rsidP="00672286">
            <w:pPr>
              <w:rPr>
                <w:rFonts w:ascii="Calibri" w:eastAsia="Times New Roman" w:hAnsi="Calibri" w:cs="Times New Roman"/>
                <w:b/>
                <w:bCs/>
                <w:color w:val="000000"/>
                <w:sz w:val="16"/>
                <w:szCs w:val="16"/>
                <w:lang w:eastAsia="en-GB"/>
              </w:rPr>
            </w:pPr>
            <w:r w:rsidRPr="00C530B5">
              <w:rPr>
                <w:rFonts w:ascii="Calibri" w:eastAsia="Times New Roman" w:hAnsi="Calibri" w:cs="Times New Roman"/>
                <w:b/>
                <w:bCs/>
                <w:color w:val="000000"/>
                <w:sz w:val="16"/>
                <w:szCs w:val="16"/>
                <w:lang w:eastAsia="en-GB"/>
              </w:rPr>
              <w:t>Mid Century</w:t>
            </w:r>
          </w:p>
        </w:tc>
        <w:tc>
          <w:tcPr>
            <w:tcW w:w="1854" w:type="dxa"/>
            <w:tcBorders>
              <w:top w:val="single" w:sz="8" w:space="0" w:color="auto"/>
              <w:left w:val="nil"/>
              <w:bottom w:val="single" w:sz="8" w:space="0" w:color="auto"/>
              <w:right w:val="nil"/>
            </w:tcBorders>
            <w:shd w:val="clear" w:color="auto" w:fill="auto"/>
            <w:noWrap/>
            <w:vAlign w:val="center"/>
            <w:hideMark/>
          </w:tcPr>
          <w:p w14:paraId="2B65B1E1" w14:textId="77777777" w:rsidR="00CF7991" w:rsidRPr="00C530B5" w:rsidRDefault="00CF7991" w:rsidP="00672286">
            <w:pPr>
              <w:rPr>
                <w:rFonts w:ascii="Calibri" w:eastAsia="Times New Roman" w:hAnsi="Calibri" w:cs="Times New Roman"/>
                <w:b/>
                <w:bCs/>
                <w:color w:val="000000"/>
                <w:sz w:val="16"/>
                <w:szCs w:val="16"/>
                <w:lang w:eastAsia="en-GB"/>
              </w:rPr>
            </w:pPr>
            <w:r w:rsidRPr="00C530B5">
              <w:rPr>
                <w:rFonts w:ascii="Calibri" w:eastAsia="Times New Roman" w:hAnsi="Calibri" w:cs="Times New Roman"/>
                <w:b/>
                <w:bCs/>
                <w:color w:val="000000"/>
                <w:sz w:val="16"/>
                <w:szCs w:val="16"/>
                <w:lang w:eastAsia="en-GB"/>
              </w:rPr>
              <w:t>Late century</w:t>
            </w:r>
          </w:p>
        </w:tc>
      </w:tr>
      <w:tr w:rsidR="00CF7991" w:rsidRPr="00C530B5" w14:paraId="2C3113B5" w14:textId="77777777" w:rsidTr="00672286">
        <w:trPr>
          <w:trHeight w:val="467"/>
          <w:jc w:val="center"/>
        </w:trPr>
        <w:tc>
          <w:tcPr>
            <w:tcW w:w="2749" w:type="dxa"/>
            <w:vMerge/>
            <w:tcBorders>
              <w:top w:val="single" w:sz="8" w:space="0" w:color="auto"/>
              <w:left w:val="nil"/>
              <w:bottom w:val="single" w:sz="8" w:space="0" w:color="000000"/>
              <w:right w:val="nil"/>
            </w:tcBorders>
            <w:vAlign w:val="center"/>
            <w:hideMark/>
          </w:tcPr>
          <w:p w14:paraId="16726F79" w14:textId="77777777" w:rsidR="00CF7991" w:rsidRPr="00C530B5" w:rsidRDefault="00CF7991" w:rsidP="00672286">
            <w:pPr>
              <w:rPr>
                <w:rFonts w:ascii="Calibri" w:eastAsia="Times New Roman" w:hAnsi="Calibri" w:cs="Times New Roman"/>
                <w:b/>
                <w:bCs/>
                <w:color w:val="000000"/>
                <w:sz w:val="16"/>
                <w:szCs w:val="16"/>
                <w:lang w:eastAsia="en-GB"/>
              </w:rPr>
            </w:pPr>
          </w:p>
        </w:tc>
        <w:tc>
          <w:tcPr>
            <w:tcW w:w="1952" w:type="dxa"/>
            <w:vMerge/>
            <w:tcBorders>
              <w:top w:val="single" w:sz="8" w:space="0" w:color="auto"/>
              <w:left w:val="nil"/>
              <w:bottom w:val="single" w:sz="8" w:space="0" w:color="000000"/>
              <w:right w:val="nil"/>
            </w:tcBorders>
            <w:vAlign w:val="center"/>
            <w:hideMark/>
          </w:tcPr>
          <w:p w14:paraId="3F2B24B0" w14:textId="77777777" w:rsidR="00CF7991" w:rsidRPr="00C530B5" w:rsidRDefault="00CF7991" w:rsidP="00672286">
            <w:pPr>
              <w:rPr>
                <w:rFonts w:ascii="Calibri" w:eastAsia="Times New Roman" w:hAnsi="Calibri" w:cs="Times New Roman"/>
                <w:b/>
                <w:bCs/>
                <w:color w:val="000000"/>
                <w:sz w:val="16"/>
                <w:szCs w:val="16"/>
                <w:lang w:eastAsia="en-GB"/>
              </w:rPr>
            </w:pPr>
          </w:p>
        </w:tc>
        <w:tc>
          <w:tcPr>
            <w:tcW w:w="1854" w:type="dxa"/>
            <w:tcBorders>
              <w:top w:val="nil"/>
              <w:left w:val="nil"/>
              <w:bottom w:val="single" w:sz="8" w:space="0" w:color="auto"/>
              <w:right w:val="nil"/>
            </w:tcBorders>
            <w:shd w:val="clear" w:color="auto" w:fill="auto"/>
            <w:vAlign w:val="center"/>
            <w:hideMark/>
          </w:tcPr>
          <w:p w14:paraId="752B4276" w14:textId="77777777" w:rsidR="00CF7991" w:rsidRPr="00C530B5" w:rsidRDefault="00CF7991" w:rsidP="00672286">
            <w:pPr>
              <w:jc w:val="center"/>
              <w:rPr>
                <w:rFonts w:ascii="Calibri" w:eastAsia="Times New Roman" w:hAnsi="Calibri" w:cs="Times New Roman"/>
                <w:b/>
                <w:bCs/>
                <w:color w:val="000000"/>
                <w:sz w:val="16"/>
                <w:szCs w:val="16"/>
                <w:lang w:eastAsia="en-GB"/>
              </w:rPr>
            </w:pPr>
            <w:r w:rsidRPr="00C530B5">
              <w:rPr>
                <w:rFonts w:ascii="Calibri" w:eastAsia="Times New Roman" w:hAnsi="Calibri" w:cs="Times New Roman"/>
                <w:b/>
                <w:bCs/>
                <w:color w:val="000000"/>
                <w:sz w:val="16"/>
                <w:szCs w:val="16"/>
                <w:lang w:eastAsia="en-GB"/>
              </w:rPr>
              <w:t>Change in Seasonality (%)</w:t>
            </w:r>
          </w:p>
        </w:tc>
        <w:tc>
          <w:tcPr>
            <w:tcW w:w="1854" w:type="dxa"/>
            <w:tcBorders>
              <w:top w:val="nil"/>
              <w:left w:val="nil"/>
              <w:bottom w:val="single" w:sz="8" w:space="0" w:color="auto"/>
              <w:right w:val="nil"/>
            </w:tcBorders>
            <w:shd w:val="clear" w:color="auto" w:fill="auto"/>
            <w:vAlign w:val="center"/>
            <w:hideMark/>
          </w:tcPr>
          <w:p w14:paraId="17A1907F" w14:textId="77777777" w:rsidR="00CF7991" w:rsidRPr="00C530B5" w:rsidRDefault="00CF7991" w:rsidP="00672286">
            <w:pPr>
              <w:jc w:val="center"/>
              <w:rPr>
                <w:rFonts w:ascii="Calibri" w:eastAsia="Times New Roman" w:hAnsi="Calibri" w:cs="Times New Roman"/>
                <w:b/>
                <w:bCs/>
                <w:color w:val="000000"/>
                <w:sz w:val="16"/>
                <w:szCs w:val="16"/>
                <w:lang w:eastAsia="en-GB"/>
              </w:rPr>
            </w:pPr>
            <w:r w:rsidRPr="00C530B5">
              <w:rPr>
                <w:rFonts w:ascii="Calibri" w:eastAsia="Times New Roman" w:hAnsi="Calibri" w:cs="Times New Roman"/>
                <w:b/>
                <w:bCs/>
                <w:color w:val="000000"/>
                <w:sz w:val="16"/>
                <w:szCs w:val="16"/>
                <w:lang w:eastAsia="en-GB"/>
              </w:rPr>
              <w:t>Change in Seasonality (%)</w:t>
            </w:r>
          </w:p>
        </w:tc>
      </w:tr>
      <w:tr w:rsidR="00CF7991" w:rsidRPr="00C530B5" w14:paraId="066E8503" w14:textId="77777777" w:rsidTr="00672286">
        <w:trPr>
          <w:trHeight w:val="369"/>
          <w:jc w:val="center"/>
        </w:trPr>
        <w:tc>
          <w:tcPr>
            <w:tcW w:w="2749" w:type="dxa"/>
            <w:tcBorders>
              <w:top w:val="nil"/>
              <w:left w:val="nil"/>
              <w:bottom w:val="nil"/>
              <w:right w:val="nil"/>
            </w:tcBorders>
            <w:shd w:val="clear" w:color="auto" w:fill="auto"/>
            <w:vAlign w:val="center"/>
            <w:hideMark/>
          </w:tcPr>
          <w:p w14:paraId="71CDC9BD"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Western Coral Triangle</w:t>
            </w:r>
          </w:p>
        </w:tc>
        <w:tc>
          <w:tcPr>
            <w:tcW w:w="1952" w:type="dxa"/>
            <w:tcBorders>
              <w:top w:val="nil"/>
              <w:left w:val="nil"/>
              <w:bottom w:val="nil"/>
              <w:right w:val="nil"/>
            </w:tcBorders>
            <w:shd w:val="clear" w:color="auto" w:fill="auto"/>
            <w:noWrap/>
            <w:vAlign w:val="center"/>
            <w:hideMark/>
          </w:tcPr>
          <w:p w14:paraId="7EC14055"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0.95 ± 1.45</w:t>
            </w:r>
          </w:p>
        </w:tc>
        <w:tc>
          <w:tcPr>
            <w:tcW w:w="1854" w:type="dxa"/>
            <w:tcBorders>
              <w:top w:val="nil"/>
              <w:left w:val="nil"/>
              <w:bottom w:val="nil"/>
              <w:right w:val="nil"/>
            </w:tcBorders>
            <w:shd w:val="clear" w:color="auto" w:fill="auto"/>
            <w:noWrap/>
            <w:vAlign w:val="center"/>
            <w:hideMark/>
          </w:tcPr>
          <w:p w14:paraId="56CDF3A4"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-0.</w:t>
            </w:r>
            <w:proofErr w:type="gramStart"/>
            <w:r w:rsidRPr="00C530B5">
              <w:rPr>
                <w:rFonts w:ascii="Calibri" w:eastAsia="Times New Roman" w:hAnsi="Calibri" w:cs="Times New Roman"/>
                <w:color w:val="000000"/>
                <w:sz w:val="16"/>
                <w:szCs w:val="16"/>
                <w:lang w:eastAsia="en-GB"/>
              </w:rPr>
              <w:t>46  ±</w:t>
            </w:r>
            <w:proofErr w:type="gramEnd"/>
            <w:r w:rsidRPr="00C530B5">
              <w:rPr>
                <w:rFonts w:ascii="Calibri" w:eastAsia="Times New Roman" w:hAnsi="Calibri" w:cs="Times New Roman"/>
                <w:color w:val="000000"/>
                <w:sz w:val="16"/>
                <w:szCs w:val="16"/>
                <w:lang w:eastAsia="en-GB"/>
              </w:rPr>
              <w:t xml:space="preserve">  0.20</w:t>
            </w:r>
          </w:p>
        </w:tc>
        <w:tc>
          <w:tcPr>
            <w:tcW w:w="1854" w:type="dxa"/>
            <w:tcBorders>
              <w:top w:val="nil"/>
              <w:left w:val="nil"/>
              <w:bottom w:val="nil"/>
              <w:right w:val="nil"/>
            </w:tcBorders>
            <w:shd w:val="clear" w:color="auto" w:fill="auto"/>
            <w:noWrap/>
            <w:vAlign w:val="center"/>
            <w:hideMark/>
          </w:tcPr>
          <w:p w14:paraId="3608B0AC"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-0.</w:t>
            </w:r>
            <w:proofErr w:type="gramStart"/>
            <w:r w:rsidRPr="00C530B5">
              <w:rPr>
                <w:rFonts w:ascii="Calibri" w:eastAsia="Times New Roman" w:hAnsi="Calibri" w:cs="Times New Roman"/>
                <w:color w:val="000000"/>
                <w:sz w:val="16"/>
                <w:szCs w:val="16"/>
                <w:lang w:eastAsia="en-GB"/>
              </w:rPr>
              <w:t>46  ±</w:t>
            </w:r>
            <w:proofErr w:type="gramEnd"/>
            <w:r w:rsidRPr="00C530B5">
              <w:rPr>
                <w:rFonts w:ascii="Calibri" w:eastAsia="Times New Roman" w:hAnsi="Calibri" w:cs="Times New Roman"/>
                <w:color w:val="000000"/>
                <w:sz w:val="16"/>
                <w:szCs w:val="16"/>
                <w:lang w:eastAsia="en-GB"/>
              </w:rPr>
              <w:t xml:space="preserve">  0.20</w:t>
            </w:r>
          </w:p>
        </w:tc>
      </w:tr>
      <w:tr w:rsidR="00CF7991" w:rsidRPr="00C530B5" w14:paraId="7ACD0EF8" w14:textId="77777777" w:rsidTr="00672286">
        <w:trPr>
          <w:trHeight w:val="246"/>
          <w:jc w:val="center"/>
        </w:trPr>
        <w:tc>
          <w:tcPr>
            <w:tcW w:w="2749" w:type="dxa"/>
            <w:tcBorders>
              <w:top w:val="nil"/>
              <w:left w:val="nil"/>
              <w:bottom w:val="nil"/>
              <w:right w:val="nil"/>
            </w:tcBorders>
            <w:shd w:val="clear" w:color="auto" w:fill="auto"/>
            <w:vAlign w:val="center"/>
            <w:hideMark/>
          </w:tcPr>
          <w:p w14:paraId="58F1855A"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Sahul Shelf</w:t>
            </w:r>
          </w:p>
        </w:tc>
        <w:tc>
          <w:tcPr>
            <w:tcW w:w="1952" w:type="dxa"/>
            <w:tcBorders>
              <w:top w:val="nil"/>
              <w:left w:val="nil"/>
              <w:bottom w:val="nil"/>
              <w:right w:val="nil"/>
            </w:tcBorders>
            <w:shd w:val="clear" w:color="auto" w:fill="auto"/>
            <w:noWrap/>
            <w:vAlign w:val="center"/>
            <w:hideMark/>
          </w:tcPr>
          <w:p w14:paraId="4495AF8D"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3.11 ± 2.47</w:t>
            </w:r>
          </w:p>
        </w:tc>
        <w:tc>
          <w:tcPr>
            <w:tcW w:w="1854" w:type="dxa"/>
            <w:tcBorders>
              <w:top w:val="nil"/>
              <w:left w:val="nil"/>
              <w:bottom w:val="nil"/>
              <w:right w:val="nil"/>
            </w:tcBorders>
            <w:shd w:val="clear" w:color="auto" w:fill="auto"/>
            <w:noWrap/>
            <w:vAlign w:val="center"/>
            <w:hideMark/>
          </w:tcPr>
          <w:p w14:paraId="3D7C969B"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-0.</w:t>
            </w:r>
            <w:proofErr w:type="gramStart"/>
            <w:r w:rsidRPr="00C530B5">
              <w:rPr>
                <w:rFonts w:ascii="Calibri" w:eastAsia="Times New Roman" w:hAnsi="Calibri" w:cs="Times New Roman"/>
                <w:color w:val="000000"/>
                <w:sz w:val="16"/>
                <w:szCs w:val="16"/>
                <w:lang w:eastAsia="en-GB"/>
              </w:rPr>
              <w:t>86  ±</w:t>
            </w:r>
            <w:proofErr w:type="gramEnd"/>
            <w:r w:rsidRPr="00C530B5">
              <w:rPr>
                <w:rFonts w:ascii="Calibri" w:eastAsia="Times New Roman" w:hAnsi="Calibri" w:cs="Times New Roman"/>
                <w:color w:val="000000"/>
                <w:sz w:val="16"/>
                <w:szCs w:val="16"/>
                <w:lang w:eastAsia="en-GB"/>
              </w:rPr>
              <w:t xml:space="preserve">  0.27</w:t>
            </w:r>
          </w:p>
        </w:tc>
        <w:tc>
          <w:tcPr>
            <w:tcW w:w="1854" w:type="dxa"/>
            <w:tcBorders>
              <w:top w:val="nil"/>
              <w:left w:val="nil"/>
              <w:bottom w:val="nil"/>
              <w:right w:val="nil"/>
            </w:tcBorders>
            <w:shd w:val="clear" w:color="auto" w:fill="auto"/>
            <w:noWrap/>
            <w:vAlign w:val="center"/>
            <w:hideMark/>
          </w:tcPr>
          <w:p w14:paraId="6FAA7EBD"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w:t>
            </w:r>
            <w:proofErr w:type="gramStart"/>
            <w:r w:rsidRPr="00C530B5">
              <w:rPr>
                <w:rFonts w:ascii="Calibri" w:eastAsia="Times New Roman" w:hAnsi="Calibri" w:cs="Times New Roman"/>
                <w:color w:val="000000"/>
                <w:sz w:val="16"/>
                <w:szCs w:val="16"/>
                <w:lang w:eastAsia="en-GB"/>
              </w:rPr>
              <w:t>86  ±</w:t>
            </w:r>
            <w:proofErr w:type="gramEnd"/>
            <w:r w:rsidRPr="00C530B5">
              <w:rPr>
                <w:rFonts w:ascii="Calibri" w:eastAsia="Times New Roman" w:hAnsi="Calibri" w:cs="Times New Roman"/>
                <w:color w:val="000000"/>
                <w:sz w:val="16"/>
                <w:szCs w:val="16"/>
                <w:lang w:eastAsia="en-GB"/>
              </w:rPr>
              <w:t xml:space="preserve">  0.27</w:t>
            </w:r>
          </w:p>
        </w:tc>
      </w:tr>
      <w:tr w:rsidR="00CF7991" w:rsidRPr="00C530B5" w14:paraId="63E6ED86" w14:textId="77777777" w:rsidTr="00672286">
        <w:trPr>
          <w:trHeight w:val="553"/>
          <w:jc w:val="center"/>
        </w:trPr>
        <w:tc>
          <w:tcPr>
            <w:tcW w:w="2749" w:type="dxa"/>
            <w:tcBorders>
              <w:top w:val="nil"/>
              <w:left w:val="nil"/>
              <w:bottom w:val="nil"/>
              <w:right w:val="nil"/>
            </w:tcBorders>
            <w:shd w:val="clear" w:color="auto" w:fill="auto"/>
            <w:vAlign w:val="center"/>
            <w:hideMark/>
          </w:tcPr>
          <w:p w14:paraId="27C4391B"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 xml:space="preserve">Tropical </w:t>
            </w:r>
            <w:proofErr w:type="spellStart"/>
            <w:r w:rsidRPr="00C530B5">
              <w:rPr>
                <w:rFonts w:ascii="Calibri" w:eastAsia="Times New Roman" w:hAnsi="Calibri" w:cs="Times New Roman"/>
                <w:color w:val="000000"/>
                <w:sz w:val="16"/>
                <w:szCs w:val="16"/>
                <w:lang w:eastAsia="en-GB"/>
              </w:rPr>
              <w:t>Northwestern</w:t>
            </w:r>
            <w:proofErr w:type="spellEnd"/>
            <w:r w:rsidRPr="00C530B5">
              <w:rPr>
                <w:rFonts w:ascii="Calibri" w:eastAsia="Times New Roman" w:hAnsi="Calibri" w:cs="Times New Roman"/>
                <w:color w:val="000000"/>
                <w:sz w:val="16"/>
                <w:szCs w:val="16"/>
                <w:lang w:eastAsia="en-GB"/>
              </w:rPr>
              <w:t xml:space="preserve"> Atlantic</w:t>
            </w:r>
          </w:p>
        </w:tc>
        <w:tc>
          <w:tcPr>
            <w:tcW w:w="1952" w:type="dxa"/>
            <w:tcBorders>
              <w:top w:val="nil"/>
              <w:left w:val="nil"/>
              <w:bottom w:val="nil"/>
              <w:right w:val="nil"/>
            </w:tcBorders>
            <w:shd w:val="clear" w:color="auto" w:fill="auto"/>
            <w:noWrap/>
            <w:vAlign w:val="center"/>
            <w:hideMark/>
          </w:tcPr>
          <w:p w14:paraId="2DCF81C6"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6.66 ± 4.05</w:t>
            </w:r>
          </w:p>
        </w:tc>
        <w:tc>
          <w:tcPr>
            <w:tcW w:w="1854" w:type="dxa"/>
            <w:tcBorders>
              <w:top w:val="nil"/>
              <w:left w:val="nil"/>
              <w:bottom w:val="nil"/>
              <w:right w:val="nil"/>
            </w:tcBorders>
            <w:shd w:val="clear" w:color="auto" w:fill="auto"/>
            <w:noWrap/>
            <w:vAlign w:val="center"/>
            <w:hideMark/>
          </w:tcPr>
          <w:p w14:paraId="0CB24EEB"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w:t>
            </w:r>
            <w:proofErr w:type="gramStart"/>
            <w:r w:rsidRPr="00C530B5">
              <w:rPr>
                <w:rFonts w:ascii="Calibri" w:eastAsia="Times New Roman" w:hAnsi="Calibri" w:cs="Times New Roman"/>
                <w:color w:val="000000"/>
                <w:sz w:val="16"/>
                <w:szCs w:val="16"/>
                <w:lang w:eastAsia="en-GB"/>
              </w:rPr>
              <w:t>38  ±</w:t>
            </w:r>
            <w:proofErr w:type="gramEnd"/>
            <w:r w:rsidRPr="00C530B5">
              <w:rPr>
                <w:rFonts w:ascii="Calibri" w:eastAsia="Times New Roman" w:hAnsi="Calibri" w:cs="Times New Roman"/>
                <w:color w:val="000000"/>
                <w:sz w:val="16"/>
                <w:szCs w:val="16"/>
                <w:lang w:eastAsia="en-GB"/>
              </w:rPr>
              <w:t xml:space="preserve">  0.56</w:t>
            </w:r>
          </w:p>
        </w:tc>
        <w:tc>
          <w:tcPr>
            <w:tcW w:w="1854" w:type="dxa"/>
            <w:tcBorders>
              <w:top w:val="nil"/>
              <w:left w:val="nil"/>
              <w:bottom w:val="nil"/>
              <w:right w:val="nil"/>
            </w:tcBorders>
            <w:shd w:val="clear" w:color="auto" w:fill="auto"/>
            <w:noWrap/>
            <w:vAlign w:val="center"/>
            <w:hideMark/>
          </w:tcPr>
          <w:p w14:paraId="2F8A3383"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-2.</w:t>
            </w:r>
            <w:proofErr w:type="gramStart"/>
            <w:r w:rsidRPr="00C530B5">
              <w:rPr>
                <w:rFonts w:ascii="Calibri" w:eastAsia="Times New Roman" w:hAnsi="Calibri" w:cs="Times New Roman"/>
                <w:color w:val="000000"/>
                <w:sz w:val="16"/>
                <w:szCs w:val="16"/>
                <w:lang w:eastAsia="en-GB"/>
              </w:rPr>
              <w:t>52  ±</w:t>
            </w:r>
            <w:proofErr w:type="gramEnd"/>
            <w:r w:rsidRPr="00C530B5">
              <w:rPr>
                <w:rFonts w:ascii="Calibri" w:eastAsia="Times New Roman" w:hAnsi="Calibri" w:cs="Times New Roman"/>
                <w:color w:val="000000"/>
                <w:sz w:val="16"/>
                <w:szCs w:val="16"/>
                <w:lang w:eastAsia="en-GB"/>
              </w:rPr>
              <w:t xml:space="preserve">  0.56</w:t>
            </w:r>
          </w:p>
        </w:tc>
      </w:tr>
      <w:tr w:rsidR="00CF7991" w:rsidRPr="00C530B5" w14:paraId="2D5311F2" w14:textId="77777777" w:rsidTr="00672286">
        <w:trPr>
          <w:trHeight w:val="246"/>
          <w:jc w:val="center"/>
        </w:trPr>
        <w:tc>
          <w:tcPr>
            <w:tcW w:w="2749" w:type="dxa"/>
            <w:tcBorders>
              <w:top w:val="nil"/>
              <w:left w:val="nil"/>
              <w:bottom w:val="nil"/>
              <w:right w:val="nil"/>
            </w:tcBorders>
            <w:shd w:val="clear" w:color="auto" w:fill="auto"/>
            <w:vAlign w:val="center"/>
            <w:hideMark/>
          </w:tcPr>
          <w:p w14:paraId="2D330BB7"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spellStart"/>
            <w:r w:rsidRPr="00C530B5">
              <w:rPr>
                <w:rFonts w:ascii="Calibri" w:eastAsia="Times New Roman" w:hAnsi="Calibri" w:cs="Times New Roman"/>
                <w:color w:val="000000"/>
                <w:sz w:val="16"/>
                <w:szCs w:val="16"/>
                <w:lang w:eastAsia="en-GB"/>
              </w:rPr>
              <w:t>Sunda</w:t>
            </w:r>
            <w:proofErr w:type="spellEnd"/>
            <w:r w:rsidRPr="00C530B5">
              <w:rPr>
                <w:rFonts w:ascii="Calibri" w:eastAsia="Times New Roman" w:hAnsi="Calibri" w:cs="Times New Roman"/>
                <w:color w:val="000000"/>
                <w:sz w:val="16"/>
                <w:szCs w:val="16"/>
                <w:lang w:eastAsia="en-GB"/>
              </w:rPr>
              <w:t xml:space="preserve"> Shelf</w:t>
            </w:r>
          </w:p>
        </w:tc>
        <w:tc>
          <w:tcPr>
            <w:tcW w:w="1952" w:type="dxa"/>
            <w:tcBorders>
              <w:top w:val="nil"/>
              <w:left w:val="nil"/>
              <w:bottom w:val="nil"/>
              <w:right w:val="nil"/>
            </w:tcBorders>
            <w:shd w:val="clear" w:color="auto" w:fill="auto"/>
            <w:noWrap/>
            <w:vAlign w:val="center"/>
            <w:hideMark/>
          </w:tcPr>
          <w:p w14:paraId="1A5543C0"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1.21 ± 2.35</w:t>
            </w:r>
          </w:p>
        </w:tc>
        <w:tc>
          <w:tcPr>
            <w:tcW w:w="1854" w:type="dxa"/>
            <w:tcBorders>
              <w:top w:val="nil"/>
              <w:left w:val="nil"/>
              <w:bottom w:val="nil"/>
              <w:right w:val="nil"/>
            </w:tcBorders>
            <w:shd w:val="clear" w:color="auto" w:fill="auto"/>
            <w:noWrap/>
            <w:vAlign w:val="center"/>
            <w:hideMark/>
          </w:tcPr>
          <w:p w14:paraId="5414CF2D"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0.02  ±</w:t>
            </w:r>
            <w:proofErr w:type="gramEnd"/>
            <w:r w:rsidRPr="00C530B5">
              <w:rPr>
                <w:rFonts w:ascii="Calibri" w:eastAsia="Times New Roman" w:hAnsi="Calibri" w:cs="Times New Roman"/>
                <w:color w:val="000000"/>
                <w:sz w:val="16"/>
                <w:szCs w:val="16"/>
                <w:lang w:eastAsia="en-GB"/>
              </w:rPr>
              <w:t xml:space="preserve">  0.62</w:t>
            </w:r>
          </w:p>
        </w:tc>
        <w:tc>
          <w:tcPr>
            <w:tcW w:w="1854" w:type="dxa"/>
            <w:tcBorders>
              <w:top w:val="nil"/>
              <w:left w:val="nil"/>
              <w:bottom w:val="nil"/>
              <w:right w:val="nil"/>
            </w:tcBorders>
            <w:shd w:val="clear" w:color="auto" w:fill="auto"/>
            <w:noWrap/>
            <w:vAlign w:val="center"/>
            <w:hideMark/>
          </w:tcPr>
          <w:p w14:paraId="3D5CD48E"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0.07  ±</w:t>
            </w:r>
            <w:proofErr w:type="gramEnd"/>
            <w:r w:rsidRPr="00C530B5">
              <w:rPr>
                <w:rFonts w:ascii="Calibri" w:eastAsia="Times New Roman" w:hAnsi="Calibri" w:cs="Times New Roman"/>
                <w:color w:val="000000"/>
                <w:sz w:val="16"/>
                <w:szCs w:val="16"/>
                <w:lang w:eastAsia="en-GB"/>
              </w:rPr>
              <w:t xml:space="preserve">  0.62</w:t>
            </w:r>
          </w:p>
        </w:tc>
      </w:tr>
      <w:tr w:rsidR="00CF7991" w:rsidRPr="00C530B5" w14:paraId="780BB33D" w14:textId="77777777" w:rsidTr="00672286">
        <w:trPr>
          <w:trHeight w:val="246"/>
          <w:jc w:val="center"/>
        </w:trPr>
        <w:tc>
          <w:tcPr>
            <w:tcW w:w="2749" w:type="dxa"/>
            <w:tcBorders>
              <w:top w:val="nil"/>
              <w:left w:val="nil"/>
              <w:bottom w:val="nil"/>
              <w:right w:val="nil"/>
            </w:tcBorders>
            <w:shd w:val="clear" w:color="auto" w:fill="auto"/>
            <w:vAlign w:val="center"/>
            <w:hideMark/>
          </w:tcPr>
          <w:p w14:paraId="66E439E4"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Gulf of Guinea</w:t>
            </w:r>
          </w:p>
        </w:tc>
        <w:tc>
          <w:tcPr>
            <w:tcW w:w="1952" w:type="dxa"/>
            <w:tcBorders>
              <w:top w:val="nil"/>
              <w:left w:val="nil"/>
              <w:bottom w:val="nil"/>
              <w:right w:val="nil"/>
            </w:tcBorders>
            <w:shd w:val="clear" w:color="auto" w:fill="auto"/>
            <w:noWrap/>
            <w:vAlign w:val="center"/>
            <w:hideMark/>
          </w:tcPr>
          <w:p w14:paraId="5C8DDCE2"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1.09 ± 3.80</w:t>
            </w:r>
          </w:p>
        </w:tc>
        <w:tc>
          <w:tcPr>
            <w:tcW w:w="1854" w:type="dxa"/>
            <w:tcBorders>
              <w:top w:val="nil"/>
              <w:left w:val="nil"/>
              <w:bottom w:val="nil"/>
              <w:right w:val="nil"/>
            </w:tcBorders>
            <w:shd w:val="clear" w:color="auto" w:fill="auto"/>
            <w:noWrap/>
            <w:vAlign w:val="center"/>
            <w:hideMark/>
          </w:tcPr>
          <w:p w14:paraId="495FAA02"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0.74  ±</w:t>
            </w:r>
            <w:proofErr w:type="gramEnd"/>
            <w:r w:rsidRPr="00C530B5">
              <w:rPr>
                <w:rFonts w:ascii="Calibri" w:eastAsia="Times New Roman" w:hAnsi="Calibri" w:cs="Times New Roman"/>
                <w:color w:val="000000"/>
                <w:sz w:val="16"/>
                <w:szCs w:val="16"/>
                <w:lang w:eastAsia="en-GB"/>
              </w:rPr>
              <w:t xml:space="preserve">  0.36</w:t>
            </w:r>
          </w:p>
        </w:tc>
        <w:tc>
          <w:tcPr>
            <w:tcW w:w="1854" w:type="dxa"/>
            <w:tcBorders>
              <w:top w:val="nil"/>
              <w:left w:val="nil"/>
              <w:bottom w:val="nil"/>
              <w:right w:val="nil"/>
            </w:tcBorders>
            <w:shd w:val="clear" w:color="auto" w:fill="auto"/>
            <w:noWrap/>
            <w:vAlign w:val="center"/>
            <w:hideMark/>
          </w:tcPr>
          <w:p w14:paraId="7609FBBF"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0.57  ±</w:t>
            </w:r>
            <w:proofErr w:type="gramEnd"/>
            <w:r w:rsidRPr="00C530B5">
              <w:rPr>
                <w:rFonts w:ascii="Calibri" w:eastAsia="Times New Roman" w:hAnsi="Calibri" w:cs="Times New Roman"/>
                <w:color w:val="000000"/>
                <w:sz w:val="16"/>
                <w:szCs w:val="16"/>
                <w:lang w:eastAsia="en-GB"/>
              </w:rPr>
              <w:t xml:space="preserve">  0.36</w:t>
            </w:r>
          </w:p>
        </w:tc>
      </w:tr>
      <w:tr w:rsidR="00CF7991" w:rsidRPr="00C530B5" w14:paraId="32AA1EEE" w14:textId="77777777" w:rsidTr="00672286">
        <w:trPr>
          <w:trHeight w:val="246"/>
          <w:jc w:val="center"/>
        </w:trPr>
        <w:tc>
          <w:tcPr>
            <w:tcW w:w="2749" w:type="dxa"/>
            <w:tcBorders>
              <w:top w:val="nil"/>
              <w:left w:val="nil"/>
              <w:bottom w:val="nil"/>
              <w:right w:val="nil"/>
            </w:tcBorders>
            <w:shd w:val="clear" w:color="auto" w:fill="auto"/>
            <w:vAlign w:val="center"/>
            <w:hideMark/>
          </w:tcPr>
          <w:p w14:paraId="73E817E1"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North Brazil Shelf</w:t>
            </w:r>
          </w:p>
        </w:tc>
        <w:tc>
          <w:tcPr>
            <w:tcW w:w="1952" w:type="dxa"/>
            <w:tcBorders>
              <w:top w:val="nil"/>
              <w:left w:val="nil"/>
              <w:bottom w:val="nil"/>
              <w:right w:val="nil"/>
            </w:tcBorders>
            <w:shd w:val="clear" w:color="auto" w:fill="auto"/>
            <w:noWrap/>
            <w:vAlign w:val="center"/>
            <w:hideMark/>
          </w:tcPr>
          <w:p w14:paraId="29E90229"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2.18 ± 4.05</w:t>
            </w:r>
          </w:p>
        </w:tc>
        <w:tc>
          <w:tcPr>
            <w:tcW w:w="1854" w:type="dxa"/>
            <w:tcBorders>
              <w:top w:val="nil"/>
              <w:left w:val="nil"/>
              <w:bottom w:val="nil"/>
              <w:right w:val="nil"/>
            </w:tcBorders>
            <w:shd w:val="clear" w:color="auto" w:fill="auto"/>
            <w:noWrap/>
            <w:vAlign w:val="center"/>
            <w:hideMark/>
          </w:tcPr>
          <w:p w14:paraId="6B049644"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-0.</w:t>
            </w:r>
            <w:proofErr w:type="gramStart"/>
            <w:r w:rsidRPr="00C530B5">
              <w:rPr>
                <w:rFonts w:ascii="Calibri" w:eastAsia="Times New Roman" w:hAnsi="Calibri" w:cs="Times New Roman"/>
                <w:color w:val="000000"/>
                <w:sz w:val="16"/>
                <w:szCs w:val="16"/>
                <w:lang w:eastAsia="en-GB"/>
              </w:rPr>
              <w:t>32  ±</w:t>
            </w:r>
            <w:proofErr w:type="gramEnd"/>
            <w:r w:rsidRPr="00C530B5">
              <w:rPr>
                <w:rFonts w:ascii="Calibri" w:eastAsia="Times New Roman" w:hAnsi="Calibri" w:cs="Times New Roman"/>
                <w:color w:val="000000"/>
                <w:sz w:val="16"/>
                <w:szCs w:val="16"/>
                <w:lang w:eastAsia="en-GB"/>
              </w:rPr>
              <w:t xml:space="preserve">  0.10</w:t>
            </w:r>
          </w:p>
        </w:tc>
        <w:tc>
          <w:tcPr>
            <w:tcW w:w="1854" w:type="dxa"/>
            <w:tcBorders>
              <w:top w:val="nil"/>
              <w:left w:val="nil"/>
              <w:bottom w:val="nil"/>
              <w:right w:val="nil"/>
            </w:tcBorders>
            <w:shd w:val="clear" w:color="auto" w:fill="auto"/>
            <w:noWrap/>
            <w:vAlign w:val="center"/>
            <w:hideMark/>
          </w:tcPr>
          <w:p w14:paraId="2A059176"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-0.</w:t>
            </w:r>
            <w:proofErr w:type="gramStart"/>
            <w:r w:rsidRPr="00C530B5">
              <w:rPr>
                <w:rFonts w:ascii="Calibri" w:eastAsia="Times New Roman" w:hAnsi="Calibri" w:cs="Times New Roman"/>
                <w:color w:val="000000"/>
                <w:sz w:val="16"/>
                <w:szCs w:val="16"/>
                <w:lang w:eastAsia="en-GB"/>
              </w:rPr>
              <w:t>95  ±</w:t>
            </w:r>
            <w:proofErr w:type="gramEnd"/>
            <w:r w:rsidRPr="00C530B5">
              <w:rPr>
                <w:rFonts w:ascii="Calibri" w:eastAsia="Times New Roman" w:hAnsi="Calibri" w:cs="Times New Roman"/>
                <w:color w:val="000000"/>
                <w:sz w:val="16"/>
                <w:szCs w:val="16"/>
                <w:lang w:eastAsia="en-GB"/>
              </w:rPr>
              <w:t xml:space="preserve">  0.10</w:t>
            </w:r>
          </w:p>
        </w:tc>
      </w:tr>
      <w:tr w:rsidR="00CF7991" w:rsidRPr="00C530B5" w14:paraId="40F72603" w14:textId="77777777" w:rsidTr="00672286">
        <w:trPr>
          <w:trHeight w:val="369"/>
          <w:jc w:val="center"/>
        </w:trPr>
        <w:tc>
          <w:tcPr>
            <w:tcW w:w="2749" w:type="dxa"/>
            <w:tcBorders>
              <w:top w:val="nil"/>
              <w:left w:val="nil"/>
              <w:bottom w:val="nil"/>
              <w:right w:val="nil"/>
            </w:tcBorders>
            <w:shd w:val="clear" w:color="auto" w:fill="auto"/>
            <w:vAlign w:val="center"/>
            <w:hideMark/>
          </w:tcPr>
          <w:p w14:paraId="437159BE"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Western Indian Ocean</w:t>
            </w:r>
          </w:p>
        </w:tc>
        <w:tc>
          <w:tcPr>
            <w:tcW w:w="1952" w:type="dxa"/>
            <w:tcBorders>
              <w:top w:val="nil"/>
              <w:left w:val="nil"/>
              <w:bottom w:val="nil"/>
              <w:right w:val="nil"/>
            </w:tcBorders>
            <w:shd w:val="clear" w:color="auto" w:fill="auto"/>
            <w:noWrap/>
            <w:vAlign w:val="center"/>
            <w:hideMark/>
          </w:tcPr>
          <w:p w14:paraId="6E8C9A39"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7.72 ± 1.60</w:t>
            </w:r>
          </w:p>
        </w:tc>
        <w:tc>
          <w:tcPr>
            <w:tcW w:w="1854" w:type="dxa"/>
            <w:tcBorders>
              <w:top w:val="nil"/>
              <w:left w:val="nil"/>
              <w:bottom w:val="nil"/>
              <w:right w:val="nil"/>
            </w:tcBorders>
            <w:shd w:val="clear" w:color="auto" w:fill="auto"/>
            <w:noWrap/>
            <w:vAlign w:val="center"/>
            <w:hideMark/>
          </w:tcPr>
          <w:p w14:paraId="2305727F"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w:t>
            </w:r>
            <w:proofErr w:type="gramStart"/>
            <w:r w:rsidRPr="00C530B5">
              <w:rPr>
                <w:rFonts w:ascii="Calibri" w:eastAsia="Times New Roman" w:hAnsi="Calibri" w:cs="Times New Roman"/>
                <w:color w:val="000000"/>
                <w:sz w:val="16"/>
                <w:szCs w:val="16"/>
                <w:lang w:eastAsia="en-GB"/>
              </w:rPr>
              <w:t>46  ±</w:t>
            </w:r>
            <w:proofErr w:type="gramEnd"/>
            <w:r w:rsidRPr="00C530B5">
              <w:rPr>
                <w:rFonts w:ascii="Calibri" w:eastAsia="Times New Roman" w:hAnsi="Calibri" w:cs="Times New Roman"/>
                <w:color w:val="000000"/>
                <w:sz w:val="16"/>
                <w:szCs w:val="16"/>
                <w:lang w:eastAsia="en-GB"/>
              </w:rPr>
              <w:t xml:space="preserve">  0.24</w:t>
            </w:r>
          </w:p>
        </w:tc>
        <w:tc>
          <w:tcPr>
            <w:tcW w:w="1854" w:type="dxa"/>
            <w:tcBorders>
              <w:top w:val="nil"/>
              <w:left w:val="nil"/>
              <w:bottom w:val="nil"/>
              <w:right w:val="nil"/>
            </w:tcBorders>
            <w:shd w:val="clear" w:color="auto" w:fill="auto"/>
            <w:noWrap/>
            <w:vAlign w:val="center"/>
            <w:hideMark/>
          </w:tcPr>
          <w:p w14:paraId="23063A4B"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-3.</w:t>
            </w:r>
            <w:proofErr w:type="gramStart"/>
            <w:r w:rsidRPr="00C530B5">
              <w:rPr>
                <w:rFonts w:ascii="Calibri" w:eastAsia="Times New Roman" w:hAnsi="Calibri" w:cs="Times New Roman"/>
                <w:color w:val="000000"/>
                <w:sz w:val="16"/>
                <w:szCs w:val="16"/>
                <w:lang w:eastAsia="en-GB"/>
              </w:rPr>
              <w:t>49  ±</w:t>
            </w:r>
            <w:proofErr w:type="gramEnd"/>
            <w:r w:rsidRPr="00C530B5">
              <w:rPr>
                <w:rFonts w:ascii="Calibri" w:eastAsia="Times New Roman" w:hAnsi="Calibri" w:cs="Times New Roman"/>
                <w:color w:val="000000"/>
                <w:sz w:val="16"/>
                <w:szCs w:val="16"/>
                <w:lang w:eastAsia="en-GB"/>
              </w:rPr>
              <w:t xml:space="preserve">  0.24</w:t>
            </w:r>
          </w:p>
        </w:tc>
      </w:tr>
      <w:tr w:rsidR="00CF7991" w:rsidRPr="00C530B5" w14:paraId="6EEC6F35" w14:textId="77777777" w:rsidTr="00672286">
        <w:trPr>
          <w:trHeight w:val="246"/>
          <w:jc w:val="center"/>
        </w:trPr>
        <w:tc>
          <w:tcPr>
            <w:tcW w:w="2749" w:type="dxa"/>
            <w:tcBorders>
              <w:top w:val="nil"/>
              <w:left w:val="nil"/>
              <w:bottom w:val="nil"/>
              <w:right w:val="nil"/>
            </w:tcBorders>
            <w:shd w:val="clear" w:color="auto" w:fill="auto"/>
            <w:vAlign w:val="center"/>
            <w:hideMark/>
          </w:tcPr>
          <w:p w14:paraId="647A27F7"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Bay of Bengal</w:t>
            </w:r>
          </w:p>
        </w:tc>
        <w:tc>
          <w:tcPr>
            <w:tcW w:w="1952" w:type="dxa"/>
            <w:tcBorders>
              <w:top w:val="nil"/>
              <w:left w:val="nil"/>
              <w:bottom w:val="nil"/>
              <w:right w:val="nil"/>
            </w:tcBorders>
            <w:shd w:val="clear" w:color="auto" w:fill="auto"/>
            <w:noWrap/>
            <w:vAlign w:val="center"/>
            <w:hideMark/>
          </w:tcPr>
          <w:p w14:paraId="3D5C17A1"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7.44 ± 4.28</w:t>
            </w:r>
          </w:p>
        </w:tc>
        <w:tc>
          <w:tcPr>
            <w:tcW w:w="1854" w:type="dxa"/>
            <w:tcBorders>
              <w:top w:val="nil"/>
              <w:left w:val="nil"/>
              <w:bottom w:val="nil"/>
              <w:right w:val="nil"/>
            </w:tcBorders>
            <w:shd w:val="clear" w:color="auto" w:fill="auto"/>
            <w:noWrap/>
            <w:vAlign w:val="center"/>
            <w:hideMark/>
          </w:tcPr>
          <w:p w14:paraId="110360B8"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-0.</w:t>
            </w:r>
            <w:proofErr w:type="gramStart"/>
            <w:r w:rsidRPr="00C530B5">
              <w:rPr>
                <w:rFonts w:ascii="Calibri" w:eastAsia="Times New Roman" w:hAnsi="Calibri" w:cs="Times New Roman"/>
                <w:color w:val="000000"/>
                <w:sz w:val="16"/>
                <w:szCs w:val="16"/>
                <w:lang w:eastAsia="en-GB"/>
              </w:rPr>
              <w:t>50  ±</w:t>
            </w:r>
            <w:proofErr w:type="gramEnd"/>
            <w:r w:rsidRPr="00C530B5">
              <w:rPr>
                <w:rFonts w:ascii="Calibri" w:eastAsia="Times New Roman" w:hAnsi="Calibri" w:cs="Times New Roman"/>
                <w:color w:val="000000"/>
                <w:sz w:val="16"/>
                <w:szCs w:val="16"/>
                <w:lang w:eastAsia="en-GB"/>
              </w:rPr>
              <w:t xml:space="preserve">  0.39</w:t>
            </w:r>
          </w:p>
        </w:tc>
        <w:tc>
          <w:tcPr>
            <w:tcW w:w="1854" w:type="dxa"/>
            <w:tcBorders>
              <w:top w:val="nil"/>
              <w:left w:val="nil"/>
              <w:bottom w:val="nil"/>
              <w:right w:val="nil"/>
            </w:tcBorders>
            <w:shd w:val="clear" w:color="auto" w:fill="auto"/>
            <w:noWrap/>
            <w:vAlign w:val="center"/>
            <w:hideMark/>
          </w:tcPr>
          <w:p w14:paraId="49A23588"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-2.</w:t>
            </w:r>
            <w:proofErr w:type="gramStart"/>
            <w:r w:rsidRPr="00C530B5">
              <w:rPr>
                <w:rFonts w:ascii="Calibri" w:eastAsia="Times New Roman" w:hAnsi="Calibri" w:cs="Times New Roman"/>
                <w:color w:val="000000"/>
                <w:sz w:val="16"/>
                <w:szCs w:val="16"/>
                <w:lang w:eastAsia="en-GB"/>
              </w:rPr>
              <w:t>25  ±</w:t>
            </w:r>
            <w:proofErr w:type="gramEnd"/>
            <w:r w:rsidRPr="00C530B5">
              <w:rPr>
                <w:rFonts w:ascii="Calibri" w:eastAsia="Times New Roman" w:hAnsi="Calibri" w:cs="Times New Roman"/>
                <w:color w:val="000000"/>
                <w:sz w:val="16"/>
                <w:szCs w:val="16"/>
                <w:lang w:eastAsia="en-GB"/>
              </w:rPr>
              <w:t xml:space="preserve">  0.39</w:t>
            </w:r>
          </w:p>
        </w:tc>
      </w:tr>
      <w:tr w:rsidR="00CF7991" w:rsidRPr="00C530B5" w14:paraId="64230F5E" w14:textId="77777777" w:rsidTr="00672286">
        <w:trPr>
          <w:trHeight w:val="246"/>
          <w:jc w:val="center"/>
        </w:trPr>
        <w:tc>
          <w:tcPr>
            <w:tcW w:w="2749" w:type="dxa"/>
            <w:tcBorders>
              <w:top w:val="nil"/>
              <w:left w:val="nil"/>
              <w:bottom w:val="nil"/>
              <w:right w:val="nil"/>
            </w:tcBorders>
            <w:shd w:val="clear" w:color="auto" w:fill="auto"/>
            <w:vAlign w:val="center"/>
            <w:hideMark/>
          </w:tcPr>
          <w:p w14:paraId="7F73250F"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Tropical East Pacific</w:t>
            </w:r>
          </w:p>
        </w:tc>
        <w:tc>
          <w:tcPr>
            <w:tcW w:w="1952" w:type="dxa"/>
            <w:tcBorders>
              <w:top w:val="nil"/>
              <w:left w:val="nil"/>
              <w:bottom w:val="nil"/>
              <w:right w:val="nil"/>
            </w:tcBorders>
            <w:shd w:val="clear" w:color="auto" w:fill="auto"/>
            <w:noWrap/>
            <w:vAlign w:val="center"/>
            <w:hideMark/>
          </w:tcPr>
          <w:p w14:paraId="7F61A45C"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3.01 ± 2.34</w:t>
            </w:r>
          </w:p>
        </w:tc>
        <w:tc>
          <w:tcPr>
            <w:tcW w:w="1854" w:type="dxa"/>
            <w:tcBorders>
              <w:top w:val="nil"/>
              <w:left w:val="nil"/>
              <w:bottom w:val="nil"/>
              <w:right w:val="nil"/>
            </w:tcBorders>
            <w:shd w:val="clear" w:color="auto" w:fill="auto"/>
            <w:noWrap/>
            <w:vAlign w:val="center"/>
            <w:hideMark/>
          </w:tcPr>
          <w:p w14:paraId="5FEB5D9F"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0.42  ±</w:t>
            </w:r>
            <w:proofErr w:type="gramEnd"/>
            <w:r w:rsidRPr="00C530B5">
              <w:rPr>
                <w:rFonts w:ascii="Calibri" w:eastAsia="Times New Roman" w:hAnsi="Calibri" w:cs="Times New Roman"/>
                <w:color w:val="000000"/>
                <w:sz w:val="16"/>
                <w:szCs w:val="16"/>
                <w:lang w:eastAsia="en-GB"/>
              </w:rPr>
              <w:t xml:space="preserve">  0.87</w:t>
            </w:r>
          </w:p>
        </w:tc>
        <w:tc>
          <w:tcPr>
            <w:tcW w:w="1854" w:type="dxa"/>
            <w:tcBorders>
              <w:top w:val="nil"/>
              <w:left w:val="nil"/>
              <w:bottom w:val="nil"/>
              <w:right w:val="nil"/>
            </w:tcBorders>
            <w:shd w:val="clear" w:color="auto" w:fill="auto"/>
            <w:noWrap/>
            <w:vAlign w:val="center"/>
            <w:hideMark/>
          </w:tcPr>
          <w:p w14:paraId="637394DF"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w:t>
            </w:r>
            <w:proofErr w:type="gramStart"/>
            <w:r w:rsidRPr="00C530B5">
              <w:rPr>
                <w:rFonts w:ascii="Calibri" w:eastAsia="Times New Roman" w:hAnsi="Calibri" w:cs="Times New Roman"/>
                <w:color w:val="000000"/>
                <w:sz w:val="16"/>
                <w:szCs w:val="16"/>
                <w:lang w:eastAsia="en-GB"/>
              </w:rPr>
              <w:t>01  ±</w:t>
            </w:r>
            <w:proofErr w:type="gramEnd"/>
            <w:r w:rsidRPr="00C530B5">
              <w:rPr>
                <w:rFonts w:ascii="Calibri" w:eastAsia="Times New Roman" w:hAnsi="Calibri" w:cs="Times New Roman"/>
                <w:color w:val="000000"/>
                <w:sz w:val="16"/>
                <w:szCs w:val="16"/>
                <w:lang w:eastAsia="en-GB"/>
              </w:rPr>
              <w:t xml:space="preserve">  0.87</w:t>
            </w:r>
          </w:p>
        </w:tc>
      </w:tr>
      <w:tr w:rsidR="00CF7991" w:rsidRPr="00C530B5" w14:paraId="4537FBAF" w14:textId="77777777" w:rsidTr="00672286">
        <w:trPr>
          <w:trHeight w:val="246"/>
          <w:jc w:val="center"/>
        </w:trPr>
        <w:tc>
          <w:tcPr>
            <w:tcW w:w="2749" w:type="dxa"/>
            <w:tcBorders>
              <w:top w:val="nil"/>
              <w:left w:val="nil"/>
              <w:bottom w:val="nil"/>
              <w:right w:val="nil"/>
            </w:tcBorders>
            <w:shd w:val="clear" w:color="auto" w:fill="auto"/>
            <w:vAlign w:val="center"/>
            <w:hideMark/>
          </w:tcPr>
          <w:p w14:paraId="3011799E"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Andaman</w:t>
            </w:r>
          </w:p>
        </w:tc>
        <w:tc>
          <w:tcPr>
            <w:tcW w:w="1952" w:type="dxa"/>
            <w:tcBorders>
              <w:top w:val="nil"/>
              <w:left w:val="nil"/>
              <w:bottom w:val="nil"/>
              <w:right w:val="nil"/>
            </w:tcBorders>
            <w:shd w:val="clear" w:color="auto" w:fill="auto"/>
            <w:noWrap/>
            <w:vAlign w:val="center"/>
            <w:hideMark/>
          </w:tcPr>
          <w:p w14:paraId="29736E87"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3.32 ± 4.06</w:t>
            </w:r>
          </w:p>
        </w:tc>
        <w:tc>
          <w:tcPr>
            <w:tcW w:w="1854" w:type="dxa"/>
            <w:tcBorders>
              <w:top w:val="nil"/>
              <w:left w:val="nil"/>
              <w:bottom w:val="nil"/>
              <w:right w:val="nil"/>
            </w:tcBorders>
            <w:shd w:val="clear" w:color="auto" w:fill="auto"/>
            <w:noWrap/>
            <w:vAlign w:val="center"/>
            <w:hideMark/>
          </w:tcPr>
          <w:p w14:paraId="4C63F980"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0.42  ±</w:t>
            </w:r>
            <w:proofErr w:type="gramEnd"/>
            <w:r w:rsidRPr="00C530B5">
              <w:rPr>
                <w:rFonts w:ascii="Calibri" w:eastAsia="Times New Roman" w:hAnsi="Calibri" w:cs="Times New Roman"/>
                <w:color w:val="000000"/>
                <w:sz w:val="16"/>
                <w:szCs w:val="16"/>
                <w:lang w:eastAsia="en-GB"/>
              </w:rPr>
              <w:t xml:space="preserve">  1.43</w:t>
            </w:r>
          </w:p>
        </w:tc>
        <w:tc>
          <w:tcPr>
            <w:tcW w:w="1854" w:type="dxa"/>
            <w:tcBorders>
              <w:top w:val="nil"/>
              <w:left w:val="nil"/>
              <w:bottom w:val="nil"/>
              <w:right w:val="nil"/>
            </w:tcBorders>
            <w:shd w:val="clear" w:color="auto" w:fill="auto"/>
            <w:noWrap/>
            <w:vAlign w:val="center"/>
            <w:hideMark/>
          </w:tcPr>
          <w:p w14:paraId="32676FC7"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-0.</w:t>
            </w:r>
            <w:proofErr w:type="gramStart"/>
            <w:r w:rsidRPr="00C530B5">
              <w:rPr>
                <w:rFonts w:ascii="Calibri" w:eastAsia="Times New Roman" w:hAnsi="Calibri" w:cs="Times New Roman"/>
                <w:color w:val="000000"/>
                <w:sz w:val="16"/>
                <w:szCs w:val="16"/>
                <w:lang w:eastAsia="en-GB"/>
              </w:rPr>
              <w:t>50  ±</w:t>
            </w:r>
            <w:proofErr w:type="gramEnd"/>
            <w:r w:rsidRPr="00C530B5">
              <w:rPr>
                <w:rFonts w:ascii="Calibri" w:eastAsia="Times New Roman" w:hAnsi="Calibri" w:cs="Times New Roman"/>
                <w:color w:val="000000"/>
                <w:sz w:val="16"/>
                <w:szCs w:val="16"/>
                <w:lang w:eastAsia="en-GB"/>
              </w:rPr>
              <w:t xml:space="preserve">  1.43</w:t>
            </w:r>
          </w:p>
        </w:tc>
      </w:tr>
      <w:tr w:rsidR="00CF7991" w:rsidRPr="00C530B5" w14:paraId="1A4C19CA" w14:textId="77777777" w:rsidTr="00672286">
        <w:trPr>
          <w:trHeight w:val="246"/>
          <w:jc w:val="center"/>
        </w:trPr>
        <w:tc>
          <w:tcPr>
            <w:tcW w:w="2749" w:type="dxa"/>
            <w:tcBorders>
              <w:top w:val="nil"/>
              <w:left w:val="nil"/>
              <w:bottom w:val="nil"/>
              <w:right w:val="nil"/>
            </w:tcBorders>
            <w:shd w:val="clear" w:color="auto" w:fill="auto"/>
            <w:vAlign w:val="center"/>
            <w:hideMark/>
          </w:tcPr>
          <w:p w14:paraId="0FBF52FA"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Eastern Coral Triangle</w:t>
            </w:r>
          </w:p>
        </w:tc>
        <w:tc>
          <w:tcPr>
            <w:tcW w:w="1952" w:type="dxa"/>
            <w:tcBorders>
              <w:top w:val="nil"/>
              <w:left w:val="nil"/>
              <w:bottom w:val="nil"/>
              <w:right w:val="nil"/>
            </w:tcBorders>
            <w:shd w:val="clear" w:color="auto" w:fill="auto"/>
            <w:noWrap/>
            <w:vAlign w:val="center"/>
            <w:hideMark/>
          </w:tcPr>
          <w:p w14:paraId="39DEF199"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2.27 ± 1.89</w:t>
            </w:r>
          </w:p>
        </w:tc>
        <w:tc>
          <w:tcPr>
            <w:tcW w:w="1854" w:type="dxa"/>
            <w:tcBorders>
              <w:top w:val="nil"/>
              <w:left w:val="nil"/>
              <w:bottom w:val="nil"/>
              <w:right w:val="nil"/>
            </w:tcBorders>
            <w:shd w:val="clear" w:color="auto" w:fill="auto"/>
            <w:noWrap/>
            <w:vAlign w:val="center"/>
            <w:hideMark/>
          </w:tcPr>
          <w:p w14:paraId="38E75DF0"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-0.</w:t>
            </w:r>
            <w:proofErr w:type="gramStart"/>
            <w:r w:rsidRPr="00C530B5">
              <w:rPr>
                <w:rFonts w:ascii="Calibri" w:eastAsia="Times New Roman" w:hAnsi="Calibri" w:cs="Times New Roman"/>
                <w:color w:val="000000"/>
                <w:sz w:val="16"/>
                <w:szCs w:val="16"/>
                <w:lang w:eastAsia="en-GB"/>
              </w:rPr>
              <w:t>38  ±</w:t>
            </w:r>
            <w:proofErr w:type="gramEnd"/>
            <w:r w:rsidRPr="00C530B5">
              <w:rPr>
                <w:rFonts w:ascii="Calibri" w:eastAsia="Times New Roman" w:hAnsi="Calibri" w:cs="Times New Roman"/>
                <w:color w:val="000000"/>
                <w:sz w:val="16"/>
                <w:szCs w:val="16"/>
                <w:lang w:eastAsia="en-GB"/>
              </w:rPr>
              <w:t xml:space="preserve">  0.97</w:t>
            </w:r>
          </w:p>
        </w:tc>
        <w:tc>
          <w:tcPr>
            <w:tcW w:w="1854" w:type="dxa"/>
            <w:tcBorders>
              <w:top w:val="nil"/>
              <w:left w:val="nil"/>
              <w:bottom w:val="nil"/>
              <w:right w:val="nil"/>
            </w:tcBorders>
            <w:shd w:val="clear" w:color="auto" w:fill="auto"/>
            <w:noWrap/>
            <w:vAlign w:val="center"/>
            <w:hideMark/>
          </w:tcPr>
          <w:p w14:paraId="1F0B947C"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w:t>
            </w:r>
            <w:proofErr w:type="gramStart"/>
            <w:r w:rsidRPr="00C530B5">
              <w:rPr>
                <w:rFonts w:ascii="Calibri" w:eastAsia="Times New Roman" w:hAnsi="Calibri" w:cs="Times New Roman"/>
                <w:color w:val="000000"/>
                <w:sz w:val="16"/>
                <w:szCs w:val="16"/>
                <w:lang w:eastAsia="en-GB"/>
              </w:rPr>
              <w:t>23  ±</w:t>
            </w:r>
            <w:proofErr w:type="gramEnd"/>
            <w:r w:rsidRPr="00C530B5">
              <w:rPr>
                <w:rFonts w:ascii="Calibri" w:eastAsia="Times New Roman" w:hAnsi="Calibri" w:cs="Times New Roman"/>
                <w:color w:val="000000"/>
                <w:sz w:val="16"/>
                <w:szCs w:val="16"/>
                <w:lang w:eastAsia="en-GB"/>
              </w:rPr>
              <w:t xml:space="preserve">  0.97</w:t>
            </w:r>
          </w:p>
        </w:tc>
      </w:tr>
      <w:tr w:rsidR="00CF7991" w:rsidRPr="00C530B5" w14:paraId="034B0B49" w14:textId="77777777" w:rsidTr="00672286">
        <w:trPr>
          <w:trHeight w:val="369"/>
          <w:jc w:val="center"/>
        </w:trPr>
        <w:tc>
          <w:tcPr>
            <w:tcW w:w="2749" w:type="dxa"/>
            <w:tcBorders>
              <w:top w:val="nil"/>
              <w:left w:val="nil"/>
              <w:bottom w:val="nil"/>
              <w:right w:val="nil"/>
            </w:tcBorders>
            <w:shd w:val="clear" w:color="auto" w:fill="auto"/>
            <w:vAlign w:val="center"/>
            <w:hideMark/>
          </w:tcPr>
          <w:p w14:paraId="74860B75"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Northeast Australian Shelf</w:t>
            </w:r>
          </w:p>
        </w:tc>
        <w:tc>
          <w:tcPr>
            <w:tcW w:w="1952" w:type="dxa"/>
            <w:tcBorders>
              <w:top w:val="nil"/>
              <w:left w:val="nil"/>
              <w:bottom w:val="nil"/>
              <w:right w:val="nil"/>
            </w:tcBorders>
            <w:shd w:val="clear" w:color="auto" w:fill="auto"/>
            <w:noWrap/>
            <w:vAlign w:val="center"/>
            <w:hideMark/>
          </w:tcPr>
          <w:p w14:paraId="557286BB"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12.52 ± 3.81</w:t>
            </w:r>
          </w:p>
        </w:tc>
        <w:tc>
          <w:tcPr>
            <w:tcW w:w="1854" w:type="dxa"/>
            <w:tcBorders>
              <w:top w:val="nil"/>
              <w:left w:val="nil"/>
              <w:bottom w:val="nil"/>
              <w:right w:val="nil"/>
            </w:tcBorders>
            <w:shd w:val="clear" w:color="auto" w:fill="auto"/>
            <w:noWrap/>
            <w:vAlign w:val="center"/>
            <w:hideMark/>
          </w:tcPr>
          <w:p w14:paraId="25A79E42"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w:t>
            </w:r>
            <w:proofErr w:type="gramStart"/>
            <w:r w:rsidRPr="00C530B5">
              <w:rPr>
                <w:rFonts w:ascii="Calibri" w:eastAsia="Times New Roman" w:hAnsi="Calibri" w:cs="Times New Roman"/>
                <w:color w:val="000000"/>
                <w:sz w:val="16"/>
                <w:szCs w:val="16"/>
                <w:lang w:eastAsia="en-GB"/>
              </w:rPr>
              <w:t>18  ±</w:t>
            </w:r>
            <w:proofErr w:type="gramEnd"/>
            <w:r w:rsidRPr="00C530B5">
              <w:rPr>
                <w:rFonts w:ascii="Calibri" w:eastAsia="Times New Roman" w:hAnsi="Calibri" w:cs="Times New Roman"/>
                <w:color w:val="000000"/>
                <w:sz w:val="16"/>
                <w:szCs w:val="16"/>
                <w:lang w:eastAsia="en-GB"/>
              </w:rPr>
              <w:t xml:space="preserve">  0.29</w:t>
            </w:r>
          </w:p>
        </w:tc>
        <w:tc>
          <w:tcPr>
            <w:tcW w:w="1854" w:type="dxa"/>
            <w:tcBorders>
              <w:top w:val="nil"/>
              <w:left w:val="nil"/>
              <w:bottom w:val="nil"/>
              <w:right w:val="nil"/>
            </w:tcBorders>
            <w:shd w:val="clear" w:color="auto" w:fill="auto"/>
            <w:noWrap/>
            <w:vAlign w:val="center"/>
            <w:hideMark/>
          </w:tcPr>
          <w:p w14:paraId="2A6F1A27"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-3.</w:t>
            </w:r>
            <w:proofErr w:type="gramStart"/>
            <w:r w:rsidRPr="00C530B5">
              <w:rPr>
                <w:rFonts w:ascii="Calibri" w:eastAsia="Times New Roman" w:hAnsi="Calibri" w:cs="Times New Roman"/>
                <w:color w:val="000000"/>
                <w:sz w:val="16"/>
                <w:szCs w:val="16"/>
                <w:lang w:eastAsia="en-GB"/>
              </w:rPr>
              <w:t>33  ±</w:t>
            </w:r>
            <w:proofErr w:type="gramEnd"/>
            <w:r w:rsidRPr="00C530B5">
              <w:rPr>
                <w:rFonts w:ascii="Calibri" w:eastAsia="Times New Roman" w:hAnsi="Calibri" w:cs="Times New Roman"/>
                <w:color w:val="000000"/>
                <w:sz w:val="16"/>
                <w:szCs w:val="16"/>
                <w:lang w:eastAsia="en-GB"/>
              </w:rPr>
              <w:t xml:space="preserve">  0.29</w:t>
            </w:r>
          </w:p>
        </w:tc>
      </w:tr>
      <w:tr w:rsidR="00CF7991" w:rsidRPr="00C530B5" w14:paraId="7E588029" w14:textId="77777777" w:rsidTr="00672286">
        <w:trPr>
          <w:trHeight w:val="553"/>
          <w:jc w:val="center"/>
        </w:trPr>
        <w:tc>
          <w:tcPr>
            <w:tcW w:w="2749" w:type="dxa"/>
            <w:tcBorders>
              <w:top w:val="nil"/>
              <w:left w:val="nil"/>
              <w:bottom w:val="nil"/>
              <w:right w:val="nil"/>
            </w:tcBorders>
            <w:shd w:val="clear" w:color="auto" w:fill="auto"/>
            <w:vAlign w:val="center"/>
            <w:hideMark/>
          </w:tcPr>
          <w:p w14:paraId="70FC9D13"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Tropical Southwestern Atlantic</w:t>
            </w:r>
          </w:p>
        </w:tc>
        <w:tc>
          <w:tcPr>
            <w:tcW w:w="1952" w:type="dxa"/>
            <w:tcBorders>
              <w:top w:val="nil"/>
              <w:left w:val="nil"/>
              <w:bottom w:val="nil"/>
              <w:right w:val="nil"/>
            </w:tcBorders>
            <w:shd w:val="clear" w:color="auto" w:fill="auto"/>
            <w:noWrap/>
            <w:vAlign w:val="center"/>
            <w:hideMark/>
          </w:tcPr>
          <w:p w14:paraId="2622CC88"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5.12 ± 1.89</w:t>
            </w:r>
          </w:p>
        </w:tc>
        <w:tc>
          <w:tcPr>
            <w:tcW w:w="1854" w:type="dxa"/>
            <w:tcBorders>
              <w:top w:val="nil"/>
              <w:left w:val="nil"/>
              <w:bottom w:val="nil"/>
              <w:right w:val="nil"/>
            </w:tcBorders>
            <w:shd w:val="clear" w:color="auto" w:fill="auto"/>
            <w:noWrap/>
            <w:vAlign w:val="center"/>
            <w:hideMark/>
          </w:tcPr>
          <w:p w14:paraId="200D33BB"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2.14  ±</w:t>
            </w:r>
            <w:proofErr w:type="gramEnd"/>
            <w:r w:rsidRPr="00C530B5">
              <w:rPr>
                <w:rFonts w:ascii="Calibri" w:eastAsia="Times New Roman" w:hAnsi="Calibri" w:cs="Times New Roman"/>
                <w:color w:val="000000"/>
                <w:sz w:val="16"/>
                <w:szCs w:val="16"/>
                <w:lang w:eastAsia="en-GB"/>
              </w:rPr>
              <w:t xml:space="preserve">  0.43</w:t>
            </w:r>
          </w:p>
        </w:tc>
        <w:tc>
          <w:tcPr>
            <w:tcW w:w="1854" w:type="dxa"/>
            <w:tcBorders>
              <w:top w:val="nil"/>
              <w:left w:val="nil"/>
              <w:bottom w:val="nil"/>
              <w:right w:val="nil"/>
            </w:tcBorders>
            <w:shd w:val="clear" w:color="auto" w:fill="auto"/>
            <w:noWrap/>
            <w:vAlign w:val="center"/>
            <w:hideMark/>
          </w:tcPr>
          <w:p w14:paraId="35865ADC"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0.50  ±</w:t>
            </w:r>
            <w:proofErr w:type="gramEnd"/>
            <w:r w:rsidRPr="00C530B5">
              <w:rPr>
                <w:rFonts w:ascii="Calibri" w:eastAsia="Times New Roman" w:hAnsi="Calibri" w:cs="Times New Roman"/>
                <w:color w:val="000000"/>
                <w:sz w:val="16"/>
                <w:szCs w:val="16"/>
                <w:lang w:eastAsia="en-GB"/>
              </w:rPr>
              <w:t xml:space="preserve">  0.43</w:t>
            </w:r>
          </w:p>
        </w:tc>
      </w:tr>
      <w:tr w:rsidR="00CF7991" w:rsidRPr="00C530B5" w14:paraId="5B07396D" w14:textId="77777777" w:rsidTr="00672286">
        <w:trPr>
          <w:trHeight w:val="369"/>
          <w:jc w:val="center"/>
        </w:trPr>
        <w:tc>
          <w:tcPr>
            <w:tcW w:w="2749" w:type="dxa"/>
            <w:tcBorders>
              <w:top w:val="nil"/>
              <w:left w:val="nil"/>
              <w:bottom w:val="nil"/>
              <w:right w:val="nil"/>
            </w:tcBorders>
            <w:shd w:val="clear" w:color="auto" w:fill="auto"/>
            <w:vAlign w:val="center"/>
            <w:hideMark/>
          </w:tcPr>
          <w:p w14:paraId="2439A7B9"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West and South Indian Shelf</w:t>
            </w:r>
          </w:p>
        </w:tc>
        <w:tc>
          <w:tcPr>
            <w:tcW w:w="1952" w:type="dxa"/>
            <w:tcBorders>
              <w:top w:val="nil"/>
              <w:left w:val="nil"/>
              <w:bottom w:val="nil"/>
              <w:right w:val="nil"/>
            </w:tcBorders>
            <w:shd w:val="clear" w:color="auto" w:fill="auto"/>
            <w:noWrap/>
            <w:vAlign w:val="center"/>
            <w:hideMark/>
          </w:tcPr>
          <w:p w14:paraId="52E41D60"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3.45 ± 3.13</w:t>
            </w:r>
          </w:p>
        </w:tc>
        <w:tc>
          <w:tcPr>
            <w:tcW w:w="1854" w:type="dxa"/>
            <w:tcBorders>
              <w:top w:val="nil"/>
              <w:left w:val="nil"/>
              <w:bottom w:val="nil"/>
              <w:right w:val="nil"/>
            </w:tcBorders>
            <w:shd w:val="clear" w:color="auto" w:fill="auto"/>
            <w:noWrap/>
            <w:vAlign w:val="center"/>
            <w:hideMark/>
          </w:tcPr>
          <w:p w14:paraId="1447DC6C"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-0.</w:t>
            </w:r>
            <w:proofErr w:type="gramStart"/>
            <w:r w:rsidRPr="00C530B5">
              <w:rPr>
                <w:rFonts w:ascii="Calibri" w:eastAsia="Times New Roman" w:hAnsi="Calibri" w:cs="Times New Roman"/>
                <w:color w:val="000000"/>
                <w:sz w:val="16"/>
                <w:szCs w:val="16"/>
                <w:lang w:eastAsia="en-GB"/>
              </w:rPr>
              <w:t>07  ±</w:t>
            </w:r>
            <w:proofErr w:type="gramEnd"/>
            <w:r w:rsidRPr="00C530B5">
              <w:rPr>
                <w:rFonts w:ascii="Calibri" w:eastAsia="Times New Roman" w:hAnsi="Calibri" w:cs="Times New Roman"/>
                <w:color w:val="000000"/>
                <w:sz w:val="16"/>
                <w:szCs w:val="16"/>
                <w:lang w:eastAsia="en-GB"/>
              </w:rPr>
              <w:t xml:space="preserve">  0.07</w:t>
            </w:r>
          </w:p>
        </w:tc>
        <w:tc>
          <w:tcPr>
            <w:tcW w:w="1854" w:type="dxa"/>
            <w:tcBorders>
              <w:top w:val="nil"/>
              <w:left w:val="nil"/>
              <w:bottom w:val="nil"/>
              <w:right w:val="nil"/>
            </w:tcBorders>
            <w:shd w:val="clear" w:color="auto" w:fill="auto"/>
            <w:noWrap/>
            <w:vAlign w:val="center"/>
            <w:hideMark/>
          </w:tcPr>
          <w:p w14:paraId="23DFC7F8"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w:t>
            </w:r>
            <w:proofErr w:type="gramStart"/>
            <w:r w:rsidRPr="00C530B5">
              <w:rPr>
                <w:rFonts w:ascii="Calibri" w:eastAsia="Times New Roman" w:hAnsi="Calibri" w:cs="Times New Roman"/>
                <w:color w:val="000000"/>
                <w:sz w:val="16"/>
                <w:szCs w:val="16"/>
                <w:lang w:eastAsia="en-GB"/>
              </w:rPr>
              <w:t>31  ±</w:t>
            </w:r>
            <w:proofErr w:type="gramEnd"/>
            <w:r w:rsidRPr="00C530B5">
              <w:rPr>
                <w:rFonts w:ascii="Calibri" w:eastAsia="Times New Roman" w:hAnsi="Calibri" w:cs="Times New Roman"/>
                <w:color w:val="000000"/>
                <w:sz w:val="16"/>
                <w:szCs w:val="16"/>
                <w:lang w:eastAsia="en-GB"/>
              </w:rPr>
              <w:t xml:space="preserve">  0.07</w:t>
            </w:r>
          </w:p>
        </w:tc>
      </w:tr>
      <w:tr w:rsidR="00CF7991" w:rsidRPr="00C530B5" w14:paraId="2BE48A1F" w14:textId="77777777" w:rsidTr="00672286">
        <w:trPr>
          <w:trHeight w:val="369"/>
          <w:jc w:val="center"/>
        </w:trPr>
        <w:tc>
          <w:tcPr>
            <w:tcW w:w="2749" w:type="dxa"/>
            <w:tcBorders>
              <w:top w:val="nil"/>
              <w:left w:val="nil"/>
              <w:bottom w:val="nil"/>
              <w:right w:val="nil"/>
            </w:tcBorders>
            <w:shd w:val="clear" w:color="auto" w:fill="auto"/>
            <w:vAlign w:val="center"/>
            <w:hideMark/>
          </w:tcPr>
          <w:p w14:paraId="3F32FD9D"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Tropical Southwestern Pacific</w:t>
            </w:r>
          </w:p>
        </w:tc>
        <w:tc>
          <w:tcPr>
            <w:tcW w:w="1952" w:type="dxa"/>
            <w:tcBorders>
              <w:top w:val="nil"/>
              <w:left w:val="nil"/>
              <w:bottom w:val="nil"/>
              <w:right w:val="nil"/>
            </w:tcBorders>
            <w:shd w:val="clear" w:color="auto" w:fill="auto"/>
            <w:noWrap/>
            <w:vAlign w:val="center"/>
            <w:hideMark/>
          </w:tcPr>
          <w:p w14:paraId="223842E8"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6.12 ± 2.73</w:t>
            </w:r>
          </w:p>
        </w:tc>
        <w:tc>
          <w:tcPr>
            <w:tcW w:w="1854" w:type="dxa"/>
            <w:tcBorders>
              <w:top w:val="nil"/>
              <w:left w:val="nil"/>
              <w:bottom w:val="nil"/>
              <w:right w:val="nil"/>
            </w:tcBorders>
            <w:shd w:val="clear" w:color="auto" w:fill="auto"/>
            <w:noWrap/>
            <w:vAlign w:val="center"/>
            <w:hideMark/>
          </w:tcPr>
          <w:p w14:paraId="636B9413"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-0.</w:t>
            </w:r>
            <w:proofErr w:type="gramStart"/>
            <w:r w:rsidRPr="00C530B5">
              <w:rPr>
                <w:rFonts w:ascii="Calibri" w:eastAsia="Times New Roman" w:hAnsi="Calibri" w:cs="Times New Roman"/>
                <w:color w:val="000000"/>
                <w:sz w:val="16"/>
                <w:szCs w:val="16"/>
                <w:lang w:eastAsia="en-GB"/>
              </w:rPr>
              <w:t>94  ±</w:t>
            </w:r>
            <w:proofErr w:type="gramEnd"/>
            <w:r w:rsidRPr="00C530B5">
              <w:rPr>
                <w:rFonts w:ascii="Calibri" w:eastAsia="Times New Roman" w:hAnsi="Calibri" w:cs="Times New Roman"/>
                <w:color w:val="000000"/>
                <w:sz w:val="16"/>
                <w:szCs w:val="16"/>
                <w:lang w:eastAsia="en-GB"/>
              </w:rPr>
              <w:t xml:space="preserve">  3.66</w:t>
            </w:r>
          </w:p>
        </w:tc>
        <w:tc>
          <w:tcPr>
            <w:tcW w:w="1854" w:type="dxa"/>
            <w:tcBorders>
              <w:top w:val="nil"/>
              <w:left w:val="nil"/>
              <w:bottom w:val="nil"/>
              <w:right w:val="nil"/>
            </w:tcBorders>
            <w:shd w:val="clear" w:color="auto" w:fill="auto"/>
            <w:noWrap/>
            <w:vAlign w:val="center"/>
            <w:hideMark/>
          </w:tcPr>
          <w:p w14:paraId="311C75EB"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w:t>
            </w:r>
            <w:proofErr w:type="gramStart"/>
            <w:r w:rsidRPr="00C530B5">
              <w:rPr>
                <w:rFonts w:ascii="Calibri" w:eastAsia="Times New Roman" w:hAnsi="Calibri" w:cs="Times New Roman"/>
                <w:color w:val="000000"/>
                <w:sz w:val="16"/>
                <w:szCs w:val="16"/>
                <w:lang w:eastAsia="en-GB"/>
              </w:rPr>
              <w:t>88  ±</w:t>
            </w:r>
            <w:proofErr w:type="gramEnd"/>
            <w:r w:rsidRPr="00C530B5">
              <w:rPr>
                <w:rFonts w:ascii="Calibri" w:eastAsia="Times New Roman" w:hAnsi="Calibri" w:cs="Times New Roman"/>
                <w:color w:val="000000"/>
                <w:sz w:val="16"/>
                <w:szCs w:val="16"/>
                <w:lang w:eastAsia="en-GB"/>
              </w:rPr>
              <w:t xml:space="preserve">  3.66</w:t>
            </w:r>
          </w:p>
        </w:tc>
      </w:tr>
      <w:tr w:rsidR="00CF7991" w:rsidRPr="00C530B5" w14:paraId="552D28FE" w14:textId="77777777" w:rsidTr="00672286">
        <w:trPr>
          <w:trHeight w:val="369"/>
          <w:jc w:val="center"/>
        </w:trPr>
        <w:tc>
          <w:tcPr>
            <w:tcW w:w="2749" w:type="dxa"/>
            <w:tcBorders>
              <w:top w:val="nil"/>
              <w:left w:val="nil"/>
              <w:bottom w:val="nil"/>
              <w:right w:val="nil"/>
            </w:tcBorders>
            <w:shd w:val="clear" w:color="auto" w:fill="auto"/>
            <w:vAlign w:val="center"/>
            <w:hideMark/>
          </w:tcPr>
          <w:p w14:paraId="79938141"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West African Transition</w:t>
            </w:r>
          </w:p>
        </w:tc>
        <w:tc>
          <w:tcPr>
            <w:tcW w:w="1952" w:type="dxa"/>
            <w:tcBorders>
              <w:top w:val="nil"/>
              <w:left w:val="nil"/>
              <w:bottom w:val="nil"/>
              <w:right w:val="nil"/>
            </w:tcBorders>
            <w:shd w:val="clear" w:color="auto" w:fill="auto"/>
            <w:noWrap/>
            <w:vAlign w:val="center"/>
            <w:hideMark/>
          </w:tcPr>
          <w:p w14:paraId="2AD28B15"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3.32 ± 2.77</w:t>
            </w:r>
          </w:p>
        </w:tc>
        <w:tc>
          <w:tcPr>
            <w:tcW w:w="1854" w:type="dxa"/>
            <w:tcBorders>
              <w:top w:val="nil"/>
              <w:left w:val="nil"/>
              <w:bottom w:val="nil"/>
              <w:right w:val="nil"/>
            </w:tcBorders>
            <w:shd w:val="clear" w:color="auto" w:fill="auto"/>
            <w:noWrap/>
            <w:vAlign w:val="center"/>
            <w:hideMark/>
          </w:tcPr>
          <w:p w14:paraId="6A2E70D4"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w:t>
            </w:r>
            <w:proofErr w:type="gramStart"/>
            <w:r w:rsidRPr="00C530B5">
              <w:rPr>
                <w:rFonts w:ascii="Calibri" w:eastAsia="Times New Roman" w:hAnsi="Calibri" w:cs="Times New Roman"/>
                <w:color w:val="000000"/>
                <w:sz w:val="16"/>
                <w:szCs w:val="16"/>
                <w:lang w:eastAsia="en-GB"/>
              </w:rPr>
              <w:t>92  ±</w:t>
            </w:r>
            <w:proofErr w:type="gramEnd"/>
            <w:r w:rsidRPr="00C530B5">
              <w:rPr>
                <w:rFonts w:ascii="Calibri" w:eastAsia="Times New Roman" w:hAnsi="Calibri" w:cs="Times New Roman"/>
                <w:color w:val="000000"/>
                <w:sz w:val="16"/>
                <w:szCs w:val="16"/>
                <w:lang w:eastAsia="en-GB"/>
              </w:rPr>
              <w:t xml:space="preserve">  0.15</w:t>
            </w:r>
          </w:p>
        </w:tc>
        <w:tc>
          <w:tcPr>
            <w:tcW w:w="1854" w:type="dxa"/>
            <w:tcBorders>
              <w:top w:val="nil"/>
              <w:left w:val="nil"/>
              <w:bottom w:val="nil"/>
              <w:right w:val="nil"/>
            </w:tcBorders>
            <w:shd w:val="clear" w:color="auto" w:fill="auto"/>
            <w:noWrap/>
            <w:vAlign w:val="center"/>
            <w:hideMark/>
          </w:tcPr>
          <w:p w14:paraId="12AB6ACE"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-2.</w:t>
            </w:r>
            <w:proofErr w:type="gramStart"/>
            <w:r w:rsidRPr="00C530B5">
              <w:rPr>
                <w:rFonts w:ascii="Calibri" w:eastAsia="Times New Roman" w:hAnsi="Calibri" w:cs="Times New Roman"/>
                <w:color w:val="000000"/>
                <w:sz w:val="16"/>
                <w:szCs w:val="16"/>
                <w:lang w:eastAsia="en-GB"/>
              </w:rPr>
              <w:t>01  ±</w:t>
            </w:r>
            <w:proofErr w:type="gramEnd"/>
            <w:r w:rsidRPr="00C530B5">
              <w:rPr>
                <w:rFonts w:ascii="Calibri" w:eastAsia="Times New Roman" w:hAnsi="Calibri" w:cs="Times New Roman"/>
                <w:color w:val="000000"/>
                <w:sz w:val="16"/>
                <w:szCs w:val="16"/>
                <w:lang w:eastAsia="en-GB"/>
              </w:rPr>
              <w:t xml:space="preserve">  0.15</w:t>
            </w:r>
          </w:p>
        </w:tc>
      </w:tr>
      <w:tr w:rsidR="00CF7991" w:rsidRPr="00C530B5" w14:paraId="7FA2A53E" w14:textId="77777777" w:rsidTr="00672286">
        <w:trPr>
          <w:trHeight w:val="246"/>
          <w:jc w:val="center"/>
        </w:trPr>
        <w:tc>
          <w:tcPr>
            <w:tcW w:w="2749" w:type="dxa"/>
            <w:tcBorders>
              <w:top w:val="nil"/>
              <w:left w:val="nil"/>
              <w:bottom w:val="nil"/>
              <w:right w:val="nil"/>
            </w:tcBorders>
            <w:shd w:val="clear" w:color="auto" w:fill="auto"/>
            <w:vAlign w:val="center"/>
            <w:hideMark/>
          </w:tcPr>
          <w:p w14:paraId="408A6F0A"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South China Sea</w:t>
            </w:r>
          </w:p>
        </w:tc>
        <w:tc>
          <w:tcPr>
            <w:tcW w:w="1952" w:type="dxa"/>
            <w:tcBorders>
              <w:top w:val="nil"/>
              <w:left w:val="nil"/>
              <w:bottom w:val="nil"/>
              <w:right w:val="nil"/>
            </w:tcBorders>
            <w:shd w:val="clear" w:color="auto" w:fill="auto"/>
            <w:noWrap/>
            <w:vAlign w:val="center"/>
            <w:hideMark/>
          </w:tcPr>
          <w:p w14:paraId="19D2B983"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17.82 ± 5.76</w:t>
            </w:r>
          </w:p>
        </w:tc>
        <w:tc>
          <w:tcPr>
            <w:tcW w:w="1854" w:type="dxa"/>
            <w:tcBorders>
              <w:top w:val="nil"/>
              <w:left w:val="nil"/>
              <w:bottom w:val="nil"/>
              <w:right w:val="nil"/>
            </w:tcBorders>
            <w:shd w:val="clear" w:color="auto" w:fill="auto"/>
            <w:noWrap/>
            <w:vAlign w:val="center"/>
            <w:hideMark/>
          </w:tcPr>
          <w:p w14:paraId="44239920"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4.61  ±</w:t>
            </w:r>
            <w:proofErr w:type="gramEnd"/>
            <w:r w:rsidRPr="00C530B5">
              <w:rPr>
                <w:rFonts w:ascii="Calibri" w:eastAsia="Times New Roman" w:hAnsi="Calibri" w:cs="Times New Roman"/>
                <w:color w:val="000000"/>
                <w:sz w:val="16"/>
                <w:szCs w:val="16"/>
                <w:lang w:eastAsia="en-GB"/>
              </w:rPr>
              <w:t xml:space="preserve">  0.94</w:t>
            </w:r>
          </w:p>
        </w:tc>
        <w:tc>
          <w:tcPr>
            <w:tcW w:w="1854" w:type="dxa"/>
            <w:tcBorders>
              <w:top w:val="nil"/>
              <w:left w:val="nil"/>
              <w:bottom w:val="nil"/>
              <w:right w:val="nil"/>
            </w:tcBorders>
            <w:shd w:val="clear" w:color="auto" w:fill="auto"/>
            <w:noWrap/>
            <w:vAlign w:val="center"/>
            <w:hideMark/>
          </w:tcPr>
          <w:p w14:paraId="24B645DB"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2.62  ±</w:t>
            </w:r>
            <w:proofErr w:type="gramEnd"/>
            <w:r w:rsidRPr="00C530B5">
              <w:rPr>
                <w:rFonts w:ascii="Calibri" w:eastAsia="Times New Roman" w:hAnsi="Calibri" w:cs="Times New Roman"/>
                <w:color w:val="000000"/>
                <w:sz w:val="16"/>
                <w:szCs w:val="16"/>
                <w:lang w:eastAsia="en-GB"/>
              </w:rPr>
              <w:t xml:space="preserve">  0.94</w:t>
            </w:r>
          </w:p>
        </w:tc>
      </w:tr>
      <w:tr w:rsidR="00CF7991" w:rsidRPr="00C530B5" w14:paraId="1C90D58D" w14:textId="77777777" w:rsidTr="00672286">
        <w:trPr>
          <w:trHeight w:val="369"/>
          <w:jc w:val="center"/>
        </w:trPr>
        <w:tc>
          <w:tcPr>
            <w:tcW w:w="2749" w:type="dxa"/>
            <w:tcBorders>
              <w:top w:val="nil"/>
              <w:left w:val="nil"/>
              <w:bottom w:val="nil"/>
              <w:right w:val="nil"/>
            </w:tcBorders>
            <w:shd w:val="clear" w:color="auto" w:fill="auto"/>
            <w:vAlign w:val="center"/>
            <w:hideMark/>
          </w:tcPr>
          <w:p w14:paraId="1DAA2EB1"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Warm Temperate Northeast Pacific</w:t>
            </w:r>
          </w:p>
        </w:tc>
        <w:tc>
          <w:tcPr>
            <w:tcW w:w="1952" w:type="dxa"/>
            <w:tcBorders>
              <w:top w:val="nil"/>
              <w:left w:val="nil"/>
              <w:bottom w:val="nil"/>
              <w:right w:val="nil"/>
            </w:tcBorders>
            <w:shd w:val="clear" w:color="auto" w:fill="auto"/>
            <w:noWrap/>
            <w:vAlign w:val="center"/>
            <w:hideMark/>
          </w:tcPr>
          <w:p w14:paraId="24CDF6D2"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18.67 ± 9.92</w:t>
            </w:r>
          </w:p>
        </w:tc>
        <w:tc>
          <w:tcPr>
            <w:tcW w:w="1854" w:type="dxa"/>
            <w:tcBorders>
              <w:top w:val="nil"/>
              <w:left w:val="nil"/>
              <w:bottom w:val="nil"/>
              <w:right w:val="nil"/>
            </w:tcBorders>
            <w:shd w:val="clear" w:color="auto" w:fill="auto"/>
            <w:noWrap/>
            <w:vAlign w:val="center"/>
            <w:hideMark/>
          </w:tcPr>
          <w:p w14:paraId="0C82AAD0"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0.08  ±</w:t>
            </w:r>
            <w:proofErr w:type="gramEnd"/>
            <w:r w:rsidRPr="00C530B5">
              <w:rPr>
                <w:rFonts w:ascii="Calibri" w:eastAsia="Times New Roman" w:hAnsi="Calibri" w:cs="Times New Roman"/>
                <w:color w:val="000000"/>
                <w:sz w:val="16"/>
                <w:szCs w:val="16"/>
                <w:lang w:eastAsia="en-GB"/>
              </w:rPr>
              <w:t xml:space="preserve">  1.50</w:t>
            </w:r>
          </w:p>
        </w:tc>
        <w:tc>
          <w:tcPr>
            <w:tcW w:w="1854" w:type="dxa"/>
            <w:tcBorders>
              <w:top w:val="nil"/>
              <w:left w:val="nil"/>
              <w:bottom w:val="nil"/>
              <w:right w:val="nil"/>
            </w:tcBorders>
            <w:shd w:val="clear" w:color="auto" w:fill="auto"/>
            <w:noWrap/>
            <w:vAlign w:val="center"/>
            <w:hideMark/>
          </w:tcPr>
          <w:p w14:paraId="0BDF9CD9"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-2.</w:t>
            </w:r>
            <w:proofErr w:type="gramStart"/>
            <w:r w:rsidRPr="00C530B5">
              <w:rPr>
                <w:rFonts w:ascii="Calibri" w:eastAsia="Times New Roman" w:hAnsi="Calibri" w:cs="Times New Roman"/>
                <w:color w:val="000000"/>
                <w:sz w:val="16"/>
                <w:szCs w:val="16"/>
                <w:lang w:eastAsia="en-GB"/>
              </w:rPr>
              <w:t>89  ±</w:t>
            </w:r>
            <w:proofErr w:type="gramEnd"/>
            <w:r w:rsidRPr="00C530B5">
              <w:rPr>
                <w:rFonts w:ascii="Calibri" w:eastAsia="Times New Roman" w:hAnsi="Calibri" w:cs="Times New Roman"/>
                <w:color w:val="000000"/>
                <w:sz w:val="16"/>
                <w:szCs w:val="16"/>
                <w:lang w:eastAsia="en-GB"/>
              </w:rPr>
              <w:t xml:space="preserve">  1.50</w:t>
            </w:r>
          </w:p>
        </w:tc>
      </w:tr>
      <w:tr w:rsidR="00CF7991" w:rsidRPr="00C530B5" w14:paraId="3D29D9B9" w14:textId="77777777" w:rsidTr="00672286">
        <w:trPr>
          <w:trHeight w:val="369"/>
          <w:jc w:val="center"/>
        </w:trPr>
        <w:tc>
          <w:tcPr>
            <w:tcW w:w="2749" w:type="dxa"/>
            <w:tcBorders>
              <w:top w:val="nil"/>
              <w:left w:val="nil"/>
              <w:bottom w:val="nil"/>
              <w:right w:val="nil"/>
            </w:tcBorders>
            <w:shd w:val="clear" w:color="auto" w:fill="auto"/>
            <w:vAlign w:val="center"/>
            <w:hideMark/>
          </w:tcPr>
          <w:p w14:paraId="7B5D35D8"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Northwest Australian Shelf</w:t>
            </w:r>
          </w:p>
        </w:tc>
        <w:tc>
          <w:tcPr>
            <w:tcW w:w="1952" w:type="dxa"/>
            <w:tcBorders>
              <w:top w:val="nil"/>
              <w:left w:val="nil"/>
              <w:bottom w:val="nil"/>
              <w:right w:val="nil"/>
            </w:tcBorders>
            <w:shd w:val="clear" w:color="auto" w:fill="auto"/>
            <w:noWrap/>
            <w:vAlign w:val="center"/>
            <w:hideMark/>
          </w:tcPr>
          <w:p w14:paraId="41E7A571"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8.50 ± 3.37</w:t>
            </w:r>
          </w:p>
        </w:tc>
        <w:tc>
          <w:tcPr>
            <w:tcW w:w="1854" w:type="dxa"/>
            <w:tcBorders>
              <w:top w:val="nil"/>
              <w:left w:val="nil"/>
              <w:bottom w:val="nil"/>
              <w:right w:val="nil"/>
            </w:tcBorders>
            <w:shd w:val="clear" w:color="auto" w:fill="auto"/>
            <w:noWrap/>
            <w:vAlign w:val="center"/>
            <w:hideMark/>
          </w:tcPr>
          <w:p w14:paraId="6EC2B132"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-0.</w:t>
            </w:r>
            <w:proofErr w:type="gramStart"/>
            <w:r w:rsidRPr="00C530B5">
              <w:rPr>
                <w:rFonts w:ascii="Calibri" w:eastAsia="Times New Roman" w:hAnsi="Calibri" w:cs="Times New Roman"/>
                <w:color w:val="000000"/>
                <w:sz w:val="16"/>
                <w:szCs w:val="16"/>
                <w:lang w:eastAsia="en-GB"/>
              </w:rPr>
              <w:t>21  ±</w:t>
            </w:r>
            <w:proofErr w:type="gramEnd"/>
            <w:r w:rsidRPr="00C530B5">
              <w:rPr>
                <w:rFonts w:ascii="Calibri" w:eastAsia="Times New Roman" w:hAnsi="Calibri" w:cs="Times New Roman"/>
                <w:color w:val="000000"/>
                <w:sz w:val="16"/>
                <w:szCs w:val="16"/>
                <w:lang w:eastAsia="en-GB"/>
              </w:rPr>
              <w:t xml:space="preserve">  1.36</w:t>
            </w:r>
          </w:p>
        </w:tc>
        <w:tc>
          <w:tcPr>
            <w:tcW w:w="1854" w:type="dxa"/>
            <w:tcBorders>
              <w:top w:val="nil"/>
              <w:left w:val="nil"/>
              <w:bottom w:val="nil"/>
              <w:right w:val="nil"/>
            </w:tcBorders>
            <w:shd w:val="clear" w:color="auto" w:fill="auto"/>
            <w:noWrap/>
            <w:vAlign w:val="center"/>
            <w:hideMark/>
          </w:tcPr>
          <w:p w14:paraId="3E14C081"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-2.</w:t>
            </w:r>
            <w:proofErr w:type="gramStart"/>
            <w:r w:rsidRPr="00C530B5">
              <w:rPr>
                <w:rFonts w:ascii="Calibri" w:eastAsia="Times New Roman" w:hAnsi="Calibri" w:cs="Times New Roman"/>
                <w:color w:val="000000"/>
                <w:sz w:val="16"/>
                <w:szCs w:val="16"/>
                <w:lang w:eastAsia="en-GB"/>
              </w:rPr>
              <w:t>16  ±</w:t>
            </w:r>
            <w:proofErr w:type="gramEnd"/>
            <w:r w:rsidRPr="00C530B5">
              <w:rPr>
                <w:rFonts w:ascii="Calibri" w:eastAsia="Times New Roman" w:hAnsi="Calibri" w:cs="Times New Roman"/>
                <w:color w:val="000000"/>
                <w:sz w:val="16"/>
                <w:szCs w:val="16"/>
                <w:lang w:eastAsia="en-GB"/>
              </w:rPr>
              <w:t xml:space="preserve">  1.36</w:t>
            </w:r>
          </w:p>
        </w:tc>
      </w:tr>
      <w:tr w:rsidR="00CF7991" w:rsidRPr="00C530B5" w14:paraId="0AF8F3D8" w14:textId="77777777" w:rsidTr="00672286">
        <w:trPr>
          <w:trHeight w:val="246"/>
          <w:jc w:val="center"/>
        </w:trPr>
        <w:tc>
          <w:tcPr>
            <w:tcW w:w="2749" w:type="dxa"/>
            <w:tcBorders>
              <w:top w:val="nil"/>
              <w:left w:val="nil"/>
              <w:bottom w:val="nil"/>
              <w:right w:val="nil"/>
            </w:tcBorders>
            <w:shd w:val="clear" w:color="auto" w:fill="auto"/>
            <w:vAlign w:val="center"/>
            <w:hideMark/>
          </w:tcPr>
          <w:p w14:paraId="09926547"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Java Transitional</w:t>
            </w:r>
          </w:p>
        </w:tc>
        <w:tc>
          <w:tcPr>
            <w:tcW w:w="1952" w:type="dxa"/>
            <w:tcBorders>
              <w:top w:val="nil"/>
              <w:left w:val="nil"/>
              <w:bottom w:val="nil"/>
              <w:right w:val="nil"/>
            </w:tcBorders>
            <w:shd w:val="clear" w:color="auto" w:fill="auto"/>
            <w:noWrap/>
            <w:vAlign w:val="center"/>
            <w:hideMark/>
          </w:tcPr>
          <w:p w14:paraId="50440AD1"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4.87 ± 5.67</w:t>
            </w:r>
          </w:p>
        </w:tc>
        <w:tc>
          <w:tcPr>
            <w:tcW w:w="1854" w:type="dxa"/>
            <w:tcBorders>
              <w:top w:val="nil"/>
              <w:left w:val="nil"/>
              <w:bottom w:val="nil"/>
              <w:right w:val="nil"/>
            </w:tcBorders>
            <w:shd w:val="clear" w:color="auto" w:fill="auto"/>
            <w:noWrap/>
            <w:vAlign w:val="center"/>
            <w:hideMark/>
          </w:tcPr>
          <w:p w14:paraId="5D5FCC57"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w:t>
            </w:r>
            <w:proofErr w:type="gramStart"/>
            <w:r w:rsidRPr="00C530B5">
              <w:rPr>
                <w:rFonts w:ascii="Calibri" w:eastAsia="Times New Roman" w:hAnsi="Calibri" w:cs="Times New Roman"/>
                <w:color w:val="000000"/>
                <w:sz w:val="16"/>
                <w:szCs w:val="16"/>
                <w:lang w:eastAsia="en-GB"/>
              </w:rPr>
              <w:t>83  ±</w:t>
            </w:r>
            <w:proofErr w:type="gramEnd"/>
            <w:r w:rsidRPr="00C530B5">
              <w:rPr>
                <w:rFonts w:ascii="Calibri" w:eastAsia="Times New Roman" w:hAnsi="Calibri" w:cs="Times New Roman"/>
                <w:color w:val="000000"/>
                <w:sz w:val="16"/>
                <w:szCs w:val="16"/>
                <w:lang w:eastAsia="en-GB"/>
              </w:rPr>
              <w:t xml:space="preserve">  0.37</w:t>
            </w:r>
          </w:p>
        </w:tc>
        <w:tc>
          <w:tcPr>
            <w:tcW w:w="1854" w:type="dxa"/>
            <w:tcBorders>
              <w:top w:val="nil"/>
              <w:left w:val="nil"/>
              <w:bottom w:val="nil"/>
              <w:right w:val="nil"/>
            </w:tcBorders>
            <w:shd w:val="clear" w:color="auto" w:fill="auto"/>
            <w:noWrap/>
            <w:vAlign w:val="center"/>
            <w:hideMark/>
          </w:tcPr>
          <w:p w14:paraId="3F2F0C55"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-2.</w:t>
            </w:r>
            <w:proofErr w:type="gramStart"/>
            <w:r w:rsidRPr="00C530B5">
              <w:rPr>
                <w:rFonts w:ascii="Calibri" w:eastAsia="Times New Roman" w:hAnsi="Calibri" w:cs="Times New Roman"/>
                <w:color w:val="000000"/>
                <w:sz w:val="16"/>
                <w:szCs w:val="16"/>
                <w:lang w:eastAsia="en-GB"/>
              </w:rPr>
              <w:t>65  ±</w:t>
            </w:r>
            <w:proofErr w:type="gramEnd"/>
            <w:r w:rsidRPr="00C530B5">
              <w:rPr>
                <w:rFonts w:ascii="Calibri" w:eastAsia="Times New Roman" w:hAnsi="Calibri" w:cs="Times New Roman"/>
                <w:color w:val="000000"/>
                <w:sz w:val="16"/>
                <w:szCs w:val="16"/>
                <w:lang w:eastAsia="en-GB"/>
              </w:rPr>
              <w:t xml:space="preserve">  0.37</w:t>
            </w:r>
          </w:p>
        </w:tc>
      </w:tr>
      <w:tr w:rsidR="00CF7991" w:rsidRPr="00C530B5" w14:paraId="4721B4F2" w14:textId="77777777" w:rsidTr="00672286">
        <w:trPr>
          <w:trHeight w:val="369"/>
          <w:jc w:val="center"/>
        </w:trPr>
        <w:tc>
          <w:tcPr>
            <w:tcW w:w="2749" w:type="dxa"/>
            <w:tcBorders>
              <w:top w:val="nil"/>
              <w:left w:val="nil"/>
              <w:bottom w:val="nil"/>
              <w:right w:val="nil"/>
            </w:tcBorders>
            <w:shd w:val="clear" w:color="auto" w:fill="auto"/>
            <w:vAlign w:val="center"/>
            <w:hideMark/>
          </w:tcPr>
          <w:p w14:paraId="0BAF6C94"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East Central Australian Shelf</w:t>
            </w:r>
          </w:p>
        </w:tc>
        <w:tc>
          <w:tcPr>
            <w:tcW w:w="1952" w:type="dxa"/>
            <w:tcBorders>
              <w:top w:val="nil"/>
              <w:left w:val="nil"/>
              <w:bottom w:val="nil"/>
              <w:right w:val="nil"/>
            </w:tcBorders>
            <w:shd w:val="clear" w:color="auto" w:fill="auto"/>
            <w:noWrap/>
            <w:vAlign w:val="center"/>
            <w:hideMark/>
          </w:tcPr>
          <w:p w14:paraId="63E52BB3"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14.68 ± 8.04</w:t>
            </w:r>
          </w:p>
        </w:tc>
        <w:tc>
          <w:tcPr>
            <w:tcW w:w="1854" w:type="dxa"/>
            <w:tcBorders>
              <w:top w:val="nil"/>
              <w:left w:val="nil"/>
              <w:bottom w:val="nil"/>
              <w:right w:val="nil"/>
            </w:tcBorders>
            <w:shd w:val="clear" w:color="auto" w:fill="auto"/>
            <w:noWrap/>
            <w:vAlign w:val="center"/>
            <w:hideMark/>
          </w:tcPr>
          <w:p w14:paraId="69CA6C3C"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1.41  ±</w:t>
            </w:r>
            <w:proofErr w:type="gramEnd"/>
            <w:r w:rsidRPr="00C530B5">
              <w:rPr>
                <w:rFonts w:ascii="Calibri" w:eastAsia="Times New Roman" w:hAnsi="Calibri" w:cs="Times New Roman"/>
                <w:color w:val="000000"/>
                <w:sz w:val="16"/>
                <w:szCs w:val="16"/>
                <w:lang w:eastAsia="en-GB"/>
              </w:rPr>
              <w:t xml:space="preserve">  2.91</w:t>
            </w:r>
          </w:p>
        </w:tc>
        <w:tc>
          <w:tcPr>
            <w:tcW w:w="1854" w:type="dxa"/>
            <w:tcBorders>
              <w:top w:val="nil"/>
              <w:left w:val="nil"/>
              <w:bottom w:val="nil"/>
              <w:right w:val="nil"/>
            </w:tcBorders>
            <w:shd w:val="clear" w:color="auto" w:fill="auto"/>
            <w:noWrap/>
            <w:vAlign w:val="center"/>
            <w:hideMark/>
          </w:tcPr>
          <w:p w14:paraId="15A71D74"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2.26  ±</w:t>
            </w:r>
            <w:proofErr w:type="gramEnd"/>
            <w:r w:rsidRPr="00C530B5">
              <w:rPr>
                <w:rFonts w:ascii="Calibri" w:eastAsia="Times New Roman" w:hAnsi="Calibri" w:cs="Times New Roman"/>
                <w:color w:val="000000"/>
                <w:sz w:val="16"/>
                <w:szCs w:val="16"/>
                <w:lang w:eastAsia="en-GB"/>
              </w:rPr>
              <w:t xml:space="preserve">  2.91</w:t>
            </w:r>
          </w:p>
        </w:tc>
      </w:tr>
      <w:tr w:rsidR="00CF7991" w:rsidRPr="00C530B5" w14:paraId="0AAC2171" w14:textId="77777777" w:rsidTr="00672286">
        <w:trPr>
          <w:trHeight w:val="369"/>
          <w:jc w:val="center"/>
        </w:trPr>
        <w:tc>
          <w:tcPr>
            <w:tcW w:w="2749" w:type="dxa"/>
            <w:tcBorders>
              <w:top w:val="nil"/>
              <w:left w:val="nil"/>
              <w:bottom w:val="nil"/>
              <w:right w:val="nil"/>
            </w:tcBorders>
            <w:shd w:val="clear" w:color="auto" w:fill="auto"/>
            <w:vAlign w:val="center"/>
            <w:hideMark/>
          </w:tcPr>
          <w:p w14:paraId="73277E87"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Red Sea and Gulf of Aden</w:t>
            </w:r>
          </w:p>
        </w:tc>
        <w:tc>
          <w:tcPr>
            <w:tcW w:w="1952" w:type="dxa"/>
            <w:tcBorders>
              <w:top w:val="nil"/>
              <w:left w:val="nil"/>
              <w:bottom w:val="nil"/>
              <w:right w:val="nil"/>
            </w:tcBorders>
            <w:shd w:val="clear" w:color="auto" w:fill="auto"/>
            <w:noWrap/>
            <w:vAlign w:val="center"/>
            <w:hideMark/>
          </w:tcPr>
          <w:p w14:paraId="4D2E0058"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5.97 ± 3.92</w:t>
            </w:r>
          </w:p>
        </w:tc>
        <w:tc>
          <w:tcPr>
            <w:tcW w:w="1854" w:type="dxa"/>
            <w:tcBorders>
              <w:top w:val="nil"/>
              <w:left w:val="nil"/>
              <w:bottom w:val="nil"/>
              <w:right w:val="nil"/>
            </w:tcBorders>
            <w:shd w:val="clear" w:color="auto" w:fill="auto"/>
            <w:noWrap/>
            <w:vAlign w:val="center"/>
            <w:hideMark/>
          </w:tcPr>
          <w:p w14:paraId="78D0212F"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-0.</w:t>
            </w:r>
            <w:proofErr w:type="gramStart"/>
            <w:r w:rsidRPr="00C530B5">
              <w:rPr>
                <w:rFonts w:ascii="Calibri" w:eastAsia="Times New Roman" w:hAnsi="Calibri" w:cs="Times New Roman"/>
                <w:color w:val="000000"/>
                <w:sz w:val="16"/>
                <w:szCs w:val="16"/>
                <w:lang w:eastAsia="en-GB"/>
              </w:rPr>
              <w:t>17  ±</w:t>
            </w:r>
            <w:proofErr w:type="gramEnd"/>
            <w:r w:rsidRPr="00C530B5">
              <w:rPr>
                <w:rFonts w:ascii="Calibri" w:eastAsia="Times New Roman" w:hAnsi="Calibri" w:cs="Times New Roman"/>
                <w:color w:val="000000"/>
                <w:sz w:val="16"/>
                <w:szCs w:val="16"/>
                <w:lang w:eastAsia="en-GB"/>
              </w:rPr>
              <w:t xml:space="preserve">  0.14</w:t>
            </w:r>
          </w:p>
        </w:tc>
        <w:tc>
          <w:tcPr>
            <w:tcW w:w="1854" w:type="dxa"/>
            <w:tcBorders>
              <w:top w:val="nil"/>
              <w:left w:val="nil"/>
              <w:bottom w:val="nil"/>
              <w:right w:val="nil"/>
            </w:tcBorders>
            <w:shd w:val="clear" w:color="auto" w:fill="auto"/>
            <w:noWrap/>
            <w:vAlign w:val="center"/>
            <w:hideMark/>
          </w:tcPr>
          <w:p w14:paraId="6395F385"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w:t>
            </w:r>
            <w:proofErr w:type="gramStart"/>
            <w:r w:rsidRPr="00C530B5">
              <w:rPr>
                <w:rFonts w:ascii="Calibri" w:eastAsia="Times New Roman" w:hAnsi="Calibri" w:cs="Times New Roman"/>
                <w:color w:val="000000"/>
                <w:sz w:val="16"/>
                <w:szCs w:val="16"/>
                <w:lang w:eastAsia="en-GB"/>
              </w:rPr>
              <w:t>95  ±</w:t>
            </w:r>
            <w:proofErr w:type="gramEnd"/>
            <w:r w:rsidRPr="00C530B5">
              <w:rPr>
                <w:rFonts w:ascii="Calibri" w:eastAsia="Times New Roman" w:hAnsi="Calibri" w:cs="Times New Roman"/>
                <w:color w:val="000000"/>
                <w:sz w:val="16"/>
                <w:szCs w:val="16"/>
                <w:lang w:eastAsia="en-GB"/>
              </w:rPr>
              <w:t xml:space="preserve">  0.14</w:t>
            </w:r>
          </w:p>
        </w:tc>
      </w:tr>
      <w:tr w:rsidR="00CF7991" w:rsidRPr="00C530B5" w14:paraId="106F2249" w14:textId="77777777" w:rsidTr="00672286">
        <w:trPr>
          <w:trHeight w:val="553"/>
          <w:jc w:val="center"/>
        </w:trPr>
        <w:tc>
          <w:tcPr>
            <w:tcW w:w="2749" w:type="dxa"/>
            <w:tcBorders>
              <w:top w:val="nil"/>
              <w:left w:val="nil"/>
              <w:bottom w:val="nil"/>
              <w:right w:val="nil"/>
            </w:tcBorders>
            <w:shd w:val="clear" w:color="auto" w:fill="auto"/>
            <w:vAlign w:val="center"/>
            <w:hideMark/>
          </w:tcPr>
          <w:p w14:paraId="088BA3A7"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Warm Temperate Southwestern Atlantic</w:t>
            </w:r>
          </w:p>
        </w:tc>
        <w:tc>
          <w:tcPr>
            <w:tcW w:w="1952" w:type="dxa"/>
            <w:tcBorders>
              <w:top w:val="nil"/>
              <w:left w:val="nil"/>
              <w:bottom w:val="nil"/>
              <w:right w:val="nil"/>
            </w:tcBorders>
            <w:shd w:val="clear" w:color="auto" w:fill="auto"/>
            <w:noWrap/>
            <w:vAlign w:val="center"/>
            <w:hideMark/>
          </w:tcPr>
          <w:p w14:paraId="7011E899"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15.09 ± 5.62</w:t>
            </w:r>
          </w:p>
        </w:tc>
        <w:tc>
          <w:tcPr>
            <w:tcW w:w="1854" w:type="dxa"/>
            <w:tcBorders>
              <w:top w:val="nil"/>
              <w:left w:val="nil"/>
              <w:bottom w:val="nil"/>
              <w:right w:val="nil"/>
            </w:tcBorders>
            <w:shd w:val="clear" w:color="auto" w:fill="auto"/>
            <w:noWrap/>
            <w:vAlign w:val="center"/>
            <w:hideMark/>
          </w:tcPr>
          <w:p w14:paraId="7A1538DA"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0.10  ±</w:t>
            </w:r>
            <w:proofErr w:type="gramEnd"/>
            <w:r w:rsidRPr="00C530B5">
              <w:rPr>
                <w:rFonts w:ascii="Calibri" w:eastAsia="Times New Roman" w:hAnsi="Calibri" w:cs="Times New Roman"/>
                <w:color w:val="000000"/>
                <w:sz w:val="16"/>
                <w:szCs w:val="16"/>
                <w:lang w:eastAsia="en-GB"/>
              </w:rPr>
              <w:t xml:space="preserve">  2.16</w:t>
            </w:r>
          </w:p>
        </w:tc>
        <w:tc>
          <w:tcPr>
            <w:tcW w:w="1854" w:type="dxa"/>
            <w:tcBorders>
              <w:top w:val="nil"/>
              <w:left w:val="nil"/>
              <w:bottom w:val="nil"/>
              <w:right w:val="nil"/>
            </w:tcBorders>
            <w:shd w:val="clear" w:color="auto" w:fill="auto"/>
            <w:noWrap/>
            <w:vAlign w:val="center"/>
            <w:hideMark/>
          </w:tcPr>
          <w:p w14:paraId="1B330C64"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0.44  ±</w:t>
            </w:r>
            <w:proofErr w:type="gramEnd"/>
            <w:r w:rsidRPr="00C530B5">
              <w:rPr>
                <w:rFonts w:ascii="Calibri" w:eastAsia="Times New Roman" w:hAnsi="Calibri" w:cs="Times New Roman"/>
                <w:color w:val="000000"/>
                <w:sz w:val="16"/>
                <w:szCs w:val="16"/>
                <w:lang w:eastAsia="en-GB"/>
              </w:rPr>
              <w:t xml:space="preserve">  2.16</w:t>
            </w:r>
          </w:p>
        </w:tc>
      </w:tr>
      <w:tr w:rsidR="00CF7991" w:rsidRPr="00C530B5" w14:paraId="4CAF92A6" w14:textId="77777777" w:rsidTr="00672286">
        <w:trPr>
          <w:trHeight w:val="369"/>
          <w:jc w:val="center"/>
        </w:trPr>
        <w:tc>
          <w:tcPr>
            <w:tcW w:w="2749" w:type="dxa"/>
            <w:tcBorders>
              <w:top w:val="nil"/>
              <w:left w:val="nil"/>
              <w:bottom w:val="nil"/>
              <w:right w:val="nil"/>
            </w:tcBorders>
            <w:shd w:val="clear" w:color="auto" w:fill="auto"/>
            <w:vAlign w:val="center"/>
            <w:hideMark/>
          </w:tcPr>
          <w:p w14:paraId="128308B7"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Warm Temperate Northwest Atlantic</w:t>
            </w:r>
          </w:p>
        </w:tc>
        <w:tc>
          <w:tcPr>
            <w:tcW w:w="1952" w:type="dxa"/>
            <w:tcBorders>
              <w:top w:val="nil"/>
              <w:left w:val="nil"/>
              <w:bottom w:val="nil"/>
              <w:right w:val="nil"/>
            </w:tcBorders>
            <w:shd w:val="clear" w:color="auto" w:fill="auto"/>
            <w:noWrap/>
            <w:vAlign w:val="center"/>
            <w:hideMark/>
          </w:tcPr>
          <w:p w14:paraId="47F1FED1"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24.81 ± 12.06</w:t>
            </w:r>
          </w:p>
        </w:tc>
        <w:tc>
          <w:tcPr>
            <w:tcW w:w="1854" w:type="dxa"/>
            <w:tcBorders>
              <w:top w:val="nil"/>
              <w:left w:val="nil"/>
              <w:bottom w:val="nil"/>
              <w:right w:val="nil"/>
            </w:tcBorders>
            <w:shd w:val="clear" w:color="auto" w:fill="auto"/>
            <w:noWrap/>
            <w:vAlign w:val="center"/>
            <w:hideMark/>
          </w:tcPr>
          <w:p w14:paraId="29C96375"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-2.</w:t>
            </w:r>
            <w:proofErr w:type="gramStart"/>
            <w:r w:rsidRPr="00C530B5">
              <w:rPr>
                <w:rFonts w:ascii="Calibri" w:eastAsia="Times New Roman" w:hAnsi="Calibri" w:cs="Times New Roman"/>
                <w:color w:val="000000"/>
                <w:sz w:val="16"/>
                <w:szCs w:val="16"/>
                <w:lang w:eastAsia="en-GB"/>
              </w:rPr>
              <w:t>96  ±</w:t>
            </w:r>
            <w:proofErr w:type="gramEnd"/>
            <w:r w:rsidRPr="00C530B5">
              <w:rPr>
                <w:rFonts w:ascii="Calibri" w:eastAsia="Times New Roman" w:hAnsi="Calibri" w:cs="Times New Roman"/>
                <w:color w:val="000000"/>
                <w:sz w:val="16"/>
                <w:szCs w:val="16"/>
                <w:lang w:eastAsia="en-GB"/>
              </w:rPr>
              <w:t xml:space="preserve">  5.46</w:t>
            </w:r>
          </w:p>
        </w:tc>
        <w:tc>
          <w:tcPr>
            <w:tcW w:w="1854" w:type="dxa"/>
            <w:tcBorders>
              <w:top w:val="nil"/>
              <w:left w:val="nil"/>
              <w:bottom w:val="nil"/>
              <w:right w:val="nil"/>
            </w:tcBorders>
            <w:shd w:val="clear" w:color="auto" w:fill="auto"/>
            <w:noWrap/>
            <w:vAlign w:val="center"/>
            <w:hideMark/>
          </w:tcPr>
          <w:p w14:paraId="2DF93694"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-4.</w:t>
            </w:r>
            <w:proofErr w:type="gramStart"/>
            <w:r w:rsidRPr="00C530B5">
              <w:rPr>
                <w:rFonts w:ascii="Calibri" w:eastAsia="Times New Roman" w:hAnsi="Calibri" w:cs="Times New Roman"/>
                <w:color w:val="000000"/>
                <w:sz w:val="16"/>
                <w:szCs w:val="16"/>
                <w:lang w:eastAsia="en-GB"/>
              </w:rPr>
              <w:t>04  ±</w:t>
            </w:r>
            <w:proofErr w:type="gramEnd"/>
            <w:r w:rsidRPr="00C530B5">
              <w:rPr>
                <w:rFonts w:ascii="Calibri" w:eastAsia="Times New Roman" w:hAnsi="Calibri" w:cs="Times New Roman"/>
                <w:color w:val="000000"/>
                <w:sz w:val="16"/>
                <w:szCs w:val="16"/>
                <w:lang w:eastAsia="en-GB"/>
              </w:rPr>
              <w:t xml:space="preserve">  5.46</w:t>
            </w:r>
          </w:p>
        </w:tc>
      </w:tr>
      <w:tr w:rsidR="00CF7991" w:rsidRPr="00C530B5" w14:paraId="36DFFA2C" w14:textId="77777777" w:rsidTr="00672286">
        <w:trPr>
          <w:trHeight w:val="369"/>
          <w:jc w:val="center"/>
        </w:trPr>
        <w:tc>
          <w:tcPr>
            <w:tcW w:w="2749" w:type="dxa"/>
            <w:tcBorders>
              <w:top w:val="nil"/>
              <w:left w:val="nil"/>
              <w:bottom w:val="nil"/>
              <w:right w:val="nil"/>
            </w:tcBorders>
            <w:shd w:val="clear" w:color="auto" w:fill="auto"/>
            <w:vAlign w:val="center"/>
            <w:hideMark/>
          </w:tcPr>
          <w:p w14:paraId="0699BDB4"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Northern New Zealand</w:t>
            </w:r>
          </w:p>
        </w:tc>
        <w:tc>
          <w:tcPr>
            <w:tcW w:w="1952" w:type="dxa"/>
            <w:tcBorders>
              <w:top w:val="nil"/>
              <w:left w:val="nil"/>
              <w:bottom w:val="nil"/>
              <w:right w:val="nil"/>
            </w:tcBorders>
            <w:shd w:val="clear" w:color="auto" w:fill="auto"/>
            <w:noWrap/>
            <w:vAlign w:val="center"/>
            <w:hideMark/>
          </w:tcPr>
          <w:p w14:paraId="530F5C3C"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8.71 ± 5.21</w:t>
            </w:r>
          </w:p>
        </w:tc>
        <w:tc>
          <w:tcPr>
            <w:tcW w:w="1854" w:type="dxa"/>
            <w:tcBorders>
              <w:top w:val="nil"/>
              <w:left w:val="nil"/>
              <w:bottom w:val="nil"/>
              <w:right w:val="nil"/>
            </w:tcBorders>
            <w:shd w:val="clear" w:color="auto" w:fill="auto"/>
            <w:noWrap/>
            <w:vAlign w:val="center"/>
            <w:hideMark/>
          </w:tcPr>
          <w:p w14:paraId="0F524C55"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2.68  ±</w:t>
            </w:r>
            <w:proofErr w:type="gramEnd"/>
            <w:r w:rsidRPr="00C530B5">
              <w:rPr>
                <w:rFonts w:ascii="Calibri" w:eastAsia="Times New Roman" w:hAnsi="Calibri" w:cs="Times New Roman"/>
                <w:color w:val="000000"/>
                <w:sz w:val="16"/>
                <w:szCs w:val="16"/>
                <w:lang w:eastAsia="en-GB"/>
              </w:rPr>
              <w:t xml:space="preserve">  7.87</w:t>
            </w:r>
          </w:p>
        </w:tc>
        <w:tc>
          <w:tcPr>
            <w:tcW w:w="1854" w:type="dxa"/>
            <w:tcBorders>
              <w:top w:val="nil"/>
              <w:left w:val="nil"/>
              <w:bottom w:val="nil"/>
              <w:right w:val="nil"/>
            </w:tcBorders>
            <w:shd w:val="clear" w:color="auto" w:fill="auto"/>
            <w:noWrap/>
            <w:vAlign w:val="center"/>
            <w:hideMark/>
          </w:tcPr>
          <w:p w14:paraId="634706E2"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1.18  ±</w:t>
            </w:r>
            <w:proofErr w:type="gramEnd"/>
            <w:r w:rsidRPr="00C530B5">
              <w:rPr>
                <w:rFonts w:ascii="Calibri" w:eastAsia="Times New Roman" w:hAnsi="Calibri" w:cs="Times New Roman"/>
                <w:color w:val="000000"/>
                <w:sz w:val="16"/>
                <w:szCs w:val="16"/>
                <w:lang w:eastAsia="en-GB"/>
              </w:rPr>
              <w:t xml:space="preserve">  7.87</w:t>
            </w:r>
          </w:p>
        </w:tc>
      </w:tr>
      <w:tr w:rsidR="00CF7991" w:rsidRPr="00C530B5" w14:paraId="6E2961DB" w14:textId="77777777" w:rsidTr="00672286">
        <w:trPr>
          <w:trHeight w:val="369"/>
          <w:jc w:val="center"/>
        </w:trPr>
        <w:tc>
          <w:tcPr>
            <w:tcW w:w="2749" w:type="dxa"/>
            <w:tcBorders>
              <w:top w:val="nil"/>
              <w:left w:val="nil"/>
              <w:bottom w:val="nil"/>
              <w:right w:val="nil"/>
            </w:tcBorders>
            <w:shd w:val="clear" w:color="auto" w:fill="auto"/>
            <w:vAlign w:val="center"/>
            <w:hideMark/>
          </w:tcPr>
          <w:p w14:paraId="498D3D4E"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Southern New Zealand</w:t>
            </w:r>
          </w:p>
        </w:tc>
        <w:tc>
          <w:tcPr>
            <w:tcW w:w="1952" w:type="dxa"/>
            <w:tcBorders>
              <w:top w:val="nil"/>
              <w:left w:val="nil"/>
              <w:bottom w:val="nil"/>
              <w:right w:val="nil"/>
            </w:tcBorders>
            <w:shd w:val="clear" w:color="auto" w:fill="auto"/>
            <w:noWrap/>
            <w:vAlign w:val="center"/>
            <w:hideMark/>
          </w:tcPr>
          <w:p w14:paraId="4A75B293"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8.60 ± 5.80</w:t>
            </w:r>
          </w:p>
        </w:tc>
        <w:tc>
          <w:tcPr>
            <w:tcW w:w="1854" w:type="dxa"/>
            <w:tcBorders>
              <w:top w:val="nil"/>
              <w:left w:val="nil"/>
              <w:bottom w:val="nil"/>
              <w:right w:val="nil"/>
            </w:tcBorders>
            <w:shd w:val="clear" w:color="auto" w:fill="auto"/>
            <w:noWrap/>
            <w:vAlign w:val="center"/>
            <w:hideMark/>
          </w:tcPr>
          <w:p w14:paraId="2050980E"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3.34  ±</w:t>
            </w:r>
            <w:proofErr w:type="gramEnd"/>
            <w:r w:rsidRPr="00C530B5">
              <w:rPr>
                <w:rFonts w:ascii="Calibri" w:eastAsia="Times New Roman" w:hAnsi="Calibri" w:cs="Times New Roman"/>
                <w:color w:val="000000"/>
                <w:sz w:val="16"/>
                <w:szCs w:val="16"/>
                <w:lang w:eastAsia="en-GB"/>
              </w:rPr>
              <w:t xml:space="preserve">  9.00</w:t>
            </w:r>
          </w:p>
        </w:tc>
        <w:tc>
          <w:tcPr>
            <w:tcW w:w="1854" w:type="dxa"/>
            <w:tcBorders>
              <w:top w:val="nil"/>
              <w:left w:val="nil"/>
              <w:bottom w:val="nil"/>
              <w:right w:val="nil"/>
            </w:tcBorders>
            <w:shd w:val="clear" w:color="auto" w:fill="auto"/>
            <w:noWrap/>
            <w:vAlign w:val="center"/>
            <w:hideMark/>
          </w:tcPr>
          <w:p w14:paraId="4EE62514"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1.47  ±</w:t>
            </w:r>
            <w:proofErr w:type="gramEnd"/>
            <w:r w:rsidRPr="00C530B5">
              <w:rPr>
                <w:rFonts w:ascii="Calibri" w:eastAsia="Times New Roman" w:hAnsi="Calibri" w:cs="Times New Roman"/>
                <w:color w:val="000000"/>
                <w:sz w:val="16"/>
                <w:szCs w:val="16"/>
                <w:lang w:eastAsia="en-GB"/>
              </w:rPr>
              <w:t xml:space="preserve">  9.00</w:t>
            </w:r>
          </w:p>
        </w:tc>
      </w:tr>
      <w:tr w:rsidR="00CF7991" w:rsidRPr="00C530B5" w14:paraId="0F488D8C" w14:textId="77777777" w:rsidTr="00672286">
        <w:trPr>
          <w:trHeight w:val="246"/>
          <w:jc w:val="center"/>
        </w:trPr>
        <w:tc>
          <w:tcPr>
            <w:tcW w:w="2749" w:type="dxa"/>
            <w:tcBorders>
              <w:top w:val="nil"/>
              <w:left w:val="nil"/>
              <w:bottom w:val="nil"/>
              <w:right w:val="nil"/>
            </w:tcBorders>
            <w:shd w:val="clear" w:color="auto" w:fill="auto"/>
            <w:vAlign w:val="center"/>
            <w:hideMark/>
          </w:tcPr>
          <w:p w14:paraId="449BF67C"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Galapagos</w:t>
            </w:r>
          </w:p>
        </w:tc>
        <w:tc>
          <w:tcPr>
            <w:tcW w:w="1952" w:type="dxa"/>
            <w:tcBorders>
              <w:top w:val="nil"/>
              <w:left w:val="nil"/>
              <w:bottom w:val="nil"/>
              <w:right w:val="nil"/>
            </w:tcBorders>
            <w:shd w:val="clear" w:color="auto" w:fill="auto"/>
            <w:noWrap/>
            <w:vAlign w:val="center"/>
            <w:hideMark/>
          </w:tcPr>
          <w:p w14:paraId="2E4BCA7D"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6.08 ± 2.42</w:t>
            </w:r>
          </w:p>
        </w:tc>
        <w:tc>
          <w:tcPr>
            <w:tcW w:w="1854" w:type="dxa"/>
            <w:tcBorders>
              <w:top w:val="nil"/>
              <w:left w:val="nil"/>
              <w:bottom w:val="nil"/>
              <w:right w:val="nil"/>
            </w:tcBorders>
            <w:shd w:val="clear" w:color="auto" w:fill="auto"/>
            <w:noWrap/>
            <w:vAlign w:val="center"/>
            <w:hideMark/>
          </w:tcPr>
          <w:p w14:paraId="2CA3F647"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-2.</w:t>
            </w:r>
            <w:proofErr w:type="gramStart"/>
            <w:r w:rsidRPr="00C530B5">
              <w:rPr>
                <w:rFonts w:ascii="Calibri" w:eastAsia="Times New Roman" w:hAnsi="Calibri" w:cs="Times New Roman"/>
                <w:color w:val="000000"/>
                <w:sz w:val="16"/>
                <w:szCs w:val="16"/>
                <w:lang w:eastAsia="en-GB"/>
              </w:rPr>
              <w:t>77  ±</w:t>
            </w:r>
            <w:proofErr w:type="gramEnd"/>
            <w:r w:rsidRPr="00C530B5">
              <w:rPr>
                <w:rFonts w:ascii="Calibri" w:eastAsia="Times New Roman" w:hAnsi="Calibri" w:cs="Times New Roman"/>
                <w:color w:val="000000"/>
                <w:sz w:val="16"/>
                <w:szCs w:val="16"/>
                <w:lang w:eastAsia="en-GB"/>
              </w:rPr>
              <w:t xml:space="preserve">  2.54</w:t>
            </w:r>
          </w:p>
        </w:tc>
        <w:tc>
          <w:tcPr>
            <w:tcW w:w="1854" w:type="dxa"/>
            <w:tcBorders>
              <w:top w:val="nil"/>
              <w:left w:val="nil"/>
              <w:bottom w:val="nil"/>
              <w:right w:val="nil"/>
            </w:tcBorders>
            <w:shd w:val="clear" w:color="auto" w:fill="auto"/>
            <w:noWrap/>
            <w:vAlign w:val="center"/>
            <w:hideMark/>
          </w:tcPr>
          <w:p w14:paraId="292BC59B"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-3.</w:t>
            </w:r>
            <w:proofErr w:type="gramStart"/>
            <w:r w:rsidRPr="00C530B5">
              <w:rPr>
                <w:rFonts w:ascii="Calibri" w:eastAsia="Times New Roman" w:hAnsi="Calibri" w:cs="Times New Roman"/>
                <w:color w:val="000000"/>
                <w:sz w:val="16"/>
                <w:szCs w:val="16"/>
                <w:lang w:eastAsia="en-GB"/>
              </w:rPr>
              <w:t>29  ±</w:t>
            </w:r>
            <w:proofErr w:type="gramEnd"/>
            <w:r w:rsidRPr="00C530B5">
              <w:rPr>
                <w:rFonts w:ascii="Calibri" w:eastAsia="Times New Roman" w:hAnsi="Calibri" w:cs="Times New Roman"/>
                <w:color w:val="000000"/>
                <w:sz w:val="16"/>
                <w:szCs w:val="16"/>
                <w:lang w:eastAsia="en-GB"/>
              </w:rPr>
              <w:t xml:space="preserve">  2.54</w:t>
            </w:r>
          </w:p>
        </w:tc>
      </w:tr>
      <w:tr w:rsidR="00CF7991" w:rsidRPr="00C530B5" w14:paraId="09714171" w14:textId="77777777" w:rsidTr="00672286">
        <w:trPr>
          <w:trHeight w:val="369"/>
          <w:jc w:val="center"/>
        </w:trPr>
        <w:tc>
          <w:tcPr>
            <w:tcW w:w="2749" w:type="dxa"/>
            <w:tcBorders>
              <w:top w:val="nil"/>
              <w:left w:val="nil"/>
              <w:bottom w:val="nil"/>
              <w:right w:val="nil"/>
            </w:tcBorders>
            <w:shd w:val="clear" w:color="auto" w:fill="auto"/>
            <w:vAlign w:val="center"/>
            <w:hideMark/>
          </w:tcPr>
          <w:p w14:paraId="6D6AFD36"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 xml:space="preserve">Tropical </w:t>
            </w:r>
            <w:proofErr w:type="spellStart"/>
            <w:r w:rsidRPr="00C530B5">
              <w:rPr>
                <w:rFonts w:ascii="Calibri" w:eastAsia="Times New Roman" w:hAnsi="Calibri" w:cs="Times New Roman"/>
                <w:color w:val="000000"/>
                <w:sz w:val="16"/>
                <w:szCs w:val="16"/>
                <w:lang w:eastAsia="en-GB"/>
              </w:rPr>
              <w:t>Northwestern</w:t>
            </w:r>
            <w:proofErr w:type="spellEnd"/>
            <w:r w:rsidRPr="00C530B5">
              <w:rPr>
                <w:rFonts w:ascii="Calibri" w:eastAsia="Times New Roman" w:hAnsi="Calibri" w:cs="Times New Roman"/>
                <w:color w:val="000000"/>
                <w:sz w:val="16"/>
                <w:szCs w:val="16"/>
                <w:lang w:eastAsia="en-GB"/>
              </w:rPr>
              <w:t xml:space="preserve"> Pacific</w:t>
            </w:r>
          </w:p>
        </w:tc>
        <w:tc>
          <w:tcPr>
            <w:tcW w:w="1952" w:type="dxa"/>
            <w:tcBorders>
              <w:top w:val="nil"/>
              <w:left w:val="nil"/>
              <w:bottom w:val="nil"/>
              <w:right w:val="nil"/>
            </w:tcBorders>
            <w:shd w:val="clear" w:color="auto" w:fill="auto"/>
            <w:noWrap/>
            <w:vAlign w:val="center"/>
            <w:hideMark/>
          </w:tcPr>
          <w:p w14:paraId="3C80FA27"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3.20 ± 8.02</w:t>
            </w:r>
          </w:p>
        </w:tc>
        <w:tc>
          <w:tcPr>
            <w:tcW w:w="1854" w:type="dxa"/>
            <w:tcBorders>
              <w:top w:val="nil"/>
              <w:left w:val="nil"/>
              <w:bottom w:val="nil"/>
              <w:right w:val="nil"/>
            </w:tcBorders>
            <w:shd w:val="clear" w:color="auto" w:fill="auto"/>
            <w:noWrap/>
            <w:vAlign w:val="center"/>
            <w:hideMark/>
          </w:tcPr>
          <w:p w14:paraId="3B09759F"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-0.</w:t>
            </w:r>
            <w:proofErr w:type="gramStart"/>
            <w:r w:rsidRPr="00C530B5">
              <w:rPr>
                <w:rFonts w:ascii="Calibri" w:eastAsia="Times New Roman" w:hAnsi="Calibri" w:cs="Times New Roman"/>
                <w:color w:val="000000"/>
                <w:sz w:val="16"/>
                <w:szCs w:val="16"/>
                <w:lang w:eastAsia="en-GB"/>
              </w:rPr>
              <w:t>57  ±</w:t>
            </w:r>
            <w:proofErr w:type="gramEnd"/>
            <w:r w:rsidRPr="00C530B5">
              <w:rPr>
                <w:rFonts w:ascii="Calibri" w:eastAsia="Times New Roman" w:hAnsi="Calibri" w:cs="Times New Roman"/>
                <w:color w:val="000000"/>
                <w:sz w:val="16"/>
                <w:szCs w:val="16"/>
                <w:lang w:eastAsia="en-GB"/>
              </w:rPr>
              <w:t xml:space="preserve">  1.18</w:t>
            </w:r>
          </w:p>
        </w:tc>
        <w:tc>
          <w:tcPr>
            <w:tcW w:w="1854" w:type="dxa"/>
            <w:tcBorders>
              <w:top w:val="nil"/>
              <w:left w:val="nil"/>
              <w:bottom w:val="nil"/>
              <w:right w:val="nil"/>
            </w:tcBorders>
            <w:shd w:val="clear" w:color="auto" w:fill="auto"/>
            <w:noWrap/>
            <w:vAlign w:val="center"/>
            <w:hideMark/>
          </w:tcPr>
          <w:p w14:paraId="74F22B3A"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-0.</w:t>
            </w:r>
            <w:proofErr w:type="gramStart"/>
            <w:r w:rsidRPr="00C530B5">
              <w:rPr>
                <w:rFonts w:ascii="Calibri" w:eastAsia="Times New Roman" w:hAnsi="Calibri" w:cs="Times New Roman"/>
                <w:color w:val="000000"/>
                <w:sz w:val="16"/>
                <w:szCs w:val="16"/>
                <w:lang w:eastAsia="en-GB"/>
              </w:rPr>
              <w:t>91  ±</w:t>
            </w:r>
            <w:proofErr w:type="gramEnd"/>
            <w:r w:rsidRPr="00C530B5">
              <w:rPr>
                <w:rFonts w:ascii="Calibri" w:eastAsia="Times New Roman" w:hAnsi="Calibri" w:cs="Times New Roman"/>
                <w:color w:val="000000"/>
                <w:sz w:val="16"/>
                <w:szCs w:val="16"/>
                <w:lang w:eastAsia="en-GB"/>
              </w:rPr>
              <w:t xml:space="preserve">  1.18</w:t>
            </w:r>
          </w:p>
        </w:tc>
      </w:tr>
      <w:tr w:rsidR="00CF7991" w:rsidRPr="00C530B5" w14:paraId="2F53C5B4" w14:textId="77777777" w:rsidTr="00672286">
        <w:trPr>
          <w:trHeight w:val="246"/>
          <w:jc w:val="center"/>
        </w:trPr>
        <w:tc>
          <w:tcPr>
            <w:tcW w:w="2749" w:type="dxa"/>
            <w:tcBorders>
              <w:top w:val="nil"/>
              <w:left w:val="nil"/>
              <w:bottom w:val="nil"/>
              <w:right w:val="nil"/>
            </w:tcBorders>
            <w:shd w:val="clear" w:color="auto" w:fill="auto"/>
            <w:vAlign w:val="center"/>
            <w:hideMark/>
          </w:tcPr>
          <w:p w14:paraId="58E838C8"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Somali Arabian</w:t>
            </w:r>
          </w:p>
        </w:tc>
        <w:tc>
          <w:tcPr>
            <w:tcW w:w="1952" w:type="dxa"/>
            <w:tcBorders>
              <w:top w:val="nil"/>
              <w:left w:val="nil"/>
              <w:bottom w:val="nil"/>
              <w:right w:val="nil"/>
            </w:tcBorders>
            <w:shd w:val="clear" w:color="auto" w:fill="auto"/>
            <w:noWrap/>
            <w:vAlign w:val="center"/>
            <w:hideMark/>
          </w:tcPr>
          <w:p w14:paraId="5FD73B5A"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14.21 ± 6.77</w:t>
            </w:r>
          </w:p>
        </w:tc>
        <w:tc>
          <w:tcPr>
            <w:tcW w:w="1854" w:type="dxa"/>
            <w:tcBorders>
              <w:top w:val="nil"/>
              <w:left w:val="nil"/>
              <w:bottom w:val="nil"/>
              <w:right w:val="nil"/>
            </w:tcBorders>
            <w:shd w:val="clear" w:color="auto" w:fill="auto"/>
            <w:noWrap/>
            <w:vAlign w:val="center"/>
            <w:hideMark/>
          </w:tcPr>
          <w:p w14:paraId="5F0CDEB5"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-0.</w:t>
            </w:r>
            <w:proofErr w:type="gramStart"/>
            <w:r w:rsidRPr="00C530B5">
              <w:rPr>
                <w:rFonts w:ascii="Calibri" w:eastAsia="Times New Roman" w:hAnsi="Calibri" w:cs="Times New Roman"/>
                <w:color w:val="000000"/>
                <w:sz w:val="16"/>
                <w:szCs w:val="16"/>
                <w:lang w:eastAsia="en-GB"/>
              </w:rPr>
              <w:t>79  ±</w:t>
            </w:r>
            <w:proofErr w:type="gramEnd"/>
            <w:r w:rsidRPr="00C530B5">
              <w:rPr>
                <w:rFonts w:ascii="Calibri" w:eastAsia="Times New Roman" w:hAnsi="Calibri" w:cs="Times New Roman"/>
                <w:color w:val="000000"/>
                <w:sz w:val="16"/>
                <w:szCs w:val="16"/>
                <w:lang w:eastAsia="en-GB"/>
              </w:rPr>
              <w:t xml:space="preserve">  1.82</w:t>
            </w:r>
          </w:p>
        </w:tc>
        <w:tc>
          <w:tcPr>
            <w:tcW w:w="1854" w:type="dxa"/>
            <w:tcBorders>
              <w:top w:val="nil"/>
              <w:left w:val="nil"/>
              <w:bottom w:val="nil"/>
              <w:right w:val="nil"/>
            </w:tcBorders>
            <w:shd w:val="clear" w:color="auto" w:fill="auto"/>
            <w:noWrap/>
            <w:vAlign w:val="center"/>
            <w:hideMark/>
          </w:tcPr>
          <w:p w14:paraId="0BC8BEFE"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-3.</w:t>
            </w:r>
            <w:proofErr w:type="gramStart"/>
            <w:r w:rsidRPr="00C530B5">
              <w:rPr>
                <w:rFonts w:ascii="Calibri" w:eastAsia="Times New Roman" w:hAnsi="Calibri" w:cs="Times New Roman"/>
                <w:color w:val="000000"/>
                <w:sz w:val="16"/>
                <w:szCs w:val="16"/>
                <w:lang w:eastAsia="en-GB"/>
              </w:rPr>
              <w:t>79  ±</w:t>
            </w:r>
            <w:proofErr w:type="gramEnd"/>
            <w:r w:rsidRPr="00C530B5">
              <w:rPr>
                <w:rFonts w:ascii="Calibri" w:eastAsia="Times New Roman" w:hAnsi="Calibri" w:cs="Times New Roman"/>
                <w:color w:val="000000"/>
                <w:sz w:val="16"/>
                <w:szCs w:val="16"/>
                <w:lang w:eastAsia="en-GB"/>
              </w:rPr>
              <w:t xml:space="preserve">  1.82</w:t>
            </w:r>
          </w:p>
        </w:tc>
      </w:tr>
      <w:tr w:rsidR="00CF7991" w:rsidRPr="00C530B5" w14:paraId="51049ECE" w14:textId="77777777" w:rsidTr="00672286">
        <w:trPr>
          <w:trHeight w:val="369"/>
          <w:jc w:val="center"/>
        </w:trPr>
        <w:tc>
          <w:tcPr>
            <w:tcW w:w="2749" w:type="dxa"/>
            <w:tcBorders>
              <w:top w:val="nil"/>
              <w:left w:val="nil"/>
              <w:bottom w:val="nil"/>
              <w:right w:val="nil"/>
            </w:tcBorders>
            <w:shd w:val="clear" w:color="auto" w:fill="auto"/>
            <w:vAlign w:val="center"/>
            <w:hideMark/>
          </w:tcPr>
          <w:p w14:paraId="3BD46368"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Warm Temperate Northwest Pacific</w:t>
            </w:r>
          </w:p>
        </w:tc>
        <w:tc>
          <w:tcPr>
            <w:tcW w:w="1952" w:type="dxa"/>
            <w:tcBorders>
              <w:top w:val="nil"/>
              <w:left w:val="nil"/>
              <w:bottom w:val="nil"/>
              <w:right w:val="nil"/>
            </w:tcBorders>
            <w:shd w:val="clear" w:color="auto" w:fill="auto"/>
            <w:noWrap/>
            <w:vAlign w:val="center"/>
            <w:hideMark/>
          </w:tcPr>
          <w:p w14:paraId="5DF65E87"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23.40 ± 17.42</w:t>
            </w:r>
          </w:p>
        </w:tc>
        <w:tc>
          <w:tcPr>
            <w:tcW w:w="1854" w:type="dxa"/>
            <w:tcBorders>
              <w:top w:val="nil"/>
              <w:left w:val="nil"/>
              <w:bottom w:val="nil"/>
              <w:right w:val="nil"/>
            </w:tcBorders>
            <w:shd w:val="clear" w:color="auto" w:fill="auto"/>
            <w:noWrap/>
            <w:vAlign w:val="center"/>
            <w:hideMark/>
          </w:tcPr>
          <w:p w14:paraId="4F954166"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-6.</w:t>
            </w:r>
            <w:proofErr w:type="gramStart"/>
            <w:r w:rsidRPr="00C530B5">
              <w:rPr>
                <w:rFonts w:ascii="Calibri" w:eastAsia="Times New Roman" w:hAnsi="Calibri" w:cs="Times New Roman"/>
                <w:color w:val="000000"/>
                <w:sz w:val="16"/>
                <w:szCs w:val="16"/>
                <w:lang w:eastAsia="en-GB"/>
              </w:rPr>
              <w:t>54  ±</w:t>
            </w:r>
            <w:proofErr w:type="gramEnd"/>
            <w:r w:rsidRPr="00C530B5">
              <w:rPr>
                <w:rFonts w:ascii="Calibri" w:eastAsia="Times New Roman" w:hAnsi="Calibri" w:cs="Times New Roman"/>
                <w:color w:val="000000"/>
                <w:sz w:val="16"/>
                <w:szCs w:val="16"/>
                <w:lang w:eastAsia="en-GB"/>
              </w:rPr>
              <w:t xml:space="preserve"> 11.73</w:t>
            </w:r>
          </w:p>
        </w:tc>
        <w:tc>
          <w:tcPr>
            <w:tcW w:w="1854" w:type="dxa"/>
            <w:tcBorders>
              <w:top w:val="nil"/>
              <w:left w:val="nil"/>
              <w:bottom w:val="nil"/>
              <w:right w:val="nil"/>
            </w:tcBorders>
            <w:shd w:val="clear" w:color="auto" w:fill="auto"/>
            <w:noWrap/>
            <w:vAlign w:val="center"/>
            <w:hideMark/>
          </w:tcPr>
          <w:p w14:paraId="2BFAD686"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-3.</w:t>
            </w:r>
            <w:proofErr w:type="gramStart"/>
            <w:r w:rsidRPr="00C530B5">
              <w:rPr>
                <w:rFonts w:ascii="Calibri" w:eastAsia="Times New Roman" w:hAnsi="Calibri" w:cs="Times New Roman"/>
                <w:color w:val="000000"/>
                <w:sz w:val="16"/>
                <w:szCs w:val="16"/>
                <w:lang w:eastAsia="en-GB"/>
              </w:rPr>
              <w:t>78  ±</w:t>
            </w:r>
            <w:proofErr w:type="gramEnd"/>
            <w:r w:rsidRPr="00C530B5">
              <w:rPr>
                <w:rFonts w:ascii="Calibri" w:eastAsia="Times New Roman" w:hAnsi="Calibri" w:cs="Times New Roman"/>
                <w:color w:val="000000"/>
                <w:sz w:val="16"/>
                <w:szCs w:val="16"/>
                <w:lang w:eastAsia="en-GB"/>
              </w:rPr>
              <w:t xml:space="preserve"> 11.73</w:t>
            </w:r>
          </w:p>
        </w:tc>
      </w:tr>
      <w:tr w:rsidR="00CF7991" w:rsidRPr="00C530B5" w14:paraId="13AD8442" w14:textId="77777777" w:rsidTr="00672286">
        <w:trPr>
          <w:trHeight w:val="369"/>
          <w:jc w:val="center"/>
        </w:trPr>
        <w:tc>
          <w:tcPr>
            <w:tcW w:w="2749" w:type="dxa"/>
            <w:tcBorders>
              <w:top w:val="nil"/>
              <w:left w:val="nil"/>
              <w:bottom w:val="nil"/>
              <w:right w:val="nil"/>
            </w:tcBorders>
            <w:shd w:val="clear" w:color="auto" w:fill="auto"/>
            <w:vAlign w:val="center"/>
            <w:hideMark/>
          </w:tcPr>
          <w:p w14:paraId="394D33A8"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Southwest Australian Shelf</w:t>
            </w:r>
          </w:p>
        </w:tc>
        <w:tc>
          <w:tcPr>
            <w:tcW w:w="1952" w:type="dxa"/>
            <w:tcBorders>
              <w:top w:val="nil"/>
              <w:left w:val="nil"/>
              <w:bottom w:val="nil"/>
              <w:right w:val="nil"/>
            </w:tcBorders>
            <w:shd w:val="clear" w:color="auto" w:fill="auto"/>
            <w:noWrap/>
            <w:vAlign w:val="center"/>
            <w:hideMark/>
          </w:tcPr>
          <w:p w14:paraId="61C3804E"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33.06 ± 42.28</w:t>
            </w:r>
          </w:p>
        </w:tc>
        <w:tc>
          <w:tcPr>
            <w:tcW w:w="1854" w:type="dxa"/>
            <w:tcBorders>
              <w:top w:val="nil"/>
              <w:left w:val="nil"/>
              <w:bottom w:val="nil"/>
              <w:right w:val="nil"/>
            </w:tcBorders>
            <w:shd w:val="clear" w:color="auto" w:fill="auto"/>
            <w:noWrap/>
            <w:vAlign w:val="center"/>
            <w:hideMark/>
          </w:tcPr>
          <w:p w14:paraId="241E2D18"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-3.</w:t>
            </w:r>
            <w:proofErr w:type="gramStart"/>
            <w:r w:rsidRPr="00C530B5">
              <w:rPr>
                <w:rFonts w:ascii="Calibri" w:eastAsia="Times New Roman" w:hAnsi="Calibri" w:cs="Times New Roman"/>
                <w:color w:val="000000"/>
                <w:sz w:val="16"/>
                <w:szCs w:val="16"/>
                <w:lang w:eastAsia="en-GB"/>
              </w:rPr>
              <w:t>30  ±</w:t>
            </w:r>
            <w:proofErr w:type="gramEnd"/>
            <w:r w:rsidRPr="00C530B5">
              <w:rPr>
                <w:rFonts w:ascii="Calibri" w:eastAsia="Times New Roman" w:hAnsi="Calibri" w:cs="Times New Roman"/>
                <w:color w:val="000000"/>
                <w:sz w:val="16"/>
                <w:szCs w:val="16"/>
                <w:lang w:eastAsia="en-GB"/>
              </w:rPr>
              <w:t xml:space="preserve"> 17.36</w:t>
            </w:r>
          </w:p>
        </w:tc>
        <w:tc>
          <w:tcPr>
            <w:tcW w:w="1854" w:type="dxa"/>
            <w:tcBorders>
              <w:top w:val="nil"/>
              <w:left w:val="nil"/>
              <w:bottom w:val="nil"/>
              <w:right w:val="nil"/>
            </w:tcBorders>
            <w:shd w:val="clear" w:color="auto" w:fill="auto"/>
            <w:noWrap/>
            <w:vAlign w:val="center"/>
            <w:hideMark/>
          </w:tcPr>
          <w:p w14:paraId="34B4B5C1"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-5.</w:t>
            </w:r>
            <w:proofErr w:type="gramStart"/>
            <w:r w:rsidRPr="00C530B5">
              <w:rPr>
                <w:rFonts w:ascii="Calibri" w:eastAsia="Times New Roman" w:hAnsi="Calibri" w:cs="Times New Roman"/>
                <w:color w:val="000000"/>
                <w:sz w:val="16"/>
                <w:szCs w:val="16"/>
                <w:lang w:eastAsia="en-GB"/>
              </w:rPr>
              <w:t>49  ±</w:t>
            </w:r>
            <w:proofErr w:type="gramEnd"/>
            <w:r w:rsidRPr="00C530B5">
              <w:rPr>
                <w:rFonts w:ascii="Calibri" w:eastAsia="Times New Roman" w:hAnsi="Calibri" w:cs="Times New Roman"/>
                <w:color w:val="000000"/>
                <w:sz w:val="16"/>
                <w:szCs w:val="16"/>
                <w:lang w:eastAsia="en-GB"/>
              </w:rPr>
              <w:t xml:space="preserve"> 17.36</w:t>
            </w:r>
          </w:p>
        </w:tc>
      </w:tr>
      <w:tr w:rsidR="00CF7991" w:rsidRPr="00C530B5" w14:paraId="070624B7" w14:textId="77777777" w:rsidTr="00672286">
        <w:trPr>
          <w:trHeight w:val="369"/>
          <w:jc w:val="center"/>
        </w:trPr>
        <w:tc>
          <w:tcPr>
            <w:tcW w:w="2749" w:type="dxa"/>
            <w:tcBorders>
              <w:top w:val="nil"/>
              <w:left w:val="nil"/>
              <w:bottom w:val="nil"/>
              <w:right w:val="nil"/>
            </w:tcBorders>
            <w:shd w:val="clear" w:color="auto" w:fill="auto"/>
            <w:vAlign w:val="center"/>
            <w:hideMark/>
          </w:tcPr>
          <w:p w14:paraId="02B794F9"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Southeast Australian Shelf</w:t>
            </w:r>
          </w:p>
        </w:tc>
        <w:tc>
          <w:tcPr>
            <w:tcW w:w="1952" w:type="dxa"/>
            <w:tcBorders>
              <w:top w:val="nil"/>
              <w:left w:val="nil"/>
              <w:bottom w:val="nil"/>
              <w:right w:val="nil"/>
            </w:tcBorders>
            <w:shd w:val="clear" w:color="auto" w:fill="auto"/>
            <w:noWrap/>
            <w:vAlign w:val="center"/>
            <w:hideMark/>
          </w:tcPr>
          <w:p w14:paraId="57DAC263"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9.12 ± 6.09</w:t>
            </w:r>
          </w:p>
        </w:tc>
        <w:tc>
          <w:tcPr>
            <w:tcW w:w="1854" w:type="dxa"/>
            <w:tcBorders>
              <w:top w:val="nil"/>
              <w:left w:val="nil"/>
              <w:bottom w:val="nil"/>
              <w:right w:val="nil"/>
            </w:tcBorders>
            <w:shd w:val="clear" w:color="auto" w:fill="auto"/>
            <w:noWrap/>
            <w:vAlign w:val="center"/>
            <w:hideMark/>
          </w:tcPr>
          <w:p w14:paraId="7E603711"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15.23  ±</w:t>
            </w:r>
            <w:proofErr w:type="gramEnd"/>
            <w:r w:rsidRPr="00C530B5">
              <w:rPr>
                <w:rFonts w:ascii="Calibri" w:eastAsia="Times New Roman" w:hAnsi="Calibri" w:cs="Times New Roman"/>
                <w:color w:val="000000"/>
                <w:sz w:val="16"/>
                <w:szCs w:val="16"/>
                <w:lang w:eastAsia="en-GB"/>
              </w:rPr>
              <w:t xml:space="preserve"> 17.13</w:t>
            </w:r>
          </w:p>
        </w:tc>
        <w:tc>
          <w:tcPr>
            <w:tcW w:w="1854" w:type="dxa"/>
            <w:tcBorders>
              <w:top w:val="nil"/>
              <w:left w:val="nil"/>
              <w:bottom w:val="nil"/>
              <w:right w:val="nil"/>
            </w:tcBorders>
            <w:shd w:val="clear" w:color="auto" w:fill="auto"/>
            <w:noWrap/>
            <w:vAlign w:val="center"/>
            <w:hideMark/>
          </w:tcPr>
          <w:p w14:paraId="4C2D759F"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9.88  ±</w:t>
            </w:r>
            <w:proofErr w:type="gramEnd"/>
            <w:r w:rsidRPr="00C530B5">
              <w:rPr>
                <w:rFonts w:ascii="Calibri" w:eastAsia="Times New Roman" w:hAnsi="Calibri" w:cs="Times New Roman"/>
                <w:color w:val="000000"/>
                <w:sz w:val="16"/>
                <w:szCs w:val="16"/>
                <w:lang w:eastAsia="en-GB"/>
              </w:rPr>
              <w:t xml:space="preserve"> 16.13</w:t>
            </w:r>
          </w:p>
        </w:tc>
      </w:tr>
      <w:tr w:rsidR="00CF7991" w:rsidRPr="00C530B5" w14:paraId="5A3FB1EC" w14:textId="77777777" w:rsidTr="00672286">
        <w:trPr>
          <w:trHeight w:val="246"/>
          <w:jc w:val="center"/>
        </w:trPr>
        <w:tc>
          <w:tcPr>
            <w:tcW w:w="2749" w:type="dxa"/>
            <w:tcBorders>
              <w:top w:val="nil"/>
              <w:left w:val="nil"/>
              <w:bottom w:val="nil"/>
              <w:right w:val="nil"/>
            </w:tcBorders>
            <w:shd w:val="clear" w:color="auto" w:fill="auto"/>
            <w:vAlign w:val="center"/>
            <w:hideMark/>
          </w:tcPr>
          <w:p w14:paraId="11BB2CB1"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South Kuroshio</w:t>
            </w:r>
          </w:p>
        </w:tc>
        <w:tc>
          <w:tcPr>
            <w:tcW w:w="1952" w:type="dxa"/>
            <w:tcBorders>
              <w:top w:val="nil"/>
              <w:left w:val="nil"/>
              <w:bottom w:val="nil"/>
              <w:right w:val="nil"/>
            </w:tcBorders>
            <w:shd w:val="clear" w:color="auto" w:fill="auto"/>
            <w:noWrap/>
            <w:vAlign w:val="center"/>
            <w:hideMark/>
          </w:tcPr>
          <w:p w14:paraId="54AE3C38"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12.17 ± 4.96</w:t>
            </w:r>
          </w:p>
        </w:tc>
        <w:tc>
          <w:tcPr>
            <w:tcW w:w="1854" w:type="dxa"/>
            <w:tcBorders>
              <w:top w:val="nil"/>
              <w:left w:val="nil"/>
              <w:bottom w:val="nil"/>
              <w:right w:val="nil"/>
            </w:tcBorders>
            <w:shd w:val="clear" w:color="auto" w:fill="auto"/>
            <w:noWrap/>
            <w:vAlign w:val="center"/>
            <w:hideMark/>
          </w:tcPr>
          <w:p w14:paraId="3B4919D8"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0.70  ±</w:t>
            </w:r>
            <w:proofErr w:type="gramEnd"/>
            <w:r w:rsidRPr="00C530B5">
              <w:rPr>
                <w:rFonts w:ascii="Calibri" w:eastAsia="Times New Roman" w:hAnsi="Calibri" w:cs="Times New Roman"/>
                <w:color w:val="000000"/>
                <w:sz w:val="16"/>
                <w:szCs w:val="16"/>
                <w:lang w:eastAsia="en-GB"/>
              </w:rPr>
              <w:t xml:space="preserve">  1.42</w:t>
            </w:r>
          </w:p>
        </w:tc>
        <w:tc>
          <w:tcPr>
            <w:tcW w:w="1854" w:type="dxa"/>
            <w:tcBorders>
              <w:top w:val="nil"/>
              <w:left w:val="nil"/>
              <w:bottom w:val="nil"/>
              <w:right w:val="nil"/>
            </w:tcBorders>
            <w:shd w:val="clear" w:color="auto" w:fill="auto"/>
            <w:noWrap/>
            <w:vAlign w:val="center"/>
            <w:hideMark/>
          </w:tcPr>
          <w:p w14:paraId="7E7143B7"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0.07  ±</w:t>
            </w:r>
            <w:proofErr w:type="gramEnd"/>
            <w:r w:rsidRPr="00C530B5">
              <w:rPr>
                <w:rFonts w:ascii="Calibri" w:eastAsia="Times New Roman" w:hAnsi="Calibri" w:cs="Times New Roman"/>
                <w:color w:val="000000"/>
                <w:sz w:val="16"/>
                <w:szCs w:val="16"/>
                <w:lang w:eastAsia="en-GB"/>
              </w:rPr>
              <w:t xml:space="preserve">  1.42</w:t>
            </w:r>
          </w:p>
        </w:tc>
      </w:tr>
      <w:tr w:rsidR="00CF7991" w:rsidRPr="00C530B5" w14:paraId="34A05FEE" w14:textId="77777777" w:rsidTr="00672286">
        <w:trPr>
          <w:trHeight w:val="369"/>
          <w:jc w:val="center"/>
        </w:trPr>
        <w:tc>
          <w:tcPr>
            <w:tcW w:w="2749" w:type="dxa"/>
            <w:tcBorders>
              <w:top w:val="nil"/>
              <w:left w:val="nil"/>
              <w:bottom w:val="nil"/>
              <w:right w:val="nil"/>
            </w:tcBorders>
            <w:shd w:val="clear" w:color="auto" w:fill="auto"/>
            <w:vAlign w:val="center"/>
            <w:hideMark/>
          </w:tcPr>
          <w:p w14:paraId="5899A10C"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West Central Australian Shelf</w:t>
            </w:r>
          </w:p>
        </w:tc>
        <w:tc>
          <w:tcPr>
            <w:tcW w:w="1952" w:type="dxa"/>
            <w:tcBorders>
              <w:top w:val="nil"/>
              <w:left w:val="nil"/>
              <w:bottom w:val="nil"/>
              <w:right w:val="nil"/>
            </w:tcBorders>
            <w:shd w:val="clear" w:color="auto" w:fill="auto"/>
            <w:noWrap/>
            <w:vAlign w:val="center"/>
            <w:hideMark/>
          </w:tcPr>
          <w:p w14:paraId="18C41BEF"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19.23 ± 7.52</w:t>
            </w:r>
          </w:p>
        </w:tc>
        <w:tc>
          <w:tcPr>
            <w:tcW w:w="1854" w:type="dxa"/>
            <w:tcBorders>
              <w:top w:val="nil"/>
              <w:left w:val="nil"/>
              <w:bottom w:val="nil"/>
              <w:right w:val="nil"/>
            </w:tcBorders>
            <w:shd w:val="clear" w:color="auto" w:fill="auto"/>
            <w:noWrap/>
            <w:vAlign w:val="center"/>
            <w:hideMark/>
          </w:tcPr>
          <w:p w14:paraId="367059BF"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-0.</w:t>
            </w:r>
            <w:proofErr w:type="gramStart"/>
            <w:r w:rsidRPr="00C530B5">
              <w:rPr>
                <w:rFonts w:ascii="Calibri" w:eastAsia="Times New Roman" w:hAnsi="Calibri" w:cs="Times New Roman"/>
                <w:color w:val="000000"/>
                <w:sz w:val="16"/>
                <w:szCs w:val="16"/>
                <w:lang w:eastAsia="en-GB"/>
              </w:rPr>
              <w:t>42  ±</w:t>
            </w:r>
            <w:proofErr w:type="gramEnd"/>
            <w:r w:rsidRPr="00C530B5">
              <w:rPr>
                <w:rFonts w:ascii="Calibri" w:eastAsia="Times New Roman" w:hAnsi="Calibri" w:cs="Times New Roman"/>
                <w:color w:val="000000"/>
                <w:sz w:val="16"/>
                <w:szCs w:val="16"/>
                <w:lang w:eastAsia="en-GB"/>
              </w:rPr>
              <w:t xml:space="preserve">  1.34</w:t>
            </w:r>
          </w:p>
        </w:tc>
        <w:tc>
          <w:tcPr>
            <w:tcW w:w="1854" w:type="dxa"/>
            <w:tcBorders>
              <w:top w:val="nil"/>
              <w:left w:val="nil"/>
              <w:bottom w:val="nil"/>
              <w:right w:val="nil"/>
            </w:tcBorders>
            <w:shd w:val="clear" w:color="auto" w:fill="auto"/>
            <w:noWrap/>
            <w:vAlign w:val="center"/>
            <w:hideMark/>
          </w:tcPr>
          <w:p w14:paraId="0F2FB787"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-4.</w:t>
            </w:r>
            <w:proofErr w:type="gramStart"/>
            <w:r w:rsidRPr="00C530B5">
              <w:rPr>
                <w:rFonts w:ascii="Calibri" w:eastAsia="Times New Roman" w:hAnsi="Calibri" w:cs="Times New Roman"/>
                <w:color w:val="000000"/>
                <w:sz w:val="16"/>
                <w:szCs w:val="16"/>
                <w:lang w:eastAsia="en-GB"/>
              </w:rPr>
              <w:t>00  ±</w:t>
            </w:r>
            <w:proofErr w:type="gramEnd"/>
            <w:r w:rsidRPr="00C530B5">
              <w:rPr>
                <w:rFonts w:ascii="Calibri" w:eastAsia="Times New Roman" w:hAnsi="Calibri" w:cs="Times New Roman"/>
                <w:color w:val="000000"/>
                <w:sz w:val="16"/>
                <w:szCs w:val="16"/>
                <w:lang w:eastAsia="en-GB"/>
              </w:rPr>
              <w:t xml:space="preserve">  1.34</w:t>
            </w:r>
          </w:p>
        </w:tc>
      </w:tr>
      <w:tr w:rsidR="00CF7991" w:rsidRPr="00C530B5" w14:paraId="2D9FDD1C" w14:textId="77777777" w:rsidTr="00672286">
        <w:trPr>
          <w:trHeight w:val="246"/>
          <w:jc w:val="center"/>
        </w:trPr>
        <w:tc>
          <w:tcPr>
            <w:tcW w:w="2749" w:type="dxa"/>
            <w:tcBorders>
              <w:top w:val="nil"/>
              <w:left w:val="nil"/>
              <w:bottom w:val="nil"/>
              <w:right w:val="nil"/>
            </w:tcBorders>
            <w:shd w:val="clear" w:color="auto" w:fill="auto"/>
            <w:vAlign w:val="center"/>
            <w:hideMark/>
          </w:tcPr>
          <w:p w14:paraId="078CF58C"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Hawaii</w:t>
            </w:r>
          </w:p>
        </w:tc>
        <w:tc>
          <w:tcPr>
            <w:tcW w:w="1952" w:type="dxa"/>
            <w:tcBorders>
              <w:top w:val="nil"/>
              <w:left w:val="nil"/>
              <w:bottom w:val="nil"/>
              <w:right w:val="nil"/>
            </w:tcBorders>
            <w:shd w:val="clear" w:color="auto" w:fill="auto"/>
            <w:noWrap/>
            <w:vAlign w:val="center"/>
            <w:hideMark/>
          </w:tcPr>
          <w:p w14:paraId="45B4A54B"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2.94 ± 3.48</w:t>
            </w:r>
          </w:p>
        </w:tc>
        <w:tc>
          <w:tcPr>
            <w:tcW w:w="1854" w:type="dxa"/>
            <w:tcBorders>
              <w:top w:val="nil"/>
              <w:left w:val="nil"/>
              <w:bottom w:val="nil"/>
              <w:right w:val="nil"/>
            </w:tcBorders>
            <w:shd w:val="clear" w:color="auto" w:fill="auto"/>
            <w:noWrap/>
            <w:vAlign w:val="center"/>
            <w:hideMark/>
          </w:tcPr>
          <w:p w14:paraId="3E36193E"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1.08  ±</w:t>
            </w:r>
            <w:proofErr w:type="gramEnd"/>
            <w:r w:rsidRPr="00C530B5">
              <w:rPr>
                <w:rFonts w:ascii="Calibri" w:eastAsia="Times New Roman" w:hAnsi="Calibri" w:cs="Times New Roman"/>
                <w:color w:val="000000"/>
                <w:sz w:val="16"/>
                <w:szCs w:val="16"/>
                <w:lang w:eastAsia="en-GB"/>
              </w:rPr>
              <w:t xml:space="preserve">  2.21</w:t>
            </w:r>
          </w:p>
        </w:tc>
        <w:tc>
          <w:tcPr>
            <w:tcW w:w="1854" w:type="dxa"/>
            <w:tcBorders>
              <w:top w:val="nil"/>
              <w:left w:val="nil"/>
              <w:bottom w:val="nil"/>
              <w:right w:val="nil"/>
            </w:tcBorders>
            <w:shd w:val="clear" w:color="auto" w:fill="auto"/>
            <w:noWrap/>
            <w:vAlign w:val="center"/>
            <w:hideMark/>
          </w:tcPr>
          <w:p w14:paraId="3C73480D"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1.06  ±</w:t>
            </w:r>
            <w:proofErr w:type="gramEnd"/>
            <w:r w:rsidRPr="00C530B5">
              <w:rPr>
                <w:rFonts w:ascii="Calibri" w:eastAsia="Times New Roman" w:hAnsi="Calibri" w:cs="Times New Roman"/>
                <w:color w:val="000000"/>
                <w:sz w:val="16"/>
                <w:szCs w:val="16"/>
                <w:lang w:eastAsia="en-GB"/>
              </w:rPr>
              <w:t xml:space="preserve">  2.21</w:t>
            </w:r>
          </w:p>
        </w:tc>
      </w:tr>
      <w:tr w:rsidR="00CF7991" w:rsidRPr="00C530B5" w14:paraId="56E350C0" w14:textId="77777777" w:rsidTr="00672286">
        <w:trPr>
          <w:trHeight w:val="246"/>
          <w:jc w:val="center"/>
        </w:trPr>
        <w:tc>
          <w:tcPr>
            <w:tcW w:w="2749" w:type="dxa"/>
            <w:tcBorders>
              <w:top w:val="nil"/>
              <w:left w:val="nil"/>
              <w:bottom w:val="nil"/>
              <w:right w:val="nil"/>
            </w:tcBorders>
            <w:shd w:val="clear" w:color="auto" w:fill="auto"/>
            <w:vAlign w:val="center"/>
            <w:hideMark/>
          </w:tcPr>
          <w:p w14:paraId="68F25276"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Agulhas</w:t>
            </w:r>
          </w:p>
        </w:tc>
        <w:tc>
          <w:tcPr>
            <w:tcW w:w="1952" w:type="dxa"/>
            <w:tcBorders>
              <w:top w:val="nil"/>
              <w:left w:val="nil"/>
              <w:bottom w:val="nil"/>
              <w:right w:val="nil"/>
            </w:tcBorders>
            <w:shd w:val="clear" w:color="auto" w:fill="auto"/>
            <w:noWrap/>
            <w:vAlign w:val="center"/>
            <w:hideMark/>
          </w:tcPr>
          <w:p w14:paraId="33526A29"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13.56 ± 6.09</w:t>
            </w:r>
          </w:p>
        </w:tc>
        <w:tc>
          <w:tcPr>
            <w:tcW w:w="1854" w:type="dxa"/>
            <w:tcBorders>
              <w:top w:val="nil"/>
              <w:left w:val="nil"/>
              <w:bottom w:val="nil"/>
              <w:right w:val="nil"/>
            </w:tcBorders>
            <w:shd w:val="clear" w:color="auto" w:fill="auto"/>
            <w:noWrap/>
            <w:vAlign w:val="center"/>
            <w:hideMark/>
          </w:tcPr>
          <w:p w14:paraId="7BBF72F2"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1.44  ±</w:t>
            </w:r>
            <w:proofErr w:type="gramEnd"/>
            <w:r w:rsidRPr="00C530B5">
              <w:rPr>
                <w:rFonts w:ascii="Calibri" w:eastAsia="Times New Roman" w:hAnsi="Calibri" w:cs="Times New Roman"/>
                <w:color w:val="000000"/>
                <w:sz w:val="16"/>
                <w:szCs w:val="16"/>
                <w:lang w:eastAsia="en-GB"/>
              </w:rPr>
              <w:t xml:space="preserve">  0.69</w:t>
            </w:r>
          </w:p>
        </w:tc>
        <w:tc>
          <w:tcPr>
            <w:tcW w:w="1854" w:type="dxa"/>
            <w:tcBorders>
              <w:top w:val="nil"/>
              <w:left w:val="nil"/>
              <w:bottom w:val="nil"/>
              <w:right w:val="nil"/>
            </w:tcBorders>
            <w:shd w:val="clear" w:color="auto" w:fill="auto"/>
            <w:noWrap/>
            <w:vAlign w:val="center"/>
            <w:hideMark/>
          </w:tcPr>
          <w:p w14:paraId="7AA995C3"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1.48  ±</w:t>
            </w:r>
            <w:proofErr w:type="gramEnd"/>
            <w:r w:rsidRPr="00C530B5">
              <w:rPr>
                <w:rFonts w:ascii="Calibri" w:eastAsia="Times New Roman" w:hAnsi="Calibri" w:cs="Times New Roman"/>
                <w:color w:val="000000"/>
                <w:sz w:val="16"/>
                <w:szCs w:val="16"/>
                <w:lang w:eastAsia="en-GB"/>
              </w:rPr>
              <w:t xml:space="preserve">  0.69</w:t>
            </w:r>
          </w:p>
        </w:tc>
      </w:tr>
      <w:tr w:rsidR="00CF7991" w:rsidRPr="00C530B5" w14:paraId="3788D429" w14:textId="77777777" w:rsidTr="00672286">
        <w:trPr>
          <w:trHeight w:val="369"/>
          <w:jc w:val="center"/>
        </w:trPr>
        <w:tc>
          <w:tcPr>
            <w:tcW w:w="2749" w:type="dxa"/>
            <w:tcBorders>
              <w:top w:val="nil"/>
              <w:left w:val="nil"/>
              <w:bottom w:val="nil"/>
              <w:right w:val="nil"/>
            </w:tcBorders>
            <w:shd w:val="clear" w:color="auto" w:fill="auto"/>
            <w:vAlign w:val="center"/>
            <w:hideMark/>
          </w:tcPr>
          <w:p w14:paraId="699DB9C7"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Central Indian Ocean Islands</w:t>
            </w:r>
          </w:p>
        </w:tc>
        <w:tc>
          <w:tcPr>
            <w:tcW w:w="1952" w:type="dxa"/>
            <w:tcBorders>
              <w:top w:val="nil"/>
              <w:left w:val="nil"/>
              <w:bottom w:val="nil"/>
              <w:right w:val="nil"/>
            </w:tcBorders>
            <w:shd w:val="clear" w:color="auto" w:fill="auto"/>
            <w:noWrap/>
            <w:vAlign w:val="center"/>
            <w:hideMark/>
          </w:tcPr>
          <w:p w14:paraId="62ECF3F0"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0.53 ± 3.11</w:t>
            </w:r>
          </w:p>
        </w:tc>
        <w:tc>
          <w:tcPr>
            <w:tcW w:w="1854" w:type="dxa"/>
            <w:tcBorders>
              <w:top w:val="nil"/>
              <w:left w:val="nil"/>
              <w:bottom w:val="nil"/>
              <w:right w:val="nil"/>
            </w:tcBorders>
            <w:shd w:val="clear" w:color="auto" w:fill="auto"/>
            <w:noWrap/>
            <w:vAlign w:val="center"/>
            <w:hideMark/>
          </w:tcPr>
          <w:p w14:paraId="37572690" w14:textId="77777777" w:rsidR="00CF7991" w:rsidRPr="00C530B5" w:rsidRDefault="00CF7991" w:rsidP="00672286">
            <w:pPr>
              <w:jc w:val="center"/>
              <w:rPr>
                <w:rFonts w:ascii="Calibri" w:eastAsia="Times New Roman" w:hAnsi="Calibri" w:cs="Times New Roman"/>
                <w:color w:val="000000"/>
                <w:sz w:val="16"/>
                <w:szCs w:val="16"/>
                <w:lang w:eastAsia="en-GB"/>
              </w:rPr>
            </w:pPr>
            <w:proofErr w:type="gramStart"/>
            <w:r w:rsidRPr="00C530B5">
              <w:rPr>
                <w:rFonts w:ascii="Calibri" w:eastAsia="Times New Roman" w:hAnsi="Calibri" w:cs="Times New Roman"/>
                <w:color w:val="000000"/>
                <w:sz w:val="16"/>
                <w:szCs w:val="16"/>
                <w:lang w:eastAsia="en-GB"/>
              </w:rPr>
              <w:t>0.17  ±</w:t>
            </w:r>
            <w:proofErr w:type="gramEnd"/>
            <w:r w:rsidRPr="00C530B5">
              <w:rPr>
                <w:rFonts w:ascii="Calibri" w:eastAsia="Times New Roman" w:hAnsi="Calibri" w:cs="Times New Roman"/>
                <w:color w:val="000000"/>
                <w:sz w:val="16"/>
                <w:szCs w:val="16"/>
                <w:lang w:eastAsia="en-GB"/>
              </w:rPr>
              <w:t xml:space="preserve">  1.34</w:t>
            </w:r>
          </w:p>
        </w:tc>
        <w:tc>
          <w:tcPr>
            <w:tcW w:w="1854" w:type="dxa"/>
            <w:tcBorders>
              <w:top w:val="nil"/>
              <w:left w:val="nil"/>
              <w:bottom w:val="nil"/>
              <w:right w:val="nil"/>
            </w:tcBorders>
            <w:shd w:val="clear" w:color="auto" w:fill="auto"/>
            <w:noWrap/>
            <w:vAlign w:val="center"/>
            <w:hideMark/>
          </w:tcPr>
          <w:p w14:paraId="256F3D21"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-0.</w:t>
            </w:r>
            <w:proofErr w:type="gramStart"/>
            <w:r w:rsidRPr="00C530B5">
              <w:rPr>
                <w:rFonts w:ascii="Calibri" w:eastAsia="Times New Roman" w:hAnsi="Calibri" w:cs="Times New Roman"/>
                <w:color w:val="000000"/>
                <w:sz w:val="16"/>
                <w:szCs w:val="16"/>
                <w:lang w:eastAsia="en-GB"/>
              </w:rPr>
              <w:t>04  ±</w:t>
            </w:r>
            <w:proofErr w:type="gramEnd"/>
            <w:r w:rsidRPr="00C530B5">
              <w:rPr>
                <w:rFonts w:ascii="Calibri" w:eastAsia="Times New Roman" w:hAnsi="Calibri" w:cs="Times New Roman"/>
                <w:color w:val="000000"/>
                <w:sz w:val="16"/>
                <w:szCs w:val="16"/>
                <w:lang w:eastAsia="en-GB"/>
              </w:rPr>
              <w:t xml:space="preserve">  1.34</w:t>
            </w:r>
          </w:p>
        </w:tc>
      </w:tr>
      <w:tr w:rsidR="00CF7991" w:rsidRPr="00C530B5" w14:paraId="48E05A10" w14:textId="77777777" w:rsidTr="00672286">
        <w:trPr>
          <w:trHeight w:val="258"/>
          <w:jc w:val="center"/>
        </w:trPr>
        <w:tc>
          <w:tcPr>
            <w:tcW w:w="2749" w:type="dxa"/>
            <w:tcBorders>
              <w:top w:val="nil"/>
              <w:left w:val="nil"/>
              <w:bottom w:val="single" w:sz="8" w:space="0" w:color="auto"/>
              <w:right w:val="nil"/>
            </w:tcBorders>
            <w:shd w:val="clear" w:color="auto" w:fill="auto"/>
            <w:vAlign w:val="center"/>
            <w:hideMark/>
          </w:tcPr>
          <w:p w14:paraId="173FF314"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Lusitanian</w:t>
            </w:r>
          </w:p>
        </w:tc>
        <w:tc>
          <w:tcPr>
            <w:tcW w:w="1952" w:type="dxa"/>
            <w:tcBorders>
              <w:top w:val="nil"/>
              <w:left w:val="nil"/>
              <w:bottom w:val="single" w:sz="8" w:space="0" w:color="auto"/>
              <w:right w:val="nil"/>
            </w:tcBorders>
            <w:shd w:val="clear" w:color="auto" w:fill="auto"/>
            <w:noWrap/>
            <w:vAlign w:val="center"/>
            <w:hideMark/>
          </w:tcPr>
          <w:p w14:paraId="0B5CF300"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16.19 ± 10.21</w:t>
            </w:r>
          </w:p>
        </w:tc>
        <w:tc>
          <w:tcPr>
            <w:tcW w:w="1854" w:type="dxa"/>
            <w:tcBorders>
              <w:top w:val="nil"/>
              <w:left w:val="nil"/>
              <w:bottom w:val="single" w:sz="8" w:space="0" w:color="auto"/>
              <w:right w:val="nil"/>
            </w:tcBorders>
            <w:shd w:val="clear" w:color="auto" w:fill="auto"/>
            <w:noWrap/>
            <w:vAlign w:val="center"/>
            <w:hideMark/>
          </w:tcPr>
          <w:p w14:paraId="07E30B57"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w:t>
            </w:r>
            <w:proofErr w:type="gramStart"/>
            <w:r w:rsidRPr="00C530B5">
              <w:rPr>
                <w:rFonts w:ascii="Calibri" w:eastAsia="Times New Roman" w:hAnsi="Calibri" w:cs="Times New Roman"/>
                <w:color w:val="000000"/>
                <w:sz w:val="16"/>
                <w:szCs w:val="16"/>
                <w:lang w:eastAsia="en-GB"/>
              </w:rPr>
              <w:t>00  ±</w:t>
            </w:r>
            <w:proofErr w:type="gramEnd"/>
            <w:r w:rsidRPr="00C530B5">
              <w:rPr>
                <w:rFonts w:ascii="Calibri" w:eastAsia="Times New Roman" w:hAnsi="Calibri" w:cs="Times New Roman"/>
                <w:color w:val="000000"/>
                <w:sz w:val="16"/>
                <w:szCs w:val="16"/>
                <w:lang w:eastAsia="en-GB"/>
              </w:rPr>
              <w:t xml:space="preserve">  1.91</w:t>
            </w:r>
          </w:p>
        </w:tc>
        <w:tc>
          <w:tcPr>
            <w:tcW w:w="1854" w:type="dxa"/>
            <w:tcBorders>
              <w:top w:val="nil"/>
              <w:left w:val="nil"/>
              <w:bottom w:val="single" w:sz="8" w:space="0" w:color="auto"/>
              <w:right w:val="nil"/>
            </w:tcBorders>
            <w:shd w:val="clear" w:color="auto" w:fill="auto"/>
            <w:noWrap/>
            <w:vAlign w:val="center"/>
            <w:hideMark/>
          </w:tcPr>
          <w:p w14:paraId="2C36AEE5" w14:textId="77777777" w:rsidR="00CF7991" w:rsidRPr="00C530B5" w:rsidRDefault="00CF7991" w:rsidP="00672286">
            <w:pPr>
              <w:jc w:val="center"/>
              <w:rPr>
                <w:rFonts w:ascii="Calibri" w:eastAsia="Times New Roman" w:hAnsi="Calibri" w:cs="Times New Roman"/>
                <w:color w:val="000000"/>
                <w:sz w:val="16"/>
                <w:szCs w:val="16"/>
                <w:lang w:eastAsia="en-GB"/>
              </w:rPr>
            </w:pPr>
            <w:r w:rsidRPr="00C530B5">
              <w:rPr>
                <w:rFonts w:ascii="Calibri" w:eastAsia="Times New Roman" w:hAnsi="Calibri" w:cs="Times New Roman"/>
                <w:color w:val="000000"/>
                <w:sz w:val="16"/>
                <w:szCs w:val="16"/>
                <w:lang w:eastAsia="en-GB"/>
              </w:rPr>
              <w:t>-1.</w:t>
            </w:r>
            <w:proofErr w:type="gramStart"/>
            <w:r w:rsidRPr="00C530B5">
              <w:rPr>
                <w:rFonts w:ascii="Calibri" w:eastAsia="Times New Roman" w:hAnsi="Calibri" w:cs="Times New Roman"/>
                <w:color w:val="000000"/>
                <w:sz w:val="16"/>
                <w:szCs w:val="16"/>
                <w:lang w:eastAsia="en-GB"/>
              </w:rPr>
              <w:t>69  ±</w:t>
            </w:r>
            <w:proofErr w:type="gramEnd"/>
            <w:r w:rsidRPr="00C530B5">
              <w:rPr>
                <w:rFonts w:ascii="Calibri" w:eastAsia="Times New Roman" w:hAnsi="Calibri" w:cs="Times New Roman"/>
                <w:color w:val="000000"/>
                <w:sz w:val="16"/>
                <w:szCs w:val="16"/>
                <w:lang w:eastAsia="en-GB"/>
              </w:rPr>
              <w:t xml:space="preserve">  1.91</w:t>
            </w:r>
          </w:p>
        </w:tc>
      </w:tr>
    </w:tbl>
    <w:p w14:paraId="61EBED9B" w14:textId="514A3211" w:rsidR="00CF7991" w:rsidRPr="007801F9" w:rsidRDefault="00CF7991" w:rsidP="00CF7991">
      <w:pPr>
        <w:tabs>
          <w:tab w:val="left" w:pos="8380"/>
        </w:tabs>
        <w:rPr>
          <w:sz w:val="22"/>
          <w:szCs w:val="22"/>
          <w:lang w:val="en-US"/>
        </w:rPr>
        <w:sectPr w:rsidR="00CF7991" w:rsidRPr="007801F9" w:rsidSect="001E65D6">
          <w:pgSz w:w="11906" w:h="16838"/>
          <w:pgMar w:top="720" w:right="720" w:bottom="720" w:left="720" w:header="708" w:footer="708" w:gutter="0"/>
          <w:cols w:space="708"/>
          <w:docGrid w:linePitch="360"/>
        </w:sectPr>
      </w:pPr>
    </w:p>
    <w:p w14:paraId="33072C53" w14:textId="17AF4C61" w:rsidR="00CF7991" w:rsidRPr="001E65D6" w:rsidRDefault="00CF7991" w:rsidP="00CF7991">
      <w:pPr>
        <w:pStyle w:val="Heading3"/>
        <w:rPr>
          <w:rFonts w:cstheme="minorHAnsi"/>
          <w:b/>
          <w:bCs/>
        </w:rPr>
      </w:pPr>
      <w:bookmarkStart w:id="35" w:name="_Toc120622124"/>
      <w:r w:rsidRPr="001E65D6">
        <w:rPr>
          <w:rFonts w:asciiTheme="minorHAnsi" w:hAnsiTheme="minorHAnsi" w:cstheme="minorHAnsi"/>
          <w:b/>
          <w:bCs/>
          <w:color w:val="auto"/>
        </w:rPr>
        <w:lastRenderedPageBreak/>
        <w:t>3.4.2</w:t>
      </w:r>
      <w:r w:rsidRPr="001E65D6">
        <w:rPr>
          <w:rFonts w:asciiTheme="minorHAnsi" w:hAnsiTheme="minorHAnsi" w:cstheme="minorHAnsi"/>
          <w:b/>
          <w:bCs/>
          <w:color w:val="auto"/>
        </w:rPr>
        <w:tab/>
        <w:t>Forecasted Net Primary Productivity Rates and Seasonality</w:t>
      </w:r>
      <w:bookmarkEnd w:id="35"/>
    </w:p>
    <w:p w14:paraId="353C3DE6" w14:textId="437E78A3" w:rsidR="00CF7991" w:rsidRPr="00260745" w:rsidRDefault="00CF7991" w:rsidP="00CF7991">
      <w:pPr>
        <w:spacing w:line="480" w:lineRule="auto"/>
        <w:rPr>
          <w:lang w:val="en-US"/>
        </w:rPr>
      </w:pPr>
      <w:r w:rsidRPr="00260745">
        <w:rPr>
          <w:lang w:val="en-US"/>
        </w:rPr>
        <w:t xml:space="preserve">On a global scale, little difference (&lt;1.5% difference by 2095) was found </w:t>
      </w:r>
      <w:r w:rsidR="00C721D9">
        <w:rPr>
          <w:lang w:val="en-US"/>
        </w:rPr>
        <w:t xml:space="preserve">in total global litter rates </w:t>
      </w:r>
      <w:r w:rsidRPr="00260745">
        <w:rPr>
          <w:lang w:val="en-US"/>
        </w:rPr>
        <w:t>between the four tested emissions scenarios (SSP126, SSP245, SSP370 and SSP585) (Figure 3.</w:t>
      </w:r>
      <w:r w:rsidR="00D553BA">
        <w:rPr>
          <w:lang w:val="en-US"/>
        </w:rPr>
        <w:t>4</w:t>
      </w:r>
      <w:r w:rsidRPr="00260745">
        <w:rPr>
          <w:lang w:val="en-US"/>
        </w:rPr>
        <w:t>)</w:t>
      </w:r>
      <w:r w:rsidR="00312F0A">
        <w:rPr>
          <w:lang w:val="en-US"/>
        </w:rPr>
        <w:t xml:space="preserve">. </w:t>
      </w:r>
      <w:r w:rsidR="00941E71">
        <w:rPr>
          <w:lang w:val="en-US"/>
        </w:rPr>
        <w:t xml:space="preserve">Regional differences in total NPP </w:t>
      </w:r>
      <w:r w:rsidR="00C91F02">
        <w:rPr>
          <w:lang w:val="en-US"/>
        </w:rPr>
        <w:t xml:space="preserve">between scenarios </w:t>
      </w:r>
      <w:r w:rsidR="00941E71">
        <w:rPr>
          <w:lang w:val="en-US"/>
        </w:rPr>
        <w:t xml:space="preserve">were detected </w:t>
      </w:r>
      <w:r w:rsidR="00A90641">
        <w:rPr>
          <w:lang w:val="en-US"/>
        </w:rPr>
        <w:t xml:space="preserve">by late-century </w:t>
      </w:r>
      <w:r w:rsidR="00941E71">
        <w:rPr>
          <w:lang w:val="en-US"/>
        </w:rPr>
        <w:t>(Figure A3</w:t>
      </w:r>
      <w:r w:rsidR="000B1F17">
        <w:rPr>
          <w:lang w:val="en-US"/>
        </w:rPr>
        <w:t>)</w:t>
      </w:r>
      <w:r w:rsidR="0052416F">
        <w:rPr>
          <w:lang w:val="en-US"/>
        </w:rPr>
        <w:t>.</w:t>
      </w:r>
      <w:r w:rsidR="00E3219B">
        <w:rPr>
          <w:lang w:val="en-US"/>
        </w:rPr>
        <w:t xml:space="preserve"> </w:t>
      </w:r>
      <w:r w:rsidR="007A73BD">
        <w:rPr>
          <w:lang w:val="en-US"/>
        </w:rPr>
        <w:t>For example</w:t>
      </w:r>
      <w:r w:rsidR="00A90641">
        <w:rPr>
          <w:lang w:val="en-US"/>
        </w:rPr>
        <w:t xml:space="preserve">, </w:t>
      </w:r>
      <w:r w:rsidR="00B3680B">
        <w:rPr>
          <w:lang w:val="en-US"/>
        </w:rPr>
        <w:t xml:space="preserve">greater </w:t>
      </w:r>
      <w:r w:rsidR="00F71E56">
        <w:rPr>
          <w:lang w:val="en-US"/>
        </w:rPr>
        <w:t xml:space="preserve">rates of change </w:t>
      </w:r>
      <w:r w:rsidR="00A90641">
        <w:rPr>
          <w:lang w:val="en-US"/>
        </w:rPr>
        <w:t>in NPP</w:t>
      </w:r>
      <w:r w:rsidR="00A6571C">
        <w:rPr>
          <w:lang w:val="en-US"/>
        </w:rPr>
        <w:t xml:space="preserve"> were forecast </w:t>
      </w:r>
      <w:r w:rsidR="000A3021">
        <w:rPr>
          <w:lang w:val="en-US"/>
        </w:rPr>
        <w:t xml:space="preserve">in lower and higher latitudes, respectively </w:t>
      </w:r>
      <w:r w:rsidR="00B46D3A">
        <w:rPr>
          <w:lang w:val="en-US"/>
        </w:rPr>
        <w:t>under the high emissions scenario (SSP585)</w:t>
      </w:r>
      <w:r w:rsidR="00CA178E">
        <w:rPr>
          <w:lang w:val="en-US"/>
        </w:rPr>
        <w:t xml:space="preserve"> when compared to lower emissions scenarios</w:t>
      </w:r>
      <w:r w:rsidR="0046342F">
        <w:rPr>
          <w:lang w:val="en-US"/>
        </w:rPr>
        <w:t xml:space="preserve"> (Figure A3)</w:t>
      </w:r>
      <w:r w:rsidR="005E0918">
        <w:rPr>
          <w:lang w:val="en-US"/>
        </w:rPr>
        <w:t>.</w:t>
      </w:r>
      <w:r w:rsidR="0052416F">
        <w:rPr>
          <w:lang w:val="en-US"/>
        </w:rPr>
        <w:t xml:space="preserve"> However, these differences had comparable net effects to overall global NPP (Figure 3.4). </w:t>
      </w:r>
      <w:r w:rsidR="00DD1290">
        <w:rPr>
          <w:lang w:val="en-US"/>
        </w:rPr>
        <w:t xml:space="preserve">Thus, </w:t>
      </w:r>
      <w:r w:rsidRPr="00260745">
        <w:rPr>
          <w:lang w:val="en-US"/>
        </w:rPr>
        <w:t xml:space="preserve">only the </w:t>
      </w:r>
      <w:r w:rsidR="008911D0">
        <w:rPr>
          <w:lang w:val="en-US"/>
        </w:rPr>
        <w:t>low end</w:t>
      </w:r>
      <w:r w:rsidRPr="00260745">
        <w:rPr>
          <w:lang w:val="en-US"/>
        </w:rPr>
        <w:t xml:space="preserve"> </w:t>
      </w:r>
      <w:r w:rsidR="009C2449">
        <w:rPr>
          <w:lang w:val="en-US"/>
        </w:rPr>
        <w:t xml:space="preserve">SSP245 </w:t>
      </w:r>
      <w:r w:rsidRPr="00260745">
        <w:rPr>
          <w:lang w:val="en-US"/>
        </w:rPr>
        <w:t>scenario was investigated on a marine province scale. Model predictions found the total global annual Net Primary Productivity (NPP) will show little change throughout the 21</w:t>
      </w:r>
      <w:r w:rsidRPr="00260745">
        <w:rPr>
          <w:vertAlign w:val="superscript"/>
          <w:lang w:val="en-US"/>
        </w:rPr>
        <w:t>st</w:t>
      </w:r>
      <w:r w:rsidRPr="00260745">
        <w:rPr>
          <w:lang w:val="en-US"/>
        </w:rPr>
        <w:t xml:space="preserve"> century from historical rates. Compared to historical (1980 to 1990) NPP rates, modelling suggested NPP will drop by ~1.1% by the mid-century (2030 to 2040) to 236.5 ±55.2 </w:t>
      </w:r>
      <w:proofErr w:type="spellStart"/>
      <w:r w:rsidRPr="00260745">
        <w:rPr>
          <w:lang w:val="en-US"/>
        </w:rPr>
        <w:t>Tg</w:t>
      </w:r>
      <w:proofErr w:type="spellEnd"/>
      <w:r w:rsidRPr="00260745">
        <w:rPr>
          <w:lang w:val="en-US"/>
        </w:rPr>
        <w:t xml:space="preserve"> yr</w:t>
      </w:r>
      <w:r w:rsidRPr="00260745">
        <w:rPr>
          <w:vertAlign w:val="superscript"/>
          <w:lang w:val="en-US"/>
        </w:rPr>
        <w:t>-1</w:t>
      </w:r>
      <w:r w:rsidRPr="00260745">
        <w:rPr>
          <w:lang w:val="en-US"/>
        </w:rPr>
        <w:t xml:space="preserve"> and by ~1.4% to 235.9 ±54.6 </w:t>
      </w:r>
      <w:proofErr w:type="spellStart"/>
      <w:r w:rsidRPr="00260745">
        <w:rPr>
          <w:lang w:val="en-US"/>
        </w:rPr>
        <w:t>Tg</w:t>
      </w:r>
      <w:proofErr w:type="spellEnd"/>
      <w:r w:rsidRPr="00260745">
        <w:rPr>
          <w:lang w:val="en-US"/>
        </w:rPr>
        <w:t xml:space="preserve"> yr</w:t>
      </w:r>
      <w:r w:rsidRPr="00260745">
        <w:rPr>
          <w:vertAlign w:val="superscript"/>
          <w:lang w:val="en-US"/>
        </w:rPr>
        <w:t>-1</w:t>
      </w:r>
      <w:r w:rsidRPr="00260745">
        <w:rPr>
          <w:lang w:val="en-US"/>
        </w:rPr>
        <w:t xml:space="preserve"> between 2085 to 2094. Despite relatively little change in overall global NPP, different marine provinces will show both relatively large increases and decreases in NPP throughout the 21</w:t>
      </w:r>
      <w:r w:rsidRPr="00260745">
        <w:rPr>
          <w:vertAlign w:val="superscript"/>
          <w:lang w:val="en-US"/>
        </w:rPr>
        <w:t>st</w:t>
      </w:r>
      <w:r w:rsidRPr="00260745">
        <w:rPr>
          <w:lang w:val="en-US"/>
        </w:rPr>
        <w:t xml:space="preserve"> century</w:t>
      </w:r>
      <w:r w:rsidR="00347872">
        <w:rPr>
          <w:lang w:val="en-US"/>
        </w:rPr>
        <w:t xml:space="preserve"> (Figure 3.5)</w:t>
      </w:r>
      <w:r w:rsidRPr="00260745">
        <w:rPr>
          <w:lang w:val="en-US"/>
        </w:rPr>
        <w:t xml:space="preserve">. Three marine provinces were predicted to increase in NPP by the mid-century by one-third relative to past NPP rates: the Southwest Australian Shelf (46.1±55.0%), the Warm Temperate Northeast Pacific (34.1±4.6%) and the Warm Temperate Northwest Pacific (32.7±39.8%) (Table </w:t>
      </w:r>
      <w:r w:rsidR="005E6208">
        <w:rPr>
          <w:lang w:val="en-US"/>
        </w:rPr>
        <w:t>A</w:t>
      </w:r>
      <w:r w:rsidRPr="00260745">
        <w:rPr>
          <w:lang w:val="en-US"/>
        </w:rPr>
        <w:t>2). These three provinces will also have the largest gains in NPP by the end of the 21</w:t>
      </w:r>
      <w:r w:rsidRPr="00260745">
        <w:rPr>
          <w:vertAlign w:val="superscript"/>
          <w:lang w:val="en-US"/>
        </w:rPr>
        <w:t>st</w:t>
      </w:r>
      <w:r w:rsidRPr="00260745">
        <w:rPr>
          <w:lang w:val="en-US"/>
        </w:rPr>
        <w:t xml:space="preserve"> century, by 60.58 ±65.27%, 43.75 ±43.81% and 31.55 ±37.15%, respectively (Table </w:t>
      </w:r>
      <w:r w:rsidR="005E6208">
        <w:rPr>
          <w:lang w:val="en-US"/>
        </w:rPr>
        <w:t>A</w:t>
      </w:r>
      <w:r w:rsidRPr="00260745">
        <w:rPr>
          <w:lang w:val="en-US"/>
        </w:rPr>
        <w:t xml:space="preserve">2). By mid-century, the greatest reductions relative to historical NPP will be in the Southern and Northern New Zealand marine provinces, dropping 14.00 ±7.83% and -13.09 ±8.50%, respectively (Table </w:t>
      </w:r>
      <w:r w:rsidR="005E6208">
        <w:rPr>
          <w:lang w:val="en-US"/>
        </w:rPr>
        <w:t>A</w:t>
      </w:r>
      <w:r w:rsidRPr="00260745">
        <w:rPr>
          <w:lang w:val="en-US"/>
        </w:rPr>
        <w:t xml:space="preserve">2). By the end of the century, the Java Transitional province will have the greatest decreases relative to historical NPP rates (11.45 ±4.14%, Table </w:t>
      </w:r>
      <w:r w:rsidR="005E6208">
        <w:rPr>
          <w:lang w:val="en-US"/>
        </w:rPr>
        <w:t>A</w:t>
      </w:r>
      <w:r w:rsidRPr="00260745">
        <w:rPr>
          <w:lang w:val="en-US"/>
        </w:rPr>
        <w:t xml:space="preserve">2). Relative to historical NPP rates, the </w:t>
      </w:r>
      <w:r w:rsidRPr="00260745">
        <w:rPr>
          <w:lang w:val="en-US"/>
        </w:rPr>
        <w:lastRenderedPageBreak/>
        <w:t xml:space="preserve">Western Coral Triangle marine province will have the third largest decreases (7.61 ± 6.39%) and largest absolute reductions (3.56 ± 2.99 </w:t>
      </w:r>
      <w:proofErr w:type="spellStart"/>
      <w:r w:rsidRPr="00260745">
        <w:rPr>
          <w:lang w:val="en-US"/>
        </w:rPr>
        <w:t>Tg</w:t>
      </w:r>
      <w:proofErr w:type="spellEnd"/>
      <w:r w:rsidRPr="00260745">
        <w:rPr>
          <w:lang w:val="en-US"/>
        </w:rPr>
        <w:t xml:space="preserve"> yr</w:t>
      </w:r>
      <w:r w:rsidRPr="00260745">
        <w:rPr>
          <w:vertAlign w:val="superscript"/>
          <w:lang w:val="en-US"/>
        </w:rPr>
        <w:t>-1</w:t>
      </w:r>
      <w:r w:rsidRPr="00260745">
        <w:rPr>
          <w:lang w:val="en-US"/>
        </w:rPr>
        <w:t>) in NPP by the end of the 21</w:t>
      </w:r>
      <w:r w:rsidRPr="00260745">
        <w:rPr>
          <w:vertAlign w:val="superscript"/>
          <w:lang w:val="en-US"/>
        </w:rPr>
        <w:t>st</w:t>
      </w:r>
      <w:r w:rsidRPr="00260745">
        <w:rPr>
          <w:lang w:val="en-US"/>
        </w:rPr>
        <w:t xml:space="preserve"> century (Table </w:t>
      </w:r>
      <w:r w:rsidR="00CC2DE9">
        <w:rPr>
          <w:lang w:val="en-US"/>
        </w:rPr>
        <w:t>A</w:t>
      </w:r>
      <w:r w:rsidRPr="00260745">
        <w:rPr>
          <w:lang w:val="en-US"/>
        </w:rPr>
        <w:t>2). This reduction will diminish the contribution of mangrove NPP from the Western Coral triangle from representing 19.68 ± 0.44 % of global NPP over 1980 to 1990, to contributing 18.38 ± 0.21% by 2095.</w:t>
      </w:r>
    </w:p>
    <w:p w14:paraId="631F80E9" w14:textId="77777777" w:rsidR="00CF7991" w:rsidRDefault="00CF7991" w:rsidP="00CF7991">
      <w:pPr>
        <w:spacing w:line="480" w:lineRule="auto"/>
        <w:rPr>
          <w:sz w:val="22"/>
          <w:szCs w:val="22"/>
          <w:lang w:val="en-US"/>
        </w:rPr>
      </w:pPr>
    </w:p>
    <w:p w14:paraId="4AA15B1D" w14:textId="77777777" w:rsidR="00CF7991" w:rsidRDefault="00CF7991" w:rsidP="00CF7991">
      <w:pPr>
        <w:rPr>
          <w:b/>
          <w:bCs/>
          <w:lang w:val="en-US"/>
        </w:rPr>
      </w:pPr>
      <w:r>
        <w:rPr>
          <w:b/>
          <w:bCs/>
          <w:noProof/>
          <w:lang w:eastAsia="en-GB"/>
        </w:rPr>
        <w:drawing>
          <wp:inline distT="0" distB="0" distL="0" distR="0" wp14:anchorId="574EE383" wp14:editId="087B0444">
            <wp:extent cx="5894962" cy="5894962"/>
            <wp:effectExtent l="0" t="0" r="0" b="0"/>
            <wp:docPr id="19" name="Picture 1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02948" cy="5902948"/>
                    </a:xfrm>
                    <a:prstGeom prst="rect">
                      <a:avLst/>
                    </a:prstGeom>
                  </pic:spPr>
                </pic:pic>
              </a:graphicData>
            </a:graphic>
          </wp:inline>
        </w:drawing>
      </w:r>
    </w:p>
    <w:p w14:paraId="2B3133AA" w14:textId="01403027" w:rsidR="00CF7991" w:rsidRPr="001E65D6" w:rsidRDefault="00CF7991" w:rsidP="00CF7991">
      <w:pPr>
        <w:rPr>
          <w:sz w:val="22"/>
          <w:szCs w:val="22"/>
          <w:lang w:val="en-US"/>
        </w:rPr>
      </w:pPr>
      <w:r>
        <w:rPr>
          <w:b/>
          <w:bCs/>
          <w:sz w:val="20"/>
          <w:szCs w:val="20"/>
          <w:lang w:val="en-US"/>
        </w:rPr>
        <w:t>Figure 3.</w:t>
      </w:r>
      <w:r w:rsidR="00DE106C">
        <w:rPr>
          <w:b/>
          <w:bCs/>
          <w:sz w:val="20"/>
          <w:szCs w:val="20"/>
          <w:lang w:val="en-US"/>
        </w:rPr>
        <w:t>4</w:t>
      </w:r>
      <w:r>
        <w:rPr>
          <w:b/>
          <w:bCs/>
          <w:sz w:val="20"/>
          <w:szCs w:val="20"/>
          <w:lang w:val="en-US"/>
        </w:rPr>
        <w:t>: Total global NPP (solid lines) with 95% confidence intervals (dash lines) from 1980 to 2094 for the four forecasted emissions scenarios. a) SSP126; b) SSP245; c) SSP370 and d) SSP585.</w:t>
      </w:r>
    </w:p>
    <w:p w14:paraId="1997C937" w14:textId="77777777" w:rsidR="00CF7991" w:rsidRPr="001E65D6" w:rsidRDefault="00CF7991" w:rsidP="00CF7991">
      <w:pPr>
        <w:spacing w:line="600" w:lineRule="auto"/>
        <w:rPr>
          <w:sz w:val="22"/>
          <w:szCs w:val="22"/>
          <w:lang w:val="en-US"/>
        </w:rPr>
      </w:pPr>
    </w:p>
    <w:p w14:paraId="19BE10AA" w14:textId="0AF860DA" w:rsidR="00022B60" w:rsidRDefault="00CF7991" w:rsidP="00CF7991">
      <w:pPr>
        <w:spacing w:line="480" w:lineRule="auto"/>
        <w:rPr>
          <w:lang w:val="en-US"/>
        </w:rPr>
        <w:sectPr w:rsidR="00022B60" w:rsidSect="00DE32EB">
          <w:pgSz w:w="11906" w:h="16838"/>
          <w:pgMar w:top="1440" w:right="1440" w:bottom="1440" w:left="1440" w:header="708" w:footer="708" w:gutter="0"/>
          <w:cols w:space="708"/>
          <w:docGrid w:linePitch="360"/>
        </w:sectPr>
      </w:pPr>
      <w:r w:rsidRPr="00260745">
        <w:rPr>
          <w:lang w:val="en-US"/>
        </w:rPr>
        <w:lastRenderedPageBreak/>
        <w:t>Global annual NPP seasonality will not show much change by the mid-century (Δ+1.0 ±0.1%), compared to the period between 1980 and 1990 (9.2 ±6.1%). Relative to the historical period (1980-1990), global monthly NPP will invert between 2030 and 2040 (Figure 3.</w:t>
      </w:r>
      <w:r w:rsidR="00D553BA">
        <w:rPr>
          <w:lang w:val="en-US"/>
        </w:rPr>
        <w:t>3</w:t>
      </w:r>
      <w:r w:rsidRPr="00260745">
        <w:rPr>
          <w:lang w:val="en-US"/>
        </w:rPr>
        <w:t>): July will change from being the trough in global NPP over 1980-1990 to become the peak in global NPP from 2030 to 2040 (Figure 3.</w:t>
      </w:r>
      <w:r w:rsidR="00D553BA">
        <w:rPr>
          <w:lang w:val="en-US"/>
        </w:rPr>
        <w:t>3</w:t>
      </w:r>
      <w:r w:rsidRPr="00260745">
        <w:rPr>
          <w:lang w:val="en-US"/>
        </w:rPr>
        <w:t>), and while September to November had high productivity historically, prior to 1990, it will represent a trough in NPP by the mid-century (Figure 3.</w:t>
      </w:r>
      <w:r w:rsidR="00D553BA">
        <w:rPr>
          <w:lang w:val="en-US"/>
        </w:rPr>
        <w:t>3</w:t>
      </w:r>
      <w:r w:rsidRPr="00260745">
        <w:rPr>
          <w:lang w:val="en-US"/>
        </w:rPr>
        <w:t>). On a regional scale, seasonality in NPP will markedly increase (Δ+15.2 ±17.3%) in the Southeast Australian Shelf by the mid-century</w:t>
      </w:r>
      <w:r w:rsidR="00CC2DE9">
        <w:rPr>
          <w:lang w:val="en-US"/>
        </w:rPr>
        <w:t xml:space="preserve"> (Table 3.1)</w:t>
      </w:r>
      <w:r w:rsidRPr="00260745">
        <w:rPr>
          <w:lang w:val="en-US"/>
        </w:rPr>
        <w:t>. The second highest increase in annual variation in NPP will be in the South China Sea, where NPP seasonality will increase by 4.6 ±0.9%. By the late 21</w:t>
      </w:r>
      <w:r w:rsidRPr="00260745">
        <w:rPr>
          <w:vertAlign w:val="superscript"/>
          <w:lang w:val="en-US"/>
        </w:rPr>
        <w:t>st</w:t>
      </w:r>
      <w:r w:rsidRPr="00260745">
        <w:rPr>
          <w:lang w:val="en-US"/>
        </w:rPr>
        <w:t xml:space="preserve"> century, global seasonality in monthly NPP will drop (Δ-1.0 ±1.1%) relative to the historical 1980-1990 period</w:t>
      </w:r>
      <w:r w:rsidR="00597E44">
        <w:rPr>
          <w:lang w:val="en-US"/>
        </w:rPr>
        <w:t xml:space="preserve"> (Table 3.1)</w:t>
      </w:r>
      <w:r w:rsidRPr="00260745">
        <w:rPr>
          <w:lang w:val="en-US"/>
        </w:rPr>
        <w:t>. In 2085-2095, the Southwest Australian Shelf will still show the greatest amount of seasonality in NPP (27.6 ±21.9%), although the strength of seasonality will drop relative to what it was in the historical 1980-1990 period (33.1 ±42.3%).</w:t>
      </w:r>
    </w:p>
    <w:p w14:paraId="0B8235D7" w14:textId="77777777" w:rsidR="00022B60" w:rsidRPr="00260745" w:rsidRDefault="00022B60" w:rsidP="00022B60">
      <w:pPr>
        <w:spacing w:line="480" w:lineRule="auto"/>
        <w:rPr>
          <w:lang w:val="en-US"/>
        </w:rPr>
      </w:pPr>
      <w:r>
        <w:rPr>
          <w:noProof/>
          <w:lang w:val="en-US"/>
        </w:rPr>
        <w:lastRenderedPageBreak/>
        <w:drawing>
          <wp:inline distT="0" distB="0" distL="0" distR="0" wp14:anchorId="59B06D70" wp14:editId="29279E73">
            <wp:extent cx="6700982" cy="4741022"/>
            <wp:effectExtent l="0" t="0" r="508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911317" cy="4889836"/>
                    </a:xfrm>
                    <a:prstGeom prst="rect">
                      <a:avLst/>
                    </a:prstGeom>
                  </pic:spPr>
                </pic:pic>
              </a:graphicData>
            </a:graphic>
          </wp:inline>
        </w:drawing>
      </w:r>
    </w:p>
    <w:p w14:paraId="4DCE96D8" w14:textId="03DDD0B1" w:rsidR="00022B60" w:rsidRDefault="00022B60" w:rsidP="00906EF9">
      <w:pPr>
        <w:rPr>
          <w:b/>
          <w:bCs/>
          <w:sz w:val="20"/>
          <w:szCs w:val="20"/>
          <w:lang w:val="en-US"/>
        </w:rPr>
        <w:sectPr w:rsidR="00022B60" w:rsidSect="00906EF9">
          <w:pgSz w:w="11906" w:h="16838"/>
          <w:pgMar w:top="720" w:right="720" w:bottom="720" w:left="720" w:header="708" w:footer="708" w:gutter="0"/>
          <w:cols w:space="708"/>
          <w:docGrid w:linePitch="360"/>
        </w:sectPr>
      </w:pPr>
      <w:r w:rsidRPr="002661C9">
        <w:rPr>
          <w:b/>
          <w:bCs/>
          <w:sz w:val="20"/>
          <w:szCs w:val="20"/>
          <w:lang w:val="en-US"/>
        </w:rPr>
        <w:t>Figure 3.</w:t>
      </w:r>
      <w:r w:rsidR="00DE106C">
        <w:rPr>
          <w:b/>
          <w:bCs/>
          <w:sz w:val="20"/>
          <w:szCs w:val="20"/>
          <w:lang w:val="en-US"/>
        </w:rPr>
        <w:t>5</w:t>
      </w:r>
      <w:r w:rsidRPr="002661C9">
        <w:rPr>
          <w:b/>
          <w:bCs/>
          <w:sz w:val="20"/>
          <w:szCs w:val="20"/>
          <w:lang w:val="en-US"/>
        </w:rPr>
        <w:t xml:space="preserve">: Global change in </w:t>
      </w:r>
      <w:r>
        <w:rPr>
          <w:b/>
          <w:bCs/>
          <w:sz w:val="20"/>
          <w:szCs w:val="20"/>
          <w:lang w:val="en-US"/>
        </w:rPr>
        <w:t xml:space="preserve">annual </w:t>
      </w:r>
      <w:r w:rsidRPr="002661C9">
        <w:rPr>
          <w:b/>
          <w:bCs/>
          <w:sz w:val="20"/>
          <w:szCs w:val="20"/>
          <w:lang w:val="en-US"/>
        </w:rPr>
        <w:t xml:space="preserve">Net Primary Productivity (NPP) </w:t>
      </w:r>
      <w:r>
        <w:rPr>
          <w:b/>
          <w:bCs/>
          <w:sz w:val="20"/>
          <w:szCs w:val="20"/>
          <w:lang w:val="en-US"/>
        </w:rPr>
        <w:t xml:space="preserve">rates </w:t>
      </w:r>
      <w:r w:rsidRPr="002661C9">
        <w:rPr>
          <w:b/>
          <w:bCs/>
          <w:sz w:val="20"/>
          <w:szCs w:val="20"/>
          <w:lang w:val="en-US"/>
        </w:rPr>
        <w:t>under the low emissions (SSP245) scenario</w:t>
      </w:r>
      <w:r>
        <w:rPr>
          <w:b/>
          <w:bCs/>
          <w:sz w:val="20"/>
          <w:szCs w:val="20"/>
          <w:lang w:val="en-US"/>
        </w:rPr>
        <w:t xml:space="preserve"> by a) mid-century (2030 to 2040) and b) late century (2085 to 2095).</w:t>
      </w:r>
    </w:p>
    <w:p w14:paraId="53DE599F" w14:textId="0BB8256D" w:rsidR="00CF7991" w:rsidRPr="001E65D6" w:rsidRDefault="00CF7991" w:rsidP="00CF7991">
      <w:pPr>
        <w:pStyle w:val="Heading2"/>
        <w:rPr>
          <w:rFonts w:cstheme="minorHAnsi"/>
          <w:b/>
          <w:bCs/>
          <w:lang w:val="en-US"/>
        </w:rPr>
      </w:pPr>
      <w:bookmarkStart w:id="36" w:name="_Toc120622125"/>
      <w:r w:rsidRPr="001E65D6">
        <w:rPr>
          <w:rFonts w:asciiTheme="minorHAnsi" w:hAnsiTheme="minorHAnsi" w:cstheme="minorHAnsi"/>
          <w:b/>
          <w:bCs/>
          <w:color w:val="auto"/>
          <w:lang w:val="en-US"/>
        </w:rPr>
        <w:lastRenderedPageBreak/>
        <w:t>3.5</w:t>
      </w:r>
      <w:r w:rsidRPr="001E65D6">
        <w:rPr>
          <w:rFonts w:asciiTheme="minorHAnsi" w:hAnsiTheme="minorHAnsi" w:cstheme="minorHAnsi"/>
          <w:b/>
          <w:bCs/>
          <w:color w:val="auto"/>
          <w:lang w:val="en-US"/>
        </w:rPr>
        <w:tab/>
        <w:t>Discussion</w:t>
      </w:r>
      <w:bookmarkEnd w:id="36"/>
    </w:p>
    <w:p w14:paraId="142106E0" w14:textId="77777777" w:rsidR="00CF7991" w:rsidRPr="00260745" w:rsidRDefault="00CF7991" w:rsidP="00CF7991">
      <w:pPr>
        <w:spacing w:line="480" w:lineRule="auto"/>
        <w:rPr>
          <w:lang w:val="en-US"/>
        </w:rPr>
      </w:pPr>
      <w:r w:rsidRPr="00260745">
        <w:rPr>
          <w:lang w:val="en-US"/>
        </w:rPr>
        <w:t>This study is the first to incorporate seasonal forecasting of global mangrove Net Primary Productivity (NPP) into the 21</w:t>
      </w:r>
      <w:r w:rsidRPr="00260745">
        <w:rPr>
          <w:vertAlign w:val="superscript"/>
          <w:lang w:val="en-US"/>
        </w:rPr>
        <w:t>st</w:t>
      </w:r>
      <w:r w:rsidRPr="00260745">
        <w:rPr>
          <w:lang w:val="en-US"/>
        </w:rPr>
        <w:t xml:space="preserve"> century under different levels of climate change. We leveraged spatial and temporal components of previously published data to predict global mangrove NPP on a monthly scale, rather than estimating global NPP at one point in time. The approach of high temporal resolution to forecasting allowed us to estimate global monthly mangrove NPP over a 115-year study period and to detect long changes to seasonality on a regional and a global scale. </w:t>
      </w:r>
    </w:p>
    <w:p w14:paraId="5211783F" w14:textId="77777777" w:rsidR="00CF7991" w:rsidRPr="00260745" w:rsidRDefault="00CF7991" w:rsidP="00CF7991">
      <w:pPr>
        <w:spacing w:line="480" w:lineRule="auto"/>
        <w:rPr>
          <w:lang w:val="en-US"/>
        </w:rPr>
      </w:pPr>
    </w:p>
    <w:p w14:paraId="033EDD8F" w14:textId="2753DF69" w:rsidR="00CF7991" w:rsidRPr="00260745" w:rsidRDefault="00CF7991" w:rsidP="00CF7991">
      <w:pPr>
        <w:spacing w:line="480" w:lineRule="auto"/>
        <w:rPr>
          <w:lang w:val="en-US"/>
        </w:rPr>
      </w:pPr>
      <w:r w:rsidRPr="00260745">
        <w:rPr>
          <w:lang w:val="en-US"/>
        </w:rPr>
        <w:t>Our projections showed little difference in global mangrove NPP between climate change scenarios (SSP126, SSP25, SSP370 and SSP585) and little change in overall global NPP throughout the 21</w:t>
      </w:r>
      <w:r w:rsidRPr="00260745">
        <w:rPr>
          <w:vertAlign w:val="superscript"/>
          <w:lang w:val="en-US"/>
        </w:rPr>
        <w:t>st</w:t>
      </w:r>
      <w:r w:rsidRPr="00260745">
        <w:rPr>
          <w:lang w:val="en-US"/>
        </w:rPr>
        <w:t xml:space="preserve"> century (Figure 3.</w:t>
      </w:r>
      <w:r w:rsidR="00D553BA">
        <w:rPr>
          <w:lang w:val="en-US"/>
        </w:rPr>
        <w:t>4</w:t>
      </w:r>
      <w:r w:rsidRPr="00260745">
        <w:rPr>
          <w:lang w:val="en-US"/>
        </w:rPr>
        <w:t xml:space="preserve">). Using only the </w:t>
      </w:r>
      <w:r w:rsidR="001E6980">
        <w:rPr>
          <w:lang w:val="en-US"/>
        </w:rPr>
        <w:t xml:space="preserve">SSP 245 emissions </w:t>
      </w:r>
      <w:r w:rsidRPr="00260745">
        <w:rPr>
          <w:lang w:val="en-US"/>
        </w:rPr>
        <w:t>scenario, global productivity showed little change by the end of the 21</w:t>
      </w:r>
      <w:r w:rsidRPr="00260745">
        <w:rPr>
          <w:vertAlign w:val="superscript"/>
          <w:lang w:val="en-US"/>
        </w:rPr>
        <w:t>st</w:t>
      </w:r>
      <w:r w:rsidRPr="00260745">
        <w:rPr>
          <w:lang w:val="en-US"/>
        </w:rPr>
        <w:t xml:space="preserve"> century, dropping &lt;1.5% compared to historical rates. Despite little overall change in global NPP, significant regional changes were detected. Six mangrove provinces were forecast to experience &gt;20% gains in NPP relative to the historical 1980-1990 period. All these provinces are located in the sub tropics (the Southwest Australian Shelf, Warm Temperate Northeast Pacific, Warm Temperate Northwest Pacific, Warm Temperate Southwestern Atlantic, Warm Temperate Northwest Atlantic and the Somali/Arabian province, which straddles over the sub-tropics and tropics). These findings are consistent with previous work that forecasted mangrove expansion throughout the subtropics in the 21</w:t>
      </w:r>
      <w:r w:rsidRPr="00260745">
        <w:rPr>
          <w:vertAlign w:val="superscript"/>
          <w:lang w:val="en-US"/>
        </w:rPr>
        <w:t>st</w:t>
      </w:r>
      <w:r w:rsidRPr="00260745">
        <w:rPr>
          <w:lang w:val="en-US"/>
        </w:rPr>
        <w:t xml:space="preserve"> century </w:t>
      </w:r>
      <w:r w:rsidRPr="00260745">
        <w:rPr>
          <w:lang w:val="en-US"/>
        </w:rPr>
        <w:fldChar w:fldCharType="begin" w:fldLock="1"/>
      </w:r>
      <w:r w:rsidR="008A48C6" w:rsidRPr="00260745">
        <w:rPr>
          <w:lang w:val="en-US"/>
        </w:rPr>
        <w:instrText>ADDIN CSL_CITATION {"citationItems":[{"id":"ITEM-1","itemData":{"DOI":"10.1002/ecm.1248","ISSN":"15577015","abstract":"Mangrove forests are highly productive tidal saline wetland ecosystems found along sheltered tropical and subtropical coasts. Ecologists have long assumed that climatic drivers (i.e., temperature and rainfall regimes) govern the global distribution, structure, and function of mangrove forests. However, data constraints have hindered the quantification of direct climate–mangrove linkages in many parts of the world. Recently, the quality and availability of global-scale climate and mangrove data have been improving. Here, we used these data to better understand the influence of air temperature and rainfall regimes upon the distribution, abundance, and species richness of mangrove forests. Although our analyses identify global-scale relationships and thresholds, we show that the influence of climatic drivers is best characterized via regional range-limit-specific analyses. We quantified climatic controls across targeted gradients in temperature and/or rainfall within 14 mangrove distributional range limits. Climatic thresholds for mangrove presence, abundance, and species richness differed among the 14 studied range limits. We identified minimum temperature-based thresholds for range limits in eastern North America, eastern Australia, New Zealand, eastern Asia, eastern South America, and southeast Africa. We identified rainfall-based thresholds for range limits in western North America, western Gulf of Mexico, western South America, western Australia, Middle East, northwest Africa, east central Africa, and west-central Africa. Our results show that in certain range limits (e.g., eastern North America, western Gulf of Mexico, eastern Asia), winter air temperature extremes play an especially important role. We conclude that rainfall and temperature regimes are both important in western North America, western Gulf of Mexico, and western Australia. With climate change, alterations in temperature and rainfall regimes will affect the global distribution, abundance, and diversity of mangrove forests. In general, warmer winter temperatures are expected to allow mangroves to expand poleward at the expense of salt marshes. However, dispersal and habitat availability constraints may hinder expansion near certain range limits. Along arid and semiarid coasts, decreases or increases in rainfall are expected to lead to mangrove contraction or expansion, respectively. Collectively, our analyses quantify climate–mangrove linkages and improve our understanding of the expect…","author":[{"dropping-particle":"","family":"Osland","given":"Michael J.","non-dropping-particle":"","parse-names":false,"suffix":""},{"dropping-particle":"","family":"Feher","given":"Laura C.","non-dropping-particle":"","parse-names":false,"suffix":""},{"dropping-particle":"","family":"Griffith","given":"Kereen T.","non-dropping-particle":"","parse-names":false,"suffix":""},{"dropping-particle":"","family":"Cavanaugh","given":"Kyle C.","non-dropping-particle":"","parse-names":false,"suffix":""},{"dropping-particle":"","family":"Enwright","given":"Nicholas M.","non-dropping-particle":"","parse-names":false,"suffix":""},{"dropping-particle":"","family":"Day","given":"Richard H.","non-dropping-particle":"","parse-names":false,"suffix":""},{"dropping-particle":"","family":"Stagg","given":"Camille L.","non-dropping-particle":"","parse-names":false,"suffix":""},{"dropping-particle":"","family":"Krauss","given":"Ken W.","non-dropping-particle":"","parse-names":false,"suffix":""},{"dropping-particle":"","family":"Howard","given":"Rebecca J.","non-dropping-particle":"","parse-names":false,"suffix":""},{"dropping-particle":"","family":"Grace","given":"James B.","non-dropping-particle":"","parse-names":false,"suffix":""},{"dropping-particle":"","family":"Rogers","given":"Kerrylee","non-dropping-particle":"","parse-names":false,"suffix":""}],"container-title":"Ecological Monographs","id":"ITEM-1","issue":"2","issued":{"date-parts":[["2017"]]},"page":"341-359","title":"Climatic controls on the global distribution, abundance, and species richness of mangrove forests","type":"article-journal","volume":"87"},"uris":["http://www.mendeley.com/documents/?uuid=550b02d8-1b48-4bbc-8d4f-87ef91a23f84"]},{"id":"ITEM-2","itemData":{"DOI":"10.1002/ehs2.1211","ISSN":"23328878","abstract":"Inter-related and spatially variable climate change factors including sea level rise, increased storminess, altered precipitation regime and increasing temperature are impacting mangroves at regional scales. This review highlights extreme regional variation in climate change threats and impacts, and how these factors impact the structure of mangrove communities, their biodiversity and geomorphological setting. All these factors interplay to determine spatially variable resiliency to climate change impacts, and because mangroves are varied in type and geographical location, these systems are good models for understanding such interactions at different scales. Sea level rise is likely to influence mangroves in all regions although local impacts are likely to be more varied. Changes in the frequency and intensity of storminess are likely to have a greater impact on N and Central America, Asia, Australia, and East Africa than West Africa and S. America. This review also highlights the numerous geographical knowledge gaps of climate change impacts, with some regions particularly understudied (e.g., Africa and the Middle East). While there has been a recent drive to address these knowledge gaps especially in South America and Asia, further research is required to allow researchers to tease apart the processes that influence both vulnerability and resilience to climate change. A more globally representative view of mangroves would allow us to better understand the importance of mangrove type and landscape setting in determining system resiliency to future climate change.","author":[{"dropping-particle":"","family":"Ward","given":"Raymond D.","non-dropping-particle":"","parse-names":false,"suffix":""},{"dropping-particle":"","family":"Friess","given":"Daniel A.","non-dropping-particle":"","parse-names":false,"suffix":""},{"dropping-particle":"","family":"Day","given":"Richard H.","non-dropping-particle":"","parse-names":false,"suffix":""},{"dropping-particle":"","family":"Mackenzie","given":"Richard A.","non-dropping-particle":"","parse-names":false,"suffix":""}],"container-title":"Ecosystem Health and Sustainability","id":"ITEM-2","issue":"4","issued":{"date-parts":[["2016"]]},"title":"Impacts of climate change on mangrove ecosystems: a region by region overview","type":"article-journal","volume":"2"},"uris":["http://www.mendeley.com/documents/?uuid=df205f83-cd11-4191-93c3-607c98d809f7"]}],"mendeley":{"formattedCitation":"(Osland et al., 2017; Ward et al., 2016)","plainTextFormattedCitation":"(Osland et al., 2017; Ward et al., 2016)","previouslyFormattedCitation":"(Osland et al., 2017; Ward et al., 2016)"},"properties":{"noteIndex":0},"schema":"https://github.com/citation-style-language/schema/raw/master/csl-citation.json"}</w:instrText>
      </w:r>
      <w:r w:rsidRPr="00260745">
        <w:rPr>
          <w:lang w:val="en-US"/>
        </w:rPr>
        <w:fldChar w:fldCharType="separate"/>
      </w:r>
      <w:r w:rsidR="008A48C6" w:rsidRPr="00260745">
        <w:rPr>
          <w:noProof/>
          <w:lang w:val="en-US"/>
        </w:rPr>
        <w:t>(Osland et al., 2017; Ward et al., 2016)</w:t>
      </w:r>
      <w:r w:rsidRPr="00260745">
        <w:rPr>
          <w:lang w:val="en-US"/>
        </w:rPr>
        <w:fldChar w:fldCharType="end"/>
      </w:r>
      <w:r w:rsidRPr="00260745">
        <w:rPr>
          <w:lang w:val="en-US"/>
        </w:rPr>
        <w:t xml:space="preserve">, likely as a result of elevated winter minimum air temperatures, which have been shown to historically limit poleward mangrove distribution and productivity </w:t>
      </w:r>
      <w:r w:rsidRPr="00260745">
        <w:rPr>
          <w:lang w:val="en-US"/>
        </w:rPr>
        <w:fldChar w:fldCharType="begin" w:fldLock="1"/>
      </w:r>
      <w:r w:rsidR="008A48C6" w:rsidRPr="00260745">
        <w:rPr>
          <w:lang w:val="en-US"/>
        </w:rPr>
        <w:instrText>ADDIN CSL_CITATION {"citationItems":[{"id":"ITEM-1","itemData":{"DOI":"10.1002/ecm.1248","ISSN":"15577015","abstract":"Mangrove forests are highly productive tidal saline wetland ecosystems found along sheltered tropical and subtropical coasts. Ecologists have long assumed that climatic drivers (i.e., temperature and rainfall regimes) govern the global distribution, structure, and function of mangrove forests. However, data constraints have hindered the quantification of direct climate–mangrove linkages in many parts of the world. Recently, the quality and availability of global-scale climate and mangrove data have been improving. Here, we used these data to better understand the influence of air temperature and rainfall regimes upon the distribution, abundance, and species richness of mangrove forests. Although our analyses identify global-scale relationships and thresholds, we show that the influence of climatic drivers is best characterized via regional range-limit-specific analyses. We quantified climatic controls across targeted gradients in temperature and/or rainfall within 14 mangrove distributional range limits. Climatic thresholds for mangrove presence, abundance, and species richness differed among the 14 studied range limits. We identified minimum temperature-based thresholds for range limits in eastern North America, eastern Australia, New Zealand, eastern Asia, eastern South America, and southeast Africa. We identified rainfall-based thresholds for range limits in western North America, western Gulf of Mexico, western South America, western Australia, Middle East, northwest Africa, east central Africa, and west-central Africa. Our results show that in certain range limits (e.g., eastern North America, western Gulf of Mexico, eastern Asia), winter air temperature extremes play an especially important role. We conclude that rainfall and temperature regimes are both important in western North America, western Gulf of Mexico, and western Australia. With climate change, alterations in temperature and rainfall regimes will affect the global distribution, abundance, and diversity of mangrove forests. In general, warmer winter temperatures are expected to allow mangroves to expand poleward at the expense of salt marshes. However, dispersal and habitat availability constraints may hinder expansion near certain range limits. Along arid and semiarid coasts, decreases or increases in rainfall are expected to lead to mangrove contraction or expansion, respectively. Collectively, our analyses quantify climate–mangrove linkages and improve our understanding of the expect…","author":[{"dropping-particle":"","family":"Osland","given":"Michael J.","non-dropping-particle":"","parse-names":false,"suffix":""},{"dropping-particle":"","family":"Feher","given":"Laura C.","non-dropping-particle":"","parse-names":false,"suffix":""},{"dropping-particle":"","family":"Griffith","given":"Kereen T.","non-dropping-particle":"","parse-names":false,"suffix":""},{"dropping-particle":"","family":"Cavanaugh","given":"Kyle C.","non-dropping-particle":"","parse-names":false,"suffix":""},{"dropping-particle":"","family":"Enwright","given":"Nicholas M.","non-dropping-particle":"","parse-names":false,"suffix":""},{"dropping-particle":"","family":"Day","given":"Richard H.","non-dropping-particle":"","parse-names":false,"suffix":""},{"dropping-particle":"","family":"Stagg","given":"Camille L.","non-dropping-particle":"","parse-names":false,"suffix":""},{"dropping-particle":"","family":"Krauss","given":"Ken W.","non-dropping-particle":"","parse-names":false,"suffix":""},{"dropping-particle":"","family":"Howard","given":"Rebecca J.","non-dropping-particle":"","parse-names":false,"suffix":""},{"dropping-particle":"","family":"Grace","given":"James B.","non-dropping-particle":"","parse-names":false,"suffix":""},{"dropping-particle":"","family":"Rogers","given":"Kerrylee","non-dropping-particle":"","parse-names":false,"suffix":""}],"container-title":"Ecological Monographs","id":"ITEM-1","issue":"2","issued":{"date-parts":[["2017"]]},"page":"341-359","title":"Climatic controls on the global distribution, abundance, and species richness of mangrove forests","type":"article-journal","volume":"87"},"uris":["http://www.mendeley.com/documents/?uuid=550b02d8-1b48-4bbc-8d4f-87ef91a23f84"]},{"id":"ITEM-2","itemData":{"DOI":"10.1111/ddi.13119","author":[{"dropping-particle":"","family":"Osland","given":"MJ","non-dropping-particle":"","parse-names":false,"suffix":""},{"dropping-particle":"","family":"Day","given":"RH","non-dropping-particle":"","parse-names":false,"suffix":""},{"dropping-particle":"","family":"Michot","given":"TC","non-dropping-particle":"","parse-names":false,"suffix":""}],"container-title":"Biodiversity Research","id":"ITEM-2","issued":{"date-parts":[["2020"]]},"page":"1366-1382","title":"Frequency of extreme freeze events controls the distribution and structure of black mangroves (Avicennia germinans) near their northern range limit in coastal Louisiana","type":"article-journal","volume":"26"},"uris":["http://www.mendeley.com/documents/?uuid=43b042a7-5e61-4223-b9c1-46210c53a14c"]},{"id":"ITEM-3","itemData":{"DOI":"10.1002/ecs2.2841","ISSN":"21508925","abstract":"Mangroves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-3","issue":"8","issued":{"date-parts":[["2019","8","22"]]},"publisher":"John Wiley &amp; Sons, Ltd","title":"Spatial variability of mangrove primary productivity in the neotropics","type":"article-journal","volume":"10"},"uris":["http://www.mendeley.com/documents/?uuid=e62cba23-c956-306d-a48f-a25ddc004d7f"]}],"mendeley":{"formattedCitation":"(Osland et al., 2020, 2017; Ribeiro et al., 2019)","plainTextFormattedCitation":"(Osland et al., 2020, 2017; Ribeiro et al., 2019)","previouslyFormattedCitation":"(Osland et al., 2020, 2017; Ribeiro et al., 2019)"},"properties":{"noteIndex":0},"schema":"https://github.com/citation-style-language/schema/raw/master/csl-citation.json"}</w:instrText>
      </w:r>
      <w:r w:rsidRPr="00260745">
        <w:rPr>
          <w:lang w:val="en-US"/>
        </w:rPr>
        <w:fldChar w:fldCharType="separate"/>
      </w:r>
      <w:r w:rsidR="008A48C6" w:rsidRPr="00260745">
        <w:rPr>
          <w:noProof/>
          <w:lang w:val="en-US"/>
        </w:rPr>
        <w:t>(Osland et al., 2020, 2017; Ribeiro et al., 2019)</w:t>
      </w:r>
      <w:r w:rsidRPr="00260745">
        <w:rPr>
          <w:lang w:val="en-US"/>
        </w:rPr>
        <w:fldChar w:fldCharType="end"/>
      </w:r>
      <w:r w:rsidRPr="00260745">
        <w:rPr>
          <w:lang w:val="en-US"/>
        </w:rPr>
        <w:t xml:space="preserve">. For example, mangroves in Southern Australia have been expanding </w:t>
      </w:r>
      <w:r w:rsidRPr="00260745">
        <w:rPr>
          <w:lang w:val="en-US"/>
        </w:rPr>
        <w:lastRenderedPageBreak/>
        <w:t xml:space="preserve">since the 1950’s and future increases in air temperature are thought to aid further mangrove expansion in that region </w:t>
      </w:r>
      <w:r w:rsidRPr="00260745">
        <w:rPr>
          <w:lang w:val="en-US"/>
        </w:rPr>
        <w:fldChar w:fldCharType="begin" w:fldLock="1"/>
      </w:r>
      <w:r w:rsidRPr="00260745">
        <w:rPr>
          <w:lang w:val="en-US"/>
        </w:rPr>
        <w:instrText>ADDIN CSL_CITATION {"citationItems":[{"id":"ITEM-1","itemData":{"DOI":"10.1002/ehs2.1211","ISSN":"23328878","abstract":"Inter-related and spatially variable climate change factors including sea level rise, increased storminess, altered precipitation regime and increasing temperature are impacting mangroves at regional scales. This review highlights extreme regional variation in climate change threats and impacts, and how these factors impact the structure of mangrove communities, their biodiversity and geomorphological setting. All these factors interplay to determine spatially variable resiliency to climate change impacts, and because mangroves are varied in type and geographical location, these systems are good models for understanding such interactions at different scales. Sea level rise is likely to influence mangroves in all regions although local impacts are likely to be more varied. Changes in the frequency and intensity of storminess are likely to have a greater impact on N and Central America, Asia, Australia, and East Africa than West Africa and S. America. This review also highlights the numerous geographical knowledge gaps of climate change impacts, with some regions particularly understudied (e.g., Africa and the Middle East). While there has been a recent drive to address these knowledge gaps especially in South America and Asia, further research is required to allow researchers to tease apart the processes that influence both vulnerability and resilience to climate change. A more globally representative view of mangroves would allow us to better understand the importance of mangrove type and landscape setting in determining system resiliency to future climate change.","author":[{"dropping-particle":"","family":"Ward","given":"Raymond D.","non-dropping-particle":"","parse-names":false,"suffix":""},{"dropping-particle":"","family":"Friess","given":"Daniel A.","non-dropping-particle":"","parse-names":false,"suffix":""},{"dropping-particle":"","family":"Day","given":"Richard H.","non-dropping-particle":"","parse-names":false,"suffix":""},{"dropping-particle":"","family":"Mackenzie","given":"Richard A.","non-dropping-particle":"","parse-names":false,"suffix":""}],"container-title":"Ecosystem Health and Sustainability","id":"ITEM-1","issue":"4","issued":{"date-parts":[["2016"]]},"title":"Impacts of climate change on mangrove ecosystems: a region by region overview","type":"article-journal","volume":"2"},"uris":["http://www.mendeley.com/documents/?uuid=df205f83-cd11-4191-93c3-607c98d809f7"]}],"mendeley":{"formattedCitation":"(Ward et al., 2016)","plainTextFormattedCitation":"(Ward et al., 2016)","previouslyFormattedCitation":"(Ward et al., 2016)"},"properties":{"noteIndex":0},"schema":"https://github.com/citation-style-language/schema/raw/master/csl-citation.json"}</w:instrText>
      </w:r>
      <w:r w:rsidRPr="00260745">
        <w:rPr>
          <w:lang w:val="en-US"/>
        </w:rPr>
        <w:fldChar w:fldCharType="separate"/>
      </w:r>
      <w:r w:rsidRPr="00260745">
        <w:rPr>
          <w:noProof/>
          <w:lang w:val="en-US"/>
        </w:rPr>
        <w:t>(Ward et al., 2016)</w:t>
      </w:r>
      <w:r w:rsidRPr="00260745">
        <w:rPr>
          <w:lang w:val="en-US"/>
        </w:rPr>
        <w:fldChar w:fldCharType="end"/>
      </w:r>
      <w:r w:rsidRPr="00260745">
        <w:rPr>
          <w:lang w:val="en-US"/>
        </w:rPr>
        <w:t>. Incidentally, our forecasts showed the Southwest Australian Shelf to have the greatest relative increases in NPP (60.58 ±65.27 %) by the end of the century, relative to historical productivity.</w:t>
      </w:r>
    </w:p>
    <w:p w14:paraId="1DC6742B" w14:textId="77777777" w:rsidR="00CF7991" w:rsidRPr="00260745" w:rsidRDefault="00CF7991" w:rsidP="00CF7991">
      <w:pPr>
        <w:spacing w:line="480" w:lineRule="auto"/>
        <w:rPr>
          <w:lang w:val="en-US"/>
        </w:rPr>
      </w:pPr>
    </w:p>
    <w:p w14:paraId="61635875" w14:textId="77777777" w:rsidR="00CF7991" w:rsidRPr="00260745" w:rsidRDefault="00CF7991" w:rsidP="00CF7991">
      <w:pPr>
        <w:spacing w:line="480" w:lineRule="auto"/>
        <w:rPr>
          <w:lang w:val="en-US"/>
        </w:rPr>
      </w:pPr>
      <w:r w:rsidRPr="00260745">
        <w:rPr>
          <w:lang w:val="en-US"/>
        </w:rPr>
        <w:t xml:space="preserve">Despite marked relative gains in NPP, the increases were small in absolute in terms.  The sum increase in NPP in all subtropical provinces (the Southwest Australian Shelf, Warm Temperate Northeast Pacific, Warm Temperate Northwest Pacific, Warm Temperate Southwestern Atlantic, Warm Temperate Northwest Atlantic and the Somali/Arabian province) was only ~0.6% (1.5 ±1.6 </w:t>
      </w:r>
      <w:proofErr w:type="spellStart"/>
      <w:r w:rsidRPr="00260745">
        <w:rPr>
          <w:lang w:val="en-US"/>
        </w:rPr>
        <w:t>Tg</w:t>
      </w:r>
      <w:proofErr w:type="spellEnd"/>
      <w:r w:rsidRPr="00260745">
        <w:rPr>
          <w:lang w:val="en-US"/>
        </w:rPr>
        <w:t xml:space="preserve"> yr</w:t>
      </w:r>
      <w:r w:rsidRPr="00260745">
        <w:rPr>
          <w:vertAlign w:val="superscript"/>
          <w:lang w:val="en-US"/>
        </w:rPr>
        <w:t>-1</w:t>
      </w:r>
      <w:r w:rsidRPr="00260745">
        <w:rPr>
          <w:lang w:val="en-US"/>
        </w:rPr>
        <w:t xml:space="preserve">) of total global NPP and only 3.2% of productivity in the world’s most productive marine province (the Western Coral Triangle, 46.8 ±10.4 </w:t>
      </w:r>
      <w:proofErr w:type="spellStart"/>
      <w:r w:rsidRPr="00260745">
        <w:rPr>
          <w:lang w:val="en-US"/>
        </w:rPr>
        <w:t>Tg</w:t>
      </w:r>
      <w:proofErr w:type="spellEnd"/>
      <w:r w:rsidRPr="00260745">
        <w:rPr>
          <w:lang w:val="en-US"/>
        </w:rPr>
        <w:t xml:space="preserve"> yr</w:t>
      </w:r>
      <w:r w:rsidRPr="00260745">
        <w:rPr>
          <w:vertAlign w:val="superscript"/>
          <w:lang w:val="en-US"/>
        </w:rPr>
        <w:t>-1</w:t>
      </w:r>
      <w:r w:rsidRPr="00260745">
        <w:rPr>
          <w:lang w:val="en-US"/>
        </w:rPr>
        <w:t xml:space="preserve">). In contrast to relative increases in NPP, relative decreases formed a significant portion of global NPP in absolute terms. The greatest decrease in NPP, relative to historical productivity rates, was 11.45 ±4.14% in the Java Transitional province, which was 4.87 ±5.67% of total global NPP. Apart from this province, five provinces had reductions in NPP &gt;5% (the Southeast Australian Shelf, the Western Coral Triangle, </w:t>
      </w:r>
      <w:proofErr w:type="spellStart"/>
      <w:r w:rsidRPr="00260745">
        <w:rPr>
          <w:lang w:val="en-US"/>
        </w:rPr>
        <w:t>Sunda</w:t>
      </w:r>
      <w:proofErr w:type="spellEnd"/>
      <w:r w:rsidRPr="00260745">
        <w:rPr>
          <w:lang w:val="en-US"/>
        </w:rPr>
        <w:t xml:space="preserve"> Shelf, Northern New Zealand and Southern New Zealand). The sum of top six provinces with the greatest relative decreases in NPP (46.2 ±59.3 </w:t>
      </w:r>
      <w:proofErr w:type="spellStart"/>
      <w:r w:rsidRPr="00260745">
        <w:rPr>
          <w:lang w:val="en-US"/>
        </w:rPr>
        <w:t>Tg</w:t>
      </w:r>
      <w:proofErr w:type="spellEnd"/>
      <w:r w:rsidRPr="00260745">
        <w:rPr>
          <w:lang w:val="en-US"/>
        </w:rPr>
        <w:t xml:space="preserve"> yr</w:t>
      </w:r>
      <w:r w:rsidRPr="00260745">
        <w:rPr>
          <w:vertAlign w:val="superscript"/>
          <w:lang w:val="en-US"/>
        </w:rPr>
        <w:t>-1</w:t>
      </w:r>
      <w:r w:rsidRPr="00260745">
        <w:rPr>
          <w:lang w:val="en-US"/>
        </w:rPr>
        <w:t>) was approximately one-fifth (19%) of total global NPP.</w:t>
      </w:r>
    </w:p>
    <w:p w14:paraId="3B45723F" w14:textId="77777777" w:rsidR="00CF7991" w:rsidRPr="00260745" w:rsidRDefault="00CF7991" w:rsidP="00CF7991">
      <w:pPr>
        <w:spacing w:line="480" w:lineRule="auto"/>
        <w:rPr>
          <w:lang w:val="en-US"/>
        </w:rPr>
      </w:pPr>
    </w:p>
    <w:p w14:paraId="723CAA62" w14:textId="57AE96BC" w:rsidR="00CF7991" w:rsidRPr="00260745" w:rsidRDefault="00CF7991" w:rsidP="00CF7991">
      <w:pPr>
        <w:spacing w:line="480" w:lineRule="auto"/>
        <w:rPr>
          <w:lang w:val="en-US"/>
        </w:rPr>
      </w:pPr>
      <w:r w:rsidRPr="00260745">
        <w:rPr>
          <w:lang w:val="en-US"/>
        </w:rPr>
        <w:t xml:space="preserve">The greatest rates of NPP were predicted to occur in Southeast Asia (the Western Coral Triangle, the Sahul Shelf and the </w:t>
      </w:r>
      <w:proofErr w:type="spellStart"/>
      <w:r w:rsidRPr="00260745">
        <w:rPr>
          <w:lang w:val="en-US"/>
        </w:rPr>
        <w:t>Sunda</w:t>
      </w:r>
      <w:proofErr w:type="spellEnd"/>
      <w:r w:rsidRPr="00260745">
        <w:rPr>
          <w:lang w:val="en-US"/>
        </w:rPr>
        <w:t xml:space="preserve"> Shelf) and four of the world’s top five most productive provinces straddled Southeast Asia and the Indo-Pacific (the Bay of Bengal, Sahul Shelf, Andaman and </w:t>
      </w:r>
      <w:proofErr w:type="spellStart"/>
      <w:r w:rsidRPr="00260745">
        <w:rPr>
          <w:lang w:val="en-US"/>
        </w:rPr>
        <w:t>Sunda</w:t>
      </w:r>
      <w:proofErr w:type="spellEnd"/>
      <w:r w:rsidRPr="00260745">
        <w:rPr>
          <w:lang w:val="en-US"/>
        </w:rPr>
        <w:t xml:space="preserve"> Shelf). These marine provinces are where the majority of the world’s mangroves and the most carbon dense mangroves occur </w:t>
      </w:r>
      <w:r w:rsidRPr="00260745">
        <w:rPr>
          <w:lang w:val="en-US"/>
        </w:rPr>
        <w:fldChar w:fldCharType="begin" w:fldLock="1"/>
      </w:r>
      <w:r w:rsidR="008A48C6" w:rsidRPr="00260745">
        <w:rPr>
          <w:lang w:val="en-US"/>
        </w:rPr>
        <w:instrText>ADDIN CSL_CITATION {"citationItems":[{"id":"ITEM-1","itemData":{"author":[{"dropping-particle":"","family":"Hamilton","given":"Stuart","non-dropping-particle":"","parse-names":false,"suffix":""},{"dropping-particle":"","family":"Casey","given":"Daniel","non-dropping-particle":"","parse-names":false,"suffix":""}],"container-title":"Global Ecology and Biogeography","id":"ITEM-1","issue":"6","issued":{"date-parts":[["2016"]]},"page":"729-738","title":"Creation of a high spatiotemporal resolution global database of continuous mangrove forest cover","type":"article-journal","volume":"25"},"uris":["http://www.mendeley.com/documents/?uuid=893008db-4f62-4c3e-95b0-18b063df5b92"]},{"id":"ITEM-2","itemData":{"DOI":"10.3389/fmars.2022.781876","author":[{"dropping-particle":"","family":"Chatting","given":"M","non-dropping-particle":"","parse-names":false,"suffix":""},{"dropping-particle":"","family":"Al-Maslamani","given":"I","non-dropping-particle":"","parse-names":false,"suffix":""},{"dropping-particle":"","family":"Walton","given":"M","non-dropping-particle":"","parse-names":false,"suffix":""},{"dropping-particle":"","family":"Skov","given":"MW","non-dropping-particle":"","parse-names":false,"suffix":""},{"dropping-particle":"","family":"Kennedy","given":"H","non-dropping-particle":"","parse-names":false,"suffix":""},{"dropping-particle":"","family":"Husrevoglu","given":"YS","non-dropping-particle":"","parse-names":false,"suffix":""},{"dropping-particle":"","family":"LeVay","given":"L","non-dropping-particle":"","parse-names":false,"suffix":""}],"container-title":"Frontiers in Marine Science","id":"ITEM-2","issued":{"date-parts":[["2022"]]},"page":"781876","title":"Future mangrove carbon storage under climate change and deforestation","type":"article-journal","volume":"9"},"uris":["http://www.mendeley.com/documents/?uuid=67e76fff-b01e-443c-8c5e-f31ef407f598"]},{"id":"ITEM-3","itemData":{"DOI":"10.1038/nclimate2734","ISBN":"1758-678X","ISSN":"1758-678X","abstract":"Mangroves provide a wide range of ecosystem services, including nutrient cycling, soil formation, wood production, fish spawning grounds, ecotourism and carbon (C) storage 1 . High rates of tree and plant growth, coupled with anaerobic, water-logged soils that slow decomposition, result in large long-term C storage. Given their global significance as large sinks of C, preventing mangrove loss would be an eeective climate change adaptation and mitigation strategy. It has been reported that C stocks in the Indo-Pacific region contain on average 1,023 MgC ha −1 (ref. 2). Here, we estimate that In-donesian mangrove C stocks are 1,083 ± 378 MgC ha −1 . Scaled up to the country-level mangrove extent of 2.9 Mha (ref. 3), Indonesia's mangroves contained on average 3.14 PgC. In three decades Indonesia has lost 40% of its mangroves 4 , mainly as a result of aquaculture development 5 . This has resulted in annual emissions of 0.07–0.21 Pg CO 2 e. Annual mangrove deforesta-tion in Indonesia is only 6% of its total forest loss 6 ; however, if this were halted, total emissions would be reduced by an amount equal to 10–31% of estimated annual emissions from land-use sectors at present. Conservation of carbon-rich man-groves in the Indonesian archipelago should be a high-priority component of strategies to mitigate climate change. Globally, deforestation and conversion of mangroves has been shown to contribute 0.08–0.48 Pg CO 2 e yr −1 , or 10% of the total global emissions from tropical deforestation, even though man-groves account for only about 0.7% of the world's tropical forest area 2 . C losses from mangrove conversion can be high not only because of losses from aboveground C pools but also belowground pools. Potential C losses from mangroves converted to shrimp ponds in the Dominican Republic were 661–1,135 MgC ha −1 (ref. 7). In 1980, there were 4.2 Mha of mangrove forests along Indonesia's 95,000 km of coastline 3 . Over just 20 years mangrove forest cover had declined about 26%, to an estimated 3.1 Mha (ref. 8). In 2005, mangrove forest cover had further decreased to 2.9 Mha (ref. 3). On the basis of FAO data, cumulatively Indonesia has lost 30% of its mangrove forests between 1980 and 2005; this is equivalent to an annual deforestation rate of 1.24%. Recent estimates of Indonesia's mangrove cover suggest a total loss of 40% in the past three decades 4 . Aquaculture development was the main cause 5 , after it expanded rapidly in 1997–2005 and resulted in an o…","author":[{"dropping-particle":"","family":"Murdiyarso","given":"Daniel","non-dropping-particle":"","parse-names":false,"suffix":""},{"dropping-particle":"","family":"Purbopuspito","given":"Joko","non-dropping-particle":"","parse-names":false,"suffix":""},{"dropping-particle":"","family":"Kauffman","given":"J. Boone","non-dropping-particle":"","parse-names":false,"suffix":""},{"dropping-particle":"","family":"Warren","given":"Matthew W.","non-dropping-particle":"","parse-names":false,"suffix":""},{"dropping-particle":"","family":"Sasmito","given":"Sigit D.","non-dropping-particle":"","parse-names":false,"suffix":""},{"dropping-particle":"","family":"Donato","given":"Daniel C.","non-dropping-particle":"","parse-names":false,"suffix":""},{"dropping-particle":"","family":"Manuri","given":"Solichin","non-dropping-particle":"","parse-names":false,"suffix":""},{"dropping-particle":"","family":"Krisnawati","given":"Haruni","non-dropping-particle":"","parse-names":false,"suffix":""},{"dropping-particle":"","family":"Taberima","given":"Sartji","non-dropping-particle":"","parse-names":false,"suffix":""},{"dropping-particle":"","family":"Kurnianto","given":"Sofyan","non-dropping-particle":"","parse-names":false,"suffix":""}],"container-title":"Nature Climate Change","id":"ITEM-3","issue":"12","issued":{"date-parts":[["2015","7","27"]]},"page":"1089-1092","publisher":"Nature Research","title":"The potential of Indonesian mangrove forests for global climate change mitigation","type":"article-journal","volume":"5"},"uris":["http://www.mendeley.com/documents/?uuid=417e17a9-a027-38cc-a856-d90c8fb50285"]}],"mendeley":{"formattedCitation":"(Chatting et al., 2022; Hamilton and Casey, 2016; Murdiyarso et al., 2015)","plainTextFormattedCitation":"(Chatting et al., 2022; Hamilton and Casey, 2016; Murdiyarso et al., 2015)","previouslyFormattedCitation":"(Chatting et al., 2022; Hamilton and Casey, 2016; Murdiyarso et al., 2015)"},"properties":{"noteIndex":0},"schema":"https://github.com/citation-style-language/schema/raw/master/csl-citation.json"}</w:instrText>
      </w:r>
      <w:r w:rsidRPr="00260745">
        <w:rPr>
          <w:lang w:val="en-US"/>
        </w:rPr>
        <w:fldChar w:fldCharType="separate"/>
      </w:r>
      <w:r w:rsidR="008A48C6" w:rsidRPr="00260745">
        <w:rPr>
          <w:noProof/>
          <w:lang w:val="en-US"/>
        </w:rPr>
        <w:t xml:space="preserve">(Chatting et al., 2022; </w:t>
      </w:r>
      <w:r w:rsidR="008A48C6" w:rsidRPr="00260745">
        <w:rPr>
          <w:noProof/>
          <w:lang w:val="en-US"/>
        </w:rPr>
        <w:lastRenderedPageBreak/>
        <w:t>Hamilton and Casey, 2016; Murdiyarso et al., 2015)</w:t>
      </w:r>
      <w:r w:rsidRPr="00260745">
        <w:rPr>
          <w:lang w:val="en-US"/>
        </w:rPr>
        <w:fldChar w:fldCharType="end"/>
      </w:r>
      <w:r w:rsidRPr="00260745">
        <w:rPr>
          <w:lang w:val="en-US"/>
        </w:rPr>
        <w:t xml:space="preserve">. Indonesia alone has been reported to have &gt;25% of the world’s mangrove cover and 24.3 ±0.6% of the world’s total mangrove organic carbon stock </w:t>
      </w:r>
      <w:r w:rsidRPr="00260745">
        <w:rPr>
          <w:lang w:val="en-US"/>
        </w:rPr>
        <w:fldChar w:fldCharType="begin" w:fldLock="1"/>
      </w:r>
      <w:r w:rsidR="008A48C6" w:rsidRPr="00260745">
        <w:rPr>
          <w:lang w:val="en-US"/>
        </w:rPr>
        <w:instrText>ADDIN CSL_CITATION {"citationItems":[{"id":"ITEM-1","itemData":{"DOI":"10.3389/fmars.2022.781876","author":[{"dropping-particle":"","family":"Chatting","given":"M","non-dropping-particle":"","parse-names":false,"suffix":""},{"dropping-particle":"","family":"Al-Maslamani","given":"I","non-dropping-particle":"","parse-names":false,"suffix":""},{"dropping-particle":"","family":"Walton","given":"M","non-dropping-particle":"","parse-names":false,"suffix":""},{"dropping-particle":"","family":"Skov","given":"MW","non-dropping-particle":"","parse-names":false,"suffix":""},{"dropping-particle":"","family":"Kennedy","given":"H","non-dropping-particle":"","parse-names":false,"suffix":""},{"dropping-particle":"","family":"Husrevoglu","given":"YS","non-dropping-particle":"","parse-names":false,"suffix":""},{"dropping-particle":"","family":"LeVay","given":"L","non-dropping-particle":"","parse-names":false,"suffix":""}],"container-title":"Frontiers in Marine Science","id":"ITEM-1","issued":{"date-parts":[["2022"]]},"page":"781876","title":"Future mangrove carbon storage under climate change and deforestation","type":"article-journal","volume":"9"},"uris":["http://www.mendeley.com/documents/?uuid=67e76fff-b01e-443c-8c5e-f31ef407f598"]},{"id":"ITEM-2","itemData":{"author":[{"dropping-particle":"","family":"Hamilton","given":"Stuart","non-dropping-particle":"","parse-names":false,"suffix":""},{"dropping-particle":"","family":"Casey","given":"Daniel","non-dropping-particle":"","parse-names":false,"suffix":""}],"container-title":"Global Ecology and Biogeography","id":"ITEM-2","issue":"6","issued":{"date-parts":[["2016"]]},"page":"729-738","title":"Creation of a high spatiotemporal resolution global database of continuous mangrove forest cover","type":"article-journal","volume":"25"},"uris":["http://www.mendeley.com/documents/?uuid=893008db-4f62-4c3e-95b0-18b063df5b92"]}],"mendeley":{"formattedCitation":"(Chatting et al., 2022; Hamilton and Casey, 2016)","plainTextFormattedCitation":"(Chatting et al., 2022; Hamilton and Casey, 2016)","previouslyFormattedCitation":"(Chatting et al., 2022; Hamilton and Casey, 2016)"},"properties":{"noteIndex":0},"schema":"https://github.com/citation-style-language/schema/raw/master/csl-citation.json"}</w:instrText>
      </w:r>
      <w:r w:rsidRPr="00260745">
        <w:rPr>
          <w:lang w:val="en-US"/>
        </w:rPr>
        <w:fldChar w:fldCharType="separate"/>
      </w:r>
      <w:r w:rsidR="008A48C6" w:rsidRPr="00260745">
        <w:rPr>
          <w:noProof/>
          <w:lang w:val="en-US"/>
        </w:rPr>
        <w:t>(Chatting et al., 2022; Hamilton and Casey, 2016)</w:t>
      </w:r>
      <w:r w:rsidRPr="00260745">
        <w:rPr>
          <w:lang w:val="en-US"/>
        </w:rPr>
        <w:fldChar w:fldCharType="end"/>
      </w:r>
      <w:r w:rsidRPr="00260745">
        <w:rPr>
          <w:lang w:val="en-US"/>
        </w:rPr>
        <w:t xml:space="preserve">. Countries that straddle the most productive marine province (Indonesia, the Philippines, Malaysia, Myanmar and Papua New Guinea) have a combined 41.7 ±1.3% of the world’s mangrove total organic carbon stocks </w:t>
      </w:r>
      <w:r w:rsidRPr="00260745">
        <w:rPr>
          <w:lang w:val="en-US"/>
        </w:rPr>
        <w:fldChar w:fldCharType="begin" w:fldLock="1"/>
      </w:r>
      <w:r w:rsidRPr="00260745">
        <w:rPr>
          <w:lang w:val="en-US"/>
        </w:rPr>
        <w:instrText>ADDIN CSL_CITATION {"citationItems":[{"id":"ITEM-1","itemData":{"DOI":"10.3389/fmars.2022.781876","author":[{"dropping-particle":"","family":"Chatting","given":"M","non-dropping-particle":"","parse-names":false,"suffix":""},{"dropping-particle":"","family":"Al-Maslamani","given":"I","non-dropping-particle":"","parse-names":false,"suffix":""},{"dropping-particle":"","family":"Walton","given":"M","non-dropping-particle":"","parse-names":false,"suffix":""},{"dropping-particle":"","family":"Skov","given":"MW","non-dropping-particle":"","parse-names":false,"suffix":""},{"dropping-particle":"","family":"Kennedy","given":"H","non-dropping-particle":"","parse-names":false,"suffix":""},{"dropping-particle":"","family":"Husrevoglu","given":"YS","non-dropping-particle":"","parse-names":false,"suffix":""},{"dropping-particle":"","family":"LeVay","given":"L","non-dropping-particle":"","parse-names":false,"suffix":""}],"container-title":"Frontiers in Marine Science","id":"ITEM-1","issued":{"date-parts":[["2022"]]},"page":"781876","title":"Future mangrove carbon storage under climate change and deforestation","type":"article-journal","volume":"9"},"uris":["http://www.mendeley.com/documents/?uuid=67e76fff-b01e-443c-8c5e-f31ef407f598"]}],"mendeley":{"formattedCitation":"(Chatting et al., 2022)","plainTextFormattedCitation":"(Chatting et al., 2022)","previouslyFormattedCitation":"(Chatting et al., 2022)"},"properties":{"noteIndex":0},"schema":"https://github.com/citation-style-language/schema/raw/master/csl-citation.json"}</w:instrText>
      </w:r>
      <w:r w:rsidRPr="00260745">
        <w:rPr>
          <w:lang w:val="en-US"/>
        </w:rPr>
        <w:fldChar w:fldCharType="separate"/>
      </w:r>
      <w:r w:rsidRPr="00260745">
        <w:rPr>
          <w:noProof/>
          <w:lang w:val="en-US"/>
        </w:rPr>
        <w:t>(Chatting et al., 2022)</w:t>
      </w:r>
      <w:r w:rsidRPr="00260745">
        <w:rPr>
          <w:lang w:val="en-US"/>
        </w:rPr>
        <w:fldChar w:fldCharType="end"/>
      </w:r>
      <w:r w:rsidRPr="00260745">
        <w:rPr>
          <w:lang w:val="en-US"/>
        </w:rPr>
        <w:t xml:space="preserve">, which is comparable to the &gt;40% of the world’s NPP found in the current study. Much of the above and below ground production that occurs in mangroves contributes to in situ ecosystem carbon storage </w:t>
      </w:r>
      <w:r w:rsidRPr="00260745">
        <w:rPr>
          <w:lang w:val="en-US"/>
        </w:rPr>
        <w:fldChar w:fldCharType="begin" w:fldLock="1"/>
      </w:r>
      <w:r w:rsidRPr="00260745">
        <w:rPr>
          <w:lang w:val="en-US"/>
        </w:rPr>
        <w:instrText>ADDIN CSL_CITATION {"citationItems":[{"id":"ITEM-1","itemData":{"DOI":"10.1029/2007GB003052","ISBN":"0886-6236","ISSN":"08866236","PMID":"208059789","abstract":"Mangrove forests are highly productive but globally threatened coastal ecosystems, whose role in the carbon budget of the coastal zone has long been debated. Here we provide a comprehensive synthesis of the available data on carbon fluxes in mangrove ecosystems. A reassessment of global mangrove primary production from the literature results in a conservative estimate of similar to 218 +/- 72 Tg C a(-1). When using the best available estimates of various carbon sinks (organic carbon export, sediment burial, and mineralization), it appears that &gt; 50% of the carbon fixed by mangrove vegetation is unaccounted for. This unaccounted carbon sink is conservatively estimated at similar to 112 +/- 85 Tg C a(-1), equivalent in magnitude to similar to 30-40% of the global riverine organic carbon input to the coastal zone. Our analysis suggests that mineralization is severely underestimated, and that the majority of carbon export from mangroves to adjacent waters occurs as dissolved inorganic carbon (DIC). CO(2) efflux from sediments and creek waters and tidal export of DIC appear to be the major sinks. These processes are quantitatively comparable in magnitude to the unaccounted carbon sink in current budgets, but are not yet adequately constrained with the limited published data available so far.","author":[{"dropping-particle":"","family":"Bouillon","given":"Steven","non-dropping-particle":"","parse-names":false,"suffix":""},{"dropping-particle":"V.","family":"Borges","given":"Alberto","non-dropping-particle":"","parse-names":false,"suffix":""},{"dropping-particle":"","family":"Castañeda-Moya","given":"Edward","non-dropping-particle":"","parse-names":false,"suffix":""},{"dropping-particle":"","family":"Diele","given":"Karen","non-dropping-particle":"","parse-names":false,"suffix":""},{"dropping-particle":"","family":"Dittmar","given":"Thorsten","non-dropping-particle":"","parse-names":false,"suffix":""},{"dropping-particle":"","family":"Duke","given":"Norman C.","non-dropping-particle":"","parse-names":false,"suffix":""},{"dropping-particle":"","family":"Kristensen","given":"Erik","non-dropping-particle":"","parse-names":false,"suffix":""},{"dropping-particle":"","family":"Lee","given":"Shing Y.","non-dropping-particle":"","parse-names":false,"suffix":""},{"dropping-particle":"","family":"Marchand","given":"Cyril","non-dropping-particle":"","parse-names":false,"suffix":""},{"dropping-particle":"","family":"Middelburg","given":"Jack J.","non-dropping-particle":"","parse-names":false,"suffix":""},{"dropping-particle":"","family":"Rivera-Monroy","given":"Victor H.","non-dropping-particle":"","parse-names":false,"suffix":""},{"dropping-particle":"","family":"Smith","given":"Thomas J.","non-dropping-particle":"","parse-names":false,"suffix":""},{"dropping-particle":"","family":"Twilley","given":"Robert R.","non-dropping-particle":"","parse-names":false,"suffix":""}],"container-title":"Global Biogeochemical Cycles","id":"ITEM-1","issue":"2","issued":{"date-parts":[["2008","6","9"]]},"title":"Mangrove production and carbon sinks: A revision of global budget estimates","type":"article-journal","volume":"22"},"uris":["http://www.mendeley.com/documents/?uuid=4c6861df-7364-4b1c-b518-f90c03ee1c54"]}],"mendeley":{"formattedCitation":"(Bouillon et al., 2008)","plainTextFormattedCitation":"(Bouillon et al., 2008)","previouslyFormattedCitation":"(Bouillon et al., 2008)"},"properties":{"noteIndex":0},"schema":"https://github.com/citation-style-language/schema/raw/master/csl-citation.json"}</w:instrText>
      </w:r>
      <w:r w:rsidRPr="00260745">
        <w:rPr>
          <w:lang w:val="en-US"/>
        </w:rPr>
        <w:fldChar w:fldCharType="separate"/>
      </w:r>
      <w:r w:rsidRPr="00260745">
        <w:rPr>
          <w:noProof/>
          <w:lang w:val="en-US"/>
        </w:rPr>
        <w:t>(Bouillon et al., 2008)</w:t>
      </w:r>
      <w:r w:rsidRPr="00260745">
        <w:rPr>
          <w:lang w:val="en-US"/>
        </w:rPr>
        <w:fldChar w:fldCharType="end"/>
      </w:r>
      <w:r w:rsidRPr="00260745">
        <w:rPr>
          <w:lang w:val="en-US"/>
        </w:rPr>
        <w:t xml:space="preserve">. Litter fall is a key component of total mangrove production and an important contributor to soil carbon stocks </w:t>
      </w:r>
      <w:r w:rsidRPr="00260745">
        <w:rPr>
          <w:lang w:val="en-US"/>
        </w:rPr>
        <w:fldChar w:fldCharType="begin" w:fldLock="1"/>
      </w:r>
      <w:r w:rsidRPr="00260745">
        <w:rPr>
          <w:lang w:val="en-US"/>
        </w:rPr>
        <w:instrText>ADDIN CSL_CITATION {"citationItems":[{"id":"ITEM-1","itemData":{"DOI":"10.1016/j.ecss.2021.107361","author":[{"dropping-particle":"","family":"Santos","given":"IR","non-dropping-particle":"","parse-names":false,"suffix":""},{"dropping-particle":"","family":"Buridge","given":"DJ","non-dropping-particle":"","parse-names":false,"suffix":""},{"dropping-particle":"","family":"Jennerjahn","given":"TC","non-dropping-particle":"","parse-names":false,"suffix":""},{"dropping-particle":"","family":"Bouillon","given":"S","non-dropping-particle":"","parse-names":false,"suffix":""},{"dropping-particle":"","family":"Cabral","given":"A","non-dropping-particle":"","parse-names":false,"suffix":""},{"dropping-particle":"","family":"Serrano","given":"O","non-dropping-particle":"","parse-names":false,"suffix":""},{"dropping-particle":"","family":"Wernberg","given":"T","non-dropping-particle":"","parse-names":false,"suffix":""},{"dropping-particle":"","family":"Filbee-Dexter","given":"K","non-dropping-particle":"","parse-names":false,"suffix":""},{"dropping-particle":"","family":"Guimond","given":"JA","non-dropping-particle":"","parse-names":false,"suffix":""},{"dropping-particle":"","family":"Tamborski","given":"JJ","non-dropping-particle":"","parse-names":false,"suffix":""}],"container-title":"Estuarine, Coastal and Shelf Science","id":"ITEM-1","issued":{"date-parts":[["2021"]]},"page":"107361","title":"The renaissance of Odum’s outwelling hypothesis in ’Blue Carbon’ science","type":"article-journal","volume":"255"},"uris":["http://www.mendeley.com/documents/?uuid=48fce29c-93f5-4f5d-82e0-57f86d098b64"]}],"mendeley":{"formattedCitation":"(Santos et al., 2021)","plainTextFormattedCitation":"(Santos et al., 2021)","previouslyFormattedCitation":"(Santos et al., 2021)"},"properties":{"noteIndex":0},"schema":"https://github.com/citation-style-language/schema/raw/master/csl-citation.json"}</w:instrText>
      </w:r>
      <w:r w:rsidRPr="00260745">
        <w:rPr>
          <w:lang w:val="en-US"/>
        </w:rPr>
        <w:fldChar w:fldCharType="separate"/>
      </w:r>
      <w:r w:rsidRPr="00260745">
        <w:rPr>
          <w:noProof/>
          <w:lang w:val="en-US"/>
        </w:rPr>
        <w:t>(Santos et al., 2021)</w:t>
      </w:r>
      <w:r w:rsidRPr="00260745">
        <w:rPr>
          <w:lang w:val="en-US"/>
        </w:rPr>
        <w:fldChar w:fldCharType="end"/>
      </w:r>
      <w:r w:rsidRPr="00260745">
        <w:rPr>
          <w:lang w:val="en-US"/>
        </w:rPr>
        <w:t>. Mangrove soil</w:t>
      </w:r>
      <w:r w:rsidR="00F45DBC">
        <w:rPr>
          <w:lang w:val="en-US"/>
        </w:rPr>
        <w:t xml:space="preserve"> carbon stocks</w:t>
      </w:r>
      <w:r w:rsidRPr="00260745">
        <w:rPr>
          <w:lang w:val="en-US"/>
        </w:rPr>
        <w:t xml:space="preserve"> where litter fall is known to contribute close to half of organic carbon stocks can be almost three times greater than where leaf litter contributes ~5% of soil carbon stocks </w:t>
      </w:r>
      <w:r w:rsidRPr="00260745">
        <w:rPr>
          <w:lang w:val="en-US"/>
        </w:rPr>
        <w:fldChar w:fldCharType="begin" w:fldLock="1"/>
      </w:r>
      <w:r w:rsidRPr="00260745">
        <w:rPr>
          <w:lang w:val="en-US"/>
        </w:rPr>
        <w:instrText>ADDIN CSL_CITATION {"citationItems":[{"id":"ITEM-1","itemData":{"DOI":"10.1016/j.ecss.2018.12.007","ISSN":"02727714","abstract":"Mangrove ecosystems are an important natural carbon sink that accumulate and store large amounts of organic carbon (C org ), in particular in the sediment. However, the magnitude of carbon stocks and the rate of carbon accumulation (CAR) vary geographically due to a large variation of local factors. In order to better understand the blue carbon sink of mangrove ecosystems, we measured organic carbon stocks, sources and accumulation rates in three Indonesian mangrove ecosystems with different environmental settings and conditions; (i) a degraded estuarine mangrove forest in the Segara Anakan Lagoon (SAL), Central Java, (ii) an undegraded estuarine mangrove forest in Berau region, East Kalimantan, and (iii) a pristine marine mangrove forest on Kongsi Island, Thousand Islands, Jakarta. In general, C org stocks were higher in estuarine than in marine mangroves, although a large variation was observed among the estuarine mangroves. The mean total C org stock in Berau (615 ± 181 Mg C ha −1 ) is twice as high as that in SAL (298 ± 181 Mg C ha −1 ). However, the Segara Anakan Lagoon displayed large within-system variation with a much higher C org stock in the eastern (483 ± 124 Mg C ha −1 ) than in the central lagoon (167 ± 36 Mg C ha −1 ). The predominant accumulation of autochthonous mangrove organic matter likely contributed to the higher C org stocks in Berau and the eastern SAL. Interestingly, the CAR distribution pattern in SAL is opposite to that of its C org stocks. The central SAL that receives high sediment inputs from the hinterland has a much higher CAR than the eastern SAL (658 ± 311 g C m −2 yr −1 and 194 ± 46 g C m −2 yr −1 , respectively), while Berau has one of the highest CAR (1722 ± 183 g C m −2 yr −1 ) ever measured. It appears that these large differences are driven by the environmental setting and conditions, mainly sediment dynamics and hydrodynamics, landform, and vegetation conditions. It is inferred that quantifying carbon accumulation in sediments is a useful tool in estimating the present-day carbon storage of mangrove ecosystems. This is a precondition for taking measures under REDD+ (Reducing Emissions from Deforestation and Forest Degradation and the role of conservation, sustainable management of forests and enhancement of forest carbon stocks in developing countries) schemes.","author":[{"dropping-particle":"","family":"Kusumaningtyas","given":"Mariska Astrid","non-dropping-particle":"","parse-names":false,"suffix":""},{"dropping-particle":"","family":"Hutahaean","given":"Andreas A.","non-dropping-particle":"","parse-names":false,"suffix":""},{"dropping-particle":"","family":"Fischer","given":"Helmut W.","non-dropping-particle":"","parse-names":false,"suffix":""},{"dropping-particle":"","family":"Pérez-Mayo","given":"Manuel","non-dropping-particle":"","parse-names":false,"suffix":""},{"dropping-particle":"","family":"Ransby","given":"Daniela","non-dropping-particle":"","parse-names":false,"suffix":""},{"dropping-particle":"","family":"Jennerjahn","given":"Tim C.","non-dropping-particle":"","parse-names":false,"suffix":""}],"container-title":"Estuarine, Coastal and Shelf Science","id":"ITEM-1","issued":{"date-parts":[["2019"]]},"page":"310-323","title":"Variability in the organic carbon stocks, sources, and accumulation rates of Indonesian mangrove ecosystems","type":"article-journal","volume":"218"},"uris":["http://www.mendeley.com/documents/?uuid=2f33df26-78d0-49d1-9a3a-fe407a9b1a68"]}],"mendeley":{"formattedCitation":"(Kusumaningtyas et al., 2019)","plainTextFormattedCitation":"(Kusumaningtyas et al., 2019)","previouslyFormattedCitation":"(Kusumaningtyas et al., 2019)"},"properties":{"noteIndex":0},"schema":"https://github.com/citation-style-language/schema/raw/master/csl-citation.json"}</w:instrText>
      </w:r>
      <w:r w:rsidRPr="00260745">
        <w:rPr>
          <w:lang w:val="en-US"/>
        </w:rPr>
        <w:fldChar w:fldCharType="separate"/>
      </w:r>
      <w:r w:rsidRPr="00260745">
        <w:rPr>
          <w:noProof/>
          <w:lang w:val="en-US"/>
        </w:rPr>
        <w:t>(Kusumaningtyas et al., 2019)</w:t>
      </w:r>
      <w:r w:rsidRPr="00260745">
        <w:rPr>
          <w:lang w:val="en-US"/>
        </w:rPr>
        <w:fldChar w:fldCharType="end"/>
      </w:r>
      <w:r w:rsidRPr="00260745">
        <w:rPr>
          <w:lang w:val="en-US"/>
        </w:rPr>
        <w:t xml:space="preserve">. As a consequence of this litter fall to carbon stocks association, it is largely the same climate drivers that influence mangrove productivity and biomass, as will influence carbon stocks. For example, increased precipitation decreases soil salinity concentrations, which in turn increases primary productivity </w:t>
      </w:r>
      <w:r w:rsidRPr="00260745">
        <w:rPr>
          <w:lang w:val="en-US"/>
        </w:rPr>
        <w:fldChar w:fldCharType="begin" w:fldLock="1"/>
      </w:r>
      <w:r w:rsidRPr="00260745">
        <w:rPr>
          <w:lang w:val="en-US"/>
        </w:rPr>
        <w:instrText>ADDIN CSL_CITATION {"citationItems":[{"id":"ITEM-1","itemData":{"DOI":"10.1111/gcb.14376","ISSN":"13652486","abstract":"Coastal wetlands are among the most productive and carbon-rich ecosystems on Earth. Long-term carbon storage in coastal wetlands occurs primarily belowground as soil organic matter (SOM). In addition to serving as a carbon sink, SOM influences wetland ecosystem structure, function, and stability. To anticipate and mitigate the effects of climate change, there is a need to advance understanding of environmental controls on wetland SOM. Here, we investigated the influence of four soil formation factors: climate, biota, parent materials, and topography. Along the northern Gulf of Mexico, we collected wetland plant and soil data across elevation and zonation gradients within 10 estuaries that span broad temperature and precipitation gradients. Our results highlight the importance of climate–plant controls and indicate that the influence of elevation is scale and location dependent. Coastal wetland plants are sensitive to climate change; small changes in temperature or precipitation can transform coastal wetland plant communities. Across the region, SOM was greatest in mangrove forests and in salt marshes dominated by graminoid plants. SOM was lower in salt flats that lacked vascular plants and in salt marshes dominated by succulent plants. We quantified strong relationships between precipitation, salinity, plant productivity, and SOM. Low precipitation leads to high salinity, which limits plant productivity and appears to constrain SOM accumulation. Our analyses use data from the Gulf of Mexico, but our results can be related to coastal wetlands across the globe and provide a foundation for predicting the ecological effects of future reductions in precipitation and freshwater availability. Coastal wetlands provide many ecosystem services that are SOM dependent and highly vulnerable to climate change. Collectively, our results indicate that future changes in SOM and plant productivity, regulated by cascading effects of precipitation on freshwater availability and salinity, could impact wetland stability and affect the supply of some wetland ecosystem services.","author":[{"dropping-particle":"","family":"Osland","given":"Michael J.","non-dropping-particle":"","parse-names":false,"suffix":""},{"dropping-particle":"","family":"Gabler","given":"Christopher A.","non-dropping-particle":"","parse-names":false,"suffix":""},{"dropping-particle":"","family":"Grace","given":"James B.","non-dropping-particle":"","parse-names":false,"suffix":""},{"dropping-particle":"","family":"Day","given":"Richard H.","non-dropping-particle":"","parse-names":false,"suffix":""},{"dropping-particle":"","family":"McCoy","given":"Meagan L.","non-dropping-particle":"","parse-names":false,"suffix":""},{"dropping-particle":"","family":"McLeod","given":"Jennie L.","non-dropping-particle":"","parse-names":false,"suffix":""},{"dropping-particle":"","family":"From","given":"Andrew S.","non-dropping-particle":"","parse-names":false,"suffix":""},{"dropping-particle":"","family":"Enwright","given":"Nicholas M.","non-dropping-particle":"","parse-names":false,"suffix":""},{"dropping-particle":"","family":"Feher","given":"Laura C.","non-dropping-particle":"","parse-names":false,"suffix":""},{"dropping-particle":"","family":"Stagg","given":"Camille L.","non-dropping-particle":"","parse-names":false,"suffix":""},{"dropping-particle":"","family":"Hartley","given":"Stephen B.","non-dropping-particle":"","parse-names":false,"suffix":""}],"container-title":"Global Change Biology","id":"ITEM-1","issue":"11","issued":{"date-parts":[["2018"]]},"page":"5361-5379","title":"Climate and plant controls on soil organic matter in coastal wetlands","type":"article-journal","volume":"24"},"uris":["http://www.mendeley.com/documents/?uuid=190fce1d-80ef-470e-a0ab-f92ff5bfc590"]},{"id":"ITEM-2","itemData":{"DOI":"10.1038/nclimate3203","ISSN":"17586798","abstract":"Coastal wetlands, existing at the interface between land and sea, are highly vulnerable to climate change. Macroclimate (for example, temperature and precipitation regimes) greatly influences coastal wetland ecosystem structure and function. However, research on climate change impacts in coastal wetlands has concentrated primarily on sea-level rise and largely ignored macroclimatic drivers, despite their power to transform plant community structure and modify ecosystem goods and services. Here, we model wetland plant community structure based on macroclimate using field data collected across broad temperature and precipitation gradients along the northern Gulf of Mexico coast. Our analyses quantify strongly nonlinear temperature thresholds regulating the potential for marsh-to-mangrove conversion. We also identify precipitation thresholds for dominance by various functional groups, including succulent plants and unvegetated mudflats. Macroclimate-driven shifts in foundation plant species abundance will have large effects on certain ecosystem goods and services. Based on current and projected climatic conditions, we project that transformative ecological changes are probable throughout the region this century, even under conservative climate scenarios. Coastal wetland ecosystems are functionally similar worldwide, so changes in this region are indicative of potential future changes in climatically similar regions globally.","author":[{"dropping-particle":"","family":"Gabler","given":"Christopher A.","non-dropping-particle":"","parse-names":false,"suffix":""},{"dropping-particle":"","family":"Osland","given":"Michael J.","non-dropping-particle":"","parse-names":false,"suffix":""},{"dropping-particle":"","family":"Grace","given":"James B.","non-dropping-particle":"","parse-names":false,"suffix":""},{"dropping-particle":"","family":"Stagg","given":"Camille L.","non-dropping-particle":"","parse-names":false,"suffix":""},{"dropping-particle":"","family":"Day","given":"Richard H.","non-dropping-particle":"","parse-names":false,"suffix":""},{"dropping-particle":"","family":"Hartley","given":"Stephen B.","non-dropping-particle":"","parse-names":false,"suffix":""},{"dropping-particle":"","family":"Enwright","given":"Nicholas M.","non-dropping-particle":"","parse-names":false,"suffix":""},{"dropping-particle":"","family":"From","given":"Andrew S.","non-dropping-particle":"","parse-names":false,"suffix":""},{"dropping-particle":"","family":"McCoy","given":"Meagan L.","non-dropping-particle":"","parse-names":false,"suffix":""},{"dropping-particle":"","family":"McLeod","given":"Jennie L.","non-dropping-particle":"","parse-names":false,"suffix":""}],"container-title":"Nature Climate Change","id":"ITEM-2","issue":"2","issued":{"date-parts":[["2017"]]},"page":"142-147","title":"Macroclimatic change expected to transform coastal wetland ecosystems this century","type":"article-journal","volume":"7"},"uris":["http://www.mendeley.com/documents/?uuid=4eb5abcd-cd6e-4ed7-adf4-ed13e8471ddb"]}],"mendeley":{"formattedCitation":"(Gabler et al., 2017; Osland et al., 2018)","plainTextFormattedCitation":"(Gabler et al., 2017; Osland et al., 2018)","previouslyFormattedCitation":"(Gabler et al., 2017; Osland et al., 2018)"},"properties":{"noteIndex":0},"schema":"https://github.com/citation-style-language/schema/raw/master/csl-citation.json"}</w:instrText>
      </w:r>
      <w:r w:rsidRPr="00260745">
        <w:rPr>
          <w:lang w:val="en-US"/>
        </w:rPr>
        <w:fldChar w:fldCharType="separate"/>
      </w:r>
      <w:r w:rsidRPr="00260745">
        <w:rPr>
          <w:noProof/>
          <w:lang w:val="en-US"/>
        </w:rPr>
        <w:t>(Gabler et al., 2017; Osland et al., 2018)</w:t>
      </w:r>
      <w:r w:rsidRPr="00260745">
        <w:rPr>
          <w:lang w:val="en-US"/>
        </w:rPr>
        <w:fldChar w:fldCharType="end"/>
      </w:r>
      <w:r w:rsidRPr="00260745">
        <w:rPr>
          <w:lang w:val="en-US"/>
        </w:rPr>
        <w:t xml:space="preserve"> – a principle which explains why tropical humid mangroves store up to ten times the organic carbon than those in arid regions </w:t>
      </w:r>
      <w:r w:rsidRPr="00260745">
        <w:rPr>
          <w:lang w:val="en-US"/>
        </w:rPr>
        <w:fldChar w:fldCharType="begin" w:fldLock="1"/>
      </w:r>
      <w:r w:rsidR="008A48C6" w:rsidRPr="00260745">
        <w:rPr>
          <w:lang w:val="en-US"/>
        </w:rPr>
        <w:instrText>ADDIN CSL_CITATION {"citationItems":[{"id":"ITEM-1","itemData":{"DOI":"10.1038/ngeo1123","ISBN":"1752-0894","ISSN":"1752-0894","PMID":"17701399","abstract":"Mangrove forests occur along ocean coastlines throughout the tropics, and support numerous ecosystem services, including fisheries production and nutrient cycling. However, the areal extent of mangrove forests has declined by 30–50% over the past half century as a result of coastal development, aqua- culture expansion and over-harvesting1–4. Carbon emissions resulting from mangrove loss are uncertain, owing in part to a lack of broad-scale data on the amount of carbon stored in these ecosystems, particularly below ground5. Here, we quantified whole-ecosystem carbon storage by measuring tree and dead wood biomass, soil carbon content, and soil depth in 25 mangrove forests across a broad area of the Indo-Pacific region—spanning 30◦ of latitude and 73◦ of longitude—where mangrove area and diversity are greatest4,6. These data indi- cate that mangroves are among the most carbon-rich forests in the tropics, containing on average 1,023Mg carbon per hectare. Organic-rich soils ranged from 0.5mto more than 3m in depth and accounted for 49–98% of carbon storage in these systems. Combining our data with other published information, we estimate that mangrove deforestation generates emissions of 0.02–0.12Pg carbon per year—as much as around 10% of emissions from deforestation globally, despite accounting for just 0.7%of tropical forest area.","author":[{"dropping-particle":"","family":"Donato","given":"Daniel C.","non-dropping-particle":"","parse-names":false,"suffix":""},{"dropping-particle":"","family":"Kauffman","given":"J. Boone","non-dropping-particle":"","parse-names":false,"suffix":""},{"dropping-particle":"","family":"Murdiyarso","given":"Daniel","non-dropping-particle":"","parse-names":false,"suffix":""},{"dropping-particle":"","family":"Kurnianto","given":"Sofyan","non-dropping-particle":"","parse-names":false,"suffix":""},{"dropping-particle":"","family":"Stidham","given":"Melanie","non-dropping-particle":"","parse-names":false,"suffix":""},{"dropping-particle":"","family":"Kanninen","given":"Markku","non-dropping-particle":"","parse-names":false,"suffix":""}],"container-title":"Nature Geoscience","id":"ITEM-1","issue":"5","issued":{"date-parts":[["2011"]]},"page":"293-297","title":"Mangroves among the most carbon-rich forests in the tropics","type":"article-journal","volume":"4"},"uris":["http://www.mendeley.com/documents/?uuid=490346f7-5ac8-4ae2-8d0c-30ebcec82312"]},{"id":"ITEM-2","itemData":{"DOI":"10.1002/eap.1489","ISSN":"19395582","abstract":"Coastal ecosystems produce and sequester significant amounts of carbon (\"blue carbon\"), which has been well documented in humid and semi-humid regions of temperate and tropical climates but less so in arid regions where mangroves, marshes, and seagrasses exist near the limit of their tolerance for extreme temperature and salinity. To better understand these unique systems, we measured whole-ecosystem carbon stocks in 58 sites across the United Arab Emirates (UAE) in natural and planted mangroves, salt marshes, seagrass beds, microbial mats, and coastal sabkha (inter- and supratidal unvegetated salt flats). Natural mangroves held significantly more carbon in above- and belowground biomass than other vegetated ecosystems. Planted mangrove carbon stocks increased with age, but there were large differences for sites of similar age. Soil carbon varied widely across sites (2-367 Mg C/ha), with ecosystem averages that ranged from 49 to 156 Mg C/ha. For the first time, microbial mats were documented to contain soil carbon pools comparable to vascular plant-dominated ecosystems, and could arguably be recognized as a unique blue carbon ecosystem. Total ecosystem carbon stocks ranged widely from 2 to 515 Mg C/ha (seagrass bed and mangrove, respectively). Seagrass beds had the lowest carbon stock per unit area, but the largest stock per total area due to their large spatial coverage. Compared to similar ecosystems globally, mangroves and marshes in the UAE have lower plant and soil carbon stocks; however, the difference in soil stocks is far larger than with plant stocks. This incongruent difference between stocks is likely due to poor carbon preservation under conditions of weakly reduced soils (200-350 mV), coarse-grained sediments, and active shoreline migration. This work represents the first attempt to produce a country-wide coastal ecosystem carbon accounting using a uniform sampling protocol, and was motivated by specific policy goals identified by the Abu Dhabi Global Environmental Data Initiative. These carbon stock data supported two objectives: to quantify carbon stocks and infer sequestration capacity in arid blue carbon ecosystems, and to explore the potential to incorporate blue carbon science into national reporting and planning documents. © 2016 by the Ecological Society of America.","author":[{"dropping-particle":"","family":"Schile","given":"Lisa M.","non-dropping-particle":"","parse-names":false,"suffix":""},{"dropping-particle":"","family":"Kauffman","given":"J. Boone","non-dropping-particle":"","parse-names":false,"suffix":""},{"dropping-particle":"","family":"Crooks","given":"Stephen","non-dropping-particle":"","parse-names":false,"suffix":""},{"dropping-particle":"","family":"Fourqurean","given":"James W.","non-dropping-particle":"","parse-names":false,"suffix":""},{"dropping-particle":"","family":"Glavan","given":"Jane","non-dropping-particle":"","parse-names":false,"suffix":""},{"dropping-particle":"","family":"Megonigal","given":"J. Patrick","non-dropping-particle":"","parse-names":false,"suffix":""}],"container-title":"Ecological Applications","id":"ITEM-2","issue":"3","issued":{"date-parts":[["2017"]]},"page":"859-874","title":"Limits on carbon sequestration in arid blue carbon ecosystems","type":"article-journal","volume":"27"},"uris":["http://www.mendeley.com/documents/?uuid=c37893be-f79d-4cb3-b5d3-f043469db703"]},{"id":"ITEM-3","itemData":{"DOI":"10.1016/j.ecss.2020.106940","ISSN":"02727714","abstract":"Global inventories that show mangrove forests have rich carbon stores currently lack data from arid areas where carbon stocks may be functionally impoverished relative to humid regions. We quantified total carbon stocks (C) of three arid Avicennia marina stands in Qatar and report an aboveground biomass allometric equation and the first below ground biomass allometric equation in the region. The allometric relationships indicate that below ground mangrove C stocks in arid locations are more important than previously reported. Comparison of previously published and our locally developed allometric equations show that A. marina in Qatar allocate comparatively more biomass to below ground components than the same species in tropical humid settings, which is consistent with plant adaptations to living in stressed conditions. Total C stocks were 45.70 ± 3.70 Mg C ha−1, of which tree and soil C stocks to 50 cm depth represented 10.18 ± 0.82 Mg C ha−1 and 35.52 ± 2.88 Mg ha−1 respectively. Soil C stocks to 1 m depth were 50.17 ± 6.27 Mg C ha−1. Overall, mangroves sustain relatively small C stocks in the arid, hypersaline environment of Qatar, which may be due to both relatively low tree productivity and growth, as well as limited rainfall-driven transport of terrigenous sediment inputs. By providing further estimates of mangrove carbon at their climatic extremes, these results can contribute to a better quantification of global mangrove carbon, reduce uncertainty in below ground tree C estimates from arid mangroves and have implications for mangrove carbon stocks in the face of climate change.","author":[{"dropping-particle":"","family":"Chatting","given":"Mark","non-dropping-particle":"","parse-names":false,"suffix":""},{"dropping-particle":"","family":"LeVay","given":"Lewis","non-dropping-particle":"","parse-names":false,"suffix":""},{"dropping-particle":"","family":"Walton","given":"Mark","non-dropping-particle":"","parse-names":false,"suffix":""},{"dropping-particle":"","family":"Skov","given":"Martin W.","non-dropping-particle":"","parse-names":false,"suffix":""},{"dropping-particle":"","family":"Kennedy","given":"Hilary","non-dropping-particle":"","parse-names":false,"suffix":""},{"dropping-particle":"","family":"Wilson","given":"Simon","non-dropping-particle":"","parse-names":false,"suffix":""},{"dropping-particle":"","family":"Al-Maslamani","given":"Ibrahim","non-dropping-particle":"","parse-names":false,"suffix":""}],"container-title":"Estuarine, Coastal and Shelf Science","id":"ITEM-3","issued":{"date-parts":[["2020"]]},"title":"Mangrove carbon stocks and biomass partitioning in an extreme environment","type":"article-journal","volume":"244"},"uris":["http://www.mendeley.com/documents/?uuid=45ec4b47-2362-48bc-8966-b39957af5dc1"]}],"mendeley":{"formattedCitation":"(Chatting et al., 2020; Donato et al., 2011; Schile et al., 2017)","plainTextFormattedCitation":"(Chatting et al., 2020; Donato et al., 2011; Schile et al., 2017)","previouslyFormattedCitation":"(Chatting et al., 2020; Donato et al., 2011; Schile et al., 2017)"},"properties":{"noteIndex":0},"schema":"https://github.com/citation-style-language/schema/raw/master/csl-citation.json"}</w:instrText>
      </w:r>
      <w:r w:rsidRPr="00260745">
        <w:rPr>
          <w:lang w:val="en-US"/>
        </w:rPr>
        <w:fldChar w:fldCharType="separate"/>
      </w:r>
      <w:r w:rsidR="008A48C6" w:rsidRPr="00260745">
        <w:rPr>
          <w:noProof/>
          <w:lang w:val="en-US"/>
        </w:rPr>
        <w:t>(Chatting et al., 2020; Donato et al., 2011; Schile et al., 2017)</w:t>
      </w:r>
      <w:r w:rsidRPr="00260745">
        <w:rPr>
          <w:lang w:val="en-US"/>
        </w:rPr>
        <w:fldChar w:fldCharType="end"/>
      </w:r>
      <w:r w:rsidRPr="00260745">
        <w:rPr>
          <w:lang w:val="en-US"/>
        </w:rPr>
        <w:t>.</w:t>
      </w:r>
    </w:p>
    <w:p w14:paraId="1C616717" w14:textId="77777777" w:rsidR="00CF7991" w:rsidRPr="00260745" w:rsidRDefault="00CF7991" w:rsidP="00CF7991">
      <w:pPr>
        <w:spacing w:line="480" w:lineRule="auto"/>
        <w:rPr>
          <w:lang w:val="en-US"/>
        </w:rPr>
      </w:pPr>
    </w:p>
    <w:p w14:paraId="5FBCB000" w14:textId="77777777" w:rsidR="00CF7991" w:rsidRPr="00260745" w:rsidRDefault="00CF7991" w:rsidP="00CF7991">
      <w:pPr>
        <w:spacing w:line="480" w:lineRule="auto"/>
        <w:rPr>
          <w:lang w:val="en-US"/>
        </w:rPr>
      </w:pPr>
      <w:r w:rsidRPr="00260745">
        <w:rPr>
          <w:lang w:val="en-US"/>
        </w:rPr>
        <w:t>Relatively little change to the annual seasonality of NPP was detected throughout the 21</w:t>
      </w:r>
      <w:r w:rsidRPr="00260745">
        <w:rPr>
          <w:vertAlign w:val="superscript"/>
          <w:lang w:val="en-US"/>
        </w:rPr>
        <w:t>st</w:t>
      </w:r>
      <w:r w:rsidRPr="00260745">
        <w:rPr>
          <w:lang w:val="en-US"/>
        </w:rPr>
        <w:t xml:space="preserve"> century, with only ~1% change in seasonality forecast by the late-century relative to the historical 1980-90 period. Moreover, most change in seasonality was by less than 5%, only two marine provinces had shifts in seasonality &gt;5% by mid-century (the Southeast </w:t>
      </w:r>
      <w:r w:rsidRPr="00260745">
        <w:rPr>
          <w:lang w:val="en-US"/>
        </w:rPr>
        <w:lastRenderedPageBreak/>
        <w:t>Australian Shelf and the Warm Temperate Northwest Pacific) or late century (the Southeast Australian Shelf and the Southwest Australian Shelf). Only the Southeast Australian Shelf was predicted to increase in seasonality 15</w:t>
      </w:r>
      <w:r w:rsidRPr="00260745" w:rsidDel="009552C0">
        <w:rPr>
          <w:lang w:val="en-US"/>
        </w:rPr>
        <w:t xml:space="preserve"> </w:t>
      </w:r>
      <w:r w:rsidRPr="00260745">
        <w:rPr>
          <w:lang w:val="en-US"/>
        </w:rPr>
        <w:t xml:space="preserve">% by the midcentury and decreasing to 10% by late century. While increases in seasonality may not be large, only small changes could cause increases in periods where mangroves act as carbon sources. Measurements of Net Ecosystem Production (NEP), which take into account community respiration in calculating overall forest productivity </w:t>
      </w:r>
      <w:r w:rsidRPr="00260745">
        <w:rPr>
          <w:lang w:val="en-US"/>
        </w:rPr>
        <w:fldChar w:fldCharType="begin" w:fldLock="1"/>
      </w:r>
      <w:r w:rsidRPr="00260745">
        <w:rPr>
          <w:lang w:val="en-US"/>
        </w:rPr>
        <w:instrText>ADDIN CSL_CITATION {"citationItems":[{"id":"ITEM-1","itemData":{"DOI":"doi.org/10.1016/j.ecss.2020.106828","author":[{"dropping-particle":"","family":"Gnanamoorthy","given":"P.","non-dropping-particle":"","parse-names":false,"suffix":""},{"dropping-particle":"","family":"Selvam","given":"V.","non-dropping-particle":"","parse-names":false,"suffix":""},{"dropping-particle":"","family":"Burman","given":"P.K.D.","non-dropping-particle":"","parse-names":false,"suffix":""},{"dropping-particle":"","family":"Chakraborty","given":"S.","non-dropping-particle":"","parse-names":false,"suffix":""},{"dropping-particle":"","family":"Karipot","given":"A.","non-dropping-particle":"","parse-names":false,"suffix":""},{"dropping-particle":"","family":"Nagarajan, R., Ramasubramanian","given":"R.","non-dropping-particle":"","parse-names":false,"suffix":""},{"dropping-particle":"","family":"Song","given":"Q.","non-dropping-particle":"","parse-names":false,"suffix":""},{"dropping-particle":"","family":"Zhang","given":"Y.","non-dropping-particle":"","parse-names":false,"suffix":""},{"dropping-particle":"","family":"Grace","given":"J.","non-dropping-particle":"","parse-names":false,"suffix":""}],"container-title":"Estuarine, Coastal and Shelf Science","id":"ITEM-1","issued":{"date-parts":[["2020"]]},"page":"p.106828","title":"Seasonal variations of net ecosystem (CO2) exchange in the Indian tropical mangrove forest of Pichavaram","type":"article-journal","volume":"243"},"uris":["http://www.mendeley.com/documents/?uuid=af64b44c-ce90-449e-a87c-d7c1f819034d"]}],"mendeley":{"formattedCitation":"(Gnanamoorthy et al., 2020)","plainTextFormattedCitation":"(Gnanamoorthy et al., 2020)","previouslyFormattedCitation":"(Gnanamoorthy et al., 2020)"},"properties":{"noteIndex":0},"schema":"https://github.com/citation-style-language/schema/raw/master/csl-citation.json"}</w:instrText>
      </w:r>
      <w:r w:rsidRPr="00260745">
        <w:rPr>
          <w:lang w:val="en-US"/>
        </w:rPr>
        <w:fldChar w:fldCharType="separate"/>
      </w:r>
      <w:r w:rsidRPr="00260745">
        <w:rPr>
          <w:noProof/>
          <w:lang w:val="en-US"/>
        </w:rPr>
        <w:t>(Gnanamoorthy et al., 2020)</w:t>
      </w:r>
      <w:r w:rsidRPr="00260745">
        <w:rPr>
          <w:lang w:val="en-US"/>
        </w:rPr>
        <w:fldChar w:fldCharType="end"/>
      </w:r>
      <w:r w:rsidRPr="00260745">
        <w:rPr>
          <w:lang w:val="en-US"/>
        </w:rPr>
        <w:t xml:space="preserve">, found a seasonal drop in primary productivity of ~8% coupled with increases in air temperature and reductions in precipitation were enough for a mangrove stand to become a carbon source rather than a carbon sink during certain seasons </w:t>
      </w:r>
      <w:r w:rsidRPr="00260745">
        <w:rPr>
          <w:lang w:val="en-US"/>
        </w:rPr>
        <w:fldChar w:fldCharType="begin" w:fldLock="1"/>
      </w:r>
      <w:r w:rsidRPr="00260745">
        <w:rPr>
          <w:lang w:val="en-US"/>
        </w:rPr>
        <w:instrText>ADDIN CSL_CITATION {"citationItems":[{"id":"ITEM-1","itemData":{"DOI":"doi.org/10.1016/j.ecss.2020.106828","author":[{"dropping-particle":"","family":"Gnanamoorthy","given":"P.","non-dropping-particle":"","parse-names":false,"suffix":""},{"dropping-particle":"","family":"Selvam","given":"V.","non-dropping-particle":"","parse-names":false,"suffix":""},{"dropping-particle":"","family":"Burman","given":"P.K.D.","non-dropping-particle":"","parse-names":false,"suffix":""},{"dropping-particle":"","family":"Chakraborty","given":"S.","non-dropping-particle":"","parse-names":false,"suffix":""},{"dropping-particle":"","family":"Karipot","given":"A.","non-dropping-particle":"","parse-names":false,"suffix":""},{"dropping-particle":"","family":"Nagarajan, R., Ramasubramanian","given":"R.","non-dropping-particle":"","parse-names":false,"suffix":""},{"dropping-particle":"","family":"Song","given":"Q.","non-dropping-particle":"","parse-names":false,"suffix":""},{"dropping-particle":"","family":"Zhang","given":"Y.","non-dropping-particle":"","parse-names":false,"suffix":""},{"dropping-particle":"","family":"Grace","given":"J.","non-dropping-particle":"","parse-names":false,"suffix":""}],"container-title":"Estuarine, Coastal and Shelf Science","id":"ITEM-1","issued":{"date-parts":[["2020"]]},"page":"p.106828","title":"Seasonal variations of net ecosystem (CO2) exchange in the Indian tropical mangrove forest of Pichavaram","type":"article-journal","volume":"243"},"uris":["http://www.mendeley.com/documents/?uuid=af64b44c-ce90-449e-a87c-d7c1f819034d"]}],"mendeley":{"formattedCitation":"(Gnanamoorthy et al., 2020)","plainTextFormattedCitation":"(Gnanamoorthy et al., 2020)","previouslyFormattedCitation":"(Gnanamoorthy et al., 2020)"},"properties":{"noteIndex":0},"schema":"https://github.com/citation-style-language/schema/raw/master/csl-citation.json"}</w:instrText>
      </w:r>
      <w:r w:rsidRPr="00260745">
        <w:rPr>
          <w:lang w:val="en-US"/>
        </w:rPr>
        <w:fldChar w:fldCharType="separate"/>
      </w:r>
      <w:r w:rsidRPr="00260745">
        <w:rPr>
          <w:noProof/>
          <w:lang w:val="en-US"/>
        </w:rPr>
        <w:t>(Gnanamoorthy et al., 2020)</w:t>
      </w:r>
      <w:r w:rsidRPr="00260745">
        <w:rPr>
          <w:lang w:val="en-US"/>
        </w:rPr>
        <w:fldChar w:fldCharType="end"/>
      </w:r>
      <w:r w:rsidRPr="00260745">
        <w:rPr>
          <w:lang w:val="en-US"/>
        </w:rPr>
        <w:t xml:space="preserve">. Moreover, this phenomenon could become more common as air temperatures are predicted to increase and precipitation decrease in some regions </w:t>
      </w:r>
      <w:r w:rsidRPr="00260745">
        <w:rPr>
          <w:lang w:val="en-US"/>
        </w:rPr>
        <w:fldChar w:fldCharType="begin" w:fldLock="1"/>
      </w:r>
      <w:r w:rsidRPr="00260745">
        <w:rPr>
          <w:lang w:val="en-US"/>
        </w:rPr>
        <w:instrText>ADDIN CSL_CITATION {"citationItems":[{"id":"ITEM-1","itemData":{"DOI":"10.1029/2018JD029473","ISSN":"21698996","abstract":"Land-atmosphere coupling plays a crucial role in determining the evolution of weather and climate. In the current study, the full ensemble of CORDEX-Africa climate change simulations is used to understand how strong and weak coupling regions in Africa will evolve in the future. The ability of the regional climate models to capture the coupling signal relies on a reasonable representation of near surface air temperature, precipitation, surface fluxes, and soil moisture. A thorough model evaluation reveals typical shortcomings in the representation of the African climate, in particular seasonal precipitation. The multimodel ensemble mean outperforms the individual models and is therefore used for the investigation of the land-atmosphere coupling. This ensemble mean shows a widespread warming in Africa and changes in precipitation, such as a decrease in the Sahel during summer and an increase in western Africa during summer and autumn. The coupling analysis relies on surface fluxes, the related evaporative fraction and their correlations as well as the correlation between evaporative fraction and soil moisture. Overall, water-limited regions that exhibit a strong land-atmosphere coupling are projected to expand further southward in West Africa and further northward in southern Africa. This is particularly true over the Sahel during spring and summer, when the strong coupling region shifts southward, indicating a potential expansion of the semiarid and arid regions. A transition of energy limited regimes, with weak coupling, to water-limited regimes where soil moisture plays a more important role, is projected for the end of the 21st century as drying continues.","author":[{"dropping-particle":"","family":"Soares","given":"Pedro M.M.","non-dropping-particle":"","parse-names":false,"suffix":""},{"dropping-particle":"","family":"Careto","given":"João A.M.","non-dropping-particle":"","parse-names":false,"suffix":""},{"dropping-particle":"","family":"Cardoso","given":"Rita M.","non-dropping-particle":"","parse-names":false,"suffix":""},{"dropping-particle":"","family":"Goergen","given":"Klaus","non-dropping-particle":"","parse-names":false,"suffix":""},{"dropping-particle":"","family":"Trigo","given":"Ricardo M.","non-dropping-particle":"","parse-names":false,"suffix":""}],"container-title":"Journal of Geophysical Research: Atmospheres","id":"ITEM-1","issue":"21","issued":{"date-parts":[["2019"]]},"page":"11118-11142","title":"Land-Atmosphere Coupling Regimes in a Future Climate in Africa: From Model Evaluation to Projections Based on CORDEX-Africa","type":"article-journal","volume":"124"},"uris":["http://www.mendeley.com/documents/?uuid=b79dfd5b-96c1-4837-86d0-49c63a95a4fa"]}],"mendeley":{"formattedCitation":"(Soares et al., 2019)","plainTextFormattedCitation":"(Soares et al., 2019)","previouslyFormattedCitation":"(Soares et al., 2019)"},"properties":{"noteIndex":0},"schema":"https://github.com/citation-style-language/schema/raw/master/csl-citation.json"}</w:instrText>
      </w:r>
      <w:r w:rsidRPr="00260745">
        <w:rPr>
          <w:lang w:val="en-US"/>
        </w:rPr>
        <w:fldChar w:fldCharType="separate"/>
      </w:r>
      <w:r w:rsidRPr="00260745">
        <w:rPr>
          <w:noProof/>
          <w:lang w:val="en-US"/>
        </w:rPr>
        <w:t>(Soares et al., 2019)</w:t>
      </w:r>
      <w:r w:rsidRPr="00260745">
        <w:rPr>
          <w:lang w:val="en-US"/>
        </w:rPr>
        <w:fldChar w:fldCharType="end"/>
      </w:r>
      <w:r w:rsidRPr="00260745">
        <w:rPr>
          <w:lang w:val="en-US"/>
        </w:rPr>
        <w:t xml:space="preserve"> throughout the 21</w:t>
      </w:r>
      <w:r w:rsidRPr="00260745">
        <w:rPr>
          <w:vertAlign w:val="superscript"/>
          <w:lang w:val="en-US"/>
        </w:rPr>
        <w:t>st</w:t>
      </w:r>
      <w:r w:rsidRPr="00260745">
        <w:rPr>
          <w:lang w:val="en-US"/>
        </w:rPr>
        <w:t xml:space="preserve"> century it is possible that even small monthly reductions in NPP could trigger some mangroves to become carbon sources, rather than sinks. In addition, increased intensity or frequency of droughts can cause rapid shifts in terrestrial forest soil biogeochemistry and increased CO</w:t>
      </w:r>
      <w:r w:rsidRPr="00260745">
        <w:rPr>
          <w:vertAlign w:val="subscript"/>
          <w:lang w:val="en-US"/>
        </w:rPr>
        <w:t>2</w:t>
      </w:r>
      <w:r w:rsidRPr="00260745">
        <w:rPr>
          <w:lang w:val="en-US"/>
        </w:rPr>
        <w:t xml:space="preserve"> emissions </w:t>
      </w:r>
      <w:r w:rsidRPr="00260745">
        <w:rPr>
          <w:lang w:val="en-US"/>
        </w:rPr>
        <w:fldChar w:fldCharType="begin" w:fldLock="1"/>
      </w:r>
      <w:r w:rsidRPr="00260745">
        <w:rPr>
          <w:lang w:val="en-US"/>
        </w:rPr>
        <w:instrText>ADDIN CSL_CITATION {"citationItems":[{"id":"ITEM-1","itemData":{"DOI":"10.1038/s41467-018-03352-3","ISSN":"20411723","PMID":"29632326","abstract":"Climate change models predict more frequent and severe droughts in the humid tropics. How drought will impact tropical forest carbon and greenhouse gas dynamics is poorly understood. Here we report the effects of the severe 2015 Caribbean drought on soil moisture, oxygen, phosphorus (P), and greenhouse gas emissions in a humid tropical forest in Puerto Rico. Drought significantly decreases inorganic P concentrations, an element commonly limiting to net primary productivity in tropical forests, and significantly increases organic P. High-frequency greenhouse gas measurements show varied impacts across topography. Soil carbon dioxide emissions increase by 60% on slopes and 163% in valleys. Methane (CH4) consumption increases significantly during drought, but high CH4 fluxes post-drought offset this sink after 7 weeks. The rapid response and slow recovery to drought suggest tropical forest biogeochemistry is more sensitive to climate change than previously believed, with potentially large direct and indirect consequences for regional and global carbon cycles.","author":[{"dropping-particle":"","family":"O'Connell","given":"Christine S.","non-dropping-particle":"","parse-names":false,"suffix":""},{"dropping-particle":"","family":"Ruan","given":"Leilei","non-dropping-particle":"","parse-names":false,"suffix":""},{"dropping-particle":"","family":"Silver","given":"Whendee L.","non-dropping-particle":"","parse-names":false,"suffix":""}],"container-title":"Nature Communications","id":"ITEM-1","issue":"1","issued":{"date-parts":[["2018"]]},"title":"Drought drives rapid shifts in tropical rainforest soil biogeochemistry and greenhouse gas emissions","type":"article-journal","volume":"9"},"uris":["http://www.mendeley.com/documents/?uuid=6525a831-2c09-4ec0-bb6c-97275cded2b8"]}],"mendeley":{"formattedCitation":"(O’Connell et al., 2018)","plainTextFormattedCitation":"(O’Connell et al., 2018)","previouslyFormattedCitation":"(O’Connell et al., 2018)"},"properties":{"noteIndex":0},"schema":"https://github.com/citation-style-language/schema/raw/master/csl-citation.json"}</w:instrText>
      </w:r>
      <w:r w:rsidRPr="00260745">
        <w:rPr>
          <w:lang w:val="en-US"/>
        </w:rPr>
        <w:fldChar w:fldCharType="separate"/>
      </w:r>
      <w:r w:rsidRPr="00260745">
        <w:rPr>
          <w:noProof/>
          <w:lang w:val="en-US"/>
        </w:rPr>
        <w:t>(O’Connell et al., 2018)</w:t>
      </w:r>
      <w:r w:rsidRPr="00260745">
        <w:rPr>
          <w:lang w:val="en-US"/>
        </w:rPr>
        <w:fldChar w:fldCharType="end"/>
      </w:r>
      <w:r w:rsidRPr="00260745">
        <w:rPr>
          <w:lang w:val="en-US"/>
        </w:rPr>
        <w:t xml:space="preserve">. </w:t>
      </w:r>
    </w:p>
    <w:p w14:paraId="64B8D740" w14:textId="77777777" w:rsidR="00CF7991" w:rsidRPr="00260745" w:rsidRDefault="00CF7991" w:rsidP="00CF7991">
      <w:pPr>
        <w:spacing w:line="480" w:lineRule="auto"/>
        <w:rPr>
          <w:lang w:val="en-US"/>
        </w:rPr>
      </w:pPr>
    </w:p>
    <w:p w14:paraId="222697A1" w14:textId="77777777" w:rsidR="00CF7991" w:rsidRPr="00260745" w:rsidRDefault="00CF7991" w:rsidP="00CF7991">
      <w:pPr>
        <w:spacing w:line="480" w:lineRule="auto"/>
        <w:rPr>
          <w:lang w:val="en-US"/>
        </w:rPr>
      </w:pPr>
      <w:r w:rsidRPr="00260745">
        <w:rPr>
          <w:lang w:val="en-US"/>
        </w:rPr>
        <w:t xml:space="preserve">Estimates of total historical global mangrove litter rates were comparable to previous estimates. Ribeiro et al. (2019) calculated a global total mangrove leaf litter rate of 84.0 </w:t>
      </w:r>
      <w:proofErr w:type="spellStart"/>
      <w:r w:rsidRPr="00260745">
        <w:rPr>
          <w:lang w:val="en-US"/>
        </w:rPr>
        <w:t>Tg</w:t>
      </w:r>
      <w:proofErr w:type="spellEnd"/>
      <w:r w:rsidRPr="00260745">
        <w:rPr>
          <w:lang w:val="en-US"/>
        </w:rPr>
        <w:t xml:space="preserve"> yr</w:t>
      </w:r>
      <w:r w:rsidRPr="00260745">
        <w:rPr>
          <w:vertAlign w:val="superscript"/>
          <w:lang w:val="en-US"/>
        </w:rPr>
        <w:t>-1</w:t>
      </w:r>
      <w:r w:rsidRPr="00260745">
        <w:rPr>
          <w:lang w:val="en-US"/>
        </w:rPr>
        <w:t xml:space="preserve"> (back calculated using calculations described by Ribeiro et al. (2019)). While Bouillon et al. (2008) estimated a total annual global litter rate of 156 ±45 </w:t>
      </w:r>
      <w:proofErr w:type="spellStart"/>
      <w:r w:rsidRPr="00260745">
        <w:rPr>
          <w:lang w:val="en-US"/>
        </w:rPr>
        <w:t>Tg</w:t>
      </w:r>
      <w:proofErr w:type="spellEnd"/>
      <w:r w:rsidRPr="00260745">
        <w:rPr>
          <w:lang w:val="en-US"/>
        </w:rPr>
        <w:t xml:space="preserve"> yr</w:t>
      </w:r>
      <w:r w:rsidRPr="00260745">
        <w:rPr>
          <w:vertAlign w:val="superscript"/>
          <w:lang w:val="en-US"/>
        </w:rPr>
        <w:t>-1</w:t>
      </w:r>
      <w:r w:rsidRPr="00260745">
        <w:rPr>
          <w:lang w:val="en-US"/>
        </w:rPr>
        <w:t>, they used a global mangrove extent estimate of 160,000km</w:t>
      </w:r>
      <w:r w:rsidRPr="00260745">
        <w:rPr>
          <w:vertAlign w:val="superscript"/>
          <w:lang w:val="en-US"/>
        </w:rPr>
        <w:t>2</w:t>
      </w:r>
      <w:r w:rsidRPr="00260745">
        <w:rPr>
          <w:lang w:val="en-US"/>
        </w:rPr>
        <w:t xml:space="preserve"> (approximately double that used by the current study). When global mangrove extent is standardized to ~83,000 km</w:t>
      </w:r>
      <w:r w:rsidRPr="00260745">
        <w:rPr>
          <w:vertAlign w:val="superscript"/>
          <w:lang w:val="en-US"/>
        </w:rPr>
        <w:t>2</w:t>
      </w:r>
      <w:r w:rsidRPr="00260745">
        <w:rPr>
          <w:lang w:val="en-US"/>
        </w:rPr>
        <w:t xml:space="preserve"> </w:t>
      </w:r>
      <w:r w:rsidRPr="00260745">
        <w:rPr>
          <w:lang w:val="en-US"/>
        </w:rPr>
        <w:fldChar w:fldCharType="begin" w:fldLock="1"/>
      </w:r>
      <w:r w:rsidRPr="00260745">
        <w:rPr>
          <w:lang w:val="en-US"/>
        </w:rPr>
        <w:instrText>ADDIN CSL_CITATION {"citationItems":[{"id":"ITEM-1","itemData":{"author":[{"dropping-particle":"","family":"Hamilton","given":"Stuart","non-dropping-particle":"","parse-names":false,"suffix":""},{"dropping-particle":"","family":"Casey","given":"Daniel","non-dropping-particle":"","parse-names":false,"suffix":""}],"container-title":"Global Ecology and Biogeography","id":"ITEM-1","issue":"6","issued":{"date-parts":[["2016"]]},"page":"729-738","title":"Creation of a high spatiotemporal resolution global database of continuous mangrove forest cover","type":"article-journal","volume":"25"},"uris":["http://www.mendeley.com/documents/?uuid=893008db-4f62-4c3e-95b0-18b063df5b92"]}],"mendeley":{"formattedCitation":"(Hamilton and Casey, 2016)","plainTextFormattedCitation":"(Hamilton and Casey, 2016)","previouslyFormattedCitation":"(Hamilton and Casey, 2016)"},"properties":{"noteIndex":0},"schema":"https://github.com/citation-style-language/schema/raw/master/csl-citation.json"}</w:instrText>
      </w:r>
      <w:r w:rsidRPr="00260745">
        <w:rPr>
          <w:lang w:val="en-US"/>
        </w:rPr>
        <w:fldChar w:fldCharType="separate"/>
      </w:r>
      <w:r w:rsidRPr="00260745">
        <w:rPr>
          <w:noProof/>
          <w:lang w:val="en-US"/>
        </w:rPr>
        <w:t>(Hamilton and Casey, 2016)</w:t>
      </w:r>
      <w:r w:rsidRPr="00260745">
        <w:rPr>
          <w:lang w:val="en-US"/>
        </w:rPr>
        <w:fldChar w:fldCharType="end"/>
      </w:r>
      <w:r w:rsidRPr="00260745">
        <w:rPr>
          <w:lang w:val="en-US"/>
        </w:rPr>
        <w:t xml:space="preserve">, the global litter rate of Bouillon et al. (2008)’s would be 80.9 ±23.3 </w:t>
      </w:r>
      <w:proofErr w:type="spellStart"/>
      <w:r w:rsidRPr="00260745">
        <w:rPr>
          <w:lang w:val="en-US"/>
        </w:rPr>
        <w:t>Tg</w:t>
      </w:r>
      <w:proofErr w:type="spellEnd"/>
      <w:r w:rsidRPr="00260745">
        <w:rPr>
          <w:lang w:val="en-US"/>
        </w:rPr>
        <w:t xml:space="preserve"> yr</w:t>
      </w:r>
      <w:r w:rsidRPr="00260745">
        <w:rPr>
          <w:vertAlign w:val="superscript"/>
          <w:lang w:val="en-US"/>
        </w:rPr>
        <w:t>-1</w:t>
      </w:r>
      <w:r w:rsidRPr="00260745">
        <w:rPr>
          <w:lang w:val="en-US"/>
        </w:rPr>
        <w:t xml:space="preserve">. Similarities </w:t>
      </w:r>
      <w:r w:rsidRPr="00260745">
        <w:rPr>
          <w:lang w:val="en-US"/>
        </w:rPr>
        <w:lastRenderedPageBreak/>
        <w:t xml:space="preserve">in global NPP estimates likely arise from the use of comparable approaches to calculating global NPP. </w:t>
      </w:r>
      <w:proofErr w:type="gramStart"/>
      <w:r w:rsidRPr="00260745">
        <w:rPr>
          <w:lang w:val="en-US"/>
        </w:rPr>
        <w:t>Similarly</w:t>
      </w:r>
      <w:proofErr w:type="gramEnd"/>
      <w:r w:rsidRPr="00260745">
        <w:rPr>
          <w:lang w:val="en-US"/>
        </w:rPr>
        <w:t xml:space="preserve"> to the current study, </w:t>
      </w:r>
      <w:proofErr w:type="spellStart"/>
      <w:r w:rsidRPr="00260745">
        <w:rPr>
          <w:lang w:val="en-US"/>
        </w:rPr>
        <w:t>Ribiero</w:t>
      </w:r>
      <w:proofErr w:type="spellEnd"/>
      <w:r w:rsidRPr="00260745">
        <w:rPr>
          <w:lang w:val="en-US"/>
        </w:rPr>
        <w:t xml:space="preserve"> et al. (2019) and Bouillon et al. (2008) both used leaf litter data collated from a literature search as a proxy for NPP.</w:t>
      </w:r>
    </w:p>
    <w:p w14:paraId="3D93CC1D" w14:textId="77777777" w:rsidR="00CF7991" w:rsidRPr="00260745" w:rsidRDefault="00CF7991" w:rsidP="00CF7991">
      <w:pPr>
        <w:spacing w:line="480" w:lineRule="auto"/>
        <w:rPr>
          <w:lang w:val="en-US"/>
        </w:rPr>
      </w:pPr>
    </w:p>
    <w:p w14:paraId="6A0A3918" w14:textId="02F1DC1E" w:rsidR="00CF7991" w:rsidRPr="00260745" w:rsidRDefault="00CF7991" w:rsidP="00CF7991">
      <w:pPr>
        <w:spacing w:line="480" w:lineRule="auto"/>
        <w:rPr>
          <w:lang w:val="en-US"/>
        </w:rPr>
      </w:pPr>
      <w:r w:rsidRPr="00260745">
        <w:rPr>
          <w:lang w:val="en-US"/>
        </w:rPr>
        <w:t xml:space="preserve">Our study assumed constant mangrove coverage from 1980 to 2095. Constant cover is unlikely and mangrove expansion will not occur uniformly around the world. Mangroves in temperate regions have been forecast to expand to higher latitudes with climate change </w:t>
      </w:r>
      <w:r w:rsidRPr="00260745">
        <w:rPr>
          <w:lang w:val="en-US"/>
        </w:rPr>
        <w:fldChar w:fldCharType="begin" w:fldLock="1"/>
      </w:r>
      <w:r w:rsidRPr="00260745">
        <w:rPr>
          <w:lang w:val="en-US"/>
        </w:rPr>
        <w:instrText>ADDIN CSL_CITATION {"citationItems":[{"id":"ITEM-1","itemData":{"DOI":"10.1111/gcb.12341","ISBN":"1354-1013","ISSN":"13541013","PMID":"23907934","abstract":"Mangroves are species of halophytic intertidal trees and shrubs derived from tropical genera and are likely delimited in latitudinal range by varying sensitivity to cold. There is now sufficient evidence that mangrove species have proliferated at or near their poleward limits on at least five continents over the past half century, at the expense of salt marsh. Avicennia is the most cold-tolerant genus worldwide, and is the subject of most of the observed changes. Avicennia germinans has extended in range along the USA Atlantic coast and expanded into salt marsh as a consequence of lower frost frequency and intensity in the southern USA. The genus has also expanded into salt marsh at its southern limit in Peru, and on the Pacific coast of Mexico. Mangroves of several species have expanded in extent and replaced salt marsh where protected within mangrove reserves in Guangdong Province, China. In south-eastern Australia, the expansion of Avicennia marina into salt marshes is now well documented, and Rhizophora stylosa has extended its range southward, while showing strong population growth within estuaries along its southern limits in northern New South Wales. Avicennia marina has extended its range southwards in South Africa. The changes are consistent with the poleward extension of temperature thresholds coincident with sea-level rise, although the specific mechanism of range extension might be complicated by limitations on dispersal or other factors. The shift from salt marsh to mangrove dominance on subtropical and temperate shorelines has important implications for ecological structure, function, and global change adaptation.","author":[{"dropping-particle":"","family":"Saintilan","given":"Neil","non-dropping-particle":"","parse-names":false,"suffix":""},{"dropping-particle":"","family":"Wilson","given":"Nicholas C.","non-dropping-particle":"","parse-names":false,"suffix":""},{"dropping-particle":"","family":"Rogers","given":"Kerrylee","non-dropping-particle":"","parse-names":false,"suffix":""},{"dropping-particle":"","family":"Rajkaran","given":"Anusha","non-dropping-particle":"","parse-names":false,"suffix":""},{"dropping-particle":"","family":"Krauss","given":"Ken W.","non-dropping-particle":"","parse-names":false,"suffix":""}],"container-title":"Global Change Biology","id":"ITEM-1","issue":"1","issued":{"date-parts":[["2014"]]},"page":"147-157","title":"Mangrove expansion and salt marsh decline at mangrove poleward limits","type":"article-journal","volume":"20"},"uris":["http://www.mendeley.com/documents/?uuid=77fc4f27-ec75-3c0f-b64e-363a965f95c1"]}],"mendeley":{"formattedCitation":"(Saintilan et al., 2014)","plainTextFormattedCitation":"(Saintilan et al., 2014)","previouslyFormattedCitation":"(Saintilan et al., 2014)"},"properties":{"noteIndex":0},"schema":"https://github.com/citation-style-language/schema/raw/master/csl-citation.json"}</w:instrText>
      </w:r>
      <w:r w:rsidRPr="00260745">
        <w:rPr>
          <w:lang w:val="en-US"/>
        </w:rPr>
        <w:fldChar w:fldCharType="separate"/>
      </w:r>
      <w:r w:rsidRPr="00260745">
        <w:rPr>
          <w:noProof/>
          <w:lang w:val="en-US"/>
        </w:rPr>
        <w:t>(Saintilan et al., 2014)</w:t>
      </w:r>
      <w:r w:rsidRPr="00260745">
        <w:rPr>
          <w:lang w:val="en-US"/>
        </w:rPr>
        <w:fldChar w:fldCharType="end"/>
      </w:r>
      <w:r w:rsidRPr="00260745">
        <w:rPr>
          <w:lang w:val="en-US"/>
        </w:rPr>
        <w:t xml:space="preserve">. Moreover, increases in minimum air temperatures will likely help poleward dispersion of mangroves in North and South America, Australia, New Zealand and eastern Asia </w:t>
      </w:r>
      <w:r w:rsidRPr="00260745">
        <w:rPr>
          <w:lang w:val="en-US"/>
        </w:rPr>
        <w:fldChar w:fldCharType="begin" w:fldLock="1"/>
      </w:r>
      <w:r w:rsidRPr="00260745">
        <w:rPr>
          <w:lang w:val="en-US"/>
        </w:rPr>
        <w:instrText>ADDIN CSL_CITATION {"citationItems":[{"id":"ITEM-1","itemData":{"DOI":"10.1002/ecm.1248","ISSN":"15577015","abstract":"Mangrove forests are highly productive tidal saline wetland ecosystems found along sheltered tropical and subtropical coasts. Ecologists have long assumed that climatic drivers (i.e., temperature and rainfall regimes) govern the global distribution, structure, and function of mangrove forests. However, data constraints have hindered the quantification of direct climate–mangrove linkages in many parts of the world. Recently, the quality and availability of global-scale climate and mangrove data have been improving. Here, we used these data to better understand the influence of air temperature and rainfall regimes upon the distribution, abundance, and species richness of mangrove forests. Although our analyses identify global-scale relationships and thresholds, we show that the influence of climatic drivers is best characterized via regional range-limit-specific analyses. We quantified climatic controls across targeted gradients in temperature and/or rainfall within 14 mangrove distributional range limits. Climatic thresholds for mangrove presence, abundance, and species richness differed among the 14 studied range limits. We identified minimum temperature-based thresholds for range limits in eastern North America, eastern Australia, New Zealand, eastern Asia, eastern South America, and southeast Africa. We identified rainfall-based thresholds for range limits in western North America, western Gulf of Mexico, western South America, western Australia, Middle East, northwest Africa, east central Africa, and west-central Africa. Our results show that in certain range limits (e.g., eastern North America, western Gulf of Mexico, eastern Asia), winter air temperature extremes play an especially important role. We conclude that rainfall and temperature regimes are both important in western North America, western Gulf of Mexico, and western Australia. With climate change, alterations in temperature and rainfall regimes will affect the global distribution, abundance, and diversity of mangrove forests. In general, warmer winter temperatures are expected to allow mangroves to expand poleward at the expense of salt marshes. However, dispersal and habitat availability constraints may hinder expansion near certain range limits. Along arid and semiarid coasts, decreases or increases in rainfall are expected to lead to mangrove contraction or expansion, respectively. Collectively, our analyses quantify climate–mangrove linkages and improve our understanding of the expect…","author":[{"dropping-particle":"","family":"Osland","given":"Michael J.","non-dropping-particle":"","parse-names":false,"suffix":""},{"dropping-particle":"","family":"Feher","given":"Laura C.","non-dropping-particle":"","parse-names":false,"suffix":""},{"dropping-particle":"","family":"Griffith","given":"Kereen T.","non-dropping-particle":"","parse-names":false,"suffix":""},{"dropping-particle":"","family":"Cavanaugh","given":"Kyle C.","non-dropping-particle":"","parse-names":false,"suffix":""},{"dropping-particle":"","family":"Enwright","given":"Nicholas M.","non-dropping-particle":"","parse-names":false,"suffix":""},{"dropping-particle":"","family":"Day","given":"Richard H.","non-dropping-particle":"","parse-names":false,"suffix":""},{"dropping-particle":"","family":"Stagg","given":"Camille L.","non-dropping-particle":"","parse-names":false,"suffix":""},{"dropping-particle":"","family":"Krauss","given":"Ken W.","non-dropping-particle":"","parse-names":false,"suffix":""},{"dropping-particle":"","family":"Howard","given":"Rebecca J.","non-dropping-particle":"","parse-names":false,"suffix":""},{"dropping-particle":"","family":"Grace","given":"James B.","non-dropping-particle":"","parse-names":false,"suffix":""},{"dropping-particle":"","family":"Rogers","given":"Kerrylee","non-dropping-particle":"","parse-names":false,"suffix":""}],"container-title":"Ecological Monographs","id":"ITEM-1","issue":"2","issued":{"date-parts":[["2017"]]},"page":"341-359","title":"Climatic controls on the global distribution, abundance, and species richness of mangrove forests","type":"article-journal","volume":"87"},"uris":["http://www.mendeley.com/documents/?uuid=550b02d8-1b48-4bbc-8d4f-87ef91a23f84"]}],"mendeley":{"formattedCitation":"(Osland et al., 2017)","plainTextFormattedCitation":"(Osland et al., 2017)","previouslyFormattedCitation":"(Osland et al., 2017)"},"properties":{"noteIndex":0},"schema":"https://github.com/citation-style-language/schema/raw/master/csl-citation.json"}</w:instrText>
      </w:r>
      <w:r w:rsidRPr="00260745">
        <w:rPr>
          <w:lang w:val="en-US"/>
        </w:rPr>
        <w:fldChar w:fldCharType="separate"/>
      </w:r>
      <w:r w:rsidRPr="00260745">
        <w:rPr>
          <w:noProof/>
          <w:lang w:val="en-US"/>
        </w:rPr>
        <w:t>(Osland et al., 2017)</w:t>
      </w:r>
      <w:r w:rsidRPr="00260745">
        <w:rPr>
          <w:lang w:val="en-US"/>
        </w:rPr>
        <w:fldChar w:fldCharType="end"/>
      </w:r>
      <w:r w:rsidRPr="00260745">
        <w:rPr>
          <w:lang w:val="en-US"/>
        </w:rPr>
        <w:t xml:space="preserve">. Also, the interaction between sea level rise and coastal development will likely influence mangroves ability to migrate landward in response to sea level rise </w:t>
      </w:r>
      <w:r w:rsidRPr="00260745">
        <w:rPr>
          <w:lang w:val="en-US"/>
        </w:rPr>
        <w:fldChar w:fldCharType="begin" w:fldLock="1"/>
      </w:r>
      <w:r w:rsidRPr="00260745">
        <w:rPr>
          <w:lang w:val="en-US"/>
        </w:rPr>
        <w:instrText>ADDIN CSL_CITATION {"citationItems":[{"id":"ITEM-1","itemData":{"DOI":"10.1016/j.oneear.2020.07.010","ISSN":"25903322","abstract":"Blue carbon provides opportunities to mitigate climate change while increasing ecosystem services for coastal communities, including climate change adaptation; however, blue carbon ecosystems are vulnerable to climate change, leading to uncertainties in the future efficacy of these ecosystems. In this review, we assess the potential impacts of climate change on blue carbon. Despite uncertainties, carbon sequestration in coastal ecosystems is enhanced by landward migration of blue carbon habitats, maintenance of sediment supply, restoration, and improved water quality. As an example, landward migration of mangroves could result in carbon sequestration of 1.5 Pg by 2100. Mudflats, seaweed beds, and coastal swamp forests could also contribute to climate change mitigation, although there are large data gaps. Achieving the full potential of blue carbon requires protection and restoration of ecosystems and facilitation of changes in ecosystem dis- tributions with climate change, actions that will also deliver adaptation benefits. Conversely, in the worst- case coastal squeeze scenario, losses of 3.4 Pg of sequestered carbon by 2100 could occur.","author":[{"dropping-particle":"","family":"Lovelock","given":"Catherine E.","non-dropping-particle":"","parse-names":false,"suffix":""},{"dropping-particle":"","family":"Reef","given":"Ruth","non-dropping-particle":"","parse-names":false,"suffix":""}],"container-title":"One Earth","id":"ITEM-1","issue":"2","issued":{"date-parts":[["2020"]]},"page":"195-211","title":"Variable Impacts of Climate Change on Blue Carbon","type":"article-journal","volume":"3"},"uris":["http://www.mendeley.com/documents/?uuid=9197c631-f9b8-4e86-b5fa-923eba689607"]}],"mendeley":{"formattedCitation":"(Lovelock and Reef, 2020)","plainTextFormattedCitation":"(Lovelock and Reef, 2020)","previouslyFormattedCitation":"(Lovelock and Reef, 2020)"},"properties":{"noteIndex":0},"schema":"https://github.com/citation-style-language/schema/raw/master/csl-citation.json"}</w:instrText>
      </w:r>
      <w:r w:rsidRPr="00260745">
        <w:rPr>
          <w:lang w:val="en-US"/>
        </w:rPr>
        <w:fldChar w:fldCharType="separate"/>
      </w:r>
      <w:r w:rsidRPr="00260745">
        <w:rPr>
          <w:noProof/>
          <w:lang w:val="en-US"/>
        </w:rPr>
        <w:t>(Lovelock and Reef, 2020)</w:t>
      </w:r>
      <w:r w:rsidRPr="00260745">
        <w:rPr>
          <w:lang w:val="en-US"/>
        </w:rPr>
        <w:fldChar w:fldCharType="end"/>
      </w:r>
      <w:r w:rsidRPr="00260745">
        <w:rPr>
          <w:lang w:val="en-US"/>
        </w:rPr>
        <w:t xml:space="preserve">. Available landward space for mangroves to migrate into may be limited due to coastal development where mangroves occur in close proximity to human infrastructure (Lovelock and Reef, 2020). Up to 3.4 Pg sequestered C may be lost by 2100 due to coastal “squeeze” (Lovelock and Reef, 2020). In addition, varying geomorphological settings have been shown to play significant roles in mangrove functioning and productivity </w:t>
      </w:r>
      <w:r w:rsidRPr="00260745">
        <w:rPr>
          <w:lang w:val="en-US"/>
        </w:rPr>
        <w:fldChar w:fldCharType="begin" w:fldLock="1"/>
      </w:r>
      <w:r w:rsidR="008A48C6" w:rsidRPr="00260745">
        <w:rPr>
          <w:lang w:val="en-US"/>
        </w:rPr>
        <w:instrText>ADDIN CSL_CITATION {"citationItems":[{"id":"ITEM-1","itemData":{"DOI":"10.1002/ecs2.2841","ISSN":"21508925","abstract":"Mangroves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-1","issue":"8","issued":{"date-parts":[["2019","8","22"]]},"publisher":"John Wiley &amp; Sons, Ltd","title":"Spatial variability of mangrove primary productivity in the neotropics","type":"article-journal","volume":"10"},"uris":["http://www.mendeley.com/documents/?uuid=e62cba23-c956-306d-a48f-a25ddc004d7f"]},{"id":"ITEM-2","itemData":{"DOI":"10.1038/s41558-018-0162-5","ISBN":"4155801801625","ISSN":"17586798","abstract":"Global-scale variation in mangrove ecosystem properties has been explained using a conceptual framework linking geomorphological processes to distinct coastal environmental settings (CES) for nearly 50 years. However, these assumptions have not been empirically tested at the global scale. Here, we show that CES account for global variability in mangrove soil C:N:P stoichiometry and soil organic carbon (SOC) stocks. Using this ecogeomorphology framework, we developed a global model that captures variation in mangrove SOC stocks compatible with distinct CES. We show that mangrove SOC stocks have been underestimated by up to 50% (a difference of roughly 200 Mg ha−1) in carbonate settings and overestimated by up to 86% (around 400 Mg ha−1) in deltaic coastlines. Moreover, we provide information for 57 nations that currently lack SOC data, enabling these and other countries to develop or evaluate their blue carbon inventories.","author":[{"dropping-particle":"","family":"Rovai","given":"André S.","non-dropping-particle":"","parse-names":false,"suffix":""},{"dropping-particle":"","family":"Twilley","given":"Robert R.","non-dropping-particle":"","parse-names":false,"suffix":""},{"dropping-particle":"","family":"Castañeda-Moya","given":"Edward","non-dropping-particle":"","parse-names":false,"suffix":""},{"dropping-particle":"","family":"Riul","given":"Pablo","non-dropping-particle":"","parse-names":false,"suffix":""},{"dropping-particle":"","family":"Cifuentes-Jara","given":"Miguel","non-dropping-particle":"","parse-names":false,"suffix":""},{"dropping-particle":"","family":"Manrow-Villalobos","given":"Marilyn","non-dropping-particle":"","parse-names":false,"suffix":""},{"dropping-particle":"","family":"Horta","given":"Paulo A.","non-dropping-particle":"","parse-names":false,"suffix":""},{"dropping-particle":"","family":"Simonassi","given":"José C.","non-dropping-particle":"","parse-names":false,"suffix":""},{"dropping-particle":"","family":"Fonseca","given":"Alessandra L.","non-dropping-particle":"","parse-names":false,"suffix":""},{"dropping-particle":"","family":"Pagliosa","given":"Paulo R.","non-dropping-particle":"","parse-names":false,"suffix":""}],"container-title":"Nature Climate Change","id":"ITEM-2","issue":"6","issued":{"date-parts":[["2018","6","28"]]},"page":"534-538","publisher":"Nature Publishing Group","title":"Global controls on carbon storage in mangrove soils","type":"article-journal","volume":"8"},"uris":["http://www.mendeley.com/documents/?uuid=e218dcd6-b535-3f7d-a08f-4983ee271d59"]}],"mendeley":{"formattedCitation":"(Ribeiro et al., 2019; Rovai et al., 2018)","plainTextFormattedCitation":"(Ribeiro et al., 2019; Rovai et al., 2018)","previouslyFormattedCitation":"(Ribeiro et al., 2019; Rovai et al., 2018)"},"properties":{"noteIndex":0},"schema":"https://github.com/citation-style-language/schema/raw/master/csl-citation.json"}</w:instrText>
      </w:r>
      <w:r w:rsidRPr="00260745">
        <w:rPr>
          <w:lang w:val="en-US"/>
        </w:rPr>
        <w:fldChar w:fldCharType="separate"/>
      </w:r>
      <w:r w:rsidR="008A48C6" w:rsidRPr="00260745">
        <w:rPr>
          <w:noProof/>
          <w:lang w:val="en-US"/>
        </w:rPr>
        <w:t>(Ribeiro et al., 2019; Rovai et al., 2018)</w:t>
      </w:r>
      <w:r w:rsidRPr="00260745">
        <w:rPr>
          <w:lang w:val="en-US"/>
        </w:rPr>
        <w:fldChar w:fldCharType="end"/>
      </w:r>
      <w:r w:rsidRPr="00260745">
        <w:rPr>
          <w:lang w:val="en-US"/>
        </w:rPr>
        <w:t xml:space="preserve">. For example, high nutrient availability and reduced soil salinity in riverine mangroves are associated with comparatively high aboveground biomass and productivity rates. </w:t>
      </w:r>
      <w:r w:rsidRPr="00260745">
        <w:rPr>
          <w:lang w:val="en-US"/>
        </w:rPr>
        <w:fldChar w:fldCharType="begin" w:fldLock="1"/>
      </w:r>
      <w:r w:rsidRPr="00260745">
        <w:rPr>
          <w:lang w:val="en-US"/>
        </w:rPr>
        <w:instrText>ADDIN CSL_CITATION {"citationItems":[{"id":"ITEM-1","itemData":{"DOI":"10.1016/B978-0-444-63893-9.00021-6","ISBN":"9780444638939","abstract":"Mangrove-dominated estuaries and coastlines contribute significantly to biogeochemical processes at local, regional, and global scales. This review will utilize multiple conceptual models to test how mangrove geomorphological settings (muddy, estuarine, and carbonate coasts) are related to patterns of nutrient biogeochemistry and how disturbances influence these processes over time and space. The ecogeomorphology model describes mangrove wetlands along a hierarchical scale from local multigradient interactions to regional sedimentary environments and to global patterns of climatic and biogeographic constraints. As an example, nitrogen is potentially limiting in many locations where sediment deposition provides sufficient soil phosphorus (P) density to saturate growth conditions, whereas P is more limiting in karstic mangrove settings, reflecting the influence of geomorphological setting on the ecology of mangrove wetlands. Next, the geochemical model provides ecological links along fringe and inland zones where resource and regulator gradients across soil redox zones vary with depth and season. These models can be used in combination to explain biogeochemical variation among coastal settings, such as sulfate reduction and iron availability affecting growth conditions as either a regulator (i.e., sulfide as a plant stressor) or resource (i.e., P availability).","author":[{"dropping-particle":"","family":"Twilley","given":"Robert R.","non-dropping-particle":"","parse-names":false,"suffix":""},{"dropping-particle":"","family":"Rivera-Monroy","given":"Victor H.","non-dropping-particle":"","parse-names":false,"suffix":""},{"dropping-particle":"","family":"Rovai","given":"Andre S.","non-dropping-particle":"","parse-names":false,"suffix":""},{"dropping-particle":"","family":"Castañeda-Moya","given":"Edward","non-dropping-particle":"","parse-names":false,"suffix":""},{"dropping-particle":"","family":"Davis","given":"Stephen","non-dropping-particle":"","parse-names":false,"suffix":""}],"container-title":"Coastal Wetlands: An Integrated Ecosystem Approach","id":"ITEM-1","issued":{"date-parts":[["2019"]]},"page":"717-785","title":"Mangrove biogeochemistry at local to global scales using ecogeomorphic approaches","type":"chapter"},"uris":["http://www.mendeley.com/documents/?uuid=97bb4544-cbb9-4268-8aa8-48d0f219ea6d"]}],"mendeley":{"formattedCitation":"(Twilley et al., 2019)","plainTextFormattedCitation":"(Twilley et al., 2019)","previouslyFormattedCitation":"(Twilley et al., 2019)"},"properties":{"noteIndex":0},"schema":"https://github.com/citation-style-language/schema/raw/master/csl-citation.json"}</w:instrText>
      </w:r>
      <w:r w:rsidRPr="00260745">
        <w:rPr>
          <w:lang w:val="en-US"/>
        </w:rPr>
        <w:fldChar w:fldCharType="separate"/>
      </w:r>
      <w:r w:rsidRPr="00260745">
        <w:rPr>
          <w:noProof/>
          <w:lang w:val="en-US"/>
        </w:rPr>
        <w:t>(Twilley et al., 2019)</w:t>
      </w:r>
      <w:r w:rsidRPr="00260745">
        <w:rPr>
          <w:lang w:val="en-US"/>
        </w:rPr>
        <w:fldChar w:fldCharType="end"/>
      </w:r>
      <w:r w:rsidRPr="00260745">
        <w:rPr>
          <w:lang w:val="en-US"/>
        </w:rPr>
        <w:t>. However, as the aim of the current study was to predict the potential effects of climate change on mangrove NPP, only climatic predictors were used. Despite leaving out geophysical parameters</w:t>
      </w:r>
      <w:r w:rsidR="00C1513B">
        <w:rPr>
          <w:lang w:val="en-US"/>
        </w:rPr>
        <w:t xml:space="preserve"> and soil salinity</w:t>
      </w:r>
      <w:r w:rsidRPr="00260745">
        <w:rPr>
          <w:lang w:val="en-US"/>
        </w:rPr>
        <w:t xml:space="preserve"> from predictive models, the predictive power of the model used in this study was higher (ΔR</w:t>
      </w:r>
      <w:r w:rsidRPr="00260745">
        <w:rPr>
          <w:vertAlign w:val="superscript"/>
          <w:lang w:val="en-US"/>
        </w:rPr>
        <w:t>2</w:t>
      </w:r>
      <w:r w:rsidRPr="00260745">
        <w:rPr>
          <w:lang w:val="en-US"/>
        </w:rPr>
        <w:t xml:space="preserve">=+0.30) than that used by Ribeiro et al. (2019), who </w:t>
      </w:r>
      <w:r w:rsidRPr="00260745">
        <w:rPr>
          <w:lang w:val="en-US"/>
        </w:rPr>
        <w:lastRenderedPageBreak/>
        <w:t>used a combination of climate and geophysical predictors to estimate continental scale mangrove litter fall rates.</w:t>
      </w:r>
    </w:p>
    <w:p w14:paraId="253D2F47" w14:textId="77777777" w:rsidR="00CF7991" w:rsidRPr="00260745" w:rsidRDefault="00CF7991" w:rsidP="00CF7991">
      <w:pPr>
        <w:spacing w:line="480" w:lineRule="auto"/>
        <w:rPr>
          <w:lang w:val="en-US"/>
        </w:rPr>
      </w:pPr>
    </w:p>
    <w:p w14:paraId="374B7D4D" w14:textId="77777777" w:rsidR="00CF7991" w:rsidRPr="00260745" w:rsidRDefault="00CF7991" w:rsidP="00CF7991">
      <w:pPr>
        <w:spacing w:line="480" w:lineRule="auto"/>
        <w:rPr>
          <w:lang w:val="en-US"/>
        </w:rPr>
      </w:pPr>
      <w:r w:rsidRPr="00260745">
        <w:rPr>
          <w:lang w:val="en-US"/>
        </w:rPr>
        <w:t>Despite these limitations, our study is a first to predict global mangrove Net Primary Productivity (NPP) on a monthly scale over a 115-year time period. We estimate little net change global in NPP by the end of the 21</w:t>
      </w:r>
      <w:r w:rsidRPr="00260745">
        <w:rPr>
          <w:vertAlign w:val="superscript"/>
          <w:lang w:val="en-US"/>
        </w:rPr>
        <w:t>st</w:t>
      </w:r>
      <w:r w:rsidRPr="00260745">
        <w:rPr>
          <w:lang w:val="en-US"/>
        </w:rPr>
        <w:t xml:space="preserve"> century, however, significant regional changes may still occur, particularly at the extremities of global mangrove distribution. These results have implications for ecosystem services that mangroves provide. Mangroves’ ability to capture and store carbon over long time horizons, which has received much scientific and political interest </w:t>
      </w:r>
      <w:r w:rsidRPr="00260745">
        <w:rPr>
          <w:lang w:val="en-US"/>
        </w:rPr>
        <w:fldChar w:fldCharType="begin" w:fldLock="1"/>
      </w:r>
      <w:r w:rsidRPr="00260745">
        <w:rPr>
          <w:lang w:val="en-US"/>
        </w:rPr>
        <w:instrText>ADDIN CSL_CITATION {"citationItems":[{"id":"ITEM-1","itemData":{"DOI":"10.1038/ngeo1123","ISBN":"1752-0894","ISSN":"1752-0894","PMID":"17701399","abstract":"Mangrove forests occur along ocean coastlines throughout the tropics, and support numerous ecosystem services, including fisheries production and nutrient cycling. However, the areal extent of mangrove forests has declined by 30–50% over the past half century as a result of coastal development, aqua- culture expansion and over-harvesting1–4. Carbon emissions resulting from mangrove loss are uncertain, owing in part to a lack of broad-scale data on the amount of carbon stored in these ecosystems, particularly below ground5. Here, we quantified whole-ecosystem carbon storage by measuring tree and dead wood biomass, soil carbon content, and soil depth in 25 mangrove forests across a broad area of the Indo-Pacific region—spanning 30◦ of latitude and 73◦ of longitude—where mangrove area and diversity are greatest4,6. These data indi- cate that mangroves are among the most carbon-rich forests in the tropics, containing on average 1,023Mg carbon per hectare. Organic-rich soils ranged from 0.5mto more than 3m in depth and accounted for 49–98% of carbon storage in these systems. Combining our data with other published information, we estimate that mangrove deforestation generates emissions of 0.02–0.12Pg carbon per year—as much as around 10% of emissions from deforestation globally, despite accounting for just 0.7%of tropical forest area.","author":[{"dropping-particle":"","family":"Donato","given":"Daniel C.","non-dropping-particle":"","parse-names":false,"suffix":""},{"dropping-particle":"","family":"Kauffman","given":"J. Boone","non-dropping-particle":"","parse-names":false,"suffix":""},{"dropping-particle":"","family":"Murdiyarso","given":"Daniel","non-dropping-particle":"","parse-names":false,"suffix":""},{"dropping-particle":"","family":"Kurnianto","given":"Sofyan","non-dropping-particle":"","parse-names":false,"suffix":""},{"dropping-particle":"","family":"Stidham","given":"Melanie","non-dropping-particle":"","parse-names":false,"suffix":""},{"dropping-particle":"","family":"Kanninen","given":"Markku","non-dropping-particle":"","parse-names":false,"suffix":""}],"container-title":"Nature Geoscience","id":"ITEM-1","issue":"5","issued":{"date-parts":[["2011"]]},"page":"293-297","title":"Mangroves among the most carbon-rich forests in the tropics","type":"article-journal","volume":"4"},"uris":["http://www.mendeley.com/documents/?uuid=490346f7-5ac8-4ae2-8d0c-30ebcec82312"]},{"id":"ITEM-2","itemData":{"DOI":"10.1007/s13157-011-0148-9","ISBN":"0277-5212","ISSN":"02775212","PMID":"24834737","abstract":"Among the least studied ecosystem services of mangroves is their value as global carbon (C) stocks. This is significant as mangroves are subject to rapid rates of deforestation and therefore could be significant sources of atmospheric emissions. Mangroves could be key ecosystems in strategies addressing the mitigation of climate change though reduced deforestation. We quantified ecosystem C stocks at the seaward, interior, and upland edges of mangroves in the Republic of Palau and Yap, Federated States of Micronesia. The relatively high aboveground biomass coupled with carbon-rich soils resulted in the presence of large ecosystem carbon stocks compared to other tropical forests. Ecosystem C storage at the Palau site ranged from 479Mg/ha in the seaward zone to 1,068Mg/ha in the landward zone; in the Yap site C storage ranged from 853 to 1,385 Mg/ha along this gradient. Soils contained ~70% of the ecosystem C stocks. The elevation range of mangroves was &lt;146 cm, suggesting that projected sea-level rise can influence a large portion of existing stands. Declines in ecosystem carbon stocks will be pronounced if mangroves are replaced by communities adapted to greater inundation such as seagrass communities, where C pools were =7% of that of mangroves (48 Mg C/ha).","author":[{"dropping-particle":"","family":"Kauffman","given":"J. Boone","non-dropping-particle":"","parse-names":false,"suffix":""},{"dropping-particle":"","family":"Heider","given":"Chris","non-dropping-particle":"","parse-names":false,"suffix":""},{"dropping-particle":"","family":"Cole","given":"Thomas G.","non-dropping-particle":"","parse-names":false,"suffix":""},{"dropping-particle":"","family":"Dwire","given":"Kathleen A.","non-dropping-particle":"","parse-names":false,"suffix":""},{"dropping-particle":"","family":"Donato","given":"Daniel C.","non-dropping-particle":"","parse-names":false,"suffix":""}],"container-title":"Wetlands","id":"ITEM-2","issue":"2","issued":{"date-parts":[["2011"]]},"page":"343-352","title":"Ecosystem carbon stocks of micronesian mangrove forests","type":"article-journal","volume":"31"},"uris":["http://www.mendeley.com/documents/?uuid=22ed9481-6a2e-3a46-bd1d-2bb5889bec94"]}],"mendeley":{"formattedCitation":"(Donato et al., 2011; Kauffman et al., 2011)","plainTextFormattedCitation":"(Donato et al., 2011; Kauffman et al., 2011)","previouslyFormattedCitation":"(Donato et al., 2011; Kauffman et al., 2011)"},"properties":{"noteIndex":0},"schema":"https://github.com/citation-style-language/schema/raw/master/csl-citation.json"}</w:instrText>
      </w:r>
      <w:r w:rsidRPr="00260745">
        <w:rPr>
          <w:lang w:val="en-US"/>
        </w:rPr>
        <w:fldChar w:fldCharType="separate"/>
      </w:r>
      <w:r w:rsidRPr="00260745">
        <w:rPr>
          <w:noProof/>
          <w:lang w:val="en-US"/>
        </w:rPr>
        <w:t>(Donato et al., 2011; Kauffman et al., 2011)</w:t>
      </w:r>
      <w:r w:rsidRPr="00260745">
        <w:rPr>
          <w:lang w:val="en-US"/>
        </w:rPr>
        <w:fldChar w:fldCharType="end"/>
      </w:r>
      <w:r w:rsidRPr="00260745">
        <w:rPr>
          <w:lang w:val="en-US"/>
        </w:rPr>
        <w:t xml:space="preserve">, is closely associated to NPP </w:t>
      </w:r>
      <w:r w:rsidRPr="00260745">
        <w:rPr>
          <w:lang w:val="en-US"/>
        </w:rPr>
        <w:fldChar w:fldCharType="begin" w:fldLock="1"/>
      </w:r>
      <w:r w:rsidRPr="00260745">
        <w:rPr>
          <w:lang w:val="en-US"/>
        </w:rPr>
        <w:instrText>ADDIN CSL_CITATION {"citationItems":[{"id":"ITEM-1","itemData":{"DOI":"10.1029/2007GB003052","ISBN":"0886-6236","ISSN":"08866236","PMID":"208059789","abstract":"Mangrove forests are highly productive but globally threatened coastal ecosystems, whose role in the carbon budget of the coastal zone has long been debated. Here we provide a comprehensive synthesis of the available data on carbon fluxes in mangrove ecosystems. A reassessment of global mangrove primary production from the literature results in a conservative estimate of similar to 218 +/- 72 Tg C a(-1). When using the best available estimates of various carbon sinks (organic carbon export, sediment burial, and mineralization), it appears that &gt; 50% of the carbon fixed by mangrove vegetation is unaccounted for. This unaccounted carbon sink is conservatively estimated at similar to 112 +/- 85 Tg C a(-1), equivalent in magnitude to similar to 30-40% of the global riverine organic carbon input to the coastal zone. Our analysis suggests that mineralization is severely underestimated, and that the majority of carbon export from mangroves to adjacent waters occurs as dissolved inorganic carbon (DIC). CO(2) efflux from sediments and creek waters and tidal export of DIC appear to be the major sinks. These processes are quantitatively comparable in magnitude to the unaccounted carbon sink in current budgets, but are not yet adequately constrained with the limited published data available so far.","author":[{"dropping-particle":"","family":"Bouillon","given":"Steven","non-dropping-particle":"","parse-names":false,"suffix":""},{"dropping-particle":"V.","family":"Borges","given":"Alberto","non-dropping-particle":"","parse-names":false,"suffix":""},{"dropping-particle":"","family":"Castañeda-Moya","given":"Edward","non-dropping-particle":"","parse-names":false,"suffix":""},{"dropping-particle":"","family":"Diele","given":"Karen","non-dropping-particle":"","parse-names":false,"suffix":""},{"dropping-particle":"","family":"Dittmar","given":"Thorsten","non-dropping-particle":"","parse-names":false,"suffix":""},{"dropping-particle":"","family":"Duke","given":"Norman C.","non-dropping-particle":"","parse-names":false,"suffix":""},{"dropping-particle":"","family":"Kristensen","given":"Erik","non-dropping-particle":"","parse-names":false,"suffix":""},{"dropping-particle":"","family":"Lee","given":"Shing Y.","non-dropping-particle":"","parse-names":false,"suffix":""},{"dropping-particle":"","family":"Marchand","given":"Cyril","non-dropping-particle":"","parse-names":false,"suffix":""},{"dropping-particle":"","family":"Middelburg","given":"Jack J.","non-dropping-particle":"","parse-names":false,"suffix":""},{"dropping-particle":"","family":"Rivera-Monroy","given":"Victor H.","non-dropping-particle":"","parse-names":false,"suffix":""},{"dropping-particle":"","family":"Smith","given":"Thomas J.","non-dropping-particle":"","parse-names":false,"suffix":""},{"dropping-particle":"","family":"Twilley","given":"Robert R.","non-dropping-particle":"","parse-names":false,"suffix":""}],"container-title":"Global Biogeochemical Cycles","id":"ITEM-1","issue":"2","issued":{"date-parts":[["2008","6","9"]]},"title":"Mangrove production and carbon sinks: A revision of global budget estimates","type":"article-journal","volume":"22"},"uris":["http://www.mendeley.com/documents/?uuid=4c6861df-7364-4b1c-b518-f90c03ee1c54"]}],"mendeley":{"formattedCitation":"(Bouillon et al., 2008)","plainTextFormattedCitation":"(Bouillon et al., 2008)","previouslyFormattedCitation":"(Bouillon et al., 2008)"},"properties":{"noteIndex":0},"schema":"https://github.com/citation-style-language/schema/raw/master/csl-citation.json"}</w:instrText>
      </w:r>
      <w:r w:rsidRPr="00260745">
        <w:rPr>
          <w:lang w:val="en-US"/>
        </w:rPr>
        <w:fldChar w:fldCharType="separate"/>
      </w:r>
      <w:r w:rsidRPr="00260745">
        <w:rPr>
          <w:noProof/>
          <w:lang w:val="en-US"/>
        </w:rPr>
        <w:t>(Bouillon et al., 2008)</w:t>
      </w:r>
      <w:r w:rsidRPr="00260745">
        <w:rPr>
          <w:lang w:val="en-US"/>
        </w:rPr>
        <w:fldChar w:fldCharType="end"/>
      </w:r>
      <w:r w:rsidRPr="00260745">
        <w:rPr>
          <w:lang w:val="en-US"/>
        </w:rPr>
        <w:t xml:space="preserve">. Relative shifts in NPP by as much as +60.58 ±65.27% to -11.45 ± 4.14% would also result in significant changes to input rates of mangrove derived organic matter in respective mangrove regions, thus impacting mangrove sequestration rates. In addition, as ~50% of mangrove litter is exported to </w:t>
      </w:r>
      <w:proofErr w:type="spellStart"/>
      <w:r w:rsidRPr="00260745">
        <w:rPr>
          <w:lang w:val="en-US"/>
        </w:rPr>
        <w:t>neighbouring</w:t>
      </w:r>
      <w:proofErr w:type="spellEnd"/>
      <w:r w:rsidRPr="00260745">
        <w:rPr>
          <w:lang w:val="en-US"/>
        </w:rPr>
        <w:t xml:space="preserve"> ecosystems </w:t>
      </w:r>
      <w:r w:rsidRPr="00260745">
        <w:rPr>
          <w:lang w:val="en-US"/>
        </w:rPr>
        <w:fldChar w:fldCharType="begin" w:fldLock="1"/>
      </w:r>
      <w:r w:rsidRPr="00260745">
        <w:rPr>
          <w:lang w:val="en-US"/>
        </w:rPr>
        <w:instrText>ADDIN CSL_CITATION {"citationItems":[{"id":"ITEM-1","itemData":{"DOI":"10.1007/978-3-319-62206-4_5","ISBN":"9783319622064","abstract":"This chapter focuses on the net primary productivity and carbon (C) dynamics of mangrove wetlands as related to the potential to sequester atmospheric C in above- and belowground biomass and in the soil. We discuss the large variation in ecosystem properties across different coastal environmental settings and pay particular attention to global patterns of these ecosystem processes comparing the Atlantic-East-Pacific and Indo-West-Pacific biogeographic regions. Deltaic coasts have higher aboveground biomass (AGB) compared to other continental settings, but the highest average AGB was found in high oceanic islands. The global average rates of litter fall (NPPL) and (NPPW) wood production are about 6 t ha-1 yr-1 for aboveground net primary productivity (NPPA) of about 12 t ha-1 yr-1. The relative contribution of belowground allocation to soil C storage and wood production to total net primary productivity (NPPT) in mangrove wetlands has significant implications to net C exchange in these coastal forested wetlands. Examples are given to demonstrate that net ecosystem production (NEP) and net ecosystem carbon exchange for mangrove wetlands have implications to the debate on how coastal ecosystems influence the global C budget. Wood production is about 600 g dry mass m yr or about 300 gC m-2 yr-1. The average C sequestration in mangroves soils org(∆Sorg) is about 224 gC m yr. The sum of these two measures (NPPW + ∆Sorg) is an estimate of NEP at about 525 gC m-2 yr-1. A general conclusion based on these different approaches, and reviewing the existing global literature, is that NEP accumulates about 500 gC m-2 yr-1, equally distributed between wood production and soil C accumulation. The importance of above and belowground contributions to global estimates of C sequestration above- and belowground reinforces the need for a better understanding of biomass allocation in these systems. The net tidal exchange of inorganic and organic carbon is about 400 gC m-2 yr-1 with nearly equal distribution in these forms of carbon to coastal waters. It is not clear how the fate of this material may influence net carbon exchange in the coastal zone, which is a very active area of research. We also suggest that more information is needed on how the disturbance of mangrove wetlands, including their recovery, may influence net carbon flux in the coastal zone.","author":[{"dropping-particle":"","family":"Twilley","given":"Robert R.","non-dropping-particle":"","parse-names":false,"suffix":""},{"dropping-particle":"","family":"Castañeda-Moya","given":"Edward","non-dropping-particle":"","parse-names":false,"suffix":""},{"dropping-particle":"","family":"Rivera-Monroy","given":"Victor H.","non-dropping-particle":"","parse-names":false,"suffix":""},{"dropping-particle":"","family":"Rovai","given":"Andre","non-dropping-particle":"","parse-names":false,"suffix":""}],"container-title":"Mangrove Ecosystems: A Global Biogeographic Perspective: Structure, Function, and Services","id":"ITEM-1","issued":{"date-parts":[["2017"]]},"page":"113-162","title":"Productivity and carbon dynamics in mangrove wetlands","type":"chapter"},"uris":["http://www.mendeley.com/documents/?uuid=558d75c5-5721-4921-a5a0-772b73ae4589"]}],"mendeley":{"formattedCitation":"(Twilley et al., 2017)","plainTextFormattedCitation":"(Twilley et al., 2017)","previouslyFormattedCitation":"(Twilley et al., 2017)"},"properties":{"noteIndex":0},"schema":"https://github.com/citation-style-language/schema/raw/master/csl-citation.json"}</w:instrText>
      </w:r>
      <w:r w:rsidRPr="00260745">
        <w:rPr>
          <w:lang w:val="en-US"/>
        </w:rPr>
        <w:fldChar w:fldCharType="separate"/>
      </w:r>
      <w:r w:rsidRPr="00260745">
        <w:rPr>
          <w:noProof/>
          <w:lang w:val="en-US"/>
        </w:rPr>
        <w:t>(Twilley et al., 2017)</w:t>
      </w:r>
      <w:r w:rsidRPr="00260745">
        <w:rPr>
          <w:lang w:val="en-US"/>
        </w:rPr>
        <w:fldChar w:fldCharType="end"/>
      </w:r>
      <w:r w:rsidRPr="00260745">
        <w:rPr>
          <w:lang w:val="en-US"/>
        </w:rPr>
        <w:t xml:space="preserve"> significant changes would occur in adjacent ecosystems carbon cycling. </w:t>
      </w:r>
    </w:p>
    <w:p w14:paraId="0CCC7DDC" w14:textId="77777777" w:rsidR="009C75D7" w:rsidRDefault="009C75D7" w:rsidP="00FA0744">
      <w:pPr>
        <w:widowControl w:val="0"/>
        <w:autoSpaceDE w:val="0"/>
        <w:autoSpaceDN w:val="0"/>
        <w:adjustRightInd w:val="0"/>
        <w:spacing w:line="480" w:lineRule="auto"/>
        <w:sectPr w:rsidR="009C75D7" w:rsidSect="00DE32EB">
          <w:pgSz w:w="11906" w:h="16838"/>
          <w:pgMar w:top="1440" w:right="1440" w:bottom="1440" w:left="1440" w:header="708" w:footer="708" w:gutter="0"/>
          <w:cols w:space="708"/>
          <w:docGrid w:linePitch="360"/>
        </w:sectPr>
      </w:pPr>
    </w:p>
    <w:p w14:paraId="1C051526" w14:textId="77777777" w:rsidR="009C75D7" w:rsidRDefault="009C75D7" w:rsidP="00FA0744">
      <w:pPr>
        <w:widowControl w:val="0"/>
        <w:autoSpaceDE w:val="0"/>
        <w:autoSpaceDN w:val="0"/>
        <w:adjustRightInd w:val="0"/>
        <w:spacing w:line="480" w:lineRule="auto"/>
        <w:sectPr w:rsidR="009C75D7" w:rsidSect="00DE32EB">
          <w:pgSz w:w="11906" w:h="16838"/>
          <w:pgMar w:top="1440" w:right="1440" w:bottom="1440" w:left="1440" w:header="708" w:footer="708" w:gutter="0"/>
          <w:cols w:space="708"/>
          <w:docGrid w:linePitch="360"/>
        </w:sectPr>
      </w:pPr>
    </w:p>
    <w:p w14:paraId="3AFD981A" w14:textId="183354BD" w:rsidR="009C75D7" w:rsidRPr="00AB0EF4" w:rsidRDefault="009C75D7" w:rsidP="002934A0">
      <w:pPr>
        <w:pStyle w:val="Heading1"/>
        <w:ind w:left="1134" w:hanging="567"/>
        <w:rPr>
          <w:rFonts w:asciiTheme="minorHAnsi" w:hAnsiTheme="minorHAnsi" w:cstheme="minorHAnsi"/>
          <w:b/>
          <w:bCs/>
          <w:color w:val="auto"/>
          <w:sz w:val="36"/>
          <w:szCs w:val="36"/>
        </w:rPr>
      </w:pPr>
      <w:bookmarkStart w:id="37" w:name="_Toc120622126"/>
      <w:r>
        <w:rPr>
          <w:rFonts w:asciiTheme="minorHAnsi" w:hAnsiTheme="minorHAnsi" w:cstheme="minorHAnsi"/>
          <w:b/>
          <w:bCs/>
          <w:color w:val="auto"/>
          <w:sz w:val="36"/>
          <w:szCs w:val="36"/>
        </w:rPr>
        <w:lastRenderedPageBreak/>
        <w:t>4</w:t>
      </w:r>
      <w:r w:rsidRPr="00AB0EF4">
        <w:rPr>
          <w:rFonts w:asciiTheme="minorHAnsi" w:hAnsiTheme="minorHAnsi" w:cstheme="minorHAnsi"/>
          <w:b/>
          <w:bCs/>
          <w:color w:val="auto"/>
          <w:sz w:val="36"/>
          <w:szCs w:val="36"/>
        </w:rPr>
        <w:t>.</w:t>
      </w:r>
      <w:r w:rsidRPr="00AB0EF4">
        <w:rPr>
          <w:rFonts w:asciiTheme="minorHAnsi" w:hAnsiTheme="minorHAnsi" w:cstheme="minorHAnsi"/>
          <w:b/>
          <w:bCs/>
          <w:color w:val="auto"/>
          <w:sz w:val="36"/>
          <w:szCs w:val="36"/>
        </w:rPr>
        <w:tab/>
        <w:t>Mangrove carbon stocks and biomass partitioning in an extreme environment</w:t>
      </w:r>
      <w:bookmarkEnd w:id="37"/>
    </w:p>
    <w:p w14:paraId="2DC0E980" w14:textId="77777777" w:rsidR="009C75D7" w:rsidRDefault="009C75D7" w:rsidP="002934A0"/>
    <w:p w14:paraId="5CCA94FC" w14:textId="0E9A6FC8" w:rsidR="009C75D7" w:rsidRDefault="009C75D7" w:rsidP="002934A0">
      <w:pPr>
        <w:rPr>
          <w:vertAlign w:val="superscript"/>
        </w:rPr>
      </w:pPr>
      <w:r w:rsidRPr="0067054C">
        <w:t xml:space="preserve">Mark </w:t>
      </w:r>
      <w:proofErr w:type="spellStart"/>
      <w:proofErr w:type="gramStart"/>
      <w:r w:rsidRPr="0067054C">
        <w:t>Chatting</w:t>
      </w:r>
      <w:r w:rsidRPr="0067054C">
        <w:rPr>
          <w:vertAlign w:val="superscript"/>
        </w:rPr>
        <w:t>a,c</w:t>
      </w:r>
      <w:proofErr w:type="spellEnd"/>
      <w:proofErr w:type="gramEnd"/>
      <w:r w:rsidRPr="0067054C">
        <w:t xml:space="preserve">, Lewis </w:t>
      </w:r>
      <w:proofErr w:type="spellStart"/>
      <w:r w:rsidRPr="0067054C">
        <w:t>LeVay</w:t>
      </w:r>
      <w:r w:rsidRPr="0067054C">
        <w:rPr>
          <w:vertAlign w:val="superscript"/>
        </w:rPr>
        <w:t>b</w:t>
      </w:r>
      <w:proofErr w:type="spellEnd"/>
      <w:r w:rsidRPr="0067054C">
        <w:t xml:space="preserve">, Mark </w:t>
      </w:r>
      <w:proofErr w:type="spellStart"/>
      <w:r w:rsidRPr="0067054C">
        <w:t>Walton</w:t>
      </w:r>
      <w:r w:rsidRPr="0067054C">
        <w:rPr>
          <w:vertAlign w:val="superscript"/>
        </w:rPr>
        <w:t>b</w:t>
      </w:r>
      <w:proofErr w:type="spellEnd"/>
      <w:r w:rsidRPr="0067054C">
        <w:t xml:space="preserve">, Martin W </w:t>
      </w:r>
      <w:proofErr w:type="spellStart"/>
      <w:r w:rsidRPr="0067054C">
        <w:t>Skov</w:t>
      </w:r>
      <w:r w:rsidRPr="0067054C">
        <w:rPr>
          <w:vertAlign w:val="superscript"/>
        </w:rPr>
        <w:t>c</w:t>
      </w:r>
      <w:proofErr w:type="spellEnd"/>
      <w:r w:rsidRPr="0067054C">
        <w:t xml:space="preserve">, Hilary </w:t>
      </w:r>
      <w:proofErr w:type="spellStart"/>
      <w:r w:rsidRPr="0067054C">
        <w:t>Kennedy</w:t>
      </w:r>
      <w:r w:rsidRPr="0067054C">
        <w:rPr>
          <w:vertAlign w:val="superscript"/>
        </w:rPr>
        <w:t>c</w:t>
      </w:r>
      <w:proofErr w:type="spellEnd"/>
      <w:r w:rsidRPr="0067054C">
        <w:t xml:space="preserve">, Simon </w:t>
      </w:r>
      <w:proofErr w:type="spellStart"/>
      <w:r w:rsidRPr="0067054C">
        <w:t>Wilson</w:t>
      </w:r>
      <w:r w:rsidRPr="0067054C">
        <w:rPr>
          <w:vertAlign w:val="superscript"/>
        </w:rPr>
        <w:t>d</w:t>
      </w:r>
      <w:proofErr w:type="spellEnd"/>
      <w:r w:rsidRPr="0067054C">
        <w:t xml:space="preserve"> and Ibrahim Al-</w:t>
      </w:r>
      <w:proofErr w:type="spellStart"/>
      <w:r w:rsidRPr="0067054C">
        <w:t>Maslamani</w:t>
      </w:r>
      <w:r w:rsidRPr="0067054C">
        <w:rPr>
          <w:vertAlign w:val="superscript"/>
        </w:rPr>
        <w:t>e</w:t>
      </w:r>
      <w:proofErr w:type="spellEnd"/>
    </w:p>
    <w:p w14:paraId="55BF0666" w14:textId="77777777" w:rsidR="002934A0" w:rsidRPr="0067054C" w:rsidRDefault="002934A0" w:rsidP="009C75D7">
      <w:pPr>
        <w:rPr>
          <w:i/>
          <w:iCs/>
        </w:rPr>
      </w:pPr>
    </w:p>
    <w:p w14:paraId="62C27E4E" w14:textId="77777777" w:rsidR="009C75D7" w:rsidRPr="00504972" w:rsidRDefault="009C75D7" w:rsidP="009C75D7">
      <w:pPr>
        <w:rPr>
          <w:sz w:val="18"/>
          <w:szCs w:val="18"/>
        </w:rPr>
      </w:pPr>
      <w:proofErr w:type="spellStart"/>
      <w:r w:rsidRPr="00504972">
        <w:rPr>
          <w:sz w:val="18"/>
          <w:szCs w:val="18"/>
          <w:vertAlign w:val="superscript"/>
        </w:rPr>
        <w:t>a</w:t>
      </w:r>
      <w:r w:rsidRPr="00504972">
        <w:rPr>
          <w:sz w:val="18"/>
          <w:szCs w:val="18"/>
        </w:rPr>
        <w:t>Environmental</w:t>
      </w:r>
      <w:proofErr w:type="spellEnd"/>
      <w:r w:rsidRPr="00504972">
        <w:rPr>
          <w:sz w:val="18"/>
          <w:szCs w:val="18"/>
        </w:rPr>
        <w:t xml:space="preserve"> Science Centre, Qatar University, Doha 2713, Qatar.</w:t>
      </w:r>
    </w:p>
    <w:p w14:paraId="5A7472B7" w14:textId="77777777" w:rsidR="009C75D7" w:rsidRPr="00504972" w:rsidRDefault="009C75D7" w:rsidP="009C75D7">
      <w:pPr>
        <w:rPr>
          <w:sz w:val="18"/>
          <w:szCs w:val="18"/>
        </w:rPr>
      </w:pPr>
      <w:proofErr w:type="spellStart"/>
      <w:r w:rsidRPr="00504972">
        <w:rPr>
          <w:sz w:val="18"/>
          <w:szCs w:val="18"/>
          <w:vertAlign w:val="superscript"/>
        </w:rPr>
        <w:t>b</w:t>
      </w:r>
      <w:r w:rsidRPr="00504972">
        <w:rPr>
          <w:sz w:val="18"/>
          <w:szCs w:val="18"/>
        </w:rPr>
        <w:t>Centre</w:t>
      </w:r>
      <w:proofErr w:type="spellEnd"/>
      <w:r w:rsidRPr="00504972">
        <w:rPr>
          <w:sz w:val="18"/>
          <w:szCs w:val="18"/>
        </w:rPr>
        <w:t xml:space="preserve"> for Applied Marine Sciences, Bangor University, Menai Bridge, Anglesey LL59 5EY, UK. </w:t>
      </w:r>
    </w:p>
    <w:p w14:paraId="4061C467" w14:textId="77777777" w:rsidR="009C75D7" w:rsidRPr="00504972" w:rsidRDefault="009C75D7" w:rsidP="009C75D7">
      <w:pPr>
        <w:rPr>
          <w:sz w:val="18"/>
          <w:szCs w:val="18"/>
        </w:rPr>
      </w:pPr>
      <w:proofErr w:type="spellStart"/>
      <w:r w:rsidRPr="00504972">
        <w:rPr>
          <w:sz w:val="18"/>
          <w:szCs w:val="18"/>
          <w:vertAlign w:val="superscript"/>
        </w:rPr>
        <w:t>c</w:t>
      </w:r>
      <w:r w:rsidRPr="00504972">
        <w:rPr>
          <w:sz w:val="18"/>
          <w:szCs w:val="18"/>
        </w:rPr>
        <w:t>School</w:t>
      </w:r>
      <w:proofErr w:type="spellEnd"/>
      <w:r w:rsidRPr="00504972">
        <w:rPr>
          <w:sz w:val="18"/>
          <w:szCs w:val="18"/>
        </w:rPr>
        <w:t xml:space="preserve"> of Ocean Sciences, Bangor University, Menai Bridge, Anglesey LL59 5EY, UK.</w:t>
      </w:r>
    </w:p>
    <w:p w14:paraId="01B868CE" w14:textId="77777777" w:rsidR="009C75D7" w:rsidRPr="00504972" w:rsidRDefault="009C75D7" w:rsidP="009C75D7">
      <w:pPr>
        <w:rPr>
          <w:sz w:val="18"/>
          <w:szCs w:val="18"/>
        </w:rPr>
      </w:pPr>
      <w:proofErr w:type="spellStart"/>
      <w:r w:rsidRPr="00504972">
        <w:rPr>
          <w:sz w:val="18"/>
          <w:szCs w:val="18"/>
          <w:vertAlign w:val="superscript"/>
        </w:rPr>
        <w:t>d</w:t>
      </w:r>
      <w:r w:rsidRPr="00504972">
        <w:rPr>
          <w:sz w:val="18"/>
          <w:szCs w:val="18"/>
        </w:rPr>
        <w:t>Five</w:t>
      </w:r>
      <w:proofErr w:type="spellEnd"/>
      <w:r w:rsidRPr="00504972">
        <w:rPr>
          <w:sz w:val="18"/>
          <w:szCs w:val="18"/>
        </w:rPr>
        <w:t xml:space="preserve"> Oceans (Environmental Services) LLC, PO Box 660, Code 131, Oman</w:t>
      </w:r>
    </w:p>
    <w:p w14:paraId="1A9961F5" w14:textId="77777777" w:rsidR="009C75D7" w:rsidRPr="00504972" w:rsidRDefault="009C75D7" w:rsidP="009C75D7">
      <w:pPr>
        <w:rPr>
          <w:sz w:val="18"/>
          <w:szCs w:val="18"/>
        </w:rPr>
      </w:pPr>
      <w:proofErr w:type="spellStart"/>
      <w:r w:rsidRPr="00504972">
        <w:rPr>
          <w:sz w:val="18"/>
          <w:szCs w:val="18"/>
          <w:vertAlign w:val="superscript"/>
        </w:rPr>
        <w:t>e</w:t>
      </w:r>
      <w:r w:rsidRPr="00504972">
        <w:rPr>
          <w:sz w:val="18"/>
          <w:szCs w:val="18"/>
        </w:rPr>
        <w:t>Office</w:t>
      </w:r>
      <w:proofErr w:type="spellEnd"/>
      <w:r w:rsidRPr="00504972">
        <w:rPr>
          <w:sz w:val="18"/>
          <w:szCs w:val="18"/>
        </w:rPr>
        <w:t xml:space="preserve"> for Research and Graduate Studies, Qatar University, Doha 2713, Qatar.</w:t>
      </w:r>
    </w:p>
    <w:p w14:paraId="094FB38D" w14:textId="77777777" w:rsidR="009C75D7" w:rsidRDefault="009C75D7" w:rsidP="009C75D7">
      <w:pPr>
        <w:spacing w:line="360" w:lineRule="auto"/>
        <w:rPr>
          <w:sz w:val="18"/>
          <w:szCs w:val="18"/>
        </w:rPr>
      </w:pPr>
    </w:p>
    <w:p w14:paraId="51A7CD89" w14:textId="77777777" w:rsidR="009C75D7" w:rsidRPr="00781268" w:rsidRDefault="009C75D7" w:rsidP="009C75D7">
      <w:pPr>
        <w:spacing w:line="360" w:lineRule="auto"/>
      </w:pPr>
      <w:r w:rsidRPr="00B43BEC">
        <w:t xml:space="preserve">Published in </w:t>
      </w:r>
      <w:r>
        <w:rPr>
          <w:i/>
          <w:iCs/>
        </w:rPr>
        <w:t>Estuarine, Coastal and Shelf Science</w:t>
      </w:r>
      <w:r>
        <w:t xml:space="preserve">: </w:t>
      </w:r>
      <w:hyperlink r:id="rId40" w:history="1">
        <w:r w:rsidRPr="00DB2AD1">
          <w:rPr>
            <w:rStyle w:val="Hyperlink"/>
          </w:rPr>
          <w:t>https://doi.org/10.1016/j.ecss.2020.106940</w:t>
        </w:r>
      </w:hyperlink>
      <w:r>
        <w:t xml:space="preserve"> </w:t>
      </w:r>
    </w:p>
    <w:p w14:paraId="2D84EC25" w14:textId="77777777" w:rsidR="009C75D7" w:rsidRDefault="009C75D7" w:rsidP="009C75D7">
      <w:pPr>
        <w:spacing w:line="360" w:lineRule="auto"/>
        <w:rPr>
          <w:b/>
          <w:bCs/>
        </w:rPr>
      </w:pPr>
    </w:p>
    <w:p w14:paraId="5F640614" w14:textId="77777777" w:rsidR="009C75D7" w:rsidRPr="0078266F" w:rsidRDefault="009C75D7" w:rsidP="009C75D7">
      <w:pPr>
        <w:spacing w:line="360" w:lineRule="auto"/>
        <w:rPr>
          <w:b/>
          <w:bCs/>
        </w:rPr>
      </w:pPr>
      <w:r w:rsidRPr="0078266F">
        <w:rPr>
          <w:b/>
          <w:bCs/>
        </w:rPr>
        <w:t>Author Contributions</w:t>
      </w:r>
    </w:p>
    <w:p w14:paraId="1B4A27C7" w14:textId="77777777" w:rsidR="009C75D7" w:rsidRPr="00931019" w:rsidRDefault="009C75D7" w:rsidP="009C75D7">
      <w:pPr>
        <w:spacing w:line="360" w:lineRule="auto"/>
        <w:sectPr w:rsidR="009C75D7" w:rsidRPr="00931019" w:rsidSect="00416C9F">
          <w:headerReference w:type="even" r:id="rId41"/>
          <w:headerReference w:type="default" r:id="rId42"/>
          <w:footerReference w:type="even" r:id="rId43"/>
          <w:footerReference w:type="default" r:id="rId44"/>
          <w:headerReference w:type="first" r:id="rId45"/>
          <w:footerReference w:type="first" r:id="rId46"/>
          <w:pgSz w:w="11906" w:h="16838"/>
          <w:pgMar w:top="1440" w:right="1440" w:bottom="1440" w:left="1440" w:header="720" w:footer="720" w:gutter="0"/>
          <w:cols w:space="720"/>
          <w:titlePg/>
          <w:docGrid w:linePitch="360"/>
        </w:sectPr>
      </w:pPr>
      <w:r w:rsidRPr="00FB7092">
        <w:t xml:space="preserve">MC, LL, MW and MS conceived the study and developed </w:t>
      </w:r>
      <w:r>
        <w:t>its</w:t>
      </w:r>
      <w:r w:rsidRPr="00FB7092">
        <w:t xml:space="preserve"> methodology. Formal data and laboratory analysis were performed by MC.</w:t>
      </w:r>
      <w:r>
        <w:rPr>
          <w:b/>
          <w:bCs/>
        </w:rPr>
        <w:t xml:space="preserve"> </w:t>
      </w:r>
      <w:r w:rsidRPr="00FB7092">
        <w:rPr>
          <w:rFonts w:cstheme="minorHAnsi"/>
        </w:rPr>
        <w:t>MC, wrote the manuscript draft</w:t>
      </w:r>
      <w:r>
        <w:rPr>
          <w:rFonts w:cstheme="minorHAnsi"/>
        </w:rPr>
        <w:t xml:space="preserve"> with editorial support from </w:t>
      </w:r>
      <w:r w:rsidRPr="00FB7092">
        <w:rPr>
          <w:rFonts w:cstheme="minorHAnsi"/>
        </w:rPr>
        <w:t>LL, MW, MS, HK</w:t>
      </w:r>
      <w:r>
        <w:rPr>
          <w:rFonts w:cstheme="minorHAnsi"/>
        </w:rPr>
        <w:t>, SW</w:t>
      </w:r>
      <w:r w:rsidRPr="00FB7092">
        <w:rPr>
          <w:rFonts w:cstheme="minorHAnsi"/>
        </w:rPr>
        <w:t xml:space="preserve"> and IM. LL, MW, MS, HK</w:t>
      </w:r>
      <w:r>
        <w:rPr>
          <w:rFonts w:cstheme="minorHAnsi"/>
        </w:rPr>
        <w:t xml:space="preserve">, SW </w:t>
      </w:r>
      <w:r w:rsidRPr="00FB7092">
        <w:rPr>
          <w:rFonts w:cstheme="minorHAnsi"/>
        </w:rPr>
        <w:t>and IM contributed to design of the work and critical evaluation of the manuscript during the</w:t>
      </w:r>
      <w:r>
        <w:rPr>
          <w:rFonts w:cstheme="minorHAnsi"/>
        </w:rPr>
        <w:t xml:space="preserve"> </w:t>
      </w:r>
      <w:r w:rsidRPr="00FB7092">
        <w:rPr>
          <w:rFonts w:cstheme="minorHAnsi"/>
        </w:rPr>
        <w:t>extensive drafting process. All authors helped write and edit the final version of the paper.</w:t>
      </w:r>
    </w:p>
    <w:p w14:paraId="06E4B019" w14:textId="11C0BE22" w:rsidR="009C75D7" w:rsidRPr="00AB0EF4" w:rsidRDefault="009C75D7" w:rsidP="009C75D7">
      <w:pPr>
        <w:pStyle w:val="Heading2"/>
        <w:rPr>
          <w:rFonts w:asciiTheme="minorHAnsi" w:hAnsiTheme="minorHAnsi" w:cstheme="minorHAnsi"/>
          <w:b/>
          <w:bCs/>
          <w:color w:val="auto"/>
        </w:rPr>
      </w:pPr>
      <w:bookmarkStart w:id="38" w:name="_Toc120622127"/>
      <w:r>
        <w:rPr>
          <w:rFonts w:asciiTheme="minorHAnsi" w:hAnsiTheme="minorHAnsi" w:cstheme="minorHAnsi"/>
          <w:b/>
          <w:bCs/>
          <w:color w:val="auto"/>
        </w:rPr>
        <w:lastRenderedPageBreak/>
        <w:t>4</w:t>
      </w:r>
      <w:r w:rsidRPr="00AB0EF4">
        <w:rPr>
          <w:rFonts w:asciiTheme="minorHAnsi" w:hAnsiTheme="minorHAnsi" w:cstheme="minorHAnsi"/>
          <w:b/>
          <w:bCs/>
          <w:color w:val="auto"/>
        </w:rPr>
        <w:t>.1</w:t>
      </w:r>
      <w:r w:rsidRPr="00AB0EF4">
        <w:rPr>
          <w:rFonts w:asciiTheme="minorHAnsi" w:hAnsiTheme="minorHAnsi" w:cstheme="minorHAnsi"/>
          <w:b/>
          <w:bCs/>
          <w:color w:val="auto"/>
        </w:rPr>
        <w:tab/>
        <w:t>Abstract</w:t>
      </w:r>
      <w:bookmarkEnd w:id="38"/>
    </w:p>
    <w:p w14:paraId="0E446868" w14:textId="77777777" w:rsidR="009C75D7" w:rsidRPr="001468EE" w:rsidRDefault="009C75D7" w:rsidP="009C75D7">
      <w:pPr>
        <w:spacing w:line="480" w:lineRule="auto"/>
      </w:pPr>
      <w:r w:rsidRPr="001468EE">
        <w:t xml:space="preserve">Global inventories that show mangrove forests have rich carbon stores currently lack data from arid areas where carbon stocks may be functionally impoverished relative to humid regions. We quantified total carbon stocks (C) of three arid </w:t>
      </w:r>
      <w:proofErr w:type="spellStart"/>
      <w:r w:rsidRPr="001468EE">
        <w:rPr>
          <w:i/>
        </w:rPr>
        <w:t>Avicennia</w:t>
      </w:r>
      <w:proofErr w:type="spellEnd"/>
      <w:r w:rsidRPr="001468EE">
        <w:rPr>
          <w:i/>
        </w:rPr>
        <w:t xml:space="preserve"> marina</w:t>
      </w:r>
      <w:r w:rsidRPr="001468EE">
        <w:t xml:space="preserve"> stands in Qatar and report an aboveground biomass allometric equation and the first below ground biomass allometric equation in the region.  The allometric relationships indicate that below ground mangrove C stocks in arid locations are more important than previously reported. Comparison of previously published and our locally developed allometric equations show that </w:t>
      </w:r>
      <w:r w:rsidRPr="001468EE">
        <w:rPr>
          <w:i/>
          <w:iCs/>
        </w:rPr>
        <w:t xml:space="preserve">A. marina </w:t>
      </w:r>
      <w:r w:rsidRPr="001468EE">
        <w:t>in Qatar allocate comparatively more biomass to below ground components than the same species in tropical humid settings</w:t>
      </w:r>
      <w:r w:rsidRPr="001468EE">
        <w:rPr>
          <w:noProof/>
          <w:lang w:eastAsia="en-GB"/>
        </w:rPr>
        <w:t xml:space="preserve">, which is consistent with plant adaptations to living in stressed conditions. </w:t>
      </w:r>
      <w:r w:rsidRPr="001468EE">
        <w:t>Total C stocks were 45.70 ±3.70 Mg C ha</w:t>
      </w:r>
      <w:r w:rsidRPr="001468EE">
        <w:rPr>
          <w:vertAlign w:val="superscript"/>
        </w:rPr>
        <w:t>-1</w:t>
      </w:r>
      <w:r w:rsidRPr="001468EE">
        <w:t>, of which tree and soil C stocks to 50 cm depth represented 10.18 ±0.82 Mg C ha</w:t>
      </w:r>
      <w:r w:rsidRPr="001468EE">
        <w:rPr>
          <w:vertAlign w:val="superscript"/>
        </w:rPr>
        <w:t xml:space="preserve">-1 </w:t>
      </w:r>
      <w:r w:rsidRPr="001468EE">
        <w:t>and 35.52 ±2.88 Mg ha</w:t>
      </w:r>
      <w:r w:rsidRPr="001468EE">
        <w:rPr>
          <w:vertAlign w:val="superscript"/>
        </w:rPr>
        <w:t>-1</w:t>
      </w:r>
      <w:r w:rsidRPr="001468EE">
        <w:t xml:space="preserve"> respectively. Soil C stocks to 1 m depth were 50.17 ±6.27 Mg C ha</w:t>
      </w:r>
      <w:r w:rsidRPr="001468EE">
        <w:rPr>
          <w:vertAlign w:val="superscript"/>
        </w:rPr>
        <w:t>-1</w:t>
      </w:r>
      <w:r w:rsidRPr="001468EE">
        <w:t>. Overall, mangroves sustain relatively small C stocks in the arid, hypersaline environment of Qatar, which may be due to both relatively low tree productivity and growth, as well as limited rainfall-driven transport of terrigenous sediment inputs. By providing further estimates of mangrove carbon at their climatic extremes, these results can contribute to a better quantification of global mangrove carbon, reduce uncertainty in below ground tree C estimates from arid mangroves and have implications for mangrove carbon stocks in the face of climate change.</w:t>
      </w:r>
    </w:p>
    <w:p w14:paraId="71660F88" w14:textId="77777777" w:rsidR="009C75D7" w:rsidRPr="0067054C" w:rsidRDefault="009C75D7" w:rsidP="009C75D7">
      <w:pPr>
        <w:spacing w:line="480" w:lineRule="auto"/>
        <w:rPr>
          <w:b/>
          <w:bCs/>
        </w:rPr>
      </w:pPr>
    </w:p>
    <w:p w14:paraId="736EC59F" w14:textId="757DBA20" w:rsidR="009C75D7" w:rsidRPr="00AB0EF4" w:rsidRDefault="009C75D7" w:rsidP="009C75D7">
      <w:pPr>
        <w:pStyle w:val="Heading2"/>
        <w:rPr>
          <w:rFonts w:asciiTheme="minorHAnsi" w:hAnsiTheme="minorHAnsi" w:cstheme="minorHAnsi"/>
          <w:b/>
          <w:bCs/>
          <w:color w:val="auto"/>
        </w:rPr>
      </w:pPr>
      <w:bookmarkStart w:id="39" w:name="_Toc120622128"/>
      <w:r>
        <w:rPr>
          <w:rFonts w:asciiTheme="minorHAnsi" w:hAnsiTheme="minorHAnsi" w:cstheme="minorHAnsi"/>
          <w:b/>
          <w:bCs/>
          <w:color w:val="auto"/>
        </w:rPr>
        <w:t>4</w:t>
      </w:r>
      <w:r w:rsidRPr="00AB0EF4">
        <w:rPr>
          <w:rFonts w:asciiTheme="minorHAnsi" w:hAnsiTheme="minorHAnsi" w:cstheme="minorHAnsi"/>
          <w:b/>
          <w:bCs/>
          <w:color w:val="auto"/>
        </w:rPr>
        <w:t>.2</w:t>
      </w:r>
      <w:r w:rsidRPr="00AB0EF4">
        <w:rPr>
          <w:rFonts w:asciiTheme="minorHAnsi" w:hAnsiTheme="minorHAnsi" w:cstheme="minorHAnsi"/>
          <w:b/>
          <w:bCs/>
          <w:color w:val="auto"/>
        </w:rPr>
        <w:tab/>
        <w:t>Introduction</w:t>
      </w:r>
      <w:bookmarkEnd w:id="39"/>
    </w:p>
    <w:p w14:paraId="7BA05048" w14:textId="77777777" w:rsidR="009C75D7" w:rsidRPr="0067054C" w:rsidRDefault="009C75D7" w:rsidP="009C75D7">
      <w:pPr>
        <w:spacing w:line="480" w:lineRule="auto"/>
      </w:pPr>
      <w:r w:rsidRPr="0067054C">
        <w:t xml:space="preserve">Research over the past decade has shown that coastal wetlands, mangroves, salt marshes and seagrass beds represent significant global carbon sinks </w:t>
      </w:r>
      <w:r w:rsidRPr="0067054C">
        <w:fldChar w:fldCharType="begin" w:fldLock="1"/>
      </w:r>
      <w:r w:rsidRPr="0067054C">
        <w:instrText>ADDIN CSL_CITATION {"citationItems":[{"id":"ITEM-1","itemData":{"DOI":"10.1038/ngeo1477","ISBN":"1752-0894","ISSN":"1752-0894","PMID":"9374660","abstract":"The protection of organic carbon stored in forests is considered as an important method for mitigating climate change. Like terrestrial ecosystems, coastal ecosystems store large amounts of carbon, and there are initiatives to protect these 'blue carbon' stores. Organic carbon stocks in tidal salt marshes and mangroves have been estimated, but uncertainties in the stores of seagrass meadows-some of the most productive ecosystems on Earth-hinder the application of marine carbon conservation schemes. Here, we compile published and unpublished measurements of the organic carbon content of living seagrass biomass and underlying soils in 946 distinct seagrass meadows across the globe. Using only data from sites for which full inventories exist, we estimate that, globally, seagrass ecosystems could store as much as 19.9 Pg organic carbon; according to a more conservative approach, in which we incorporate more data from surface soils and depth-dependent declines in soil carbon stocks, we estimate that the seagrass carbon pool lies between 4.2 and 8.4 Pg carbon. We estimate that present rates of seagrass loss could result in the release of up to 299 Tg carbon per year, assuming that all of the organic carbon in seagrass biomass and the top metre of soils is remineralized.","author":[{"dropping-particle":"","family":"Fourqurean","given":"James W.","non-dropping-particle":"","parse-names":false,"suffix":""},{"dropping-particle":"","family":"Duarte","given":"Carlos M.","non-dropping-particle":"","parse-names":false,"suffix":""},{"dropping-particle":"","family":"Kennedy","given":"Hilary","non-dropping-particle":"","parse-names":false,"suffix":""},{"dropping-particle":"","family":"Marbà","given":"Núria","non-dropping-particle":"","parse-names":false,"suffix":""},{"dropping-particle":"","family":"Holmer","given":"Marianne","non-dropping-particle":"","parse-names":false,"suffix":""},{"dropping-particle":"","family":"Mateo","given":"Miguel Angel","non-dropping-particle":"","parse-names":false,"suffix":""},{"dropping-particle":"","family":"Apostolaki","given":"Eugenia T.","non-dropping-particle":"","parse-names":false,"suffix":""},{"dropping-particle":"","family":"Kendrick","given":"Gary A.","non-dropping-particle":"","parse-names":false,"suffix":""},{"dropping-particle":"","family":"Krause-Jensen","given":"Dorte","non-dropping-particle":"","parse-names":false,"suffix":""},{"dropping-particle":"","family":"McGlathery","given":"Karen J.","non-dropping-particle":"","parse-names":false,"suffix":""},{"dropping-particle":"","family":"Serrano","given":"Oscar","non-dropping-particle":"","parse-names":false,"suffix":""}],"container-title":"Nature Geoscience","id":"ITEM-1","issue":"7","issued":{"date-parts":[["2012"]]},"page":"505-509","title":"Seagrass ecosystems as a globally significant carbon stock","type":"article-journal","volume":"5"},"uris":["http://www.mendeley.com/documents/?uuid=3b738b98-6323-3a88-af9b-79dedcd8f103"]},{"id":"ITEM-2","itemData":{"DOI":"10.1038/ngeo1123","ISBN":"1752-0894","ISSN":"1752-0894","PMID":"17701399","abstract":"Mangrove forests occur along ocean coastlines throughout the tropics, and support numerous ecosystem services, including fisheries production and nutrient cycling. However, the areal extent of mangrove forests has declined by 30–50% over the past half century as a result of coastal development, aqua- culture expansion and over-harvesting1–4. Carbon emissions resulting from mangrove loss are uncertain, owing in part to a lack of broad-scale data on the amount of carbon stored in these ecosystems, particularly below ground5. Here, we quantified whole-ecosystem carbon storage by measuring tree and dead wood biomass, soil carbon content, and soil depth in 25 mangrove forests across a broad area of the Indo-Pacific region—spanning 30◦ of latitude and 73◦ of longitude—where mangrove area and diversity are greatest4,6. These data indi- cate that mangroves are among the most carbon-rich forests in the tropics, containing on average 1,023Mg carbon per hectare. Organic-rich soils ranged from 0.5mto more than 3m in depth and accounted for 49–98% of carbon storage in these systems. Combining our data with other published information, we estimate that mangrove deforestation generates emissions of 0.02–0.12Pg carbon per year—as much as around 10% of emissions from deforestation globally, despite accounting for just 0.7%of tropical forest area.","author":[{"dropping-particle":"","family":"Donato","given":"Daniel C.","non-dropping-particle":"","parse-names":false,"suffix":""},{"dropping-particle":"","family":"Kauffman","given":"J. Boone","non-dropping-particle":"","parse-names":false,"suffix":""},{"dropping-particle":"","family":"Murdiyarso","given":"Daniel","non-dropping-particle":"","parse-names":false,"suffix":""},{"dropping-particle":"","family":"Kurnianto","given":"Sofyan","non-dropping-particle":"","parse-names":false,"suffix":""},{"dropping-particle":"","family":"Stidham","given":"Melanie","non-dropping-particle":"","parse-names":false,"suffix":""},{"dropping-particle":"","family":"Kanninen","given":"Markku","non-dropping-particle":"","parse-names":false,"suffix":""}],"container-title":"Nature Geoscience","id":"ITEM-2","issue":"5","issued":{"date-parts":[["2011"]]},"page":"293-297","title":"Mangroves among the most carbon-rich forests in the tropics","type":"article-journal","volume":"4"},"uris":["http://www.mendeley.com/documents/?uuid=490346f7-5ac8-4ae2-8d0c-30ebcec82312"]},{"id":"ITEM-3","itemData":{"DOI":"10.1038/nclimate2734","ISBN":"1758-678X","ISSN":"1758-678X","abstract":"Mangroves provide a wide range of ecosystem services, including nutrient cycling, soil formation, wood production, fish spawning grounds, ecotourism and carbon (C) storage 1 . High rates of tree and plant growth, coupled with anaerobic, water-logged soils that slow decomposition, result in large long-term C storage. Given their global significance as large sinks of C, preventing mangrove loss would be an eeective climate change adaptation and mitigation strategy. It has been reported that C stocks in the Indo-Pacific region contain on average 1,023 MgC ha −1 (ref. 2). Here, we estimate that In-donesian mangrove C stocks are 1,083 ± 378 MgC ha −1 . Scaled up to the country-level mangrove extent of 2.9 Mha (ref. 3), Indonesia's mangroves contained on average 3.14 PgC. In three decades Indonesia has lost 40% of its mangroves 4 , mainly as a result of aquaculture development 5 . This has resulted in annual emissions of 0.07–0.21 Pg CO 2 e. Annual mangrove deforesta-tion in Indonesia is only 6% of its total forest loss 6 ; however, if this were halted, total emissions would be reduced by an amount equal to 10–31% of estimated annual emissions from land-use sectors at present. Conservation of carbon-rich man-groves in the Indonesian archipelago should be a high-priority component of strategies to mitigate climate change. Globally, deforestation and conversion of mangroves has been shown to contribute 0.08–0.48 Pg CO 2 e yr −1 , or 10% of the total global emissions from tropical deforestation, even though man-groves account for only about 0.7% of the world's tropical forest area 2 . C losses from mangrove conversion can be high not only because of losses from aboveground C pools but also belowground pools. Potential C losses from mangroves converted to shrimp ponds in the Dominican Republic were 661–1,135 MgC ha −1 (ref. 7). In 1980, there were 4.2 Mha of mangrove forests along Indonesia's 95,000 km of coastline 3 . Over just 20 years mangrove forest cover had declined about 26%, to an estimated 3.1 Mha (ref. 8). In 2005, mangrove forest cover had further decreased to 2.9 Mha (ref. 3). On the basis of FAO data, cumulatively Indonesia has lost 30% of its mangrove forests between 1980 and 2005; this is equivalent to an annual deforestation rate of 1.24%. Recent estimates of Indonesia's mangrove cover suggest a total loss of 40% in the past three decades 4 . Aquaculture development was the main cause 5 , after it expanded rapidly in 1997–2005 and resulted in an o…","author":[{"dropping-particle":"","family":"Murdiyarso","given":"Daniel","non-dropping-particle":"","parse-names":false,"suffix":""},{"dropping-particle":"","family":"Purbopuspito","given":"Joko","non-dropping-particle":"","parse-names":false,"suffix":""},{"dropping-particle":"","family":"Kauffman","given":"J. Boone","non-dropping-particle":"","parse-names":false,"suffix":""},{"dropping-particle":"","family":"Warren","given":"Matthew W.","non-dropping-particle":"","parse-names":false,"suffix":""},{"dropping-particle":"","family":"Sasmito","given":"Sigit D.","non-dropping-particle":"","parse-names":false,"suffix":""},{"dropping-particle":"","family":"Donato","given":"Daniel C.","non-dropping-particle":"","parse-names":false,"suffix":""},{"dropping-particle":"","family":"Manuri","given":"Solichin","non-dropping-particle":"","parse-names":false,"suffix":""},{"dropping-particle":"","family":"Krisnawati","given":"Haruni","non-dropping-particle":"","parse-names":false,"suffix":""},{"dropping-particle":"","family":"Taberima","given":"Sartji","non-dropping-particle":"","parse-names":false,"suffix":""},{"dropping-particle":"","family":"Kurnianto","given":"Sofyan","non-dropping-particle":"","parse-names":false,"suffix":""}],"container-title":"Nature Climate Change","id":"ITEM-3","issue":"12","issued":{"date-parts":[["2015","7","27"]]},"page":"1089-1092","publisher":"Nature Research","title":"The potential of Indonesian mangrove forests for global climate change mitigation","type":"article-journal","volume":"5"},"uris":["http://www.mendeley.com/documents/?uuid=417e17a9-a027-38cc-a856-d90c8fb50285"]},{"id":"ITEM-4","itemData":{"DOI":"10.1146/annurev-marine-010213-135020","ISBN":"1941-1405\\r1941-0611","ISSN":"1941-1405","PMID":"24405426","abstract":"Mangroves are ecologically and economically important forests of the trop-ics. They are highly productive ecosystems with rates of primary production equal to those of tropical humid evergreen forests and coral reefs. Although mangroves occupy only 0.5% of the global coastal area, they contribute 10– 15% (24 Tg C y −1) to coastal sediment carbon storage and export 10–11% of the particulate terrestrial carbon to the ocean. Their disproportionate contri-bution to carbon sequestration is now perceived as a means for conservation and restoration and a way to help ameliorate greenhouse gas emissions. Of immediate concern are potential carbon losses to deforestation (90–970 Tg C y −1) that are greater than these ecosystems' rates of carbon storage. Large reservoirs of dissolved inorganic carbon in deep soils, pumped via subsurface pathways to adjacent waterways, are a large loss of carbon, at a potential rate up to 40% of annual primary production. Patterns of carbon allocation and rates of carbon flux in mangrove forests are nearly identical to those of other tropical forests.","author":[{"dropping-particle":"","family":"Alongi","given":"Daniel M.","non-dropping-particle":"","parse-names":false,"suffix":""}],"container-title":"Annual Review of Marine Science","id":"ITEM-4","issue":"1","issued":{"date-parts":[["2014","1","3"]]},"page":"195-219","title":"Carbon Cycling and Storage in Mangrove Forests","type":"article-journal","volume":"6"},"uris":["http://www.mendeley.com/documents/?uuid=a161dc53-c151-4439-84f4-beba0eb3b1dc"]}],"mendeley":{"formattedCitation":"(Alongi, 2014; Donato et al., 2011; Fourqurean et al., 2012; Murdiyarso et al., 2015)","plainTextFormattedCitation":"(Alongi, 2014; Donato et al., 2011; Fourqurean et al., 2012; Murdiyarso et al., 2015)","previouslyFormattedCitation":"(Alongi, 2014; Donato et al., 2011; Fourqurean et al., 2012; Murdiyarso et al., 2015)"},"properties":{"noteIndex":0},"schema":"https://github.com/citation-style-language/schema/raw/master/csl-citation.json"}</w:instrText>
      </w:r>
      <w:r w:rsidRPr="0067054C">
        <w:fldChar w:fldCharType="separate"/>
      </w:r>
      <w:r w:rsidRPr="0067054C">
        <w:rPr>
          <w:noProof/>
        </w:rPr>
        <w:t>(Alongi, 2014; Donato et al., 2011; Fourqurean et al., 2012; Murdiyarso et al., 2015)</w:t>
      </w:r>
      <w:r w:rsidRPr="0067054C">
        <w:fldChar w:fldCharType="end"/>
      </w:r>
      <w:r w:rsidRPr="0067054C">
        <w:t xml:space="preserve">. Accumulated organic carbon (C) is </w:t>
      </w:r>
      <w:r w:rsidRPr="0067054C">
        <w:lastRenderedPageBreak/>
        <w:t xml:space="preserve">stored in slowly decomposing, anoxic soils over long time-scales </w:t>
      </w:r>
      <w:r w:rsidRPr="0067054C">
        <w:fldChar w:fldCharType="begin" w:fldLock="1"/>
      </w:r>
      <w:r w:rsidRPr="0067054C">
        <w:instrText>ADDIN CSL_CITATION {"citationItems":[{"id":"ITEM-1","itemData":{"DOI":"10.1146/annurev-marine-010213-135020","ISBN":"1941-1405\\r1941-0611","ISSN":"1941-1405","PMID":"24405426","abstract":"Mangroves are ecologically and economically important forests of the trop-ics. They are highly productive ecosystems with rates of primary production equal to those of tropical humid evergreen forests and coral reefs. Although mangroves occupy only 0.5% of the global coastal area, they contribute 10– 15% (24 Tg C y −1) to coastal sediment carbon storage and export 10–11% of the particulate terrestrial carbon to the ocean. Their disproportionate contri-bution to carbon sequestration is now perceived as a means for conservation and restoration and a way to help ameliorate greenhouse gas emissions. Of immediate concern are potential carbon losses to deforestation (90–970 Tg C y −1) that are greater than these ecosystems' rates of carbon storage. Large reservoirs of dissolved inorganic carbon in deep soils, pumped via subsurface pathways to adjacent waterways, are a large loss of carbon, at a potential rate up to 40% of annual primary production. Patterns of carbon allocation and rates of carbon flux in mangrove forests are nearly identical to those of other tropical forests.","author":[{"dropping-particle":"","family":"Alongi","given":"Daniel M.","non-dropping-particle":"","parse-names":false,"suffix":""}],"container-title":"Annual Review of Marine Science","id":"ITEM-1","issue":"1","issued":{"date-parts":[["2014","1","3"]]},"page":"195-219","title":"Carbon Cycling and Storage in Mangrove Forests","type":"article-journal","volume":"6"},"uris":["http://www.mendeley.com/documents/?uuid=a161dc53-c151-4439-84f4-beba0eb3b1dc"]}],"mendeley":{"formattedCitation":"(Alongi, 2014)","plainTextFormattedCitation":"(Alongi, 2014)","previouslyFormattedCitation":"(Alongi, 2014)"},"properties":{"noteIndex":0},"schema":"https://github.com/citation-style-language/schema/raw/master/csl-citation.json"}</w:instrText>
      </w:r>
      <w:r w:rsidRPr="0067054C">
        <w:fldChar w:fldCharType="separate"/>
      </w:r>
      <w:r w:rsidRPr="0067054C">
        <w:rPr>
          <w:noProof/>
        </w:rPr>
        <w:t>(Alongi, 2014)</w:t>
      </w:r>
      <w:r w:rsidRPr="0067054C">
        <w:fldChar w:fldCharType="end"/>
      </w:r>
      <w:r w:rsidRPr="0067054C">
        <w:t xml:space="preserve">, generating deep below-ground ‘blue carbon’ stores with greater per-area carbon stocks than tropical upland forests </w:t>
      </w:r>
      <w:r w:rsidRPr="0067054C">
        <w:fldChar w:fldCharType="begin" w:fldLock="1"/>
      </w:r>
      <w:r w:rsidRPr="0067054C">
        <w:instrText>ADDIN CSL_CITATION {"citationItems":[{"id":"ITEM-1","itemData":{"DOI":"10.1038/ngeo1477","ISBN":"1752-0894","ISSN":"1752-0894","PMID":"9374660","abstract":"The protection of organic carbon stored in forests is considered as an important method for mitigating climate change. Like terrestrial ecosystems, coastal ecosystems store large amounts of carbon, and there are initiatives to protect these 'blue carbon' stores. Organic carbon stocks in tidal salt marshes and mangroves have been estimated, but uncertainties in the stores of seagrass meadows-some of the most productive ecosystems on Earth-hinder the application of marine carbon conservation schemes. Here, we compile published and unpublished measurements of the organic carbon content of living seagrass biomass and underlying soils in 946 distinct seagrass meadows across the globe. Using only data from sites for which full inventories exist, we estimate that, globally, seagrass ecosystems could store as much as 19.9 Pg organic carbon; according to a more conservative approach, in which we incorporate more data from surface soils and depth-dependent declines in soil carbon stocks, we estimate that the seagrass carbon pool lies between 4.2 and 8.4 Pg carbon. We estimate that present rates of seagrass loss could result in the release of up to 299 Tg carbon per year, assuming that all of the organic carbon in seagrass biomass and the top metre of soils is remineralized.","author":[{"dropping-particle":"","family":"Fourqurean","given":"James W.","non-dropping-particle":"","parse-names":false,"suffix":""},{"dropping-particle":"","family":"Duarte","given":"Carlos M.","non-dropping-particle":"","parse-names":false,"suffix":""},{"dropping-particle":"","family":"Kennedy","given":"Hilary","non-dropping-particle":"","parse-names":false,"suffix":""},{"dropping-particle":"","family":"Marbà","given":"Núria","non-dropping-particle":"","parse-names":false,"suffix":""},{"dropping-particle":"","family":"Holmer","given":"Marianne","non-dropping-particle":"","parse-names":false,"suffix":""},{"dropping-particle":"","family":"Mateo","given":"Miguel Angel","non-dropping-particle":"","parse-names":false,"suffix":""},{"dropping-particle":"","family":"Apostolaki","given":"Eugenia T.","non-dropping-particle":"","parse-names":false,"suffix":""},{"dropping-particle":"","family":"Kendrick","given":"Gary A.","non-dropping-particle":"","parse-names":false,"suffix":""},{"dropping-particle":"","family":"Krause-Jensen","given":"Dorte","non-dropping-particle":"","parse-names":false,"suffix":""},{"dropping-particle":"","family":"McGlathery","given":"Karen J.","non-dropping-particle":"","parse-names":false,"suffix":""},{"dropping-particle":"","family":"Serrano","given":"Oscar","non-dropping-particle":"","parse-names":false,"suffix":""}],"container-title":"Nature Geoscience","id":"ITEM-1","issue":"7","issued":{"date-parts":[["2012"]]},"page":"505-509","title":"Seagrass ecosystems as a globally significant carbon stock","type":"article-journal","volume":"5"},"uris":["http://www.mendeley.com/documents/?uuid=3b738b98-6323-3a88-af9b-79dedcd8f103"]},{"id":"ITEM-2","itemData":{"DOI":"10.4155/cmt.12.20","ISBN":"1758-3004","ISSN":"1758-3004","abstract":"Mangrove forests are highly productive, with carbon production rates\\nequivalent to tropical humid forests. Mangroves allocate proportionally\\nmore carbon belowground, and have higher below- to above-ground carbon\\nmass ratios than terrestrial trees. Most mangrove carbon is stored as\\nlarge pools in soil and dead roots. Mangroves are among the most\\ncarbon-rich biomes, containing an average of 937 tC ha(-1), facilitating\\nthe accumulation of fine particles, and fostering rapid rates of\\nsediment accretion (similar to 5 mm year(-1)) and carbon burial (174 gC\\nm(-2) year(-1)). Mangroves account for only approximately 1% (13.5 Gt\\nyear(-1)) of carbon sequestration by the world's forests, but as coastal\\nhabitats they account for 14% of carbon sequestration by the global\\nocean. If mangrove carbon stocks are disturbed, resultant gas emissions\\nmay be very high. Irrespective of uncertainties and the unique nature of\\nimplementing REDD+ and Blue Carbon projects, mangroves are prime\\necosystems for reforestation and restoration.","author":[{"dropping-particle":"","family":"Alongi","given":"Daniel M","non-dropping-particle":"","parse-names":false,"suffix":""}],"container-title":"Carbon Management","id":"ITEM-2","issue":"3","issued":{"date-parts":[["2012"]]},"page":"313-322","title":"Carbon sequestration in mangrove forests","type":"article-journal","volume":"3"},"uris":["http://www.mendeley.com/documents/?uuid=3241c1b5-0ca9-3fd5-b2e4-34aa00c78452"]},{"id":"ITEM-3","itemData":{"DOI":"10.1038/ngeo1123","ISBN":"1752-0894","ISSN":"1752-0894","PMID":"17701399","abstract":"Mangrove forests occur along ocean coastlines throughout the tropics, and support numerous ecosystem services, including fisheries production and nutrient cycling. However, the areal extent of mangrove forests has declined by 30–50% over the past half century as a result of coastal development, aqua- culture expansion and over-harvesting1–4. Carbon emissions resulting from mangrove loss are uncertain, owing in part to a lack of broad-scale data on the amount of carbon stored in these ecosystems, particularly below ground5. Here, we quantified whole-ecosystem carbon storage by measuring tree and dead wood biomass, soil carbon content, and soil depth in 25 mangrove forests across a broad area of the Indo-Pacific region—spanning 30◦ of latitude and 73◦ of longitude—where mangrove area and diversity are greatest4,6. These data indi- cate that mangroves are among the most carbon-rich forests in the tropics, containing on average 1,023Mg carbon per hectare. Organic-rich soils ranged from 0.5mto more than 3m in depth and accounted for 49–98% of carbon storage in these systems. Combining our data with other published information, we estimate that mangrove deforestation generates emissions of 0.02–0.12Pg carbon per year—as much as around 10% of emissions from deforestation globally, despite accounting for just 0.7%of tropical forest area.","author":[{"dropping-particle":"","family":"Donato","given":"Daniel C.","non-dropping-particle":"","parse-names":false,"suffix":""},{"dropping-particle":"","family":"Kauffman","given":"J. Boone","non-dropping-particle":"","parse-names":false,"suffix":""},{"dropping-particle":"","family":"Murdiyarso","given":"Daniel","non-dropping-particle":"","parse-names":false,"suffix":""},{"dropping-particle":"","family":"Kurnianto","given":"Sofyan","non-dropping-particle":"","parse-names":false,"suffix":""},{"dropping-particle":"","family":"Stidham","given":"Melanie","non-dropping-particle":"","parse-names":false,"suffix":""},{"dropping-particle":"","family":"Kanninen","given":"Markku","non-dropping-particle":"","parse-names":false,"suffix":""}],"container-title":"Nature Geoscience","id":"ITEM-3","issue":"5","issued":{"date-parts":[["2011"]]},"page":"293-297","title":"Mangroves among the most carbon-rich forests in the tropics","type":"article-journal","volume":"4"},"uris":["http://www.mendeley.com/documents/?uuid=490346f7-5ac8-4ae2-8d0c-30ebcec82312"]}],"mendeley":{"formattedCitation":"(Alongi, 2012; Donato et al., 2011; Fourqurean et al., 2012)","plainTextFormattedCitation":"(Alongi, 2012; Donato et al., 2011; Fourqurean et al., 2012)","previouslyFormattedCitation":"(Alongi, 2012; Donato et al., 2011; Fourqurean et al., 2012)"},"properties":{"noteIndex":0},"schema":"https://github.com/citation-style-language/schema/raw/master/csl-citation.json"}</w:instrText>
      </w:r>
      <w:r w:rsidRPr="0067054C">
        <w:fldChar w:fldCharType="separate"/>
      </w:r>
      <w:r w:rsidRPr="0067054C">
        <w:rPr>
          <w:noProof/>
        </w:rPr>
        <w:t>(Alongi, 2012; Donato et al., 2011; Fourqurean et al., 2012)</w:t>
      </w:r>
      <w:r w:rsidRPr="0067054C">
        <w:fldChar w:fldCharType="end"/>
      </w:r>
      <w:r w:rsidRPr="0067054C">
        <w:t xml:space="preserve">. Coastal wetlands are also of greater importance to ocean carbon dynamics than their relatively small area would suggest </w:t>
      </w:r>
      <w:r w:rsidRPr="0067054C">
        <w:fldChar w:fldCharType="begin" w:fldLock="1"/>
      </w:r>
      <w:r w:rsidRPr="0067054C">
        <w:instrText>ADDIN CSL_CITATION {"citationItems":[{"id":"ITEM-1","itemData":{"DOI":"10.1038/ngeo1123","ISBN":"1752-0894","ISSN":"1752-0894","PMID":"17701399","abstract":"Mangrove forests occur along ocean coastlines throughout the tropics, and support numerous ecosystem services, including fisheries production and nutrient cycling. However, the areal extent of mangrove forests has declined by 30–50% over the past half century as a result of coastal development, aqua- culture expansion and over-harvesting1–4. Carbon emissions resulting from mangrove loss are uncertain, owing in part to a lack of broad-scale data on the amount of carbon stored in these ecosystems, particularly below ground5. Here, we quantified whole-ecosystem carbon storage by measuring tree and dead wood biomass, soil carbon content, and soil depth in 25 mangrove forests across a broad area of the Indo-Pacific region—spanning 30◦ of latitude and 73◦ of longitude—where mangrove area and diversity are greatest4,6. These data indi- cate that mangroves are among the most carbon-rich forests in the tropics, containing on average 1,023Mg carbon per hectare. Organic-rich soils ranged from 0.5mto more than 3m in depth and accounted for 49–98% of carbon storage in these systems. Combining our data with other published information, we estimate that mangrove deforestation generates emissions of 0.02–0.12Pg carbon per year—as much as around 10% of emissions from deforestation globally, despite accounting for just 0.7%of tropical forest area.","author":[{"dropping-particle":"","family":"Donato","given":"Daniel C.","non-dropping-particle":"","parse-names":false,"suffix":""},{"dropping-particle":"","family":"Kauffman","given":"J. Boone","non-dropping-particle":"","parse-names":false,"suffix":""},{"dropping-particle":"","family":"Murdiyarso","given":"Daniel","non-dropping-particle":"","parse-names":false,"suffix":""},{"dropping-particle":"","family":"Kurnianto","given":"Sofyan","non-dropping-particle":"","parse-names":false,"suffix":""},{"dropping-particle":"","family":"Stidham","given":"Melanie","non-dropping-particle":"","parse-names":false,"suffix":""},{"dropping-particle":"","family":"Kanninen","given":"Markku","non-dropping-particle":"","parse-names":false,"suffix":""}],"container-title":"Nature Geoscience","id":"ITEM-1","issue":"5","issued":{"date-parts":[["2011"]]},"page":"293-297","title":"Mangroves among the most carbon-rich forests in the tropics","type":"article-journal","volume":"4"},"uris":["http://www.mendeley.com/documents/?uuid=490346f7-5ac8-4ae2-8d0c-30ebcec82312"]},{"id":"ITEM-2","itemData":{"DOI":"10.1038/ngeo1477","ISBN":"1752-0894","ISSN":"1752-0894","PMID":"9374660","abstract":"The protection of organic carbon stored in forests is considered as an important method for mitigating climate change. Like terrestrial ecosystems, coastal ecosystems store large amounts of carbon, and there are initiatives to protect these 'blue carbon' stores. Organic carbon stocks in tidal salt marshes and mangroves have been estimated, but uncertainties in the stores of seagrass meadows-some of the most productive ecosystems on Earth-hinder the application of marine carbon conservation schemes. Here, we compile published and unpublished measurements of the organic carbon content of living seagrass biomass and underlying soils in 946 distinct seagrass meadows across the globe. Using only data from sites for which full inventories exist, we estimate that, globally, seagrass ecosystems could store as much as 19.9 Pg organic carbon; according to a more conservative approach, in which we incorporate more data from surface soils and depth-dependent declines in soil carbon stocks, we estimate that the seagrass carbon pool lies between 4.2 and 8.4 Pg carbon. We estimate that present rates of seagrass loss could result in the release of up to 299 Tg carbon per year, assuming that all of the organic carbon in seagrass biomass and the top metre of soils is remineralized.","author":[{"dropping-particle":"","family":"Fourqurean","given":"James W.","non-dropping-particle":"","parse-names":false,"suffix":""},{"dropping-particle":"","family":"Duarte","given":"Carlos M.","non-dropping-particle":"","parse-names":false,"suffix":""},{"dropping-particle":"","family":"Kennedy","given":"Hilary","non-dropping-particle":"","parse-names":false,"suffix":""},{"dropping-particle":"","family":"Marbà","given":"Núria","non-dropping-particle":"","parse-names":false,"suffix":""},{"dropping-particle":"","family":"Holmer","given":"Marianne","non-dropping-particle":"","parse-names":false,"suffix":""},{"dropping-particle":"","family":"Mateo","given":"Miguel Angel","non-dropping-particle":"","parse-names":false,"suffix":""},{"dropping-particle":"","family":"Apostolaki","given":"Eugenia T.","non-dropping-particle":"","parse-names":false,"suffix":""},{"dropping-particle":"","family":"Kendrick","given":"Gary A.","non-dropping-particle":"","parse-names":false,"suffix":""},{"dropping-particle":"","family":"Krause-Jensen","given":"Dorte","non-dropping-particle":"","parse-names":false,"suffix":""},{"dropping-particle":"","family":"McGlathery","given":"Karen J.","non-dropping-particle":"","parse-names":false,"suffix":""},{"dropping-particle":"","family":"Serrano","given":"Oscar","non-dropping-particle":"","parse-names":false,"suffix":""}],"container-title":"Nature Geoscience","id":"ITEM-2","issue":"7","issued":{"date-parts":[["2012"]]},"page":"505-509","title":"Seagrass ecosystems as a globally significant carbon stock","type":"article-journal","volume":"5"},"uris":["http://www.mendeley.com/documents/?uuid=3b738b98-6323-3a88-af9b-79dedcd8f103"]}],"mendeley":{"formattedCitation":"(Donato et al., 2011; Fourqurean et al., 2012)","plainTextFormattedCitation":"(Donato et al., 2011; Fourqurean et al., 2012)","previouslyFormattedCitation":"(Donato et al., 2011; Fourqurean et al., 2012)"},"properties":{"noteIndex":0},"schema":"https://github.com/citation-style-language/schema/raw/master/csl-citation.json"}</w:instrText>
      </w:r>
      <w:r w:rsidRPr="0067054C">
        <w:fldChar w:fldCharType="separate"/>
      </w:r>
      <w:r w:rsidRPr="0067054C">
        <w:rPr>
          <w:noProof/>
        </w:rPr>
        <w:t>(Donato et al., 2011; Fourqurean et al., 2012)</w:t>
      </w:r>
      <w:r w:rsidRPr="0067054C">
        <w:fldChar w:fldCharType="end"/>
      </w:r>
      <w:r w:rsidRPr="0067054C">
        <w:t>. Among coastal wetlands, mangroves are particularly carbon rich; total tree and soil carbon stocks contain up to 1023 Mg C ha</w:t>
      </w:r>
      <w:r w:rsidRPr="0067054C">
        <w:rPr>
          <w:vertAlign w:val="superscript"/>
        </w:rPr>
        <w:t>-1</w:t>
      </w:r>
      <w:r w:rsidRPr="0067054C">
        <w:t xml:space="preserve"> in the tropics, five times that of the most productive seagrass beds (~ 200 Mg C ha</w:t>
      </w:r>
      <w:r w:rsidRPr="0067054C">
        <w:rPr>
          <w:vertAlign w:val="superscript"/>
        </w:rPr>
        <w:t>-1</w:t>
      </w:r>
      <w:r w:rsidRPr="0067054C">
        <w:t>) and almost double that of saltmarshes (~ 600 Mg C ha</w:t>
      </w:r>
      <w:r w:rsidRPr="0067054C">
        <w:rPr>
          <w:vertAlign w:val="superscript"/>
        </w:rPr>
        <w:t>-1</w:t>
      </w:r>
      <w:r w:rsidRPr="0067054C">
        <w:t xml:space="preserve">) </w:t>
      </w:r>
      <w:r w:rsidRPr="0067054C">
        <w:fldChar w:fldCharType="begin" w:fldLock="1"/>
      </w:r>
      <w:r w:rsidRPr="0067054C">
        <w:instrText>ADDIN CSL_CITATION {"citationItems":[{"id":"ITEM-1","itemData":{"DOI":"10.1146/annurev-marine-010213-135020","ISBN":"1941-1405\\r1941-0611","ISSN":"1941-1405","PMID":"24405426","abstract":"Mangroves are ecologically and economically important forests of the trop-ics. They are highly productive ecosystems with rates of primary production equal to those of tropical humid evergreen forests and coral reefs. Although mangroves occupy only 0.5% of the global coastal area, they contribute 10– 15% (24 Tg C y −1) to coastal sediment carbon storage and export 10–11% of the particulate terrestrial carbon to the ocean. Their disproportionate contri-bution to carbon sequestration is now perceived as a means for conservation and restoration and a way to help ameliorate greenhouse gas emissions. Of immediate concern are potential carbon losses to deforestation (90–970 Tg C y −1) that are greater than these ecosystems' rates of carbon storage. Large reservoirs of dissolved inorganic carbon in deep soils, pumped via subsurface pathways to adjacent waterways, are a large loss of carbon, at a potential rate up to 40% of annual primary production. Patterns of carbon allocation and rates of carbon flux in mangrove forests are nearly identical to those of other tropical forests.","author":[{"dropping-particle":"","family":"Alongi","given":"Daniel M.","non-dropping-particle":"","parse-names":false,"suffix":""}],"container-title":"Annual Review of Marine Science","id":"ITEM-1","issue":"1","issued":{"date-parts":[["2014","1","3"]]},"page":"195-219","title":"Carbon Cycling and Storage in Mangrove Forests","type":"article-journal","volume":"6"},"uris":["http://www.mendeley.com/documents/?uuid=a161dc53-c151-4439-84f4-beba0eb3b1dc"]},{"id":"ITEM-2","itemData":{"DOI":"10.1038/ngeo1123","ISBN":"1752-0894","ISSN":"1752-0894","PMID":"17701399","abstract":"Mangrove forests occur along ocean coastlines throughout the tropics, and support numerous ecosystem services, including fisheries production and nutrient cycling. However, the areal extent of mangrove forests has declined by 30–50% over the past half century as a result of coastal development, aqua- culture expansion and over-harvesting1–4. Carbon emissions resulting from mangrove loss are uncertain, owing in part to a lack of broad-scale data on the amount of carbon stored in these ecosystems, particularly below ground5. Here, we quantified whole-ecosystem carbon storage by measuring tree and dead wood biomass, soil carbon content, and soil depth in 25 mangrove forests across a broad area of the Indo-Pacific region—spanning 30◦ of latitude and 73◦ of longitude—where mangrove area and diversity are greatest4,6. These data indi- cate that mangroves are among the most carbon-rich forests in the tropics, containing on average 1,023Mg carbon per hectare. Organic-rich soils ranged from 0.5mto more than 3m in depth and accounted for 49–98% of carbon storage in these systems. Combining our data with other published information, we estimate that mangrove deforestation generates emissions of 0.02–0.12Pg carbon per year—as much as around 10% of emissions from deforestation globally, despite accounting for just 0.7%of tropical forest area.","author":[{"dropping-particle":"","family":"Donato","given":"Daniel C.","non-dropping-particle":"","parse-names":false,"suffix":""},{"dropping-particle":"","family":"Kauffman","given":"J. Boone","non-dropping-particle":"","parse-names":false,"suffix":""},{"dropping-particle":"","family":"Murdiyarso","given":"Daniel","non-dropping-particle":"","parse-names":false,"suffix":""},{"dropping-particle":"","family":"Kurnianto","given":"Sofyan","non-dropping-particle":"","parse-names":false,"suffix":""},{"dropping-particle":"","family":"Stidham","given":"Melanie","non-dropping-particle":"","parse-names":false,"suffix":""},{"dropping-particle":"","family":"Kanninen","given":"Markku","non-dropping-particle":"","parse-names":false,"suffix":""}],"container-title":"Nature Geoscience","id":"ITEM-2","issue":"5","issued":{"date-parts":[["2011"]]},"page":"293-297","title":"Mangroves among the most carbon-rich forests in the tropics","type":"article-journal","volume":"4"},"uris":["http://www.mendeley.com/documents/?uuid=490346f7-5ac8-4ae2-8d0c-30ebcec82312"]}],"mendeley":{"formattedCitation":"(Alongi, 2014; Donato et al., 2011)","plainTextFormattedCitation":"(Alongi, 2014; Donato et al., 2011)","previouslyFormattedCitation":"(Alongi, 2014; Donato et al., 2011)"},"properties":{"noteIndex":0},"schema":"https://github.com/citation-style-language/schema/raw/master/csl-citation.json"}</w:instrText>
      </w:r>
      <w:r w:rsidRPr="0067054C">
        <w:fldChar w:fldCharType="separate"/>
      </w:r>
      <w:r w:rsidRPr="0067054C">
        <w:rPr>
          <w:noProof/>
        </w:rPr>
        <w:t>(Alongi, 2014; Donato et al., 2011)</w:t>
      </w:r>
      <w:r w:rsidRPr="0067054C">
        <w:fldChar w:fldCharType="end"/>
      </w:r>
      <w:r w:rsidRPr="0067054C">
        <w:t xml:space="preserve">. Consequently, mangrove carbon-storage potential has attracted much scientific and political interest as a means of mitigating against greenhouse gas (GHG) emissions </w:t>
      </w:r>
      <w:r w:rsidRPr="0067054C">
        <w:fldChar w:fldCharType="begin" w:fldLock="1"/>
      </w:r>
      <w:r w:rsidRPr="0067054C">
        <w:instrText xml:space="preserve">ADDIN CSL_CITATION {"citationItems":[{"id":"ITEM-1","itemData":{"DOI":"10.1038/ngeo1477","ISBN":"1752-0894","ISSN":"1752-0894","PMID":"9374660","abstract":"The protection of organic carbon stored in forests is considered as an important method for mitigating climate change. Like terrestrial ecosystems, coastal ecosystems store large amounts of carbon, and there are initiatives to protect these 'blue carbon' stores. Organic carbon stocks in tidal salt marshes and mangroves have been estimated, but uncertainties in the stores of seagrass meadows-some of the most productive ecosystems on Earth-hinder the application of marine carbon conservation schemes. Here, we compile published and unpublished measurements of the organic carbon content of living seagrass biomass and underlying soils in 946 distinct seagrass meadows across the globe. Using only data from sites for which full inventories exist, we estimate that, globally, seagrass ecosystems could store as much as 19.9 Pg organic carbon; according to a more conservative approach, in which we incorporate more data from surface soils and depth-dependent declines in soil carbon stocks, we estimate that the seagrass carbon pool lies between 4.2 and 8.4 Pg carbon. We estimate that present rates of seagrass loss could result in the release of up to 299 Tg carbon per year, assuming that all of the organic carbon in seagrass biomass and the top metre of soils is remineralized.","author":[{"dropping-particle":"","family":"Fourqurean","given":"James W.","non-dropping-particle":"","parse-names":false,"suffix":""},{"dropping-particle":"","family":"Duarte","given":"Carlos M.","non-dropping-particle":"","parse-names":false,"suffix":""},{"dropping-particle":"","family":"Kennedy","given":"Hilary","non-dropping-particle":"","parse-names":false,"suffix":""},{"dropping-particle":"","family":"Marbà","given":"Núria","non-dropping-particle":"","parse-names":false,"suffix":""},{"dropping-particle":"","family":"Holmer","given":"Marianne","non-dropping-particle":"","parse-names":false,"suffix":""},{"dropping-particle":"","family":"Mateo","given":"Miguel Angel","non-dropping-particle":"","parse-names":false,"suffix":""},{"dropping-particle":"","family":"Apostolaki","given":"Eugenia T.","non-dropping-particle":"","parse-names":false,"suffix":""},{"dropping-particle":"","family":"Kendrick","given":"Gary A.","non-dropping-particle":"","parse-names":false,"suffix":""},{"dropping-particle":"","family":"Krause-Jensen","given":"Dorte","non-dropping-particle":"","parse-names":false,"suffix":""},{"dropping-particle":"","family":"McGlathery","given":"Karen J.","non-dropping-particle":"","parse-names":false,"suffix":""},{"dropping-particle":"","family":"Serrano","given":"Oscar","non-dropping-particle":"","parse-names":false,"suffix":""}],"container-title":"Nature Geoscience","id":"ITEM-1","issue":"7","issued":{"date-parts":[["2012"]]},"page":"505-509","title":"Seagrass ecosystems as a globally significant carbon stock","type":"article-journal","volume":"5"},"uris":["http://www.mendeley.com/documents/?uuid=3b738b98-6323-3a88-af9b-79dedcd8f103"]},{"id":"ITEM-2","itemData":{"DOI":"10.1002/eap.1489","ISSN":"19395582","abstract":"Coastal ecosystems produce and sequester significant amounts of carbon (\"blue carbon\"), which has been well documented in humid and semi-humid regions of temperate and tropical climates but less so in arid regions where mangroves, marshes, and seagrasses exist near the limit of their tolerance for extreme temperature and salinity. To better understand these unique systems, we measured whole-ecosystem carbon stocks in 58 sites across the United Arab Emirates (UAE) in natural and planted mangroves, salt marshes, seagrass beds, microbial mats, and coastal sabkha (inter- and supratidal unvegetated salt flats). Natural mangroves held significantly more carbon in above- and belowground biomass than other vegetated ecosystems. Planted mangrove carbon stocks increased with age, but there were large differences for sites of similar age. Soil carbon varied widely across sites (2-367 Mg C/ha), with ecosystem averages that ranged from 49 to 156 Mg C/ha. For the first time, microbial mats were documented to contain soil carbon pools comparable to vascular plant-dominated ecosystems, and could arguably be recognized as a unique blue carbon ecosystem. Total ecosystem carbon stocks ranged widely from 2 to 515 Mg C/ha (seagrass bed and mangrove, respectively). Seagrass beds had the lowest carbon stock per unit area, but the largest stock per total area due to their large spatial coverage. Compared to similar ecosystems globally, mangroves and marshes in the UAE have lower plant and soil carbon stocks; however, the difference in soil stocks is far larger than with plant stocks. This incongruent difference between stocks is likely due to poor carbon preservation under conditions of weakly reduced soils (200-350 mV), coarse-grained sediments, and active shoreline migration. This work represents the first attempt to produce a country-wide coastal ecosystem carbon accounting using a uniform sampling protocol, and was motivated by specific policy goals identified by the Abu Dhabi Global Environmental Data Initiative. These carbon stock data supported two objectives: to quantify carbon stocks and infer sequestration capacity in arid blue carbon ecosystems, and to explore the potential to incorporate blue carbon science into national reporting and planning documents. © 2016 by the Ecological Society of America.","author":[{"dropping-particle":"","family":"Schile","given":"Lisa M.","non-dropping-particle":"","parse-names":false,"suffix":""},{"dropping-particle":"","family":"Kauffman","given":"J. Boone","non-dropping-particle":"","parse-names":false,"suffix":""},{"dropping-particle":"","family":"Crooks","given":"Stephen","non-dropping-particle":"","parse-names":false,"suffix":""},{"dropping-particle":"","family":"Fourqurean","given":"James W.","non-dropping-particle":"","parse-names":false,"suffix":""},{"dropping-particle":"","family":"Glavan","given":"Jane","non-dropping-particle":"","parse-names":false,"suffix":""},{"dropping-particle":"","family":"Megonigal","given":"J. Patrick","non-dropping-particle":"","parse-names":false,"suffix":""}],"container-title":"Ecological Applications","id":"ITEM-2","issue":"3","issued":{"date-parts":[["2017"]]},"page":"859-874","title":"Limits on carbon sequestration in arid blue carbon ecosystems","type":"article-journal","volume":"27"},"uris":["http://www.mendeley.com/documents/?uuid=c37893be-f79d-4cb3-b5d3-f043469db703"]},{"id":"ITEM-3","itemData":{"DOI":"10.1016/j.ecoser.2019.101035","ISSN":"22120416","abstract":"Mangroves have generated considerable interest in forest carbon discourse given their disproportionately high carbon storage and sequestration potential compared to terrestrial habitats. Capitalising on this potential, however, remains largely unrealised due in part to an incomplete understanding of the full greenhouse gas mitigation benefits provided, particularly through changes in landuse where aquaculture ponds are converted back to mangroves. Here we address such uncertainties by estimating the overall net greenhouse offset potential from rehabilitating mangroves in Tiwoho, North Sulawesi (Indonesia). Estimates of both baseline emissions and sequestration as mangrove forests regrow after rehabilitation were assessed, with results contrasted against published data on established mangroves and terrestrial forest carbon projects registered with the Verified Carbon Standard. Additionally, net emissions removals and reductions from Tiwoho is scaled-up to the national level in order to estimate the contribution rehabilitation of disused ponds can make to climate change mitigation. We also monetarise potential returns generated to date and frame this against project implementation and opportunity costs. Our data indicates that, on average, Tiwoho's rehabilitating sites could potentially mitigate upwards of −27.6 ± 1.7 Mg CO2-e per hectare per year. This is upwards of 3 times that of other terrestrial forestry carbon projects and, assuming a voluntary carbon market price of USD $8.1 per Mg CO2-e per hectare for afforestation/reforestation projects, equates to recuperation of 76.2% of initial project implementation costs over approximately 10 years with an annual return of 7.6%. This return rate rivals that of most asset classes targeted by private sector investors. Scaling results to encompass the net emissions removals and reduction potential from rehabilitating the </w:instrText>
      </w:r>
      <w:r w:rsidRPr="0067054C">
        <w:rPr>
          <w:rFonts w:ascii="Cambria Math" w:hAnsi="Cambria Math" w:cs="Cambria Math"/>
        </w:rPr>
        <w:instrText>∼</w:instrText>
      </w:r>
      <w:r w:rsidRPr="0067054C">
        <w:instrText>600, 000 hectares of disused ponds in Indonesia may offset upwards of −16.56 ± 1.02 million Mg CO2-e per hectare per year. Additionally, mitigation benefits from rehabilitation may equate to 6 times that of terrestrial projects if situated in ponds displaying both high baseline emissions and high rates of re-growth whilst accounting for sequestration from benthic algae and the oceanic burial of dissolved inorganic carbon. These findings strengthen the evidence base needed for public and private sector support for mangrove rehabilitation within the forest carbon sector.","author":[{"dropping-particle":"","family":"Cameron","given":"Clint","non-dropping-particle":"","parse-names":false,"suffix":""},{"dropping-particle":"","family":"Hutley","given":"Lindsay B.","non-dropping-particle":"","parse-names":false,"suffix":""},{"dropping-particle":"","family":"Friess","given":"Daniel A.","non-dropping-particle":"","parse-names":false,"suffix":""},{"dropping-particle":"","family":"Brown","given":"Ben","non-dropping-particle":"","parse-names":false,"suffix":""}],"container-title":"Ecosystem Services","id":"ITEM-3","issued":{"date-parts":[["2019"]]},"title":"High greenhouse gas emissions mitigation benefits from mangrove rehabilitation in Sulawesi, Indonesia","type":"article-journal","volume":"40"},"uris":["http://www.mendeley.com/documents/?uuid=37df7189-2c91-473f-9386-68fa3bfc0954"]},{"id":"ITEM-4","itemData":{"DOI":"10.1038/ngeo1123","ISBN":"1752-0894","ISSN":"1752-0894","PMID":"17701399","abstract":"Mangrove forests occur along ocean coastlines throughout the tropics, and support numerous ecosystem services, including fisheries production and nutrient cycling. However, the areal extent of mangrove forests has declined by 30–50% over the past half century as a result of coastal development, aqua- culture expansion and over-harvesting1–4. Carbon emissions resulting from mangrove loss are uncertain, owing in part to a lack of broad-scale data on the amount of carbon stored in these ecosystems, particularly below ground5. Here, we quantified whole-ecosystem carbon storage by measuring tree and dead wood biomass, soil carbon content, and soil depth in 25 mangrove forests across a broad area of the Indo-Pacific region—spanning 30◦ of latitude and 73◦ of longitude—where mangrove area and diversity are greatest4,6. These data indi- cate that mangroves are among the most carbon-rich forests in the tropics, containing on average 1,023Mg carbon per hectare. Organic-rich soils ranged from 0.5mto more than 3m in depth and accounted for 49–98% of carbon storage in these systems. Combining our data with other published information, we estimate that mangrove deforestation generates emissions of 0.02–0.12Pg carbon per year—as much as around 10% of emissions from deforestation globally, despite accounting for just 0.7%of tropical forest area.","author":[{"dropping-particle":"","family":"Donato","given":"Daniel C.","non-dropping-particle":"","parse-names":false,"suffix":""},{"dropping-particle":"","family":"Kauffman","given":"J. Boone","non-dropping-particle":"","parse-names":false,"suffix":""},{"dropping-particle":"","family":"Murdiyarso","given":"Daniel","non-dropping-particle":"","parse-names":false,"suffix":""},{"dropping-particle":"","family":"Kurnianto","given":"Sofyan","non-dropping-particle":"","parse-names":false,"suffix":""},{"dropping-particle":"","family":"Stidham","given":"Melanie","non-dropping-particle":"","parse-names":false,"suffix":""},{"dropping-particle":"","family":"Kanninen","given":"Markku","non-dropping-particle":"","parse-names":false,"suffix":""}],"container-title":"Nature Geoscience","id":"ITEM-4","issue":"5","issued":{"date-parts":[["2011"]]},"page":"293-297","title":"Mangroves among the most carbon-rich forests in the tropics","type":"article-journal","volume":"4"},"uris":["http://www.mendeley.com/documents/?uuid=490346f7-5ac8-4ae2-8d0c-30ebcec82312"]},{"id":"ITEM-5","itemData":{"DOI":"10.1016/j.foreco.2013.08.045","ISBN":"0378-1127","ISSN":"03781127","abstract":"Mangrove ecosystems could play important ecological, social and economic roles in addressing the mitigation of climate change through reduced deforestation. The present study aimed to estimate ecosystem carbon stocks (carbon accumulated in both biomass and soil) across the tidal gradient of mangroves in Yingluo Bay, Guangdong Province of South China. The ecosystem carbon storage, as well as vegetation biomass and soil organic carbon (SOC) storage, increased along with the tidal gradient of mangrove forests from the low intertidal zone to the high intertidal zone. The ecosystem carbon storage of the Avicennia marina, Sonneratia apetala, Aegiceras corniculatum+. Kandelia obovata, Rhizophora stylosa and Bruguiera gymnorrhiza stands were 212.88. t/ha, 262.03. t/ha, 323.57. t/ha, 443.13. t/ha and 376.80. t/ha, respectively and their vegetation carbon pools accounted for 11.65%, 29.79%, 19.19%, 37.76% and 25.94% of ecosystem carbon storage, respectively. Compared to the mangrove ecosystem, there was a much lower ecosystem carbon stock (97.32. t/ha) at the bare mud flat. The relatively high vegetation biomass, which coupled with carbon-rich soils, resulted in the presence of larger ecosystem carbon stocks compared to other subtropical forests in the same latitude zone. A significant positive correlation was found between vegetation biomass and soil organic carbon concentration of the upper 0-50. cm layers. This may indicate that the increase of vegetation biomass will raise the mangrove-derived SOC in the soil (especially the 0-50. cm soil layers). Reforestation by using mangrove forests is an important way to increase ecosystem carbon sequestration in coastal areas. ?? 2013 Elsevier B.V.","author":[{"dropping-particle":"","family":"Wang","given":"Gang","non-dropping-particle":"","parse-names":false,"suffix":""},{"dropping-particle":"","family":"Guan","given":"Dongsheng","non-dropping-particle":"","parse-names":false,"suffix":""},{"dropping-particle":"","family":"Peart","given":"M. R.","non-dropping-particle":"","parse-names":false,"suffix":""},{"dropping-particle":"","family":"Chen","given":"Yujuan","non-dropping-particle":"","parse-names":false,"suffix":""},{"dropping-particle":"","family":"Peng","given":"Yisheng","non-dropping-particle":"","parse-names":false,"suffix":""}],"container-title":"Forest Ecology and Management","id":"ITEM-5","issued":{"date-parts":[["2013"]]},"page":"539-546","title":"Ecosystem carbon stocks of mangrove forest in Yingluo Bay, Guangdong Province of South China","type":"article-journal","volume":"310"},"uris":["http://www.mendeley.com/documents/?uuid=323bcd6e-836d-39d1-887f-3f5edc5d585d"]},{"id":"ITEM-6","itemData":{"DOI":"10.1016/j.jenvman.2013.11.037","ISBN":"0301-4797","ISSN":"03014797","PMID":"24374165","abstract":"Mangrove forests provide important ecosystem services, and play important roles in terrestrial and oceanic carbon (C) cycling. Although the C stocks or storage in terrestrial ecosystems in China have been frequently assessed, the C stocks in mangrove forests have often been overlooked. In this study, we estimated the C stocks and the potential C stocks in China's mangrove forests by combining our own field data with data from the National Mangrove Resource Inventory Report and from other published literature. The results indicate that mangrove forests in China store about 6.91 ± 0.57 Tg C, of which 81.74% is in the top 1 m soil, 18.12% in the biomass of mangrove trees, and 0.08% in the ground layer (i.e. mangrove litter and seedlings). The potential C stocks are as high as 28.81 ± 4.16 Tg C. On average, mangrove forests in China contain 355.25 ± 82.19 Mg C ha(-1), which is consistent with the global average of mangrove C density at similar latitudes, but higher than the average C density in terrestrial forests in China. Our results suggest that C storage in mangroves can be increased by selecting high C-density species for afforestation and stand improvement, and even more by increasing the mangrove area. The information gained in this study will facilitate policy decisions concerning the restoration of mangrove forests in China.","author":[{"dropping-particle":"","family":"Liu","given":"Hongxiao","non-dropping-particle":"","parse-names":false,"suffix":""},{"dropping-particle":"","family":"Ren","given":"Hai","non-dropping-particle":"","parse-names":false,"suffix":""},{"dropping-particle":"","family":"Hui","given":"Dafeng","non-dropping-particle":"","parse-names":false,"suffix":""},{"dropping-particle":"","family":"Wang","given":"Wenqing","non-dropping-particle":"","parse-names":false,"suffix":""},{"dropping-particle":"","family":"Liao","given":"Baowen","non-dropping-particle":"","parse-names":false,"suffix":""},{"dropping-particle":"","family":"Cao","given":"Qingxian","non-dropping-particle":"","parse-names":false,"suffix":""}],"container-title":"Journal of Environmental Management","id":"ITEM-6","issue":"December","issued":{"date-parts":[["2014"]]},"page":"86-93","title":"Carbon stocks and potential carbon storage in the mangrove forests of China","type":"article-journal","volume":"133"},"uris":["http://www.mendeley.com/documents/?uuid=6a96a648-030c-3236-acfc-6d7dad008701"]}],"mendeley":{"formattedCitation":"(Cameron et al., 2019; Donato et al., 2011; Fourqurean et al., 2012; Liu et al., 2014; Schile et al., 2017; Wang et al., 2013)","plainTextFormattedCitation":"(Cameron et al., 2019; Donato et al., 2011; Fourqurean et al., 2012; Liu et al., 2014; Schile et al., 2017; Wang et al., 2013)","previouslyFormattedCitation":"(Cameron et al., 2019; Donato et al., 2011; Fourqurean et al., 2012; Liu et al., 2014; Schile et al., 2017; Wang et al., 2013)"},"properties":{"noteIndex":0},"schema":"https://github.com/citation-style-language/schema/raw/master/csl-citation.json"}</w:instrText>
      </w:r>
      <w:r w:rsidRPr="0067054C">
        <w:fldChar w:fldCharType="separate"/>
      </w:r>
      <w:r w:rsidRPr="0067054C">
        <w:rPr>
          <w:noProof/>
        </w:rPr>
        <w:t>(Cameron et al., 2019; Donato et al., 2011; Fourqurean et al., 2012; Liu et al., 2014; Schile et al., 2017; Wang et al., 2013)</w:t>
      </w:r>
      <w:r w:rsidRPr="0067054C">
        <w:fldChar w:fldCharType="end"/>
      </w:r>
      <w:r w:rsidRPr="0067054C">
        <w:t xml:space="preserve">. While mangrove soil carbon accumulates over centuries, current rates of deforestation makes the soil vulnerable to oxidation, with significant risks of increased GHG emissions </w:t>
      </w:r>
      <w:r w:rsidRPr="0067054C">
        <w:fldChar w:fldCharType="begin" w:fldLock="1"/>
      </w:r>
      <w:r w:rsidRPr="0067054C">
        <w:instrText>ADDIN CSL_CITATION {"citationItems":[{"id":"ITEM-1","itemData":{"DOI":"10.1073/pnas.1519774113","ISBN":"0027-8424","ISSN":"0027-8424","PMID":"27035950","abstract":"Given their relatively small area, mangroves and their organic sediments are of disproportionate importance to global carbon sequestration and carbon storage. Peat deposition and preservation allows some mangroves to accrete vertically and keep pace with sea-level rise by growing on their own root remains. In this study we show that mangroves in desert inlets in the coasts of the Baja California have been accumulating root peat for nearly 2,000 y and harbor a belowground carbon content of 900-34,00 Mg C/ha, with an average value of 1,130 (± 128) Mg C/ha, and a belowground carbon accumulation similar to that found under some of the tallest tropical mangroves in the Mexican Pacific coast. The depth-age curve for the mangrove sediments of Baja California indicates that sea level in the peninsula has been rising at a mean rate of 0.70 mm/y (± 0.07) during the last 17 centuries, a value similar to the rates of sea-level rise estimated for the Caribbean during a comparable period. By accreting on their own accumulated peat, these desert mangroves store large amounts of carbon in their sediments. We estimate that mangroves and halophyte scrubs in Mexico's arid northwest, with less than 1% of the terrestrial area, store in their belowground sediments around 28% of the total belowground carbon pool of the whole region.","author":[{"dropping-particle":"","family":"Ezcurra","given":"Paula","non-dropping-particle":"","parse-names":false,"suffix":""},{"dropping-particle":"","family":"Ezcurra","given":"Exequiel","non-dropping-particle":"","parse-names":false,"suffix":""},{"dropping-particle":"","family":"Garcillán","given":"Pedro P","non-dropping-particle":"","parse-names":false,"suffix":""},{"dropping-particle":"","family":"Costa","given":"Matthew T","non-dropping-particle":"","parse-names":false,"suffix":""},{"dropping-particle":"","family":"Aburto-Oropeza","given":"Octavio","non-dropping-particle":"","parse-names":false,"suffix":""}],"container-title":"Proceedings of the National Academy of Sciences","id":"ITEM-1","issue":"16","issued":{"date-parts":[["2016","4","19"]]},"page":"4404-4409","publisher":"National Academy of Sciences","title":"Coastal landforms and accumulation of mangrove peat increase carbon sequestration and storage","type":"article-journal","volume":"113"},"uris":["http://www.mendeley.com/documents/?uuid=9c7cf961-d14c-37bd-be1d-ac6c656367ca"]},{"id":"ITEM-2","itemData":{"DOI":"10.1038/s41598-017-10424-9","ISSN":"2045-2322","author":[{"dropping-particle":"","family":"Almahasheer","given":"Hanan","non-dropping-particle":"","parse-names":false,"suffix":""},{"dropping-particle":"","family":"Serrano","given":"Oscar","non-dropping-particle":"","parse-names":false,"suffix":""},{"dropping-particle":"","family":"Duarte","given":"Carlos M.","non-dropping-particle":"","parse-names":false,"suffix":""},{"dropping-particle":"","family":"Arias-Ortiz","given":"Ariane","non-dropping-particle":"","parse-names":false,"suffix":""},{"dropping-particle":"","family":"Masque","given":"Pere","non-dropping-particle":"","parse-names":false,"suffix":""},{"dropping-particle":"","family":"Irigoien","given":"Xabier","non-dropping-particle":"","parse-names":false,"suffix":""}],"container-title":"Scientific Reports","id":"ITEM-2","issue":"1","issued":{"date-parts":[["2017"]]},"page":"9700","title":"Low Carbon sink capacity of Red Sea mangroves","type":"article-journal","volume":"7"},"uris":["http://www.mendeley.com/documents/?uuid=90af8c22-f462-3b43-9dc5-dcc30bc9100e"]},{"id":"ITEM-3","itemData":{"DOI":"10.1038/ngeo1123","ISBN":"1752-0894","ISSN":"1752-0894","PMID":"17701399","abstract":"Mangrove forests occur along ocean coastlines throughout the tropics, and support numerous ecosystem services, including fisheries production and nutrient cycling. However, the areal extent of mangrove forests has declined by 30–50% over the past half century as a result of coastal development, aqua- culture expansion and over-harvesting1–4. Carbon emissions resulting from mangrove loss are uncertain, owing in part to a lack of broad-scale data on the amount of carbon stored in these ecosystems, particularly below ground5. Here, we quantified whole-ecosystem carbon storage by measuring tree and dead wood biomass, soil carbon content, and soil depth in 25 mangrove forests across a broad area of the Indo-Pacific region—spanning 30◦ of latitude and 73◦ of longitude—where mangrove area and diversity are greatest4,6. These data indi- cate that mangroves are among the most carbon-rich forests in the tropics, containing on average 1,023Mg carbon per hectare. Organic-rich soils ranged from 0.5mto more than 3m in depth and accounted for 49–98% of carbon storage in these systems. Combining our data with other published information, we estimate that mangrove deforestation generates emissions of 0.02–0.12Pg carbon per year—as much as around 10% of emissions from deforestation globally, despite accounting for just 0.7%of tropical forest area.","author":[{"dropping-particle":"","family":"Donato","given":"Daniel C.","non-dropping-particle":"","parse-names":false,"suffix":""},{"dropping-particle":"","family":"Kauffman","given":"J. Boone","non-dropping-particle":"","parse-names":false,"suffix":""},{"dropping-particle":"","family":"Murdiyarso","given":"Daniel","non-dropping-particle":"","parse-names":false,"suffix":""},{"dropping-particle":"","family":"Kurnianto","given":"Sofyan","non-dropping-particle":"","parse-names":false,"suffix":""},{"dropping-particle":"","family":"Stidham","given":"Melanie","non-dropping-particle":"","parse-names":false,"suffix":""},{"dropping-particle":"","family":"Kanninen","given":"Markku","non-dropping-particle":"","parse-names":false,"suffix":""}],"container-title":"Nature Geoscience","id":"ITEM-3","issue":"5","issued":{"date-parts":[["2011"]]},"page":"293-297","title":"Mangroves among the most carbon-rich forests in the tropics","type":"article-journal","volume":"4"},"uris":["http://www.mendeley.com/documents/?uuid=490346f7-5ac8-4ae2-8d0c-30ebcec82312"]},{"id":"ITEM-4","itemData":{"DOI":"10.1002/fee.1482","ISBN":"7034894671","ISSN":"15409309","abstract":"Despite slow nutrient supply to the subtropical surface ocean, the rates of annual inorganic carbon uptake and net oxygen production are similar to those of nutrient-rich high-latitude waters. This surprisingly high subtropical carbon uptake cannot be fully accounted for by sediment trap-collected sinking particles and the downward mixing of suspended and dissolved organic carbon. We propose an explanation for these paradoxical observations: gel-like organic matter rich in carbon but poor in nutrients, akin to transparent exopolymer particles, is produced by phytoplankton under nutrient limitation, and a portion sinks into the shallow subsurface, where it is respired by heterotrophic bacteria. This organic matter would evade detection by sediment traps, effectively representing an additional (sinking-driven) source of dissolved organic carbon to the subsurface. Building on existing evidence for the production of such nutrient-poor organic matter in surface waters, we describe evidence for its decomposition in the shallow subsurface of the Sargasso Sea. First, oxygen at these depths is consumed over the summer without comparable production of nitrate. Second, a seasonal change in the","author":[{"dropping-particle":"","family":"Kauffman","given":"Boone J.","non-dropping-particle":"","parse-names":false,"suffix":""},{"dropping-particle":"","family":"Arifanti","given":"Virni B.","non-dropping-particle":"","parse-names":false,"suffix":""},{"dropping-particle":"","family":"Hernández Trejo","given":"Humberto","non-dropping-particle":"","parse-names":f</w:instrText>
      </w:r>
      <w:r w:rsidRPr="003F4438">
        <w:instrText>alse,"suffix":""},{"dropping-particle":"","family":"Carmen Jesús García","given":"Maria","non-dropping-particle":"del","parse-names":false,"suffix":""},{"dropping-particle":"","family":"Norfolk","given":"Jennifer","non-dropping-particle":"","parse-names":false,"suffix":""},{"dropping-particle":"","family":"Cifuentes","given":"Miguel","non-dropping-particle":"","parse-names":false,"suffix":""},{"dropping-particle":"","family":"Hadriyanto","given":"Deddy","non-dropping-particle":"","parse-names":false,"suffix":""},{"dropping-particle":"","family":"Murdiyarso","given":"Daniel","non-dropping-particle":"","parse-names":false,"suffix":""}],"container-title":"Frontiers in Ecology and the Environment","id":"ITEM-4","issue":"4","issued":{"date-parts":[["2017"]]},"page":"183-188","title":"The jumbo carbon footprint of a shrimp: carbon losses from mangrove deforestation","type":"article-journal","volume":"15"},"uris":["http://www.mendeley.com/documents/?uuid=5e8dd8ea-1522-3882-82d0-fc93482e88b8"]}],"mendeley":{"formattedCitation":"(Almahasheer et al., 2017; Donato et al., 2011; Ezcurra et al., 2016; Kauffman et al., 2017)","plainTextFormattedCitation":"(Almahasheer et al., 2017; Donato et al., 2011; Ezcurra et al., 2016; Kauffman et al., 2017)","previouslyFormattedCitation":"(Almahasheer et al., 2017; Donato et al., 2011; Ezcurra et al., 2016; Kauffman et al., 2017)"},"properties":{"noteIndex":0},"schema":"https://github.com/citation-style-language/schema/raw/master/csl-citation.json"}</w:instrText>
      </w:r>
      <w:r w:rsidRPr="0067054C">
        <w:fldChar w:fldCharType="separate"/>
      </w:r>
      <w:r w:rsidRPr="003F4438">
        <w:rPr>
          <w:noProof/>
        </w:rPr>
        <w:t>(Almahasheer et al., 2017; Donato et al., 2011; Ezcurra et al., 2016; Kauffman et al., 2017)</w:t>
      </w:r>
      <w:r w:rsidRPr="0067054C">
        <w:fldChar w:fldCharType="end"/>
      </w:r>
      <w:r w:rsidRPr="003F4438">
        <w:t xml:space="preserve">. </w:t>
      </w:r>
      <w:r w:rsidRPr="0067054C">
        <w:t xml:space="preserve">Conservation and restoration programmes have been identified as a profitable means of curbing GHG emissions that is comparable to investment in traditional asset classes </w:t>
      </w:r>
      <w:r w:rsidRPr="0067054C">
        <w:fldChar w:fldCharType="begin" w:fldLock="1"/>
      </w:r>
      <w:r w:rsidRPr="0067054C">
        <w:instrText xml:space="preserve">ADDIN CSL_CITATION {"citationItems":[{"id":"ITEM-1","itemData":{"DOI":"10.1016/j.ecoser.2019.101035","ISSN":"22120416","abstract":"Mangroves have generated considerable interest in forest carbon discourse given their disproportionately high carbon storage and sequestration potential compared to terrestrial habitats. Capitalising on this potential, however, remains largely unrealised due in part to an incomplete understanding of the full greenhouse gas mitigation benefits provided, particularly through changes in landuse where aquaculture ponds are converted back to mangroves. Here we address such uncertainties by estimating the overall net greenhouse offset potential from rehabilitating mangroves in Tiwoho, North Sulawesi (Indonesia). Estimates of both baseline emissions and sequestration as mangrove forests regrow after rehabilitation were assessed, with results contrasted against published data on established mangroves and terrestrial forest carbon projects registered with the Verified Carbon Standard. Additionally, net emissions removals and reductions from Tiwoho is scaled-up to the national level in order to estimate the contribution rehabilitation of disused ponds can make to climate change mitigation. We also monetarise potential returns generated to date and frame this against project implementation and opportunity costs. Our data indicates that, on average, Tiwoho's rehabilitating sites could potentially mitigate upwards of −27.6 ± 1.7 Mg CO2-e per hectare per year. This is upwards of 3 times that of other terrestrial forestry carbon projects and, assuming a voluntary carbon market price of USD $8.1 per Mg CO2-e per hectare for afforestation/reforestation projects, equates to recuperation of 76.2% of initial project implementation costs over approximately 10 years with an annual return of 7.6%. This return rate rivals that of most asset classes targeted by private sector investors. Scaling results to encompass the net emissions removals and reduction potential from rehabilitating the </w:instrText>
      </w:r>
      <w:r w:rsidRPr="0067054C">
        <w:rPr>
          <w:rFonts w:ascii="Cambria Math" w:hAnsi="Cambria Math" w:cs="Cambria Math"/>
        </w:rPr>
        <w:instrText>∼</w:instrText>
      </w:r>
      <w:r w:rsidRPr="0067054C">
        <w:instrText xml:space="preserve">600, 000 hectares of disused ponds in Indonesia may offset upwards of </w:instrText>
      </w:r>
      <w:r w:rsidRPr="0067054C">
        <w:rPr>
          <w:rFonts w:ascii="Calibri" w:hAnsi="Calibri" w:cs="Calibri"/>
        </w:rPr>
        <w:instrText>−</w:instrText>
      </w:r>
      <w:r w:rsidRPr="0067054C">
        <w:instrText xml:space="preserve">16.56 </w:instrText>
      </w:r>
      <w:r w:rsidRPr="0067054C">
        <w:rPr>
          <w:rFonts w:ascii="Calibri" w:hAnsi="Calibri" w:cs="Calibri"/>
        </w:rPr>
        <w:instrText>±</w:instrText>
      </w:r>
      <w:r w:rsidRPr="0067054C">
        <w:instrText xml:space="preserve"> 1.02 million Mg CO2-e per hectare per year. Additionally, mitigation benefits from rehabilitation may equate to 6 times that of terrestrial projects if situated in ponds displaying both high baseline emissions and high rates of re-growth whilst accounting for sequestration from benthic algae and the oceanic burial of dissolved inorganic carbon. These findings strengthen the evidence base needed for public and private sector support for mangrove rehabilitation within the forest carbon sector.","author":[{"dropping-particle":"","family":"Cameron","given":"Clint","non-dropping-particle":"","parse-names":false,"suffix":""},{"dropping-particle":"","family":"Hutley","given":"Lindsay B.","non-dropping-particle":"","parse-names":false,"suffix":""},{"dropping-particle":"","family":"Friess","given":"Daniel A.","non-dropping-particle":"","parse-names":false,"suffix":""},{"dropping-particle":"","family":"Brown","given":"Ben","non-dropping-particle":"","parse-names":false,"suffix":""}],"container-title":"Ecosystem Services","id":"ITEM-1","issued":{"date-parts":[["2019"]]},"title":"High greenhouse gas emissions mitigation benefits from mangrove rehabilitation in Sulawesi, Indonesia","type":"article-journal","volume":"40"},"uris":["http://www.mendeley.com/documents/?uuid=37df7189-2c91-473f-9386-68fa3bfc0954"]}],"mendeley":{"formattedCitation":"(Cameron et al., 2019)","plainTextFormattedCitation":"(Cameron et al., 2019)","previouslyFormattedCitation":"(Cameron et al., 2019)"},"properties":{"noteIndex":0},"schema":"https://github.com/citation-style-language/schema/raw/master/csl-citation.json"}</w:instrText>
      </w:r>
      <w:r w:rsidRPr="0067054C">
        <w:fldChar w:fldCharType="separate"/>
      </w:r>
      <w:r w:rsidRPr="0067054C">
        <w:rPr>
          <w:noProof/>
        </w:rPr>
        <w:t>(Cameron et al., 2019)</w:t>
      </w:r>
      <w:r w:rsidRPr="0067054C">
        <w:fldChar w:fldCharType="end"/>
      </w:r>
      <w:r w:rsidRPr="0067054C">
        <w:t xml:space="preserve">, although the prevention of further loss is, by far, the most effective way of maintaining wetland carbon storage </w:t>
      </w:r>
      <w:r w:rsidRPr="0067054C">
        <w:fldChar w:fldCharType="begin" w:fldLock="1"/>
      </w:r>
      <w:r w:rsidRPr="0067054C">
        <w:instrText>ADDIN CSL_CITATION {"citationItems":[{"id":"ITEM-1","itemData":{"DOI":"10.1002/fee.1482","ISBN":"7034894671","ISSN":"15409309","abstract":"Despite slow nutrient supply to the subtropical surface ocean, the rates of annual inorganic carbon uptake and net oxygen production are similar to those of nutrient-rich high-latitude waters. This surprisingly high subtropical carbon uptake cannot be fully accounted for by sediment trap-collected sinking particles and the downward mixing of suspended and dissolved organic carbon. We propose an explanation for these paradoxical observations: gel-like organic matter rich in carbon but poor in nutrients, akin to transparent exopolymer particles, is produced by phytoplankton under nutrient limitation, and a portion sinks into the shallow subsurface, where it is respired by heterotrophic bacteria. This organic matter would evade detection by sediment traps, effectively representing an additional (sinking-driven) source of dissolved organic carbon to the subsurface. Building on existing evidence for the production of such nutrient-poor organic matter in surface waters, we describe evidence for its decomposition in the shallow subsurface of the Sargasso Sea. First, oxygen at these depths is consumed over the summer without comparable production of nitrate. Second, a seasonal change in the","author":[{"dropping-particle":"","family":"Kauffman","given":"Boone J.","non-dropping-particle":"","parse-names":false,"suffix":""},{"dropping-particle":"","family":"Arifanti","given":"Virni B.","non-dropping-particle":"","parse-names":false,"suffix":""},{"dropping-particle":"","family":"Hernández Trejo","given":"Humberto","non-dropping-particle":"","parse-names":false,"suffix":""},{"dropping-particle":"","family":"Carmen Jesús García","given":"Maria","non-dropping-particle":"del","parse-names":false,"suffix":""},{"dropping-particle":"","family":"Norfolk","given":"Jennifer","non-dropping-particle":"","parse-names":false,"suffix":""},{"dropping-particle":"","family":"Cifuentes","given":"Miguel","non-dropping-particle":"","parse-names":false,"suffix":""},{"dropping-particle":"","family":"Hadriyanto","given":"Deddy","non-dropping-particle":"","parse-names":false,"suffix":""},{"dropping-particle":"","family":"Murdiyarso","given":"Daniel","non-dropping-particle":"","parse-names":false,"suffix":""}],"container-title":"Frontiers in Ecology and the Environment","id":"ITEM-1","issue":"4","issued":{"date-parts":[["2017"]]},"page":"183-188","title":"The jumbo carbon footprint of a shrimp: carbon losses from mangrove deforestation","type":"article-journal","volume":"15"},"uris":["http://www.mendeley.com/documents/?uuid=5e8dd8ea-1522-3882-82d0-fc93482e88b8"]}],"mendeley":{"formattedCitation":"(Kauffman et al., 2017)","plainTextFormattedCitation":"(Kauffman et al., 2017)","previouslyFormattedCitation":"(Kauffman et al., 2017)"},"properties":{"noteIndex":0},"schema":"https://github.com/citation-style-language/schema/raw/master/csl-citation.json"}</w:instrText>
      </w:r>
      <w:r w:rsidRPr="0067054C">
        <w:fldChar w:fldCharType="separate"/>
      </w:r>
      <w:r w:rsidRPr="0067054C">
        <w:rPr>
          <w:noProof/>
        </w:rPr>
        <w:t>(Kauffman et al., 2017)</w:t>
      </w:r>
      <w:r w:rsidRPr="0067054C">
        <w:fldChar w:fldCharType="end"/>
      </w:r>
      <w:r w:rsidRPr="0067054C">
        <w:t xml:space="preserve">. </w:t>
      </w:r>
    </w:p>
    <w:p w14:paraId="5034CD2C" w14:textId="77777777" w:rsidR="009C75D7" w:rsidRPr="0067054C" w:rsidRDefault="009C75D7" w:rsidP="009C75D7">
      <w:pPr>
        <w:spacing w:line="480" w:lineRule="auto"/>
      </w:pPr>
    </w:p>
    <w:p w14:paraId="14AFE3EF" w14:textId="77777777" w:rsidR="009C75D7" w:rsidRPr="0067054C" w:rsidRDefault="009C75D7" w:rsidP="009C75D7">
      <w:pPr>
        <w:spacing w:line="480" w:lineRule="auto"/>
      </w:pPr>
      <w:r w:rsidRPr="0067054C">
        <w:t xml:space="preserve">Carbon stocks in mangrove forests are mainly derived from estimates in the wet tropics, but there is limited emerging empirical data on how the ecological functioning of arid mangroves compares to that of their tropical </w:t>
      </w:r>
      <w:r>
        <w:t xml:space="preserve">humid </w:t>
      </w:r>
      <w:r w:rsidRPr="0067054C">
        <w:t xml:space="preserve">counterparts </w:t>
      </w:r>
      <w:r w:rsidRPr="0067054C">
        <w:fldChar w:fldCharType="begin" w:fldLock="1"/>
      </w:r>
      <w:r w:rsidRPr="0067054C">
        <w:instrText>ADDIN CSL_CITATION {"citationItems":[{"id":"ITEM-1","itemData":{"DOI":"10.1002/2016JG003510","ISBN":"2169-9291","ISSN":"21698961","PMID":"26213675","abstract":"Mangrove forests produce significant amounts of organic carbon and maintain large carbon stocks in tidally inundated, anoxic soils. This work analyses new and published data from 17 regions spanning a latitudinal gradient from 22°N to 38°S to assess some of the global drivers (temperature, tidal range, latitude and rainfall) of mangrove carbon stocks. Mangrove forests from the tropics have larger carbon stocks (895 ± 90 t C ha−1) than the subtropics and temperate regions (547 ± 66 t C ha−1). A multiple regression model showed that 86% of the observed variability is associated with annual rainfall, which is the best predictor of mangrove ecosystem carbon stocks. Therefore a predicted increase in rainfall along the tropical Indo-Pacific may increase mangrove forest carbon stocks. However, there are other potentially important factors that may regulate organic matter diagenesis, such as nutrient availability porewater salinity. Our predictive model shows that if mangrove deforestation is halted, global mangrove forest carbon stocks could increase by almost 10% by 2115 as a result of increased rain in the tropics.","author":[{"dropping-particle":"","family":"Sanders","given":"Christian J.","non-dropping-particle":"","parse-names":false,"suffix":""},{"dropping-particle":"","family":"Maher","given":"Damien T.","non-dropping-particle":"","parse-names":false,"suffix":""},{"dropping-particle":"","family":"Tait","given":"Douglas R.","non-dropping-particle":"","parse-names":false,"suffix":""},{"dropping-particle":"","family":"Williams","given":"Darren","non-dropping-particle":"","parse-names":false,"suffix":""},{"dropping-particle":"","family":"Holloway","given":"Ceylena","non-dropping-particle":"","parse-names":false,"suffix":""},{"dropping-particle":"","family":"Sippo","given":"James Z.","non-dropping-particle":"","parse-names":false,"suffix":""},{"dropping-particle":"","family":"Santos","given":"Isaac R.","non-dropping-particle":"","parse-names":false,"suffix":""}],"container-title":"Journal of Geophysical Research: Biogeosciences","id":"ITEM-1","issue":"10","issued":{"date-parts":[["2016"]]},"page":"2600-2609","title":"Are global mangrove carbon stocks driven by rainfall?","type":"article-journal","volume":"121"},"uris":["http://www.mendeley.com/documents/?uuid=a73b1913-9e67-3871-83dd-83b904763801"]},{"id":"ITEM-2","itemData":{"DOI":"10.1038/s41598-017-10424-9","ISSN":"2045-2322","author":[{"dropping-particle":"","family":"Almahasheer","given":"Hanan","non-dropping-particle":"","parse-names":false,"suffix":""},{"dropping-particle":"","family":"Serrano","given":"Oscar","non-dropping-particle":"","parse-names":false,"suffix":""},{"dropping-particle":"","family":"Duarte","given":"Carlos M.","non-dropping-particle":"","parse-names":false,"suffix":""},{"dropping-particle":"","family":"Arias-Ortiz","given":"Ariane","non-dropping-particle":"","parse-names":false,"suffix":""},{"dropping-particle":"","family":"Masque","given":"Pere","non-dropping-particle":"","parse-names":false,"suffix":""},{"dropping-particle":"","family":"Irigoien","given":"Xabier","non-dropping-particle":"","parse-names":false,"suffix":""}],"container-title":"Scientific Reports","id":"ITEM-2","issue":"1","issued":{"date-parts":[["2017"]]},"page":"9700","title":"Low Carbon sink capacity of Red Sea mangroves","type":"article-journal","volume":"7"},"uris":["http://www.mendeley.com/documents/?uuid=90af8c22-f462-3b43-9dc5-dcc30bc9100e"]},{"id":"ITEM-3","itemData":{"DOI":"10.1002/eap.1489","ISSN":"19395582","abstract":"Coastal ecosystems produce and sequester significant amounts of carbon (\"blue carbon\"), which has been well documented in humid and semi-humid regions of temperate and tropical climates but less so in arid regions where mangroves, marshes, and seagrasses exist near the limit of their tolerance for extreme temperature and salinity. To better understand these unique systems, we measured whole-ecosystem carbon stocks in 58 sites across the United Arab Emirates (UAE) in natural and planted mangroves, salt marshes, seagrass beds, microbial mats, and coastal sabkha (inter- and supratidal unvegetated salt flats). Natural mangroves held significantly more carbon in above- and belowground biomass than other vegetated ecosystems. Planted mangrove carbon stocks increased with age, but there were large differences for sites of similar age. Soil carbon varied widely across sites (2-367 Mg C/ha), with ecosystem averages that ranged from 49 to 156 Mg C/ha. For the first time, microbial mats were documented to contain soil carbon pools comparable to vascular plant-dominated ecosystems, and could arguably be recognized as a unique blue carbon ecosystem. Total ecosystem carbon stocks ranged widely from 2 to 515 Mg C/ha (seagrass bed and mangrove, respectively). Seagrass beds had the lowest carbon stock per unit area, but the largest stock per total area due to their large spatial coverage. Compared to similar ecosystems globally, mangroves and marshes in the UAE have lower plant and soil carbon stocks; however, the difference in soil stocks is far larger than with plant stocks. This incongruent difference between stocks is likely due to poor carbon preservation under conditions of weakly reduced soils (200-350 mV), coarse-grained sediments, and active shoreline migration. This work represents the first attempt to produce a country-wide coastal ecosystem carbon accounting using a uniform sampling protocol, and was motivated by specific policy goals identified by the Abu Dhabi Global Environmental Data Initiative. These carbon stock data supported two objectives: to quantify carbon stocks and infer sequestration capacity in arid blue carbon ecosystems, and to explore the potential to incorporate blue carbon science into national reporting and planning documents. © 2016 by the Ecological Society of America.","author":[{"dropping-particle":"","family":"Schile","given":"Lisa M.","non-dropping-particle":"","parse-names":false,"suffix":""},{"dropping-particle":"","family":"Kauffman","given":"J. Boone","non-dropping-particle":"","parse-names":false,"suffix":""},{"dropping-particle":"","family":"Crooks","given":"Stephen","non-dropping-particle":"","parse-names":false,"suffix":""},{"dropping-particle":"","family":"Fourqurean","given":"James W.","non-dropping-particle":"","parse-names":false,"suffix":""},{"dropping-particle":"","family":"Glavan","given":"Jane","non-dropping-particle":"","parse-names":false,"suffix":""},{"dropping-particle":"","family":"Megonigal","given":"J. Patrick","non-dropping-particle":"","parse-names":false,"suffix":""}],"container-title":"Ecological Applications","id":"ITEM-3","issue":"3","issued":{"date-parts":[["2017"]]},"page":"859-874","title":"Limits on carbon sequestration in arid blue carbon ecosystems","type":"article-journal","volume":"27"},"uris":["http://www.mendeley.com/documents/?uuid=c37893be-f79d-4cb3-b5d3-f043469db703"]}],"mendeley":{"formattedCitation":"(Almahasheer et al., 2017; Sanders et al., 2016; Schile et al., 2017)","plainTextFormattedCitation":"(Almahasheer et al., 2017; Sanders et al., 2016; Schile et al., 2017)","previouslyFormattedCitation":"(Almahasheer et al., 2017; Sanders et al., 2016; Schile et al., 2017)"},"properties":{"noteIndex":0},"schema":"https://github.com/citation-style-language/schema/raw/master/csl-citation.json"}</w:instrText>
      </w:r>
      <w:r w:rsidRPr="0067054C">
        <w:fldChar w:fldCharType="separate"/>
      </w:r>
      <w:r w:rsidRPr="0067054C">
        <w:rPr>
          <w:noProof/>
        </w:rPr>
        <w:t>(Almahasheer et al., 2017; Sanders et al., 2016; Schile et al., 2017)</w:t>
      </w:r>
      <w:r w:rsidRPr="0067054C">
        <w:fldChar w:fldCharType="end"/>
      </w:r>
      <w:r w:rsidRPr="0067054C">
        <w:t xml:space="preserve">. Annual rainfall and air temperature are important drivers of carbon stocks in tropical and sub-tropical mangroves </w:t>
      </w:r>
      <w:r w:rsidRPr="0067054C">
        <w:fldChar w:fldCharType="begin" w:fldLock="1"/>
      </w:r>
      <w:r w:rsidRPr="0067054C">
        <w:instrText>ADDIN CSL_CITATION {"citationItems":[{"id":"ITEM-1","itemData":{"DOI":"10.1002/2016JG003510","ISBN":"2169-9291","ISSN":"21698961","PMID":"26213675","abstract":"Mangrove forests produce significant amounts of organic carbon and maintain large carbon stocks in tidally inundated, anoxic soils. This work analyses new and published data from 17 regions spanning a latitudinal gradient from 22°N to 38°S to assess some of the global drivers (temperature, tidal range, latitude and rainfall) of mangrove carbon stocks. Mangrove forests from the tropics have larger carbon stocks (895 ± 90 t C ha−1) than the subtropics and temperate regions (547 ± 66 t C ha−1). A multiple regression model showed that 86% of the observed variability is associated with annual rainfall, which is the best predictor of mangrove ecosystem carbon stocks. Therefore a predicted increase in rainfall along the tropical Indo-Pacific may increase mangrove forest carbon stocks. However, there are other potentially important factors that may regulate organic matter diagenesis, such as nutrient availability porewater salinity. Our predictive model shows that if mangrove deforestation is halted, global mangrove forest carbon stocks could increase by almost 10% by 2115 as a result of increased rain in the tropics.","author":[{"dropping-particle":"","family":"Sanders","given":"Christian J.","non-dropping-particle":"","parse-names":false,"suffix":""},{"dropping-particle":"","family":"Maher","given":"Damien T.","non-dropping-particle":"","parse-names":false,"suffix":""},{"dropping-particle":"","family":"Tait","given":"Douglas R.","non-dropping-particle":"","parse-names":false,"suffix":""},{"dropping-particle":"","family":"Williams","given":"Darren","non-dropping-particle":"","parse-names":false,"suffix":""},{"dropping-particle":"","family":"Holloway","given":"Ceylena","non-dropping-particle":"","parse-names":false,"suffix":""},{"dropping-particle":"","family":"Sippo","given":"James Z.","non-dropping-particle":"","parse-names":false,"suffix":""},{"dropping-particle":"","family":"Santos","given":"Isaac R.","non-dropping-particle":"","parse-names":false,"suffix":""}],"container-title":"Journal of Geophysical Research: Biogeosciences","id":"ITEM-1","issue":"10","issued":{"date-parts":[["2016"]]},"page":"2600-2609","title":"Are global mangrove carbon stocks driven by rainfall?","type":"article-journal","volume":"121"},"uris":["http://www.mendeley.com/documents/?uuid=a73b1913-9e67-3871-83dd-83b904763801"]},{"id":"ITEM-2","itemData":{"DOI":"10.1038/s41558-018-0162-5","ISBN":"4155801801625","ISSN":"17586798","abstract":"Global-scale variation in mangrove ecosystem properties has been explained using a conceptual framework linking geomorphological processes to distinct coastal environmental settings (CES) for nearly 50 years. However, these assumptions have not been empirically tested at the global scale. Here, we show that CES account for global variability in mangrove soil C:N:P stoichiometry and soil organic carbon (SOC) stocks. Using this ecogeomorphology framework, we developed a global model that captures variation in mangrove SOC stocks compatible with distinct CES. We show that mangrove SOC stocks have been underestimated by up to 50% (a difference of roughly 200 Mg ha−1) in carbonate settings and overestimated by up to 86% (around 400 Mg ha−1) in deltaic coastlines. Moreover, we provide information for 57 nations that currently lack SOC data, enabling these and other countries to develop or evaluate their blue carbon inventories.","author":[{"dropping-particle":"","family":"Rovai","given":"André S.","non-dropping-particle":"","parse-names":false,"suffix":""},{"dropping-particle":"","family":"Twilley","given":"Robert R.","non-dropping-particle":"","parse-names":false,"suffix":""},{"dropping-particle":"","family":"Castañeda-Moya","given":"Edward","non-dropping-particle":"","parse-names":false,"suffix":""},{"dropping-particle":"","family":"Riul","given":"Pablo","non-dropping-particle":"","parse-names":false,"suffix":""},{"dropping-particle":"","family":"Cifuentes-Jara","given":"Miguel","non-dropping-particle":"","parse-names":false,"suffix":""},{"dropping-particle":"","family":"Manrow-Villalobos","given":"Marilyn","non-dropping-particle":"","parse-names":false,"suffix":""},{"dropping-particle":"","family":"Horta","given":"Paulo A.","non-dropping-particle":"","parse-names":false,"suffix":""},{"dropping-particle":"","family":"Simonassi","given":"José C.","non-dropping-particle":"","parse-names":false,"suffix":""},{"dropping-particle":"","family":"Fonseca","given":"Alessandra L.","non-dropping-particle":"","parse-names":false,"suffix":""},{"dropping-particle":"","family":"Pagliosa","given":"Paulo R.","non-dropping-particle":"","parse-names":false,"suffix":""}],"container-title":"Nature Climate Change","id":"ITEM-2","issue":"6","issued":{"date-parts":[["2018","6","28"]]},"page":"534-538","publisher":"Nature Publishing Group","title":"Global controls on carbon storage in mangrove soils","type":"article-journal","volume":"8"},"uris":["http://www.mendeley.com/documents/?uuid=e218dcd6-b535-3f7d-a08f-4983ee271d59"]}],"mendeley":{"formattedCitation":"(Rovai et al., 2018; Sanders et al., 2016)","plainTextFormattedCitation":"(Rovai et al., 2018; Sanders et al., 2016)","previouslyFormattedCitation":"(Rovai et al., 2018; Sanders et al., 2016)"},"properties":{"noteIndex":0},"schema":"https://github.com/citation-style-language/schema/raw/master/csl-citation.json"}</w:instrText>
      </w:r>
      <w:r w:rsidRPr="0067054C">
        <w:fldChar w:fldCharType="separate"/>
      </w:r>
      <w:r w:rsidRPr="0067054C">
        <w:rPr>
          <w:noProof/>
        </w:rPr>
        <w:t xml:space="preserve">(Rovai et al., 2018; Sanders </w:t>
      </w:r>
      <w:r w:rsidRPr="0067054C">
        <w:rPr>
          <w:noProof/>
        </w:rPr>
        <w:lastRenderedPageBreak/>
        <w:t>et al., 2016)</w:t>
      </w:r>
      <w:r w:rsidRPr="0067054C">
        <w:fldChar w:fldCharType="end"/>
      </w:r>
      <w:r w:rsidRPr="0067054C">
        <w:t xml:space="preserve">. Increased rainfall is associated with higher mangrove productivity, which can become stored in the soil </w:t>
      </w:r>
      <w:r w:rsidRPr="0067054C">
        <w:fldChar w:fldCharType="begin" w:fldLock="1"/>
      </w:r>
      <w:r w:rsidRPr="0067054C">
        <w:instrText>ADDIN CSL_CITATION {"citationItems":[{"id":"ITEM-1","itemData":{"DOI":"10.1016/j.marpolbul.2018.04.043","ISSN":"18793363","abstract":"The role of soil carbon (C) in coastal wetlands as a net sink is related to the relative abundance of autochthonous versus allochthonous C. We aimed to investigate soil C sources and the pathways by which mangrove vegetation enhances soil C accumulation. We sampled soil to 1 m depth in seven oceanic mangrove forests and an adjacent un-vegetated mudflat at Dongzhai Bay, China. Stable C isotope technique was used to separate autochthonous and allochthonous C sources. Autochthonous C accounted for 27–97% of soil C stock in the top meter. Soil C density was 1.1–3.6 times higher in mangroves than in the mudflat. Among the increased soil C in mangroves relative to mudflat, autochthonous C accounted for 65–100% of the increments. The results suggest that mangrove vegetation enhances soil C storage primarily through in situ inputs, therefore the substantial soil C stocks commonly found in mangroves play an important role in sequestering atmospheric CO2.","author":[{"dropping-particle":"","family":"Xiong","given":"Yanmei","non-dropping-particle":"","parse-names":false,"suffix":""},{"dropping-particle":"","family":"Liao","given":"Baowen","non-dropping-particle":"","parse-names":false,"suffix":""},{"dropping-particle":"","family":"Wang","given":"Faming","non-dropping-particle":"","parse-names":false,"suffix":""}],"container-title":"Marine Pollution Bulletin","id":"ITEM-1","issued":{"date-parts":[["2018"]]},"page":"378-385","title":"Mangrove vegetation enhances soil carbon storage primarily through in situ inputs rather than increasing allochthonous sediments","type":"article-journal","volume":"131"},"uris":["http://www.mendeley.com/documents/?uuid=8382bbd6-f5cd-3eb5-9d74-c05432dad66d"]}],"mendeley":{"formattedCitation":"(Xiong et al., 2018)","plainTextFormattedCitation":"(Xiong et al., 2018)","previouslyFormattedCitation":"(Xiong et al., 2018)"},"properties":{"noteIndex":0},"schema":"https://github.com/citation-style-language/schema/raw/master/csl-citation.json"}</w:instrText>
      </w:r>
      <w:r w:rsidRPr="0067054C">
        <w:fldChar w:fldCharType="separate"/>
      </w:r>
      <w:r w:rsidRPr="0067054C">
        <w:rPr>
          <w:noProof/>
        </w:rPr>
        <w:t>(Xiong et al., 2018)</w:t>
      </w:r>
      <w:r w:rsidRPr="0067054C">
        <w:fldChar w:fldCharType="end"/>
      </w:r>
      <w:r w:rsidRPr="0067054C">
        <w:t xml:space="preserve">. In China, up to 97% of carbon in the top 1m has been found to be of mangrove origin </w:t>
      </w:r>
      <w:r w:rsidRPr="0067054C">
        <w:fldChar w:fldCharType="begin" w:fldLock="1"/>
      </w:r>
      <w:r w:rsidRPr="0067054C">
        <w:instrText>ADDIN CSL_CITATION {"citationItems":[{"id":"ITEM-1","itemData":{"DOI":"10.1016/j.marpolbul.2018.04.043","ISSN":"18793363","abstract":"The role of soil carbon (C) in coastal wetlands as a net sink is related to the relative abundance of autochthonous versus allochthonous C. We aimed to investigate soil C sources and the pathways by which mangrove vegetation enhances soil C accumulation. We sampled soil to 1 m depth in seven oceanic mangrove forests and an adjacent un-vegetated mudflat at Dongzhai Bay, China. Stable C isotope technique was used to separate autochthonous and allochthonous C sources. Autochthonous C accounted for 27–97% of soil C stock in the top meter. Soil C density was 1.1–3.6 times higher in mangroves than in the mudflat. Among the increased soil C in mangroves relative to mudflat, autochthonous C accounted for 65–100% of the increments. The results suggest that mangrove vegetation enhances soil C storage primarily through in situ inputs, therefore the substantial soil C stocks commonly found in mangroves play an important role in sequestering atmospheric CO2.","author":[{"dropping-particle":"","family":"Xiong","given":"Yanmei","non-dropping-particle":"","parse-names":false,"suffix":""},{"dropping-particle":"","family":"Liao","given":"Baowen","non-dropping-particle":"","parse-names":false,"suffix":""},{"dropping-particle":"","family":"Wang","given":"Faming","non-dropping-particle":"","parse-names":false,"suffix":""}],"container-title":"Marine Pollution Bulletin","id":"ITEM-1","issued":{"date-parts":[["2018"]]},"page":"378-385","title":"Mangrove vegetation enhances soil carbon storage primarily through in situ inputs rather than increasing allochthonous sediments","type":"article-journal","volume":"131"},"uris":["http://www.mendeley.com/documents/?uuid=8382bbd6-f5cd-3eb5-9d74-c05432dad66d"]}],"mendeley":{"formattedCitation":"(Xiong et al., 2018)","plainTextFormattedCitation":"(Xiong et al., 2018)","previouslyFormattedCitation":"(Xiong et al., 2018)"},"properties":{"noteIndex":0},"schema":"https://github.com/citation-style-language/schema/raw/master/csl-citation.json"}</w:instrText>
      </w:r>
      <w:r w:rsidRPr="0067054C">
        <w:fldChar w:fldCharType="separate"/>
      </w:r>
      <w:r w:rsidRPr="0067054C">
        <w:rPr>
          <w:noProof/>
        </w:rPr>
        <w:t>(Xiong et al., 2018)</w:t>
      </w:r>
      <w:r w:rsidRPr="0067054C">
        <w:fldChar w:fldCharType="end"/>
      </w:r>
      <w:r w:rsidRPr="0067054C">
        <w:t xml:space="preserve">, though terrigenous sediment contributions may be higher where there is freshwater-mediated input from river catchments </w:t>
      </w:r>
      <w:r w:rsidRPr="0067054C">
        <w:fldChar w:fldCharType="begin" w:fldLock="1"/>
      </w:r>
      <w:r w:rsidRPr="0067054C">
        <w:instrText>ADDIN CSL_CITATION {"citationItems":[{"id":"ITEM-1","itemData":{"DOI":"10.1016/j.ecss.2009.10.013","ISBN":"0272-7714","ISSN":"02727714","abstract":"Coastal wetlands provide important ecological services to the coastal zone, one of which is sediment retention. In this study we investigated sediment retention across a range of geomorphological settings and across vegetation zones comprising coastal wetlands. We selected six coastal wetlands dominated by mangroves over a gradient from riverine to tidal settings in Southeast Queensland, Australia. Each site was comprised of three distinct vegetation communities distributed as parallel zones to the coast line: seaward fringe mangroves, landward scrub mangroves and saltmarsh/ cyanobacteria mat of the high intertidal zone. We measured suspended sediment retention and sedimentation rates. Additionally, in order to assess the origin of sediment transported and deposited in the mangroves, glomalin, a novel terrestrial soil carbon tracer, was used. Our results show a mean average sedimentation of 0.64 ?? 0.01 mg cm-2 spring tide-1, which was variable within sites, regardless of geomorphological setting. However, geomorphological setting influenced spatial patterns of sediment deposition. Riverine mangroves had a more homogeneous distribution of sediments across the intertidal zone than tidal mangroves, where most sedimentation occurred in the fringe zone. Overall, the fringe zone retained the majority of sediment entering the coastal wetland during a tidal cycle with 0.90 ?? 0.22 mg cm-2 spring tide-1, accounting for 52.5 ?? 12.5% of the total sedimentation. The presence of glomalin in suspended sediments, and thus the relative importance of terrigenous sediment, was strongly influenced by geomorphological setting, with riverine mangroves receiving more glomalin in suspended solids than tidal mangroves. Glomalin was also differentially deposited within the vegetation zones at different geomorphological settings: primarily at the fringe zone of tidal mangroves and within the scrub zone of riverine mangroves. The differences we observed in the spatial distribution of sedimentation and the difference in the origin of the sediment deposited in riverine and tidal mangroves are likely to have an impact on ecological processes. ?? 2009 Elsevier Ltd. All rights reserved.","author":[{"dropping-particle":"","family":"Adame","given":"María Fernanda","non-dropping-particle":"","parse-names":false,"suffix":""},{"dropping-particle":"","family":"Neil","given":"David","non-dropping-particle":"","parse-names":false,"suffix":""},{"dropping-particle":"","family":"Wright","given":"Sara F.","non-dropping-particle":"","parse-names":false,"suffix":""},{"dropping-particle":"","family":"Lovelock","given":"Catherine E.","non-dropping-particle":"","parse-names":false,"suffix":""}],"container-title":"Estuarine, Coastal and Shelf Science","id":"ITEM-1","issue":"1","issued":{"date-parts":[["2010"]]},"page":"21-30","title":"Sedimentation within and among mangrove forests along a gradient of geomorphological settings","type":"article-journal","volume":"86"},"uris":["http://www.mendeley.com/documents/?uuid=8452f1a6-79ad-3f3b-9e05-ff59d076662e"]}],"mendeley":{"formattedCitation":"(Adame et al., 2010)","plainTextFormattedCitation":"(Adame et al., 2010)","previouslyFormattedCitation":"(Adame et al., 2010)"},"properties":{"noteIndex":0},"schema":"https://github.com/citation-style-language/schema/raw/master/csl-citation.json"}</w:instrText>
      </w:r>
      <w:r w:rsidRPr="0067054C">
        <w:fldChar w:fldCharType="separate"/>
      </w:r>
      <w:r w:rsidRPr="0067054C">
        <w:rPr>
          <w:noProof/>
        </w:rPr>
        <w:t>(Adame et al., 2010)</w:t>
      </w:r>
      <w:r w:rsidRPr="0067054C">
        <w:fldChar w:fldCharType="end"/>
      </w:r>
      <w:r w:rsidRPr="0067054C">
        <w:t xml:space="preserve">. In estuarine soils across a large geographical area, strong inverse relationships have been found between rainfall and salinity and positive relationships between precipitation, plant productivity and soil organic matter </w:t>
      </w:r>
      <w:r w:rsidRPr="0067054C">
        <w:fldChar w:fldCharType="begin" w:fldLock="1"/>
      </w:r>
      <w:r w:rsidRPr="0067054C">
        <w:instrText>ADDIN CSL_CITATION {"citationItems":[{"id":"ITEM-1","itemData":{"DOI":"10.1111/gcb.14376","ISSN":"13652486","abstract":"Coastal wetlands are among the most productive and carbon-rich ecosystems on Earth. Long-term carbon storage in coastal wetlands occurs primarily belowground as soil organic matter (SOM). In addition to serving as a carbon sink, SOM influences wetland ecosystem structure, function, and stability. To anticipate and mitigate the effects of climate change, there is a need to advance understanding of environmental controls on wetland SOM. Here, we investigated the influence of four soil formation factors: climate, biota, parent materials, and topography. Along the northern Gulf of Mexico, we collected wetland plant and soil data across elevation and zonation gradients within 10 estuaries that span broad temperature and precipitation gradients. Our results highlight the importance of climate–plant controls and indicate that the influence of elevation is scale and location dependent. Coastal wetland plants are sensitive to climate change; small changes in temperature or precipitation can transform coastal wetland plant communities. Across the region, SOM was greatest in mangrove forests and in salt marshes dominated by graminoid plants. SOM was lower in salt flats that lacked vascular plants and in salt marshes dominated by succulent plants. We quantified strong relationships between precipitation, salinity, plant productivity, and SOM. Low precipitation leads to high salinity, which limits plant productivity and appears to constrain SOM accumulation. Our analyses use data from the Gulf of Mexico, but our results can be related to coastal wetlands across the globe and provide a foundation for predicting the ecological effects of future reductions in precipitation and freshwater availability. Coastal wetlands provide many ecosystem services that are SOM dependent and highly vulnerable to climate change. Collectively, our results indicate that future changes in SOM and plant productivity, regulated by cascading effects of precipitation on freshwater availability and salinity, could impact wetland stability and affect the supply of some wetland ecosystem services.","author":[{"dropping-particle":"","family":"Osland","given":"Michael J.","non-dropping-particle":"","parse-names":false,"suffix":""},{"dropping-particle":"","family":"Gabler","given":"Christopher A.","non-dropping-particle":"","parse-names":false,"suffix":""},{"dropping-particle":"","family":"Grace","given":"James B.","non-dropping-particle":"","parse-names":false,"suffix":""},{"dropping-particle":"","family":"Day","given":"Richard H.","non-dropping-particle":"","parse-names":false,"suffix":""},{"dropping-particle":"","family":"McCoy","given":"Meagan L.","non-dropping-particle":"","parse-names":false,"suffix":""},{"dropping-particle":"","family":"McLeod","given":"Jennie L.","non-dropping-particle":"","parse-names":false,"suffix":""},{"dropping-particle":"","family":"From","given":"Andrew S.","non-dropping-particle":"","parse-names":false,"suffix":""},{"dropping-particle":"","family":"Enwright","given":"Nicholas M.","non-dropping-particle":"","parse-names":false,"suffix":""},{"dropping-particle":"","family":"Feher","given":"Laura C.","non-dropping-particle":"","parse-names":false,"suffix":""},{"dropping-particle":"","family":"Stagg","given":"Camille L.","non-dropping-particle":"","parse-names":false,"suffix":""},{"dropping-particle":"","family":"Hartley","given":"Stephen B.","non-dropping-particle":"","parse-names":false,"suffix":""}],"container-title":"Global Change Biology","id":"ITEM-1","issue":"11","issued":{"date-parts":[["2018"]]},"page":"5361-5379","title":"Climate and plant controls on soil organic matter in coastal wetlands","type":"article-journal","volume":"24"},"uris":["http://www.mendeley.com/documents/?uuid=bcb29232-69f0-4b9f-80a2-5893ec1bc99f","http://www.mendeley.com/documents/?uuid=190fce1d-80ef-470e-a0ab-f92ff5bfc590"]}],"mendeley":{"formattedCitation":"(Osland et al., 2018)","plainTextFormattedCitation":"(Osland et al., 2018)","previouslyFormattedCitation":"(Osland et al., 2018)"},"properties":{"noteIndex":0},"schema":"https://github.com/citation-style-language/schema/raw/master/csl-citation.json"}</w:instrText>
      </w:r>
      <w:r w:rsidRPr="0067054C">
        <w:fldChar w:fldCharType="separate"/>
      </w:r>
      <w:r w:rsidRPr="0067054C">
        <w:rPr>
          <w:noProof/>
        </w:rPr>
        <w:t>(Osland et al., 2018)</w:t>
      </w:r>
      <w:r w:rsidRPr="0067054C">
        <w:fldChar w:fldCharType="end"/>
      </w:r>
      <w:r w:rsidRPr="0067054C">
        <w:t>. Mangroves in the western Arabian/Persian Gulf (hereafter referred to as “the Gulf”) persist in very arid conditions, with rainfall as low as 54 mm yr</w:t>
      </w:r>
      <w:r w:rsidRPr="0067054C">
        <w:rPr>
          <w:vertAlign w:val="superscript"/>
        </w:rPr>
        <w:t xml:space="preserve">-1 </w:t>
      </w:r>
      <w:r w:rsidRPr="0067054C">
        <w:rPr>
          <w:vertAlign w:val="superscript"/>
        </w:rPr>
        <w:fldChar w:fldCharType="begin" w:fldLock="1"/>
      </w:r>
      <w:r w:rsidRPr="0067054C">
        <w:rPr>
          <w:vertAlign w:val="superscript"/>
        </w:rPr>
        <w:instrText>ADDIN CSL_CITATION {"citationItems":[{"id":"ITEM-1","itemData":{"DOI":"10.1016/0025-326X(93)90004-4","ISBN":"0025-326X","ISSN":"0025326X","abstract":"The Gulf's biological character is briefly reviewed to provide a background to the main habitats and their condition, for the papers in this Special Issue. The Gulf's marine resources are described in the context of possible environmental consequences of the 1991 Gulf War. While emphasis is given to living resources, in particular ecosystems and fisheries, non-living resources are also briefly considered (e.g. oil and gas), as is availability of clean seawater for production of fresh water. The focus is on the western and Arabian coasts; the eastern (Iranian) coast remains one of the least known in the world in biological terms. Of the subtidal ecosystems, coral reefs are the most diverse. They are highly productive, but cover only a small area and so are of relatively minor importance in a regional sense. Seagrasses are common in shallow areas (&lt;10 m), forming the basis of many food chains. At least four seagrass species are known for the region, but most communities are dominated by Halodule uninervis. Seagrasses are also an important habitat for commercial shrimp (e.g. Penaeus semisulcatus), pearl oysters and many other organisms. Mudflats occupy extensive areas of the intertidal zone. Their productivity is often enhanced by Cyanophya-dominated algal mats. Naturally occurring mangroves are found in association with tidal flats and are represented by a single species, Avicennia marina. Mangroves are much less extensive in the Gulf (125-130 km2) than the Red Sea (400-500 km2). Of major regional and global importance are the Gulf's fisheries, particularly for penaeid shrimp (e.g.P. semisulcatus), but also for groupers, jacks and spanish mackerel. Fauna important to conservation issues include sea birds, green and hawksbill turtles and dugongs. ?? 1993.","author":[{"dropping-particle":"","family":"Price","given":"A. R G","non-dropping-particle":"","parse-names":false,"suffix":""},{"dropping-particle":"","family":"Sheppard","given":"C. R C","non-dropping-particle":"","parse-names":false,"suffix":""},{"dropping-particle":"","family":"Roberts","given":"C. M.","non-dropping-particle":"","parse-names":false,"suffix":""}],"container-title":"Marine Pollution Bulletin","id":"ITEM-1","issue":"C","issued":{"date-parts":[["1993","1"]]},"page":"9-15","title":"The Gulf: Its biological setting","type":"article-journal","volume":"27"},"uris":["http://www.mendeley.com/documents/?uuid=55b3a3d4-8421-45fc-84fa-8de85e3c1b39"]}],"mendeley":{"formattedCitation":"(Price et al., 1993)","plainTextFormattedCitation":"(Price et al., 1993)","previouslyFormattedCitation":"(Price et al., 1993)"},"properties":{"noteIndex":0},"schema":"https://github.com/citation-style-language/schema/raw/master/csl-citation.json"}</w:instrText>
      </w:r>
      <w:r w:rsidRPr="0067054C">
        <w:rPr>
          <w:vertAlign w:val="superscript"/>
        </w:rPr>
        <w:fldChar w:fldCharType="separate"/>
      </w:r>
      <w:r w:rsidRPr="0067054C">
        <w:rPr>
          <w:noProof/>
        </w:rPr>
        <w:t>(Price et al., 1993)</w:t>
      </w:r>
      <w:r w:rsidRPr="0067054C">
        <w:rPr>
          <w:vertAlign w:val="superscript"/>
        </w:rPr>
        <w:fldChar w:fldCharType="end"/>
      </w:r>
      <w:r w:rsidRPr="0067054C">
        <w:t>, compared to even the semi-arid mangroves of Senegal, where precipitation averages 650 mm yr</w:t>
      </w:r>
      <w:r w:rsidRPr="0067054C">
        <w:rPr>
          <w:vertAlign w:val="superscript"/>
        </w:rPr>
        <w:t>-1</w:t>
      </w:r>
      <w:r w:rsidRPr="0067054C">
        <w:t xml:space="preserve"> </w:t>
      </w:r>
      <w:r w:rsidRPr="0067054C">
        <w:fldChar w:fldCharType="begin" w:fldLock="1"/>
      </w:r>
      <w:r w:rsidRPr="0067054C">
        <w:instrText>ADDIN CSL_CITATION {"citationItems":[{"id":"ITEM-1","itemData":{"DOI":"10.1371/journal.pone.0187749","ISBN":"1111111111","ISSN":"19326203","abstract":"Globally, it is recognized that blue carbon ecosystems, especially mangroves, often sequester large quantities of carbon and are of interest for inclusion in climate change mitigation strategies. While 19% of the world’s mangroves are in Africa, they are among the least investigated of all blue carbon ecosystems. We quantified total ecosystem carbon stocks in 33 different mangrove stands along the Atlantic coast of West-Central Africa from Senegal to Southern Gabon spanning large gradients of latitude, soil properties, porewater salinity, and precipitation. Mangrove structure ranged from low and dense stands that were &lt;1m in height and &gt;35,000 trees ha-1 to tall and open stands &gt;40m in height and &lt;100 ha-1. Tremendous variation in ecosystem carbon (C) stocks was measured ranging from 154 to 1,484 Mg C ha-1. The mean total ecosystem carbon stock for all mangroves of West-Central Africa was 799 Mg C ha-1. Soils comprised an average of 86% of the total carbon stock. The greatest carbon stocks were found in the tall mangroves of Liberia and Gabon North with a mean &gt;1,000 Mg C ha-1. The lowest carbon stocks were found in the low mangroves of the semiarid region of Senegal (463 Mg C ha-1) and in mangroves on coarse-textured soils in Gabon South (541 Mg C ha-1). At the scale of the entirety of West-Central Africa, total ecosystem carbon stocks were poorly correlated to aboveground ecosystem carbon pools, precipitation, latitude and soil salinity (r2 = ≤0.07 for all parameters). Based upon a sample of 158 sites from Africa, Asia and Latin America that were sampled in a similar manner to this study, the global mean of carbon stocks for mangroves is 885 Mg C ha-1. The ecosystem carbon stocks of mangroves for West-Central Africa are slightly lower than those of Latin America (940 Mg C ha-1) and Asia (1049 Mg C ha-1) but substantially higher than the default Intergovernmental Panel on Climate Change (IPCC) values for mangroves (511 Mg C ha-1). This study provides an improved estimation of default estimates (Tier 1 values) of mangroves for Asia, Latin America, and West Central Africa.","author":[{"dropping-particle":"","family":"Kauffman","given":"J. B.","non-dropping-particle":"","parse-names":false,"suffix":""},{"dropping-particle":"","family":"Bhomia","given":"Rupesh K.","non-dropping-particle":"","parse-names":false,"suffix":""}],"container-title":"PLoS ONE","editor":[{"dropping-particle":"","family":"Cebrian","given":"Just","non-dropping-particle":"","parse-names":false,"suffix":""}],"id":"ITEM-1","issue":"11","issued":{"date-parts":[["2017","11","13"]]},"page":"e0187749","publisher":"Public Library of Science","title":"Ecosystem carbon stocks of mangroves across broad environmental gradients in West-Central Africa: Global and regional comparisons","type":"article-journal","volume":"12"},"uris":["http://www.mendeley.com/documents/?uuid=0dda3e35-6690-3ef2-afb9-36bcc53c835b"]}],"mendeley":{"formattedCitation":"(Kauffman and Bhomia, 2017)","plainTextFormattedCitation":"(Kauffman and Bhomia, 2017)","previouslyFormattedCitation":"(Kauffman and Bhomia, 2017)"},"properties":{"noteIndex":0},"schema":"https://github.com/citation-style-language/schema/raw/master/csl-citation.json"}</w:instrText>
      </w:r>
      <w:r w:rsidRPr="0067054C">
        <w:fldChar w:fldCharType="separate"/>
      </w:r>
      <w:r w:rsidRPr="0067054C">
        <w:rPr>
          <w:noProof/>
        </w:rPr>
        <w:t>(Kauffman and Bhomia, 2017)</w:t>
      </w:r>
      <w:r w:rsidRPr="0067054C">
        <w:fldChar w:fldCharType="end"/>
      </w:r>
      <w:r w:rsidRPr="0067054C">
        <w:t xml:space="preserve"> and with heightened salinity (~60</w:t>
      </w:r>
      <w:r>
        <w:t>, Practical Salinity Units</w:t>
      </w:r>
      <w:r w:rsidRPr="0067054C">
        <w:t xml:space="preserve">) </w:t>
      </w:r>
      <w:r w:rsidRPr="0067054C">
        <w:fldChar w:fldCharType="begin" w:fldLock="1"/>
      </w:r>
      <w:r w:rsidRPr="0067054C">
        <w:instrText>ADDIN CSL_CITATION {"citationItems":[{"id":"ITEM-1","itemData":{"DOI":"10.1111/sed.12419","ISSN":"13653091","abstract":"In a modern peritidal microbial mat from Qatar, both biomediated carbonates and Mg-rich clay minerals (palygorskite) were identified. The mat, ca 5 cm thick, shows a clear lamination reflecting different microbial communities. The initial precipitates within the top millimetres of the mat are composed of Ca–Mg–Si–Al–S amorphous nanoparticles (few tens of nanometres) that replace the ultrastructure of extracellular polymeric substances. The extracellular polymeric substances are enriched in the same cations and act as a substrate for mineral nucleation. Successively, crystallites of palygorskite fibres associated with carbonate nanocrystals develop, commonly surrounding bacterial bodies. Micron-sized crystals of low-Mg calcite are the most common precipitates, together with subordinate aragonite, very high-Mg calcite/dolomite and ankerite. Pyrite nanocrystals and framboids are present in the deeper layers of the mat. Calcite crystallites form conical structures, circular to triangular/hexagonal in cross-section, evolving to crystals with rhombohedral terminations; some crystallite bundles develop into dumb-bell and stellate forms. Spheroidal organo-mineral structures are also common within the mat. Nanospheres, a few tens of nanometres in diameter, occur attached to coccoid bacteria and within their cells; these are interpreted as permineralized viruses and could be significant as nuclei for crystallite-crystal precipitation. Microspheres, 1 to 10 μm in diameter, result from intracellular permineralization within bacteria or the mineralization of the bacteria themselves. Carbonates and clay minerals are commonly aggregated to form peloids, tens of microns in size, surrounded by residual organic matter. Magnesium silicate and carbonate precipitation are likely to have been driven by pH – saturation index – redox changes within the mat, related to microenvironmental chemical changes induced by the microbes – extracellular polymeric substances – viruses and their degradation.","author":[{"dropping-particle":"","family":"Perri","given":"Edoardo","non-dropping-particle":"","parse-names":false,"suffix":""},{"dropping-particle":"","family":"Tucker","given":"Maurice E.","non-dropping-particle":"","parse-names":false,"suffix":""},{"dropping-particle":"","family":"Słowakiewicz","given":"Mirosław","non-dropping-particle":"","parse-names":false,"suffix":""},{"dropping-particle":"","family":"Whitaker","given":"Fiona","non-dropping-particle":"","parse-names":false,"suffix":""},{"dropping-particle":"","family":"Bowen","given":"Leon","non-dropping-particle":"","parse-names":false,"suffix":""},{"dropping-particle":"","family":"Perrotta","given":"Ida D.","non-dropping-particle":"","parse-names":false,"suffix":""}],"container-title":"Sedimentology","id":"ITEM-1","issue":"4","issued":{"date-parts":[["2018"]]},"page":"1213-1245","title":"Carbonate and silicate biomineralization in a hypersaline microbial mat (Mesaieed sabkha, Qatar): Roles of bacteria, extracellular polymeric substances and viruses","type":"article-journal","volume":"65"},"uris":["http://www.mendeley.com/documents/?uuid=8c9a25ab-583e-446d-9c46-e4c7158760dd"]}],"mendeley":{"formattedCitation":"(Perri et al., 2018)","plainTextFormattedCitation":"(Perri et al., 2018)","previouslyFormattedCitation":"(Perri et al., 2018)"},"properties":{"noteIndex":0},"schema":"https://github.com/citation-style-language/schema/raw/master/csl-citation.json"}</w:instrText>
      </w:r>
      <w:r w:rsidRPr="0067054C">
        <w:fldChar w:fldCharType="separate"/>
      </w:r>
      <w:r w:rsidRPr="0067054C">
        <w:rPr>
          <w:noProof/>
        </w:rPr>
        <w:t>(Perri et al., 2018)</w:t>
      </w:r>
      <w:r w:rsidRPr="0067054C">
        <w:fldChar w:fldCharType="end"/>
      </w:r>
      <w:r w:rsidRPr="0067054C">
        <w:t>. Air temperatures are also extreme in the Gulf, ranging from 50</w:t>
      </w:r>
      <w:r w:rsidRPr="0067054C">
        <w:rPr>
          <w:vertAlign w:val="superscript"/>
        </w:rPr>
        <w:t>o</w:t>
      </w:r>
      <w:r w:rsidRPr="0067054C">
        <w:t>C in the summer to below 0</w:t>
      </w:r>
      <w:r w:rsidRPr="0067054C">
        <w:rPr>
          <w:vertAlign w:val="superscript"/>
        </w:rPr>
        <w:t>o</w:t>
      </w:r>
      <w:r w:rsidRPr="0067054C">
        <w:t xml:space="preserve">C in winter </w:t>
      </w:r>
      <w:r w:rsidRPr="0067054C">
        <w:fldChar w:fldCharType="begin" w:fldLock="1"/>
      </w:r>
      <w:r w:rsidRPr="0067054C">
        <w:instrText>ADDIN CSL_CITATION {"citationItems":[{"id":"ITEM-1","itemData":{"DOI":"10.1016/S0272-7714(99)80009-2","ISBN":"0272-7714","ISSN":"02727714","abstract":"The present investigation quantifies the biodiversity of the Brachyura and fish living within the natural mangrove Avicennia marina, salt marsh and replanted mangal, and compares relevant features of the abiotic and biotic environments of these habitats. Measurements of sediment organic matter, grain size, soil water pH and the moisture content indicate that the natural mangrove areas have lowest mean grain size, pH, and highest organic and moisture contents. Planted mangrove areas have a higher mean grain size and slightly higher pH, but lower organic and moisture contents. Differences occur between brachyurans in planted and natural mangrove areas, but the biodiversity was similar between salt marsh and natural mangrove areas. Nasima dotilliformis was the only crab which did not occur at all planted mangrove sites, while Serenella leachii was missing from natural mangrove. Juvenile fish species enter mangroves, using these as nursery grounds, and quantitative sampling indicatesthat mangrove areas, especially pneumatophores, form a special habitat for these small fish.","author":[{"dropping-particle":"","family":"Al-Khayat","given":"J.A.","non-dropping-particle":"","parse-names":false,"suffix":""},{"dropping-particle":"","family":"Jones","given":"D.A.","non-dropping-particle":"","parse-names":false,"suffix":""}],"container-title":"Estuarine, Coastal and Shelf Science","id":"ITEM-1","issued":{"date-parts":[["1999"]]},"page":"55-63","title":"A Comparison of the Macrofauna of Natural and Replanted Mangroves in Qatar","type":"article-journal","volume":"49"},"uris":["http://www.mendeley.com/documents/?uuid=5b501336-5186-408e-9a4f-1a1519ca88bd"]},{"id":"ITEM-2","itemData":{"DOI":"10.1016/0025-326X(93)90004-4","ISBN":"0025-326X","ISSN":"0025326X","abstract":"The Gulf's biological character is briefly reviewed to provide a background to the main habitats and their condition, for the papers in this Special Issue. The Gulf's marine resources are described in the context of possible environmental consequences of the 1991 Gulf War. While emphasis is given to living resources, in particular ecosystems and fisheries, non-living resources are also briefly considered (e.g. oil and gas), as is availability of clean seawater for production of fresh water. The focus is on the western and Arabian coasts; the eastern (Iranian) coast remains one of the least known in the world in biological terms. Of the subtidal ecosystems, coral reefs are the most diverse. They are highly productive, but cover only a small area and so are of relatively minor importance in a regional sense. Seagrasses are common in shallow areas (&lt;10 m), forming the basis of many food chains. At least four seagrass species are known for the region, but most communities are dominated by Halodule uninervis. Seagrasses are also an important habitat for commercial shrimp (e.g. Penaeus semisulcatus), pearl oysters and many other organisms. Mudflats occupy extensive areas of the intertidal zone. Their productivity is often enhanced by Cyanophya-dominated algal mats. Naturally occurring mangroves are found in association with tidal flats and are represented by a single species, Avicennia marina. Mangroves are much less extensive in the Gulf (125-130 km2) than the Red Sea (400-500 km2). Of major regional and global importance are the Gulf's fisheries, particularly for penaeid shrimp (e.g.P. semisulcatus), but also for groupers, jacks and spanish mackerel. Fauna important to conservation issues include sea birds, green and hawksbill turtles and dugongs. ?? 1993.","author":[{"dropping-particle":"","family":"Price","given":"A. R G","non-dropping-particle":"","parse-names":false,"suffix":""},{"dropping-particle":"","family":"Sheppard","given":"C. R C","non-dropping-particle":"","parse-names":false,"suffix":""},{"dropping-particle":"","family":"Roberts","given":"C. M.","non-dropping-particle":"","parse-names":false,"suffix":""}],"container-title":"Marine Pollution Bulletin","id":"ITEM-2","issue":"C","issued":{"date-parts":[["1993","1"]]},"page":"9-15","title":"The Gulf: Its biological setting","type":"article-journal","volume":"27"},"uris":["http://www.mendeley.com/documents/?uuid=55b3a3d4-8421-45fc-84fa-8de85e3c1b39"]},{"id":"ITEM-3","itemData":{"DOI":"10.1016/j.marpolbul.2009.10.017","ISBN":"0025-326X","ISSN":"0025326X","PMID":"20005533","abstract":"This review examines the substantial changes that have taken place in marine habitats and resources of the Gulf over the past decade. The habitats are especially interesting because of the naturally high levels of temperature and salinity stress they experience, which is important in a changing world climate. However, the extent of all natural habitats is changing and their condition deteriorating because of the rapid development of the region and, in some cases from severe, episodic warming episodes. Major impacts come from numerous industrial, infrastructure-based, and residential and tourism development activities, which together combine, synergistically in some cases, to cause the observed deterioration in most benthic habitats. Substantial sea bottom dredging for material and its deposition in shallow water to extend land or to form a basis for huge developments, directly removes large areas of shallow, productive habitat, though in some cases the most important effect is the accompanying sedimentation or changes to water flows and conditions. The large scale of the activities compared to the relatively shallow and small size of the water body is a particularly important issue. Important from the perspective of controlling damaging effects is the limited cross-border collaboration and even intra-country collaboration among government agencies and large projects. Along with the accumulative nature of impacts that occur, even where each project receives environmental assessment or attention, each is treated more or less alone, rarely in combination. However, their combination in such a small, biologically interacting sea exacerbates the overall deterioration. Very few similar areas exist which face such a high concentration of disturbance, and the prognosis for the Gulf continuing to provide abundant natural resources is poor. © 2009.","author":[{"dropping-particle":"","family":"Sheppard","given":"Charles","non-dropping-particle":"","parse-names":false,"suffix":""},{"dropping-particle":"","family":"Al-Husiani","given":"Mohsen","non-dropping-particle":"","parse-names":false,"suffix":""},{"dropping-particle":"","family":"Al-Jamali","given":"F.","non-dropping-particle":"","parse-names":false,"suffix":""},{"dropping-particle":"","family":"Al-Yamani","given":"Faiza","non-dropping-particle":"","parse-names":false,"suffix":""},{"dropping-particle":"","family":"Baldwin","given":"Rob","non-dropping-particle":"","parse-names":false,"suffix":""},{"dropping-particle":"","family":"Bishop","given":"James","non-dropping-particle":"","parse-names":false,"suffix":""},{"dropping-particle":"","family":"Benzoni","given":"Francesca","non-dropping-particle":"","parse-names":false,"suffix":""},{"dropping-particle":"","family":"Dutrieux","given":"Eric","non-dropping-particle":"","parse-names":false,"suffix":""},{"dropping-particle":"","family":"Dulvy","given":"Nicholas K.","non-dropping-particle":"","parse-names":false,"suffix":""},{"dropping-particle":"V.","family":"Durvasula","given":"Subba Rao","non-dropping-particle":"","parse-names":false,"suffix":""},{"dropping-particle":"","family":"Jones","given":"David A.","non-dropping-particle":"","parse-names":false,"suffix":""},{"dropping-particle":"","family":"Loughland","given":"Ron","non-dropping-particle":"","parse-names":false,"suffix":""},{"dropping-particle":"","family":"Medio","given":"David","non-dropping-particle":"","parse-names":false,"suffix":""},{"dropping-particle":"","family":"Nithyanandan","given":"M.","non-dropping-particle":"","parse-names":false,"suffix":""},{"dropping-particle":"","family":"Pilling","given":"Graham M.","non-dropping-particle":"","parse-names":false,"suffix":""},{"dropping-particle":"","family":"Polikarpov","given":"Igor","non-dropping-particle":"","parse-names":false,"suffix":""},{"dropping-particle":"","family":"Price","given":"Andrew R.G.","non-dropping-particle":"","parse-names":false,"suffix":""},{"dropping-particle":"","family":"Purkis","given":"Sam","non-dropping-particle":"","parse-names":false,"suffix":""},{"dropping-particle":"","family":"Riegl","given":"Bernhard","non-dropping-particle":"","parse-names":false,"suffix":""},{"dropping-particle":"","family":"Saburova","given":"Maria","non-dropping-particle":"","parse-names":false,"suffix":""},{"dropping-particle":"","family":"Namin","given":"Kaveh Samimi","non-dropping-particle":"","parse-names":false,"suffix":""},{"dropping-particle":"","family":"Taylor","given":"Oliver","non-dropping-particle":"","parse-names":false,"suffix":""},{"dropping-particle":"","family":"Wilson","given":"Simon","non-dropping-particle":"","parse-names":false,"suffix":""},{"dropping-particle":"","family":"Zainal","given":"Khadija","non-dropping-particle":"","parse-names":false,"suffix":""}],"container-title":"Marine Pollution Bulletin","id":"ITEM-3","issue":"1","issued":{"date-parts":[["2010"]]},"page":"13-38","publisher":"Elsevier Ltd","title":"The Gulf: A young sea in decline","type":"article-journal","volume":"60"},"uris":["http://www.mendeley.com/documents/?uuid=1647bbab-52e7-4753-8ec7-22fb5f58df7f"]},{"id":"ITEM-4","itemData":{"DOI":"10.1016/s0140-1963(18)31543-x","ISSN":"01401963","abstract":"The meagre annual rainfall (115 mm) allows a poor open steppe or scrub of undershrubs, perennial herbs and spring ephemerals. Three major communities are recognised by their dominant macrophytes: Cyperus conglomeratus, Rhanterium epapposum and Hammada salicornica. The 3 communities show little difference in stature or total coverage, but great difference in spectrum: the community of Cyperus has the narrowest and that of Hammada the widest spectrum. Soils are generally sandy and slightly alkaline. The most obvious differences are in organic matter content (high in Cyperus, low in Hammada) and total soluble salts (high in Rhanterium and Hammada, low in Cyperus). -from Authors","author":[{"dropping-particle":"","family":"Halwagy","given":"R.","non-dropping-particle":"","parse-names":false,"suffix":""},{"dropping-particle":"","family":"Moustafa","given":"A. F.","non-dropping-particle":"","parse-names":false,"suffix":""},{"dropping-particle":"","family":"Kamel","given":"S. M.","non-dropping-particle":"","parse-names":false,"suffix":""}],"container-title":"Journal of Arid Environments","id":"ITEM-4","issue":"2","issued":{"date-parts":[["1982","6","1"]]},"page":"95-107","publisher":"Academic Press","title":"On the ecology of the desert vegetation in Kuwait.","type":"article-journal","volume":"5"},"uris":["http://www.mendeley.com/documents/?uuid=a8a8c0ad-10f2-3dad-9e1c-844d71e33acd"]}],"mendeley":{"formattedCitation":"(Al-Khayat and Jones, 1999; Halwagy et al., 1982; Price et al., 1993; Sheppard et al., 2010)","plainTextFormattedCitation":"(Al-Khayat and Jones, 1999; Halwagy et al., 1982; Price et al., 1993; Sheppard et al., 2010)","previouslyFormattedCitation":"(Al-Khayat and Jones, 1999; Halwagy et al., 1982; Price et al., 1993; Sheppard et al., 2010)"},"properties":{"noteIndex":0},"schema":"https://github.com/citation-style-language/schema/raw/master/csl-citation.json"}</w:instrText>
      </w:r>
      <w:r w:rsidRPr="0067054C">
        <w:fldChar w:fldCharType="separate"/>
      </w:r>
      <w:r w:rsidRPr="0067054C">
        <w:rPr>
          <w:noProof/>
        </w:rPr>
        <w:t>(Al-Khayat and Jones, 1999; Halwagy et al., 1982; Price et al., 1993; Sheppard et al., 2010)</w:t>
      </w:r>
      <w:r w:rsidRPr="0067054C">
        <w:fldChar w:fldCharType="end"/>
      </w:r>
      <w:r w:rsidRPr="0067054C">
        <w:t>, which likely limits northerly mangrove distribution of the Gulf. Recent studies indicate carbon stocks are low in arid and semi-arid mangroves, with averages of 218.4 Mg C ha</w:t>
      </w:r>
      <w:r w:rsidRPr="0067054C">
        <w:rPr>
          <w:vertAlign w:val="superscript"/>
        </w:rPr>
        <w:t>-1</w:t>
      </w:r>
      <w:r w:rsidRPr="0067054C">
        <w:t xml:space="preserve"> in the United Arab Emirates </w:t>
      </w:r>
      <w:r w:rsidRPr="0067054C">
        <w:fldChar w:fldCharType="begin" w:fldLock="1"/>
      </w:r>
      <w:r w:rsidRPr="0067054C">
        <w:instrText>ADDIN CSL_CITATION {"citationItems":[{"id":"ITEM-1","itemData":{"DOI":"10.1002/eap.1489","ISSN":"19395582","abstract":"Coastal ecosystems produce and sequester significant amounts of carbon (\"blue carbon\"), which has been well documented in humid and semi-humid regions of temperate and tropical climates but less so in arid regions where mangroves, marshes, and seagrasses exist near the limit of their tolerance for extreme temperature and salinity. To better understand these unique systems, we measured whole-ecosystem carbon stocks in 58 sites across the United Arab Emirates (UAE) in natural and planted mangroves, salt marshes, seagrass beds, microbial mats, and coastal sabkha (inter- and supratidal unvegetated salt flats). Natural mangroves held significantly more carbon in above- and belowground biomass than other vegetated ecosystems. Planted mangrove carbon stocks increased with age, but there were large differences for sites of similar age. Soil carbon varied widely across sites (2-367 Mg C/ha), with ecosystem averages that ranged from 49 to 156 Mg C/ha. For the first time, microbial mats were documented to contain soil carbon pools comparable to vascular plant-dominated ecosystems, and could arguably be recognized as a unique blue carbon ecosystem. Total ecosystem carbon stocks ranged widely from 2 to 515 Mg C/ha (seagrass bed and mangrove, respectively). Seagrass beds had the lowest carbon stock per unit area, but the largest stock per total area due to their large spatial coverage. Compared to similar ecosystems globally, mangroves and marshes in the UAE have lower plant and soil carbon stocks; however, the difference in soil stocks is far larger than with plant stocks. This incongruent difference between stocks is likely due to poor carbon preservation under conditions of weakly reduced soils (200-350 mV), coarse-grained sediments, and active shoreline migration. This work represents the first attempt to produce a country-wide coastal ecosystem carbon accounting using a uniform sampling protocol, and was motivated by specific policy goals identified by the Abu Dhabi Global Environmental Data Initiative. These carbon stock data supported two objectives: to quantify carbon stocks and infer sequestration capacity in arid blue carbon ecosystems, and to explore the potential to incorporate blue carbon science into national reporting and planning documents. © 2016 by the Ecological Society of America.","author":[{"dropping-particle":"","family":"Schile","given":"Lisa M.","non-dropping-particle":"","parse-names":false,"suffix":""},{"dropping-particle":"","family":"Kauffman","given":"J. Boone","non-dropping-particle":"","parse-names":false,"suffix":""},{"dropping-particle":"","family":"Crooks","given":"Stephen","non-dropping-particle":"","parse-names":false,"suffix":""},{"dropping-particle":"","family":"Fourqurean","given":"James W.","non-dropping-particle":"","parse-names":false,"suffix":""},{"dropping-particle":"","family":"Glavan","given":"Jane","non-dropping-particle":"","parse-names":false,"suffix":""},{"dropping-particle":"","family":"Megonigal","given":"J. Patrick","non-dropping-particle":"","parse-names":false,"suffix":""}],"container-title":"Ecological Applications","id":"ITEM-1","issue":"3","issued":{"date-parts":[["2017"]]},"page":"859-874","title":"Limits on carbon sequestration in arid blue carbon ecosystems","type":"article-journal","volume":"27"},"uris":["http://www.mendeley.com/documents/?uuid=c37893be-f79d-4cb3-b5d3-f043469db703"]}],"mendeley":{"formattedCitation":"(Schile et al., 2017)","plainTextFormattedCitation":"(Schile et al., 2017)","previouslyFormattedCitation":"(Schile et al., 2017)"},"properties":{"noteIndex":0},"schema":"https://github.com/citation-style-language/schema/raw/master/csl-citation.json"}</w:instrText>
      </w:r>
      <w:r w:rsidRPr="0067054C">
        <w:fldChar w:fldCharType="separate"/>
      </w:r>
      <w:r w:rsidRPr="0067054C">
        <w:rPr>
          <w:noProof/>
        </w:rPr>
        <w:t>(Schile et al., 2017)</w:t>
      </w:r>
      <w:r w:rsidRPr="0067054C">
        <w:fldChar w:fldCharType="end"/>
      </w:r>
      <w:r w:rsidRPr="0067054C">
        <w:t xml:space="preserve"> and 463 Mg C ha</w:t>
      </w:r>
      <w:r w:rsidRPr="0067054C">
        <w:rPr>
          <w:vertAlign w:val="superscript"/>
        </w:rPr>
        <w:t xml:space="preserve">-1 </w:t>
      </w:r>
      <w:r w:rsidRPr="0067054C">
        <w:t>in Senegal in soils deeper than 1m. However, carbon stocks are not universally impoverished in arid regions - soil carbon can reach up to 1130 Mg C ha</w:t>
      </w:r>
      <w:r w:rsidRPr="0067054C">
        <w:rPr>
          <w:vertAlign w:val="superscript"/>
        </w:rPr>
        <w:t>-1</w:t>
      </w:r>
      <w:r w:rsidRPr="0067054C">
        <w:t xml:space="preserve"> in arid parts of Baja California from cores up to 2 m depth </w:t>
      </w:r>
      <w:r w:rsidRPr="0067054C">
        <w:fldChar w:fldCharType="begin" w:fldLock="1"/>
      </w:r>
      <w:r w:rsidRPr="0067054C">
        <w:instrText>ADDIN CSL_CITATION {"citationItems":[{"id":"ITEM-1","itemData":{"DOI":"10.1073/pnas.1519774113","ISBN":"0027-8424","ISSN":"0027-8424","PMID":"27035950","abstract":"Given their relatively small area, mangroves and their organic sediments are of disproportionate importance to global carbon sequestration and carbon storage. Peat deposition and preservation allows some mangroves to accrete vertically and keep pace with sea-level rise by growing on their own root remains. In this study we show that mangroves in desert inlets in the coasts of the Baja California have been accumulating root peat for nearly 2,000 y and harbor a belowground carbon content of 900-34,00 Mg C/ha, with an average value of 1,130 (± 128) Mg C/ha, and a belowground carbon accumulation similar to that found under some of the tallest tropical mangroves in the Mexican Pacific coast. The depth-age curve for the mangrove sediments of Baja California indicates that sea level in the peninsula has been rising at a mean rate of 0.70 mm/y (± 0.07) during the last 17 centuries, a value similar to the rates of sea-level rise estimated for the Caribbean during a comparable period. By accreting on their own accumulated peat, these desert mangroves store large amounts of carbon in their sediments. We estimate that mangroves and halophyte scrubs in Mexico's arid northwest, with less than 1% of the terrestrial area, store in their belowground sediments around 28% of the total belowground carbon pool of the whole region.","author":[{"dropping-particle":"","family":"Ezcurra","given":"Paula","non-dropping-particle":"","parse-names":false,"suffix":""},{"dropping-particle":"","family":"Ezcurra","given":"Exequiel","non-dropping-particle":"","parse-names":false,"suffix":""},{"dropping-particle":"","family":"Garcillán","given":"Pedro P","non-dropping-particle":"","parse-names":false,"suffix":""},{"dropping-particle":"","family":"Costa","given":"Matthew T","non-dropping-particle":"","parse-names":false,"suffix":""},{"dropping-particle":"","family":"Aburto-Oropeza","given":"Octavio","non-dropping-particle":"","parse-names":false,"suffix":""}],"container-title":"Proceedings of the National Academy of Sciences","id":"ITEM-1","issue":"16","issued":{"date-parts":[["2016","4","19"]]},"page":"4404-4409","publisher":"National Academy of Sciences","title":"Coastal landforms and accumulation of mangrove peat increase carbon sequestration and storage","type":"article-journal","volume":"113"},"uris":["http://www.mendeley.com/documents/?uuid=9c7cf961-d14c-37bd-be1d-ac6c656367ca"]}],"mendeley":{"formattedCitation":"(Ezcurra et al., 2016)","plainTextFormattedCitation":"(Ezcurra et al., 2016)","previouslyFormattedCitation":"(Ezcurra et al., 2016)"},"properties":{"noteIndex":0},"schema":"https://github.com/citation-style-language/schema/raw/master/csl-citation.json"}</w:instrText>
      </w:r>
      <w:r w:rsidRPr="0067054C">
        <w:fldChar w:fldCharType="separate"/>
      </w:r>
      <w:r w:rsidRPr="0067054C">
        <w:rPr>
          <w:noProof/>
        </w:rPr>
        <w:t>(Ezcurra et al., 2016)</w:t>
      </w:r>
      <w:r w:rsidRPr="0067054C">
        <w:fldChar w:fldCharType="end"/>
      </w:r>
      <w:r w:rsidRPr="0067054C">
        <w:t xml:space="preserve">. </w:t>
      </w:r>
    </w:p>
    <w:p w14:paraId="3AC7FE39" w14:textId="77777777" w:rsidR="009C75D7" w:rsidRPr="0067054C" w:rsidRDefault="009C75D7" w:rsidP="009C75D7">
      <w:pPr>
        <w:spacing w:line="480" w:lineRule="auto"/>
      </w:pPr>
    </w:p>
    <w:p w14:paraId="2570A59A" w14:textId="77777777" w:rsidR="009C75D7" w:rsidRPr="0067054C" w:rsidRDefault="009C75D7" w:rsidP="009C75D7">
      <w:pPr>
        <w:spacing w:line="480" w:lineRule="auto"/>
      </w:pPr>
      <w:r w:rsidRPr="0067054C">
        <w:t xml:space="preserve">Tropical </w:t>
      </w:r>
      <w:r>
        <w:t xml:space="preserve">humid </w:t>
      </w:r>
      <w:r w:rsidRPr="0067054C">
        <w:t xml:space="preserve">mangroves can hold a significant proportion of their carbon stocks in above and below ground biomass </w:t>
      </w:r>
      <w:r w:rsidRPr="0067054C">
        <w:fldChar w:fldCharType="begin" w:fldLock="1"/>
      </w:r>
      <w:r w:rsidRPr="0067054C">
        <w:instrText>ADDIN CSL_CITATION {"citationItems":[{"id":"ITEM-1","itemData":{"DOI":"10.1038/ngeo1123","ISBN":"1752-0894","ISSN":"1752-0894","PMID":"17701399","abstract":"Mangrove forests occur along ocean coastlines throughout the tropics, and support numerous ecosystem services, including fisheries production and nutrient cycling. However, the areal extent of mangrove forests has declined by 30–50% over the past half century as a result of coastal development, aqua- culture expansion and over-harvesting1–4. Carbon emissions resulting from mangrove loss are uncertain, owing in part to a lack of broad-scale data on the amount of carbon stored in these ecosystems, particularly below ground5. Here, we quantified whole-ecosystem carbon storage by measuring tree and dead wood biomass, soil carbon content, and soil depth in 25 mangrove forests across a broad area of the Indo-Pacific region—spanning 30◦ of latitude and 73◦ of longitude—where mangrove area and diversity are greatest4,6. These data indi- cate that mangroves are among the most carbon-rich forests in the tropics, containing on average 1,023Mg carbon per hectare. Organic-rich soils ranged from 0.5mto more than 3m in depth and accounted for 49–98% of carbon storage in these systems. Combining our data with other published information, we estimate that mangrove deforestation generates emissions of 0.02–0.12Pg carbon per year—as much as around 10% of emissions from deforestation globally, despite accounting for just 0.7%of tropical forest area.","author":[{"dropping-particle":"","family":"Donato","given":"Daniel C.","non-dropping-particle":"","parse-names":false,"suffix":""},{"dropping-particle":"","family":"Kauffman","given":"J. Boone","non-dropping-particle":"","parse-names":false,"suffix":""},{"dropping-particle":"","family":"Murdiyarso","given":"Daniel","non-dropping-particle":"","parse-names":false,"suffix":""},{"dropping-particle":"","family":"Kurnianto","given":"Sofyan","non-dropping-particle":"","parse-names":false,"suffix":""},{"dropping-particle":"","family":"Stidham","given":"Melanie","non-dropping-particle":"","parse-names":false,"suffix":""},{"dropping-particle":"","family":"Kanninen","given":"Markku","non-dropping-particle":"","parse-names":false,"suffix":""}],"container-title":"Nature Geoscience","id":"ITEM-1","issue":"5","issued":{"date-parts":[["2011"]]},"page":"293-297","title":"Mangroves among the most carbon-rich forests in the tropics","type":"article-journal","volume":"4"},"uris":["http://www.mendeley.com/documents/?uuid=490346f7-5ac8-4ae2-8d0c-30ebcec82312"]},{"id":"ITEM-2","itemData":{"DOI":"10.1007/s13157-011-0148-9","ISBN":"0277-5212","ISSN":"02775212","PMID":"24834737","abstract":"Among the least studied ecosystem services of mangroves is their value as global carbon (C) stocks. This is significant as mangroves are subject to rapid rates of deforestation and therefore could be significant sources of atmospheric emissions. Mangroves could be key ecosystems in strategies addressing the mitigation of climate change though reduced deforestation. We quantified ecosystem C stocks at the seaward, interior, and upland edges of mangroves in the Republic of Palau and Yap, Federated States of Micronesia. The relatively high aboveground biomass coupled with carbon-rich soils resulted in the presence of large ecosystem carbon stocks compared to other tropical forests. Ecosystem C storage at the Palau site ranged from 479Mg/ha in the seaward zone to 1,068Mg/ha in the landward zone; in the Yap site C storage ranged from 853 to 1,385 Mg/ha along this gradient. Soils contained ~70% of the ecosystem C stocks. The elevation range of mangroves was &lt;146 cm, suggesting that projected sea-level rise can influence a large portion of existing stands. Declines in ecosystem carbon stocks will be pronounced if mangroves are replaced by communities adapted to greater inundation such as seagrass communities, where C pools were =7% of that of mangroves (48 Mg C/ha).","author":[{"dropping-particle":"","family":"Kauffman","given":"J. Boone","non-dropping-particle":"","parse-names":false,"suffix":""},{"dropping-particle":"","family":"Heider","given":"Chris","non-dropping-particle":"","parse-names":false,"suffix":""},{"dropping-particle":"","family":"Cole","given":"Thomas G.","non-dropping-particle":"","parse-names":false,"suffix":""},{"dropping-particle":"","family":"Dwire","given":"Kathleen A.","non-dropping-particle":"","parse-names":false,"suffix":""},{"dropping-particle":"","family":"Donato","given":"Daniel C.","non-dropping-particle":"","parse-names":false,"suffix":""}],"container-title":"Wetlands","id":"ITEM-2","issue":"2","issued":{"date-parts":[["2011"]]},"page":"343-352","title":"Ecosystem carbon stocks of micronesian mangrove forests","type":"article-journal","volume":"31"},"uris":["http://www.mendeley.com/documents/?uuid=22ed9481-6a2e-3a46-bd1d-2bb5889bec94"]}],"mendeley":{"formattedCitation":"(Donato et al., 2011; Kauffman et al., 2011)","plainTextFormattedCitation":"(Donato et al., 2011; Kauffman et al., 2011)","previouslyFormattedCitation":"(Donato et al., 2011; Kauffman et al., 2011)"},"properties":{"noteIndex":0},"schema":"https://github.com/citation-style-language/schema/raw/master/csl-citation.json"}</w:instrText>
      </w:r>
      <w:r w:rsidRPr="0067054C">
        <w:fldChar w:fldCharType="separate"/>
      </w:r>
      <w:r w:rsidRPr="0067054C">
        <w:rPr>
          <w:noProof/>
        </w:rPr>
        <w:t>(Donato et al., 2011; Kauffman et al., 2011)</w:t>
      </w:r>
      <w:r w:rsidRPr="0067054C">
        <w:fldChar w:fldCharType="end"/>
      </w:r>
      <w:r w:rsidRPr="0067054C">
        <w:t xml:space="preserve">, often estimated from species-specific allometric equations </w:t>
      </w:r>
      <w:r w:rsidRPr="0067054C">
        <w:fldChar w:fldCharType="begin" w:fldLock="1"/>
      </w:r>
      <w:r w:rsidRPr="0067054C">
        <w:instrText>ADDIN CSL_CITATION {"citationItems":[{"id":"ITEM-1","itemData":{"DOI":"http://dx.doi.org/10.1016/j.aquabot.2007.12.006","ISBN":"0304-3770","abstract":"We review 72 published articles to elucidate characteristics of biomass allocation and productivity of mangrove forests and also introduce recent progress on the study of mangrove allometry to solve the site- and species-specific problems. This includes the testing of a common allometric equation, which may be applicable to mangroves worldwide. The biomass of mangrove forests varies with age, dominant species, and locality. In primary mangrove forests, the above-ground biomass tends to be relatively low near the sea and increases inland. On a global scale, mangrove forests in the tropics have much higher above-ground biomass than those in temperate areas. Mangroves often accumulate large amounts of biomass in their roots, and the above-ground biomass to below-ground biomass ratio of mangrove forests is significantly low compared to that of upland forests (ANCOVA, PP","author":[{"dropping-particle":"","family":"Komiyama","given":"A","non-dropping-particle":"","parse-names":false,"suffix":""},{"dropping-particle":"","family":"Ong","given":"JinEong","non-dropping-particle":"","parse-names":false,"suffix":""},{"dropping-particle":"","family":"Poungparn","given":"S","non-dropping-particle":"","parse-names":false,"suffix":""}],"container-title":"Aquatic Botany","id":"ITEM-1","issue":"2","issued":{"date-parts":[["2008"]]},"page":"128-137","title":"Allometry, biomass, and productivity of mangrove forests: a review. (Special Issue: Mangrove ecology - applications in forestry and coastal zone management.)","type":"article-journal","volume":"89"},"uris":["http://www.mendeley.com/documents/?uuid=54fb0cea-dac1-34bc-bc8a-04908838b429"]}],"mendeley":{"formattedCitation":"(Komiyama et al., 2008)","plainTextFormattedCitation":"(Komiyama et al., 2008)","previouslyFormattedCitation":"(Komiyama et al., 2008)"},"properties":{"noteIndex":0},"schema":"https://github.com/citation-style-language/schema/raw/master/csl-citation.json"}</w:instrText>
      </w:r>
      <w:r w:rsidRPr="0067054C">
        <w:fldChar w:fldCharType="separate"/>
      </w:r>
      <w:r w:rsidRPr="0067054C">
        <w:rPr>
          <w:noProof/>
        </w:rPr>
        <w:t>(Komiyama et al., 2008)</w:t>
      </w:r>
      <w:r w:rsidRPr="0067054C">
        <w:fldChar w:fldCharType="end"/>
      </w:r>
      <w:r w:rsidRPr="0067054C">
        <w:t xml:space="preserve">. Relatively little work has investigated allometric equations of mangroves in arid regions, particularly the Gulf. </w:t>
      </w:r>
      <w:proofErr w:type="spellStart"/>
      <w:r w:rsidRPr="0067054C">
        <w:t>Schile</w:t>
      </w:r>
      <w:proofErr w:type="spellEnd"/>
      <w:r w:rsidRPr="0067054C">
        <w:t xml:space="preserve"> </w:t>
      </w:r>
      <w:r w:rsidRPr="0067054C">
        <w:lastRenderedPageBreak/>
        <w:t xml:space="preserve">et al. (2017) applied an </w:t>
      </w:r>
      <w:proofErr w:type="spellStart"/>
      <w:r w:rsidRPr="0067054C">
        <w:rPr>
          <w:i/>
          <w:iCs/>
        </w:rPr>
        <w:t>Avicennia</w:t>
      </w:r>
      <w:proofErr w:type="spellEnd"/>
      <w:r w:rsidRPr="0067054C">
        <w:rPr>
          <w:i/>
          <w:iCs/>
        </w:rPr>
        <w:t xml:space="preserve"> marina </w:t>
      </w:r>
      <w:r w:rsidRPr="0067054C">
        <w:t xml:space="preserve">allometric equation from a tropical </w:t>
      </w:r>
      <w:r>
        <w:t xml:space="preserve">humid </w:t>
      </w:r>
      <w:r w:rsidRPr="0067054C">
        <w:t xml:space="preserve">area of Australia to estimate tree carbon pools in the arid environment of the United Arab Emirates. There is also a lack of below ground biomass allometric equations, due to the logistical difficulties involved in sampling and accurately estimating mangrove root material </w:t>
      </w:r>
      <w:r w:rsidRPr="0067054C">
        <w:fldChar w:fldCharType="begin" w:fldLock="1"/>
      </w:r>
      <w:r w:rsidRPr="0067054C">
        <w:instrText>ADDIN CSL_CITATION {"citationItems":[{"id":"ITEM-1","itemData":{"DOI":"http://dx.doi.org/10.1016/j.aquabot.2007.12.006","ISBN":"0304-3770","abstract":"We review 72 published articles to elucidate characteristics of biomass allocation and productivity of mangrove forests and also introduce recent progress on the study of mangrove allometry to solve the site- and species-specific problems. This includes the testing of a common allometric equation, which may be applicable to mangroves worldwide. The biomass of mangrove forests varies with age, dominant species, and locality. In primary mangrove forests, the above-ground biomass tends to be relatively low near the sea and increases inland. On a global scale, mangrove forests in the tropics have much higher above-ground biomass than those in temperate areas. Mangroves often accumulate large amounts of biomass in their roots, and the above-ground biomass to below-ground biomass ratio of mangrove forests is significantly low compared to that of upland forests (ANCOVA, PP","author":[{"dropping-particle":"","family":"Komiyama","given":"A","non-dropping-particle":"","parse-names":false,"suffix":""},{"dropping-particle":"","family":"Ong","given":"JinEong","non-dropping-particle":"","parse-names":false,"suffix":""},{"dropping-particle":"","family":"Poungparn","given":"S","non-dropping-particle":"","parse-names":false,"suffix":""}],"container-title":"Aquatic Botany","id":"ITEM-1","issue":"2","issued":{"date-parts":[["2008"]]},"page":"128-137","title":"Allometry, biomass, and productivity of mangrove forests: a review. (Special Issue: Mangrove ecology - applications in forestry and coastal zone management.)","type":"article-journal","volume":"89"},"uris":["http://www.mendeley.com/documents/?uuid=54fb0cea-dac1-34bc-bc8a-04908838b429"]}],"mendeley":{"formattedCitation":"(Komiyama et al., 2008)","plainTextFormattedCitation":"(Komiyama et al., 2008)","previouslyFormattedCitation":"(Komiyama et al., 2008)"},"properties":{"noteIndex":0},"schema":"https://github.com/citation-style-language/schema/raw/master/csl-citation.json"}</w:instrText>
      </w:r>
      <w:r w:rsidRPr="0067054C">
        <w:fldChar w:fldCharType="separate"/>
      </w:r>
      <w:r w:rsidRPr="0067054C">
        <w:rPr>
          <w:noProof/>
        </w:rPr>
        <w:t>(Komiyama et al., 2008)</w:t>
      </w:r>
      <w:r w:rsidRPr="0067054C">
        <w:fldChar w:fldCharType="end"/>
      </w:r>
      <w:r w:rsidRPr="0067054C">
        <w:t xml:space="preserve">. Many previous efforts have used either generic </w:t>
      </w:r>
      <w:r>
        <w:t xml:space="preserve">allometric models </w:t>
      </w:r>
      <w:r w:rsidRPr="0067054C">
        <w:t xml:space="preserve">or equations </w:t>
      </w:r>
      <w:r>
        <w:t xml:space="preserve">developed in different climatic settings </w:t>
      </w:r>
      <w:r w:rsidRPr="0067054C">
        <w:t xml:space="preserve">in estimating below ground biomass and carbon stocks </w:t>
      </w:r>
      <w:r w:rsidRPr="0067054C">
        <w:fldChar w:fldCharType="begin" w:fldLock="1"/>
      </w:r>
      <w:r w:rsidRPr="0067054C">
        <w:instrText>ADDIN CSL_CITATION {"citationItems":[{"id":"ITEM-1","itemData":{"DOI":"10.1038/s41558-018-0090-4","ISSN":"17586798","abstract":"Mangrove forests store high densitie of organic carbon, which, when coupled with high rates of deforestation, means that mangroves have the potential to contribute substantially to carbon emissions. Consequently, mangroves are strong candidates for inclusion in nationally determined contributions (NDCs) to the United Nations Framework Convention on Climate Change (UNFCCC), and payments for ecosystem services (PES) programmes that financially incentivize the conservation of forested carbon stocks. This study quantifies annual mangrove carbon stocks from 2000 to 2012 at the global, national and sub-national levels, and global carbon emissions resulting from deforestation over the same time period. Globally, mangroves stored 4.19 Pg of carbon in 2012, with Indonesia, Brazil, Malaysia and Papua New Guinea accounting for more than 50% of the global stock. 2.96 Pg of the global carbon stock is contained within the soil and 1.23 Pg in the living biomass. Two percent of global mangrove carbon was lost between 2000 and 2012, equivalent to a maximum potential of 316,996,250 t of CO2 emissions.","author":[{"dropping-particle":"","family":"Hamilton","given":"Stuart E.","non-dropping-particle":"","parse-names":false,"suffix":""},{"dropping-particle":"","family":"Friess","given":"Daniel A.","non-dropping-particle":"","parse-names":false,"suffix":""}],"container-title":"Nature Climate Change","id":"ITEM-1","issue":"3","issued":{"date-parts":[["2018"]]},"page":"240-244","title":"Global carbon stocks and potential emissions due to mangrove deforestation from 2000 to 2012","type":"article-journal","volume":"8"},"uris":["http://www.mendeley.com/documents/?uuid=8f9f1530-8aac-3063-b6ac-d0e087d212e4"]},{"id":"ITEM-2","itemData":{"DOI":"10.1111/conl.12060","ISBN":"1755-263X","ISSN":"1755263X","abstract":"Understanding spatial variation in carbon storage in natural habitats is critical for climate change mitigation efforts such as REDD. Terrestrial forests are being mapped with increasing accuracy, but the distribution of ``blue carbon'' in marine ecosystems remains poorly understood. We reviewed the literature to obtain field data on carbon storage and fluxes in mangroves world-wide. Using this material we developed a climate-based model for potential mangrove above-ground biomass (AGB) with almost four times the explanatory power of the only previous published model. From this model, we present the first ever global map of potential mangrove AGB and estimate a total global mangrove AGB of 2.83 Pg, with an average of 184.8 t ha−1. Data on other carbon stocks and fluxes confirm the importance of mangroves in carbon accounting. The map highlights the high variability in mangrove AGB and indicates areas that should be prioritised for mangrove conservation and restoration.","author":[{"dropping-particle":"","family":"Hutchison","given":"James","non-dropping-particle":"","parse-names":false,"suffix":""},{"dropping-particle":"","family":"Manica","given":"Andrea","non-dropping-particle":"","parse-names":false,"suffix":""},{"dropping-particle":"","family":"Swetnam","given":"Ruth","non-dropping-particle":"","parse-names":false,"suffix":""},{"dropping-particle":"","family":"Balmford","given":"Andrew","non-dropping-particle":"","parse-names":false,"suffix":""},{"dropping-particle":"","family":"Spalding","given":"Mark","non-dropping-particle":"","parse-names":false,"suffix":""}],"container-title":"Conservation Letters","id":"ITEM-2","issue":"3","issued":{"date-parts":[["2014","5"]]},"page":"233-240","title":"Predicting global patterns in mangrove forest biomass","type":"article-journal","volume":"7"},"uris":["http://www.mendeley.com/documents/?uuid=c0cc1011-f931-3578-8f2c-56c7f7c458c6"]},{"id":"ITEM-3","itemData":{"DOI":"10.1002/eap.1489","ISSN":"19395582","abstract":"Coastal ecosystems produce and sequester significant amounts of carbon (\"blue carbon\"), which has been well documented in humid and semi-humid regions of temperate and tropical climates but less so in arid regions where mangroves, marshes, and seagrasses exist near the limit of their tolerance for extreme temperature and salinity. To better understand these unique systems, we measured whole-ecosystem carbon stocks in 58 sites across the United Arab Emirates (UAE) in natural and planted mangroves, salt marshes, seagrass beds, microbial mats, and coastal sabkha (inter- and supratidal unvegetated salt flats). Natural mangroves held significantly more carbon in above- and belowground biomass than other vegetated ecosystems. Planted mangrove carbon stocks increased with age, but there were large differences for sites of similar age. Soil carbon varied widely across sites (2-367 Mg C/ha), with ecosystem averages that ranged from 49 to 156 Mg C/ha. For the first time, microbial mats were documented to contain soil carbon pools comparable to vascular plant-dominated ecosystems, and could arguably be recognized as a unique blue carbon ecosystem. Total ecosystem carbon stocks ranged widely from 2 to 515 Mg C/ha (seagrass bed and mangrove, respectively). Seagrass beds had the lowest carbon stock per unit area, but the largest stock per total area due to their large spatial coverage. Compared to similar ecosystems globally, mangroves and marshes in the UAE have lower plant and soil carbon stocks; however, the difference in soil stocks is far larger than with plant stocks. This incongruent difference between stocks is likely due to poor carbon preservation under conditions of weakly reduced soils (200-350 mV), coarse-grained sediments, and active shoreline migration. This work represents the first attempt to produce a country-wide coastal ecosystem carbon accounting using a uniform sampling protocol, and was motivated by specific policy goals identified by the Abu Dhabi Global Environmental Data Initiative. These carbon stock data supported two objectives: to quantify carbon stocks and infer sequestration capacity in arid blue carbon ecosystems, and to explore the potential to incorporate blue carbon science into national reporting and planning documents. © 2016 by the Ecological Society of America.","author":[{"dropping-particle":"","family":"Schile","given":"Lisa M.","non-dropping-particle":"","parse-names":false,"suffix":""},{"dropping-particle":"","family":"Kauffman","given":"J. Boone","non-dropping-particle":"","parse-names":false,"suffix":""},{"dropping-particle":"","family":"Crooks","given":"Stephen","non-dropping-particle":"","parse-names":false,"suffix":""},{"dropping-particle":"","family":"Fourqurean","given":"James W.","non-dropping-particle":"","parse-names":false,"suffix":""},{"dropping-particle":"","family":"Glavan","given":"Jane","non-dropping-particle":"","parse-names":false,"suffix":""},{"dropping-particle":"","family":"Megonigal","given":"J. Patrick","non-dropping-particle":"","parse-names":false,"suffix":""}],"container-title":"Ecological Applications","id":"ITEM-3","issue":"3","issued":{"date-parts":[["2017"]]},"page":"859-874","title":"Limits on carbon sequestration in arid blue carbon ecosystems","type":"article-journal","volume":"27"},"uris":["http://www.mendeley.com/documents/?uuid=c37893be-f79d-4cb3-b5d3-f043469db703"]}],"mendeley":{"formattedCitation":"(Hamilton and Friess, 2018; Hutchison et al., 2014; Schile et al., 2017)","plainTextFormattedCitation":"(Hamilton and Friess, 2018; Hutchison et al., 2014; Schile et al., 2017)","previouslyFormattedCitation":"(Hamilton and Friess, 2018; Hutchison et al., 2014; Schile et al., 2017)"},"properties":{"noteIndex":0},"schema":"https://github.com/citation-style-language/schema/raw/master/csl-citation.json"}</w:instrText>
      </w:r>
      <w:r w:rsidRPr="0067054C">
        <w:fldChar w:fldCharType="separate"/>
      </w:r>
      <w:r w:rsidRPr="0067054C">
        <w:rPr>
          <w:noProof/>
        </w:rPr>
        <w:t>(Hamilton and Friess, 2018; Hutchison et al., 2014; Schile et al., 2017)</w:t>
      </w:r>
      <w:r w:rsidRPr="0067054C">
        <w:fldChar w:fldCharType="end"/>
      </w:r>
      <w:r w:rsidRPr="0067054C">
        <w:t xml:space="preserve">, which may not necessarily provide accurate estimates. Past research has shown tree growth morphology and mangrove carbon allocation can vary between species and across climatic gradients </w:t>
      </w:r>
      <w:r w:rsidRPr="0067054C">
        <w:fldChar w:fldCharType="begin" w:fldLock="1"/>
      </w:r>
      <w:r w:rsidRPr="0067054C">
        <w:instrText>ADDIN CSL_CITATION {"citationItems":[{"id":"ITEM-1","itemData":{"DOI":"10.1016/j.biombioe.2013.05.010","ISSN":"09619534","abstract":"Biomass estimation was carried out for three even-aged dominant mangrove species (Avicennia alba, Excoecaria agallocha and Sonneratia apetala) in two regions of Indian Sundarbans with two distinct salinity regimes for three consecutive years (2008-2010) and the results were expressed in tons per hectare (tha -1 ). In the western region, the total mean biomass of the mangrove species varied as per the order A. alba (41.65tha -1 in 2008, 55.79tha -1 in 2009, 60.86tha -1 in 2010)&gt;S. apetala (31.76tha -1 in 2008, 32.81tha -1 in 2009, 39.10tha -1 in 2010)&gt;E. agallocha (13.89tha -1 in 2008, 15.54tha -1 in 2009, 18.28tha -1 in 2010). In the central region, the order was A. alba (42.06tha -1 in 2008, 57.09tha -1 in 2009, 64.57tha -1 in 2010)&gt;E. agallocha (15.30tha -1 in 2008, 20.02tha -1 in 2009, 24.24tha -1 in 2010)&gt;S. apetala (6.77tha -1 in 2008, 9.46tha -1 in 2009, 11.42tha -1 in 2010). Significant negative correlation was observed between biomass of S. apetala and salinity (p&lt;0.01), whereas in case of A. alba and E. agallocha positive correlations were observed (p&lt;0.01). Species-wise linear allometric regression equations for biomass prediction were developed for each salinity zone as a function of diameter at breast height (DBH) based on high coefficient of determination (R 2 value). The allometric models are species-specific, but not site-specific. © 2013 Elsevier Ltd.","author":[{"dropping-particle":"","family":"Banerjee","given":"Kakoli","non-dropping-particle":"","parse-names":false,"suffix":""},{"dropping-particle":"","family":"Sengupta","given":"Kasturi","non-dropping-particle":"","parse-names":false,"suffix":""},{"dropping-particle":"","family":"Raha","given":"Atanu","non-dropping-particle":"","parse-names":false,"suffix":""},{"dropping-particle":"","family":"Mitra","given":"Abhijit","non-dropping-particle":"","parse-names":false,"suffix":""}],"container-title":"Biomass and Bioenergy","id":"ITEM-1","issued":{"date-parts":[["2013"]]},"page":"382-391","title":"Salinity based allometric equations for biomass estimation of Sundarban mangroves","type":"article-journal","volume":"56"},"uris":["http://www.mendeley.com/documents/?uuid=91123d1a-0c76-486f-8c78-155a69a11780","http://www.mendeley.com/documents/?uuid=5310fbe2-b31f-42b9-91af-099e27cedc92"]},{"id":"ITEM-2","itemData":{"DOI":"10.1007/s00442-005-0100-x","ISBN":"0044200501","ISSN":"00298549","PMID":"15971085","abstract":"Tropical forests hold large stores of carbon, yet uncertainty remains regarding their quantitative contribution to the global carbon cycle. One approach to quantifying carbon biomass stores consists in inferring changes from long-term forest inventory plots. Regression models are used to convert inventory data into an estimate of aboveground biomass (AGB). We provide a critical reassessment of the quality and the robustness of these models across tropical forest types, using a large dataset of 2,410 trees ! 5 cm. diameter, directly harvested in 27 study sites across the tropics. Proportional relationships between aboveground biomass and the product of wood density, trunk cross-sectional area, and total height are constructed. We also develop a regression model involving wood density and stem diameter only. Our models were tested for secondary and old-growth forests, for dry, moist and wet forests, for lowland and montane forests, and for mangrove forests. The most important predictors of AGB of a tree were, in decreasing order of importance, its trunk diameter, wood specific gravity, total height, and forest type (dry, moist, or wet). Overestimates prevailed, giving a bias of 0.5-6.5% when errors were averaged across all stands. Our regression models can be used reliably to predict aboveground tree biomass across a broad range of tropical forests. Because they are based on an unprecedented dataset, these models should improve the quality of tropical biomass estimates, and bring consensus about the contribution of the tropical forest biome and tropical deforestation to the global carbon cycle.","author":[{"dropping-particle":"","family":"Chave","given":"J.","non-dropping-particle":"","parse-names":false,"suffix":""},{"dropping-particle":"","family":"Andalo","given":"C.","non-dropping-particle":"","parse-names":false,"suffix":""},{"dropping-particle":"","family":"Brown","given":"S.","non-dropping-particle":"","parse-names":false,"suffix":""},{"dropping-particle":"","family":"Cairns","given":"M. A.","non-dropping-particle":"","parse-names":false,"suffix":""},{"dropping-particle":"","family":"Chambers","given":"J. Q.","non-dropping-particle":"","parse-names":false,"suffix":""},{"dropping-particle":"","family":"Eamus","given":"D.","non-dropping-particle":"","parse-names":false,"suffix":""},{"dropping-particle":"","family":"Fölster","given":"H.","non-dropping-particle":"","parse-names":false,"suffix":""},{"dropping-particle":"","family":"Fromard","given":"F.","non-dropping-particle":"","parse-names":false,"suffix":""},{"dropping-particle":"","family":"Higuchi","given":"N.","non-dropping-particle":"","parse-names":false,"suffix":""},{"dropping-particle":"","family":"Kira","given":"T.","non-dropping-particle":"","parse-names":false,"suffix":""},{"dropping-particle":"","family":"Lescure","given":"J. P.","non-dropping-particle":"","parse-names":false,"suffix":""},{"dropping-particle":"","family":"Nelson","given":"B. W.","non-dropping-particle":"","parse-names":false,"suffix":""},{"dropping-particle":"","family":"Ogawa","given":"H.","non-dropping-particle":"","parse-names":false,"suffix":""},{"dropping-particle":"","family":"Puig","given":"H.","non-dropping-particle":"","parse-names":false,"suffix":""},{"dropping-particle":"","family":"Riéra","given":"B.","non-dropping-particle":"","parse-names":false,"suffix":""},{"dropping-particle":"","family":"Yamakura","given":"T.","non-dropping-particle":"","parse-names":false,"suffix":""}],"container-title":"Oecologia","id":"ITEM-2","issue":"1","issued":{"date-parts":[["2005"]]},"page":"87-99","title":"Tree allometry and improved estimation of carbon stocks and balance in tropical forests","type":"article-journal","volume":"145"},"uris":["http://www.mendeley.com/documents/?uuid=f999acd1-7bc9-4a82-b1bb-e66951ccef36"]},{"id":"ITEM-3","itemData":{"DOI":"10.1017/S0266467405002476","ISBN":"1469-7831","ISSN":"0266-4674","abstract":"Inventory data on tree weights of 104 individual trees representing 10 mangrove species were collected from mangrove forests in South-East Asia to establish common allometric equations for the trunk, leaf, above-ground and root weight. We used the measurable tree dimensions, such as dbh (trunk diameter at breast height), DR0.3 (trunk diameter at 30 cm above the highest prop root of Rhizophora species), DB (trunk diameter at lowest living branch), and H (tree height) for the independent variable of equations. Among the mangrove species studied, the trunk shape was statistically identical regardless of site and species. However, ρ (wood density of tree trunk) differed significantly among the species. A common allometric equation for trunk weight was derived, when dbh2H or DR0.32H was selected as the independent variable and wood density was taken into account. The common allometric equations for the leaf and the above-ground weight were also derived according to Shinozaki&amp;apos;s pipe model and its extended theory. The common allometric relationships for these weights were attained with given ρ of each species, when DB2 or dbh2 or DR0.32 was selected as the independent variable. For the root weight, the common equation was derived from the allometric relationship between root weight and above-ground weight, since these two partial weights significantly correlated with each other. Based on these physical and biological parameters, we have proposed four common allometric equations for estimating the mangrove tree weight of trunk, leaf, above-ground part and root.","author":[{"dropping-particle":"","family":"Komiyama","given":"Akira","non-dropping-particle":"","parse-names":false,"suffix":""},{"dropping-particle":"","family":"Poungparn","given":"Sasitorn","non-dropping-particle":"","parse-names":false,"suffix":""},{"dropping-particle":"","family":"Kato","given":"Shogo","non-dropping-particle":"","parse-names":false,"suffix":""}],"container-title":"Journal of Tropical Ecology","id":"ITEM-3","issue":"04","issued":{"date-parts":[["2005"]]},"page":"471-477","title":"Common allometric equations for estimating the tree weight of mangroves","type":"article-journal","volume":"21"},"uris":["http://www.mendeley.com/documents/?uuid=8a8feb51-d5ac-4dd4-be4b-16cd692434c1"]},{"id":"ITEM-4","itemData":{"DOI":"10.1007/s11273-005-6243-z","ISBN":"0923-4861","ISSN":"09234861","abstract":"Mathematical relations that use easily measured variables to predict difficult-to-measure variables are important to resource managers. In this paper we develop allometric relations to predict total aboveground biomass and individual components of biomass (e.g., leaves, stems, branches) for three species of mangroves for Everglades National Park, Florida, USA. The Greater Everglades Ecosystem is currently the subject of a 7.8-billion-dollar restoration program sponsored by federal, state, and local agencies. Biomass and production of mangroves are being used as a measure of restoration success. A technique for rapid determination of biomass over large areas is required. We felled 32 mangrove trees and separated each plant into leaves, stems, branches, and for Rhizophora mangle L., prop roots. Wet weights were measured in the field and subsamples returned to the laboratory for determination of wet-to-dry weight conversion factors. The diameter at breast height (DBH) and stem height were also measured. Allometric equations were developed for each species for total biomass and components of biomass. We compared our equations with those from the same, or similar, species from elsewhere in the world. Our equations explained Ž93% of the variance in total dry weight using DBH. DBH is a better predictor of dry weight than is stem height and DBH is much easier to measure. Furthermore, our results indicate that there are biogeographic differences in allometric relations between regions. For a given DBH, stems of all three species have less mass in Florida than stems from elsewhere in the world.","author":[{"dropping-particle":"","family":"Smith","given":"Thomas J.","non-dropping-particle":"","parse-names":false,"suffix":""},{"dropping-particle":"","family":"Whelan","given":"Kevin R T","non-dropping-particle":"","parse-names":false,"suffix":""}],"container-title":"Wetlands Ecology and Management","id":"ITEM-4","issue":"5","issued":{"date-parts":[["2006"]]},"page":"409-419","title":"Development of allometric relations for three mangrove species in South Florida for use in the Greater Everglades Ecosystem restoration","type":"article-journal","volume":"14"},"uris":["http://www.mendeley.com/documents/?uuid=db737246-7081-3ba7-ba52-b8408798a133"]}],"mendeley":{"formattedCitation":"(Banerjee et al., 2013; Chave et al., 2005; Komiyama et al., 2005; Smith and Whelan, 2006)","plainTextFormattedCitation":"(Banerjee et al., 2013; Chave et al., 2005; Komiyama et al., 2005; Smith and Whelan, 2006)","previouslyFormattedCitation":"(Banerjee et al., 2013; Chave et al., 2005; Komiyama et al., 2005; Smith and Whelan, 2006)"},"properties":{"noteIndex":0},"schema":"https://github.com/citation-style-language/schema/raw/master/csl-citation.json"}</w:instrText>
      </w:r>
      <w:r w:rsidRPr="0067054C">
        <w:fldChar w:fldCharType="separate"/>
      </w:r>
      <w:r w:rsidRPr="0067054C">
        <w:rPr>
          <w:noProof/>
        </w:rPr>
        <w:t>(Banerjee et al., 2013; Chave et al., 2005; Komiyama et al., 2005; Smith and Whelan, 2006)</w:t>
      </w:r>
      <w:r w:rsidRPr="0067054C">
        <w:fldChar w:fldCharType="end"/>
      </w:r>
      <w:r w:rsidRPr="0067054C">
        <w:t xml:space="preserve">. Under stressful conditions previous work has shown that mangroves boost below ground partitioning and increase root biomass, which may be associated with increased soil salinity </w:t>
      </w:r>
      <w:r w:rsidRPr="0067054C">
        <w:fldChar w:fldCharType="begin" w:fldLock="1"/>
      </w:r>
      <w:r w:rsidRPr="0067054C">
        <w:instrText>ADDIN CSL_CITATION {"citationItems":[{"id":"ITEM-1","itemData":{"DOI":"10.1007/s10021-002-0191-8","ISBN":"1432-9840","ISSN":"14329840","abstract":"The objective of this study was to quantify spatial patterns in above- and belowground biomass, primary productivity, and growth efficiency along a tidal gradient in a 4700-ha mangrove forest in the Dominican Republic. We tested the hypothesis that spatial patterns of forest structure and growth following 50 years of development were associated with variations in the soil environment across the tidal gradient. Twenty-three plots were monitored from 1994 to 1998. Aboveground biomass and biomass accumulation were estimated by applying allometric regression equations derived from dimension analysis of trees harvested at our study site. Soil porewater salinity ranged from 5 to 38 g . kg(-1) across the tidal gradient, and most measurements of forest biomass and productivity were inversely related to salinity. Mean standing biomass (233 +/- 16.0 Mg . ha(-1); range, 123.5-383.5), biomass increment (9.7 +/- 1.0 Mg . ha(-1) y(-1); range, 3.7-18.1), annual litterfall rates (11.4 Mg . ha(-1) yr(-1); range, 10.2-12.8), leaf area index (LAI) (4.4 m(2) . m(-2); range, 2.9-5.6), aboveground net primary productivity (ANPP) (19.7 Mg . ha(-1) y(-1); range, 15.6-25.0), and growth efficiency (1.6 +/- 0.2 kg . ha(-1) y(-1); range, 1.0-3.6) all showed an inverse linear relationship with salinity. Fine-root biomass (less than or equal to 2 mm) (9.7 +/- 1.2 Mg . ha(-1); range, 2.7-13.8) showed a weak tendency to increase with salinity, and the ratio of root to aboveground biomass increased strongly with salinity. Our results suggest that physiological stresses associated with salinity, or with some combination of salinity and other covarying soil factors, control forest structure and growth along the tidal gradient. The higher allocation of carbon to belowground resources in more saline sites apparently contributed to reductions in ANPP along the tidal gradient.","author":[{"dropping-particle":"","family":"Sherman","given":"Ruth E.","non-dropping-particle":"","parse-names":false,"suffix":""},{"dropping-particle":"","family":"Fahey","given":"Timothy J.","non-dropping-particle":"","parse-names":false,"suffix":""},{"dropping-particle":"","family":"Martinez","given":"Pedro","non-dropping-particle":"","parse-names":false,"suffix":""}],"container-title":"Ecosystems","id":"ITEM-1","issue":"4","issued":{"date-parts":[["2003"]]},"page":"384-398","title":"Spatial Patterns of Biomass and Aboveground Net Primary Productivity in a Mangrove Ecosystem in the Dominican Republic","type":"article-journal","volume":"6"},"uris":["http://www.mendeley.com/documents/?uuid=f02db92d-3381-445b-b85c-d65205a65215"]}],"mendeley":{"formattedCitation":"(Sherman et al., 2003)","plainTextFormattedCitation":"(Sherman et al., 2003)","previouslyFormattedCitation":"(Sherman et al., 2003)"},"properties":{"noteIndex":0},"schema":"https://github.com/citation-style-language/schema/raw/master/csl-citation.json"}</w:instrText>
      </w:r>
      <w:r w:rsidRPr="0067054C">
        <w:fldChar w:fldCharType="separate"/>
      </w:r>
      <w:r w:rsidRPr="0067054C">
        <w:rPr>
          <w:noProof/>
        </w:rPr>
        <w:t>(Sherman et al., 2003)</w:t>
      </w:r>
      <w:r w:rsidRPr="0067054C">
        <w:fldChar w:fldCharType="end"/>
      </w:r>
      <w:r w:rsidRPr="0067054C">
        <w:t xml:space="preserve">. Thus, arid mangroves may have lower shoot to root ratios, and proportionally greater below-ground carbon allocation than mangroves in higher rainfall, tropical </w:t>
      </w:r>
      <w:r>
        <w:t xml:space="preserve">humid </w:t>
      </w:r>
      <w:r w:rsidRPr="0067054C">
        <w:t>locations.</w:t>
      </w:r>
    </w:p>
    <w:p w14:paraId="6D8DD710" w14:textId="77777777" w:rsidR="009C75D7" w:rsidRPr="0067054C" w:rsidRDefault="009C75D7" w:rsidP="009C75D7">
      <w:pPr>
        <w:spacing w:line="480" w:lineRule="auto"/>
        <w:rPr>
          <w:b/>
          <w:bCs/>
        </w:rPr>
      </w:pPr>
    </w:p>
    <w:p w14:paraId="75808402" w14:textId="77777777" w:rsidR="009C75D7" w:rsidRPr="00906EF9" w:rsidRDefault="009C75D7" w:rsidP="009C75D7">
      <w:pPr>
        <w:pStyle w:val="CommentText"/>
        <w:spacing w:line="480" w:lineRule="auto"/>
        <w:rPr>
          <w:sz w:val="24"/>
          <w:szCs w:val="24"/>
        </w:rPr>
      </w:pPr>
      <w:r w:rsidRPr="00906EF9">
        <w:rPr>
          <w:sz w:val="24"/>
          <w:szCs w:val="24"/>
        </w:rPr>
        <w:t xml:space="preserve">The current study provides results that are relevant to other arid regions where mangroves occur, for example, western Australia, western Africa, western South America, north-western Mexico and the western Gulf of Mexico. These results can also add to our knowledge of C stocks globally by refining estimates in arid countries. This study reports an aboveground biomass allometric equation and the first below ground biomass allometric equation for </w:t>
      </w:r>
      <w:r w:rsidRPr="00906EF9">
        <w:rPr>
          <w:i/>
          <w:iCs/>
          <w:sz w:val="24"/>
          <w:szCs w:val="24"/>
        </w:rPr>
        <w:t>A. marina</w:t>
      </w:r>
      <w:r w:rsidRPr="00906EF9">
        <w:rPr>
          <w:sz w:val="24"/>
          <w:szCs w:val="24"/>
        </w:rPr>
        <w:t xml:space="preserve"> in the Gulf. This will add insight to the hypothesis that arid mangroves allocate more biomass below ground and will help reduce uncertainty in arid </w:t>
      </w:r>
      <w:r w:rsidRPr="00906EF9">
        <w:rPr>
          <w:sz w:val="24"/>
          <w:szCs w:val="24"/>
        </w:rPr>
        <w:lastRenderedPageBreak/>
        <w:t xml:space="preserve">environment estimates. The study also aimed to develop and test regionally driven differences in above and below ground </w:t>
      </w:r>
      <w:proofErr w:type="spellStart"/>
      <w:r w:rsidRPr="00906EF9">
        <w:rPr>
          <w:i/>
          <w:iCs/>
          <w:sz w:val="24"/>
          <w:szCs w:val="24"/>
        </w:rPr>
        <w:t>Avicennia</w:t>
      </w:r>
      <w:proofErr w:type="spellEnd"/>
      <w:r w:rsidRPr="00906EF9">
        <w:rPr>
          <w:i/>
          <w:iCs/>
          <w:sz w:val="24"/>
          <w:szCs w:val="24"/>
        </w:rPr>
        <w:t xml:space="preserve"> marina </w:t>
      </w:r>
      <w:r w:rsidRPr="00906EF9">
        <w:rPr>
          <w:sz w:val="24"/>
          <w:szCs w:val="24"/>
        </w:rPr>
        <w:t xml:space="preserve">allometric relationships. </w:t>
      </w:r>
    </w:p>
    <w:p w14:paraId="5E554306" w14:textId="77777777" w:rsidR="009C75D7" w:rsidRPr="0067054C" w:rsidRDefault="009C75D7" w:rsidP="009C75D7">
      <w:pPr>
        <w:spacing w:line="480" w:lineRule="auto"/>
      </w:pPr>
    </w:p>
    <w:p w14:paraId="07F93897" w14:textId="51C945FA" w:rsidR="009C75D7" w:rsidRPr="00AB0EF4" w:rsidRDefault="009C75D7" w:rsidP="009C75D7">
      <w:pPr>
        <w:pStyle w:val="Heading2"/>
        <w:rPr>
          <w:rFonts w:asciiTheme="minorHAnsi" w:hAnsiTheme="minorHAnsi" w:cstheme="minorHAnsi"/>
          <w:b/>
          <w:bCs/>
          <w:color w:val="auto"/>
        </w:rPr>
      </w:pPr>
      <w:bookmarkStart w:id="40" w:name="_Toc120622129"/>
      <w:r>
        <w:rPr>
          <w:rFonts w:asciiTheme="minorHAnsi" w:hAnsiTheme="minorHAnsi" w:cstheme="minorHAnsi"/>
          <w:b/>
          <w:bCs/>
          <w:color w:val="auto"/>
        </w:rPr>
        <w:t>4</w:t>
      </w:r>
      <w:r w:rsidRPr="00AB0EF4">
        <w:rPr>
          <w:rFonts w:asciiTheme="minorHAnsi" w:hAnsiTheme="minorHAnsi" w:cstheme="minorHAnsi"/>
          <w:b/>
          <w:bCs/>
          <w:color w:val="auto"/>
        </w:rPr>
        <w:t>.3</w:t>
      </w:r>
      <w:r w:rsidRPr="00AB0EF4">
        <w:rPr>
          <w:rFonts w:asciiTheme="minorHAnsi" w:hAnsiTheme="minorHAnsi" w:cstheme="minorHAnsi"/>
          <w:b/>
          <w:bCs/>
          <w:color w:val="auto"/>
        </w:rPr>
        <w:tab/>
        <w:t>Methods</w:t>
      </w:r>
      <w:bookmarkEnd w:id="40"/>
    </w:p>
    <w:p w14:paraId="7EFCB28C" w14:textId="5659B190" w:rsidR="009C75D7" w:rsidRPr="00CA5D7E" w:rsidRDefault="009C75D7" w:rsidP="009C75D7">
      <w:pPr>
        <w:pStyle w:val="Heading3"/>
        <w:rPr>
          <w:rFonts w:asciiTheme="minorHAnsi" w:hAnsiTheme="minorHAnsi" w:cstheme="minorHAnsi"/>
          <w:b/>
          <w:bCs/>
          <w:color w:val="auto"/>
          <w:lang w:val="en-GB"/>
        </w:rPr>
      </w:pPr>
      <w:bookmarkStart w:id="41" w:name="_Toc120622130"/>
      <w:r w:rsidRPr="00CA5D7E">
        <w:rPr>
          <w:rFonts w:asciiTheme="minorHAnsi" w:hAnsiTheme="minorHAnsi" w:cstheme="minorHAnsi"/>
          <w:b/>
          <w:bCs/>
          <w:color w:val="auto"/>
          <w:lang w:val="en-GB"/>
        </w:rPr>
        <w:t>4.3.1</w:t>
      </w:r>
      <w:r w:rsidRPr="00CA5D7E">
        <w:rPr>
          <w:rFonts w:asciiTheme="minorHAnsi" w:hAnsiTheme="minorHAnsi" w:cstheme="minorHAnsi"/>
          <w:b/>
          <w:bCs/>
          <w:color w:val="auto"/>
          <w:lang w:val="en-GB"/>
        </w:rPr>
        <w:tab/>
        <w:t>Study Sites</w:t>
      </w:r>
      <w:bookmarkEnd w:id="41"/>
    </w:p>
    <w:p w14:paraId="3F5A9FD1" w14:textId="77777777" w:rsidR="009C75D7" w:rsidRPr="0067054C" w:rsidRDefault="009C75D7" w:rsidP="009C75D7">
      <w:pPr>
        <w:spacing w:line="480" w:lineRule="auto"/>
      </w:pPr>
      <w:r w:rsidRPr="0067054C">
        <w:t>Three mangrove sites were selected for study on the north</w:t>
      </w:r>
      <w:r>
        <w:t>-</w:t>
      </w:r>
      <w:r w:rsidRPr="0067054C">
        <w:t>east coast of Qatar (N 25.726251</w:t>
      </w:r>
      <w:r w:rsidRPr="0067054C">
        <w:rPr>
          <w:vertAlign w:val="superscript"/>
        </w:rPr>
        <w:t>o</w:t>
      </w:r>
      <w:r w:rsidRPr="0067054C">
        <w:t>, E 51.565021</w:t>
      </w:r>
      <w:r w:rsidRPr="0067054C">
        <w:rPr>
          <w:vertAlign w:val="superscript"/>
        </w:rPr>
        <w:t>o</w:t>
      </w:r>
      <w:r w:rsidRPr="0067054C">
        <w:t>, Fig</w:t>
      </w:r>
      <w:r>
        <w:t>ure</w:t>
      </w:r>
      <w:r w:rsidRPr="0067054C">
        <w:t xml:space="preserve"> </w:t>
      </w:r>
      <w:r>
        <w:t>2.</w:t>
      </w:r>
      <w:r w:rsidRPr="0067054C">
        <w:t xml:space="preserve">1). Salinity can be highly variable, ranging from 37 to 64 in a lagoonal setting </w:t>
      </w:r>
      <w:r w:rsidRPr="0067054C">
        <w:fldChar w:fldCharType="begin" w:fldLock="1"/>
      </w:r>
      <w:r w:rsidRPr="0067054C">
        <w:instrText>ADDIN CSL_CITATION {"citationItems":[{"id":"ITEM-1","itemData":{"DOI":"10.1111/sed.12419","ISSN":"13653091","abstract":"In a modern peritidal microbial mat from Qatar, both biomediated carbonates and Mg-rich clay minerals (palygorskite) were identified. The mat, ca 5 cm thick, shows a clear lamination reflecting different microbial communities. The initial precipitates within the top millimetres of the mat are composed of Ca–Mg–Si–Al–S amorphous nanoparticles (few tens of nanometres) that replace the ultrastructure of extracellular polymeric substances. The extracellular polymeric substances are enriched in the same cations and act as a substrate for mineral nucleation. Successively, crystallites of palygorskite fibres associated with carbonate nanocrystals develop, commonly surrounding bacterial bodies. Micron-sized crystals of low-Mg calcite are the most common precipitates, together with subordinate aragonite, very high-Mg calcite/dolomite and ankerite. Pyrite nanocrystals and framboids are present in the deeper layers of the mat. Calcite crystallites form conical structures, circular to triangular/hexagonal in cross-section, evolving to crystals with rhombohedral terminations; some crystallite bundles develop into dumb-bell and stellate forms. Spheroidal organo-mineral structures are also common within the mat. Nanospheres, a few tens of nanometres in diameter, occur attached to coccoid bacteria and within their cells; these are interpreted as permineralized viruses and could be significant as nuclei for crystallite-crystal precipitation. Microspheres, 1 to 10 μm in diameter, result from intracellular permineralization within bacteria or the mineralization of the bacteria themselves. Carbonates and clay minerals are commonly aggregated to form peloids, tens of microns in size, surrounded by residual organic matter. Magnesium silicate and carbonate precipitation are likely to have been driven by pH – saturation index – redox changes within the mat, related to microenvironmental chemical changes induced by the microbes – extracellular polymeric substances – viruses and their degradation.","author":[{"dropping-particle":"","family":"Perri","given":"Edoardo","non-dropping-particle":"","parse-names":false,"suffix":""},{"dropping-particle":"","family":"Tucker","given":"Maurice E.","non-dropping-particle":"","parse-names":false,"suffix":""},{"dropping-particle":"","family":"Słowakiewicz","given":"Mirosław","non-dropping-particle":"","parse-names":false,"suffix":""},{"dropping-particle":"","family":"Whitaker","given":"Fiona","non-dropping-particle":"","parse-names":false,"suffix":""},{"dropping-particle":"","family":"Bowen","given":"Leon","non-dropping-particle":"","parse-names":false,"suffix":""},{"dropping-particle":"","family":"Perrotta","given":"Ida D.","non-dropping-particle":"","parse-names":false,"suffix":""}],"container-title":"Sedimentology","id":"ITEM-1","issue":"4","issued":{"date-parts":[["2018"]]},"page":"1213-1245","title":"Carbonate and silicate biomineralization in a hypersaline microbial mat (Mesaieed sabkha, Qatar): Roles of bacteria, extracellular polymeric substances and viruses","type":"article-journal","volume":"65"},"uris":["http://www.mendeley.com/documents/?uuid=8c9a25ab-583e-446d-9c46-e4c7158760dd"]},{"id":"ITEM-2","itemData":{"DOI":"10.1016/j.ecss.2013.03.007","ISBN":"0272-7714","ISSN":"02727714","abstract":"The Arabian Gulf represents one of the more northerly extremes of mangrove distribution in the Indo-Pacific, and is populated only by Avicennia marina, due to its tolerance of high salinity and wide temperature extremes. Recent studies suggest that in the arid coastal environment of the western Arabian Gulf, export of carbon and nitrogen from mangroves to adjacent habitats may be limited, though it is not clear if this is due to low productivity or physical factors such as the lack of freshwater flow and the tidal regime. Although seagrass and macroalgal habitats are relatively much more dominant by area, with only small pockets of mangrove around the edges of embayments, it is not evident if inwelling from these habitats support mangrove fauna. Year-round sampling in mangroves at Al-Khor, Qatar, indicates that Palaemon khori, an endemic shrimp species, is strongly associated with mangroves throughout its post-settlement life cycle, from recruitment as small 9-10mm juveniles through to mating and egg production. Rapid post-recruitment growth (k=1.8, L∞=42mm for females, k=1.5, L∞=35mm for male) means that most individuals reached adult size in the first few months after settlement, with reproduction occurring in the following spring. As might be expected from year-round residence in the mangrove, dual 13C and 15N isotope analysis indicated a strong contribution of mangroves to shrimp tissue growth (Mean and 95% confidence range, 37% and 27-48%), but with a weaker significant contribution from particulate organic matter (20% and 1-37%), mangrove epiphytes (16% and 2-33%) and seagrasses (9% and 0.2-18%). Other primary producers contribute the remaining 18% to shrimp nutrition but the 95% confidence ranges include zero, suggesting possibly non-significant roles in supporting the shrimp population. This dietary information supports the view that fauna resident within arid mangrove systems are mainly dependent on localised retention and cycling of nutrients with a smaller contribution from inwelling. © 2013 Elsevier Ltd.","author":[{"dropping-particle":"","family":"Al-Maslamani","given":"I.","non-dropping-particle":"","parse-names":false,"suffix":""},{"dropping-particle":"","family":"Walton","given":"M. E.M.","non-dropping-particle":"","parse-names":false,"suffix":""},{"dropping-particle":"","family":"Kennedy","given":"H. A.","non-dropping-particle":"","parse-names":false,"suffix":""},{"dropping-particle":"","family":"Al-Mohannadi","given":"M.","non-dropping-particle":"","parse-names":false,"suffix":""},{"dropping-particle":"","family":"Vay","given":"L.","non-dropping-particle":"Le","parse-names":false,"suffix":""}],"container-title":"Estuarine, Coastal and Shelf Science","id":"ITEM-2","issued":{"date-parts":[["2013","6"]]},"page":"56-63","title":"Are mangroves in arid environments isolated systems? Life-history and evidence of dietary contribution from inwelling in a mangrove-resident shrimp species","type":"article-journal","volume":"124"},"uris":["http://www.mendeley.com/documents/?uuid=6b73bf2a-05d0-4a74-b04b-21d8f104c3c5"]}],"mendeley":{"formattedCitation":"(Al-Maslamani et al., 2013; Perri et al., 2018)","plainTextFormattedCitation":"(Al-Maslamani et al., 2013; Perri et al., 2018)","previouslyFormattedCitation":"(Al-Maslamani et al., 2013; Perri et al., 2018)"},"properties":{"noteIndex":0},"schema":"https://github.com/citation-style-language/schema/raw/master/csl-citation.json"}</w:instrText>
      </w:r>
      <w:r w:rsidRPr="0067054C">
        <w:fldChar w:fldCharType="separate"/>
      </w:r>
      <w:r w:rsidRPr="0067054C">
        <w:rPr>
          <w:noProof/>
        </w:rPr>
        <w:t>(Al-Maslamani et al., 2013; Perri et al., 2018)</w:t>
      </w:r>
      <w:r w:rsidRPr="0067054C">
        <w:fldChar w:fldCharType="end"/>
      </w:r>
      <w:r w:rsidRPr="0067054C">
        <w:t xml:space="preserve">. Despite low annual precipitation, no incidents of drought-induced mortality, expansion or contraction in response to rainfall have been reported. Intertidal areas where sampling sites were located were dominated by mangroves. Sites were fringed by seagrass beds on the seaward side and, on the terrestrial side, by sabkha (supra-tidal salt flats vegetated with nonvascular halophytes) and microbial mat habitats, above which was a rocky desert landscape. Mangroves in Qatar are monospecific </w:t>
      </w:r>
      <w:proofErr w:type="spellStart"/>
      <w:r w:rsidRPr="0067054C">
        <w:rPr>
          <w:i/>
        </w:rPr>
        <w:t>Avicennia</w:t>
      </w:r>
      <w:proofErr w:type="spellEnd"/>
      <w:r w:rsidRPr="0067054C">
        <w:rPr>
          <w:i/>
        </w:rPr>
        <w:t xml:space="preserve"> marina</w:t>
      </w:r>
      <w:r w:rsidRPr="0067054C">
        <w:t xml:space="preserve"> stands. All stands occur along the eastern and northern coasts, with just a few isolated </w:t>
      </w:r>
      <w:r w:rsidRPr="0067054C">
        <w:rPr>
          <w:i/>
          <w:iCs/>
        </w:rPr>
        <w:t xml:space="preserve">A. marina </w:t>
      </w:r>
      <w:r w:rsidRPr="0067054C">
        <w:t xml:space="preserve">trees on the western coast. Sites around Al Khor and Al </w:t>
      </w:r>
      <w:proofErr w:type="spellStart"/>
      <w:r w:rsidRPr="0067054C">
        <w:t>Dhakira</w:t>
      </w:r>
      <w:proofErr w:type="spellEnd"/>
      <w:r w:rsidRPr="0067054C">
        <w:t xml:space="preserve"> bays were selected for study as they represent ~80% of total mangrove area in Qatar </w:t>
      </w:r>
      <w:r w:rsidRPr="0067054C">
        <w:fldChar w:fldCharType="begin" w:fldLock="1"/>
      </w:r>
      <w:r w:rsidRPr="0067054C">
        <w:instrText>ADDIN CSL_CITATION {"citationItems":[{"id":"ITEM-1","itemData":{"author":[{"dropping-particle":"","family":"Al-Khayat","given":"JA","non-dropping-particle":"","parse-names":false,"suffix":""},{"dropping-particle":"","family":"Balakrishnan","given":"P","non-dropping-particle":"","parse-names":false,"suffix":""}],"container-title":"International Journal of Sciences","id":"ITEM-1","issue":"5","issued":{"date-parts":[["2014"]]},"page":"18-27","title":"Avicennia Marina around Qatar: Tree, Seedling and Pneumatophore Densities in Natural and Planted Mangroves using Remote Sensing","type":"article-journal","volume":"3"},"uris":["http://www.mendeley.com/documents/?uuid=1419d27f-a5c9-426a-912e-4d460b776a10"]}],"mendeley":{"formattedCitation":"(Al-Khayat and Balakrishnan, 2014)","plainTextFormattedCitation":"(Al-Khayat and Balakrishnan, 2014)","previouslyFormattedCitation":"(Al-Khayat and Balakrishnan, 2014)"},"properties":{"noteIndex":0},"schema":"https://github.com/citation-style-language/schema/raw/master/csl-citation.json"}</w:instrText>
      </w:r>
      <w:r w:rsidRPr="0067054C">
        <w:fldChar w:fldCharType="separate"/>
      </w:r>
      <w:r w:rsidRPr="0067054C">
        <w:rPr>
          <w:noProof/>
        </w:rPr>
        <w:t>(Al-Khayat and Balakrishnan, 2014)</w:t>
      </w:r>
      <w:r w:rsidRPr="0067054C">
        <w:fldChar w:fldCharType="end"/>
      </w:r>
      <w:r w:rsidRPr="0067054C">
        <w:t xml:space="preserve"> and cover ~680 ha, providing a large enough area to study effects of tidal gradients throughout the mangroves. The Al Khor site was in the northern part of Al Khor bay and 4 km from Al Khor town. South and West Al </w:t>
      </w:r>
      <w:proofErr w:type="spellStart"/>
      <w:r w:rsidRPr="0067054C">
        <w:t>Dhakira</w:t>
      </w:r>
      <w:proofErr w:type="spellEnd"/>
      <w:r w:rsidRPr="0067054C">
        <w:t xml:space="preserve"> sites were situated in southern and western portions of Al </w:t>
      </w:r>
      <w:proofErr w:type="spellStart"/>
      <w:r w:rsidRPr="0067054C">
        <w:t>Dhakira</w:t>
      </w:r>
      <w:proofErr w:type="spellEnd"/>
      <w:r w:rsidRPr="0067054C">
        <w:t xml:space="preserve"> bay respectively and were separated by 3 km of sandy beach.</w:t>
      </w:r>
    </w:p>
    <w:p w14:paraId="12B1F19D" w14:textId="77777777" w:rsidR="009C75D7" w:rsidRPr="0067054C" w:rsidRDefault="009C75D7" w:rsidP="009C75D7">
      <w:pPr>
        <w:spacing w:line="480" w:lineRule="auto"/>
        <w:rPr>
          <w:i/>
        </w:rPr>
      </w:pPr>
    </w:p>
    <w:p w14:paraId="4F8EE1F6" w14:textId="4701C312" w:rsidR="009C75D7" w:rsidRPr="00CA5D7E" w:rsidRDefault="009C75D7" w:rsidP="009C75D7">
      <w:pPr>
        <w:pStyle w:val="Heading3"/>
        <w:rPr>
          <w:rFonts w:asciiTheme="minorHAnsi" w:hAnsiTheme="minorHAnsi" w:cstheme="minorHAnsi"/>
          <w:b/>
          <w:bCs/>
          <w:color w:val="auto"/>
          <w:lang w:val="en-GB"/>
        </w:rPr>
      </w:pPr>
      <w:bookmarkStart w:id="42" w:name="_Toc120622131"/>
      <w:r w:rsidRPr="00CA5D7E">
        <w:rPr>
          <w:rFonts w:asciiTheme="minorHAnsi" w:hAnsiTheme="minorHAnsi" w:cstheme="minorHAnsi"/>
          <w:b/>
          <w:bCs/>
          <w:color w:val="auto"/>
          <w:lang w:val="en-GB"/>
        </w:rPr>
        <w:t>4.3.2</w:t>
      </w:r>
      <w:r w:rsidRPr="00CA5D7E">
        <w:rPr>
          <w:rFonts w:asciiTheme="minorHAnsi" w:hAnsiTheme="minorHAnsi" w:cstheme="minorHAnsi"/>
          <w:b/>
          <w:bCs/>
          <w:color w:val="auto"/>
          <w:lang w:val="en-GB"/>
        </w:rPr>
        <w:tab/>
        <w:t>Sampling design</w:t>
      </w:r>
      <w:bookmarkEnd w:id="42"/>
    </w:p>
    <w:p w14:paraId="377F709C" w14:textId="5FD99119" w:rsidR="009C75D7" w:rsidRPr="0067054C" w:rsidRDefault="009C75D7" w:rsidP="009C75D7">
      <w:pPr>
        <w:spacing w:line="480" w:lineRule="auto"/>
        <w:rPr>
          <w:b/>
          <w:bCs/>
        </w:rPr>
      </w:pPr>
      <w:r w:rsidRPr="0067054C">
        <w:t>Mangrove sites were sampled by nine 10 x 10 m plots in three zones (</w:t>
      </w:r>
      <w:r w:rsidRPr="00C24B80">
        <w:t>Figure A1</w:t>
      </w:r>
      <w:r w:rsidRPr="0067054C">
        <w:t xml:space="preserve">): three plots along the seaward and landward fringes, respectively, and three plots in the mid-mangrove </w:t>
      </w:r>
      <w:r w:rsidRPr="0067054C">
        <w:lastRenderedPageBreak/>
        <w:t xml:space="preserve">that were placed at roughly equal distances along a transect running perpendicular to the shoreline. Collectively, plot distribution sampled the effect of the intertidal gradient on carbon stocks, while leaving scope for factorial contrasts between the low (n = 3 plots), mid (n = 3) and high (n = 3) mangrove stands. Each plot was marked using a handheld GPS and distance to the seaward edge and each transect length were measured </w:t>
      </w:r>
      <w:r w:rsidRPr="0067054C">
        <w:rPr>
          <w:i/>
          <w:iCs/>
        </w:rPr>
        <w:t>a priori</w:t>
      </w:r>
      <w:r w:rsidRPr="0067054C">
        <w:t xml:space="preserve"> in Google earth. Transect lengths were, 2500m, 990m and 1250m in Al Khor, South </w:t>
      </w:r>
      <w:proofErr w:type="spellStart"/>
      <w:r w:rsidRPr="0067054C">
        <w:t>Dhakira</w:t>
      </w:r>
      <w:proofErr w:type="spellEnd"/>
      <w:r w:rsidRPr="0067054C">
        <w:t xml:space="preserve"> and West </w:t>
      </w:r>
      <w:proofErr w:type="spellStart"/>
      <w:r w:rsidRPr="0067054C">
        <w:t>Dhakira</w:t>
      </w:r>
      <w:proofErr w:type="spellEnd"/>
      <w:r w:rsidRPr="0067054C">
        <w:t xml:space="preserve">, respectively.  Tidal ranges in Qatar are microtidal, &lt;2m with a mean high water of circa 1.5m, </w:t>
      </w:r>
      <w:r w:rsidR="00A4760B">
        <w:t xml:space="preserve">which is the difference between annual average of high tides and annual average of low tides, </w:t>
      </w:r>
      <w:r w:rsidRPr="0067054C">
        <w:t>with a relative height difference of approximately 0.7m between the low to high stations within the mangrove.</w:t>
      </w:r>
    </w:p>
    <w:p w14:paraId="2F0FED22" w14:textId="77777777" w:rsidR="009C75D7" w:rsidRPr="0067054C" w:rsidRDefault="009C75D7" w:rsidP="009C75D7">
      <w:pPr>
        <w:spacing w:line="480" w:lineRule="auto"/>
        <w:rPr>
          <w:i/>
        </w:rPr>
      </w:pPr>
    </w:p>
    <w:p w14:paraId="110910BD" w14:textId="229C4ABF" w:rsidR="009C75D7" w:rsidRPr="00CA5D7E" w:rsidRDefault="009C75D7" w:rsidP="009C75D7">
      <w:pPr>
        <w:pStyle w:val="Heading3"/>
        <w:rPr>
          <w:rFonts w:asciiTheme="minorHAnsi" w:hAnsiTheme="minorHAnsi" w:cstheme="minorHAnsi"/>
          <w:b/>
          <w:bCs/>
          <w:color w:val="auto"/>
          <w:lang w:val="en-GB"/>
        </w:rPr>
      </w:pPr>
      <w:bookmarkStart w:id="43" w:name="_Toc120622132"/>
      <w:r w:rsidRPr="00CA5D7E">
        <w:rPr>
          <w:rFonts w:asciiTheme="minorHAnsi" w:hAnsiTheme="minorHAnsi" w:cstheme="minorHAnsi"/>
          <w:b/>
          <w:bCs/>
          <w:color w:val="auto"/>
          <w:lang w:val="en-GB"/>
        </w:rPr>
        <w:t>4.3.3</w:t>
      </w:r>
      <w:r w:rsidRPr="00CA5D7E">
        <w:rPr>
          <w:rFonts w:asciiTheme="minorHAnsi" w:hAnsiTheme="minorHAnsi" w:cstheme="minorHAnsi"/>
          <w:b/>
          <w:bCs/>
          <w:color w:val="auto"/>
          <w:lang w:val="en-GB"/>
        </w:rPr>
        <w:tab/>
        <w:t>Field and laboratory methods</w:t>
      </w:r>
      <w:bookmarkEnd w:id="43"/>
    </w:p>
    <w:p w14:paraId="23D3DEE8" w14:textId="77777777" w:rsidR="009C75D7" w:rsidRPr="0067054C" w:rsidRDefault="009C75D7" w:rsidP="009C75D7">
      <w:pPr>
        <w:spacing w:line="480" w:lineRule="auto"/>
        <w:rPr>
          <w:iCs/>
        </w:rPr>
      </w:pPr>
      <w:r w:rsidRPr="0067054C">
        <w:rPr>
          <w:bCs/>
        </w:rPr>
        <w:t>Above and below-ground</w:t>
      </w:r>
      <w:r w:rsidRPr="0067054C">
        <w:rPr>
          <w:b/>
          <w:bCs/>
        </w:rPr>
        <w:t xml:space="preserve"> </w:t>
      </w:r>
      <w:r w:rsidRPr="0067054C">
        <w:rPr>
          <w:bCs/>
        </w:rPr>
        <w:t xml:space="preserve">carbon stocks of mangrove trees are normally estimated from empirically-determined allometric relationships between tree dry mass and tree diameter at breast height (DBH) </w:t>
      </w:r>
      <w:r w:rsidRPr="0067054C">
        <w:fldChar w:fldCharType="begin" w:fldLock="1"/>
      </w:r>
      <w:r w:rsidRPr="0067054C">
        <w:instrText>ADDIN CSL_CITATION {"citationItems":[{"id":"ITEM-1","itemData":{"DOI":"10.1071/BT96075","ISBN":"0067-1924","ISSN":"0067-1924","abstract":"A procedure is described for obtaining allometric relationships between stem diameter and aboveground biomass for multi-stemmed trees of the mangroves Rhizophora stylosa and Avicennia marina . The procedure treats each stem as discrete tree that shares a proportion of the butt and other elements common to all stems. Linear log-log relationships were obtained between stem diameter and the dry weights of each aboveground component. Allometric relationships between stem diameter and total aboveground biomass were similar to those for single-stemmed trees in NE Australia, but multi-stemmed trees on the west coast had much greater proportion of their biomass in the form of prop roots than single-stemmed trees of comparable stem diameter on the NE coast. This is attributed to the arid environment on the NW coast of Australia.","author":[{"dropping-particle":"","family":"Clough","given":"B F","non-dropping-particle":"","parse-names":false,"suffix":""},{"dropping-particle":"","family":"Dixon","given":"P","non-dropping-particle":"","parse-names":false,"suffix":""},{"dropping-particle":"","family":"Dalhaus","given":"O","non-dropping-particle":"","parse-names":false,"suffix":""}],"container-title":"Australian Journal of Botany","id":"ITEM-1","issue":"6","issued":{"date-parts":[["1997"]]},"page":"1023-1031","title":"Allometric Relationships for Estimating Biomass in Multi-stemmed Mangrove Trees","type":"article-journal","volume":"45"},"uris":["http://www.mendeley.com/documents/?uuid=a16823f6-f60c-3707-a156-09647f145e15"]}],"mendeley":{"formattedCitation":"(Clough et al., 1997)","plainTextFormattedCitation":"(Clough et al., 1997)","previouslyFormattedCitation":"(Clough et al., 1997)"},"properties":{"noteIndex":0},"schema":"https://github.com/citation-style-language/schema/raw/master/csl-citation.json"}</w:instrText>
      </w:r>
      <w:r w:rsidRPr="0067054C">
        <w:fldChar w:fldCharType="separate"/>
      </w:r>
      <w:r w:rsidRPr="0067054C">
        <w:rPr>
          <w:noProof/>
        </w:rPr>
        <w:t>(Clough et al., 1997)</w:t>
      </w:r>
      <w:r w:rsidRPr="0067054C">
        <w:fldChar w:fldCharType="end"/>
      </w:r>
      <w:r w:rsidRPr="0067054C">
        <w:rPr>
          <w:bCs/>
        </w:rPr>
        <w:t xml:space="preserve">. DBH is not a good predictor of dry mass </w:t>
      </w:r>
      <w:r w:rsidRPr="0067054C">
        <w:t xml:space="preserve">for arid countries, such as Qatar, where trees branch low to the ground and form multi-stemmed, bushy growths </w:t>
      </w:r>
      <w:r w:rsidRPr="0067054C">
        <w:fldChar w:fldCharType="begin" w:fldLock="1"/>
      </w:r>
      <w:r w:rsidRPr="0067054C">
        <w:instrText>ADDIN CSL_CITATION {"citationItems":[{"id":"ITEM-1","itemData":{"DOI":"10.1071/BT96075","ISBN":"0067-1924","ISSN":"0067-1924","abstract":"A procedure is described for obtaining allometric relationships between stem diameter and aboveground biomass for multi-stemmed trees of the mangroves Rhizophora stylosa and Avicennia marina . The procedure treats each stem as discrete tree that shares a proportion of the butt and other elements common to all stems. Linear log-log relationships were obtained between stem diameter and the dry weights of each aboveground component. Allometric relationships between stem diameter and total aboveground biomass were similar to those for single-stemmed trees in NE Australia, but multi-stemmed trees on the west coast had much greater proportion of their biomass in the form of prop roots than single-stemmed trees of comparable stem diameter on the NE coast. This is attributed to the arid environment on the NW coast of Australia.","author":[{"dropping-particle":"","family":"Clough","given":"B F","non-dropping-particle":"","parse-names":false,"suffix":""},{"dropping-particle":"","family":"Dixon","given":"P","non-dropping-particle":"","parse-names":false,"suffix":""},{"dropping-particle":"","family":"Dalhaus","given":"O","non-dropping-particle":"","parse-names":false,"suffix":""}],"container-title":"Australian Journal of Botany","id":"ITEM-1","issue":"6","issued":{"date-parts":[["1997"]]},"page":"1023-1031","title":"Allometric Relationships for Estimating Biomass in Multi-stemmed Mangrove Trees","type":"article-journal","volume":"45"},"uris":["http://www.mendeley.com/documents/?uuid=a16823f6-f60c-3707-a156-09647f145e15"]}],"mendeley":{"formattedCitation":"(Clough et al., 1997)","plainTextFormattedCitation":"(Clough et al., 1997)","previouslyFormattedCitation":"(Clough et al., 1997)"},"properties":{"noteIndex":0},"schema":"https://github.com/citation-style-language/schema/raw/master/csl-citation.json"}</w:instrText>
      </w:r>
      <w:r w:rsidRPr="0067054C">
        <w:fldChar w:fldCharType="separate"/>
      </w:r>
      <w:r w:rsidRPr="0067054C">
        <w:rPr>
          <w:noProof/>
        </w:rPr>
        <w:t>(Clough et al., 1997)</w:t>
      </w:r>
      <w:r w:rsidRPr="0067054C">
        <w:fldChar w:fldCharType="end"/>
      </w:r>
      <w:r w:rsidRPr="0067054C">
        <w:t xml:space="preserve">. Here, tree crown diameter (CD) and tree height were used instead of DBH for biomass and carbon allometry analysis (see below), as used by Woodroffe et al. (1985) and </w:t>
      </w:r>
      <w:proofErr w:type="spellStart"/>
      <w:r w:rsidRPr="0067054C">
        <w:t>Parvaresh</w:t>
      </w:r>
      <w:proofErr w:type="spellEnd"/>
      <w:r w:rsidRPr="0067054C">
        <w:t xml:space="preserve"> et al. (2012)  for multi-stemmed trees </w:t>
      </w:r>
      <w:r w:rsidRPr="0067054C">
        <w:fldChar w:fldCharType="begin" w:fldLock="1"/>
      </w:r>
      <w:r w:rsidRPr="0067054C">
        <w:instrText>ADDIN CSL_CITATION {"citationItems":[{"id":"ITEM-1","itemData":{"DOI":"10.1071/BT96075","ISBN":"0067-1924","ISSN":"0067-1924","abstract":"A procedure is described for obtaining allometric relationships between stem diameter and aboveground biomass for multi-stemmed trees of the mangroves Rhizophora stylosa and Avicennia marina . The procedure treats each stem as discrete tree that shares a proportion of the butt and other elements common to all stems. Linear log-log relationships were obtained between stem diameter and the dry weights of each aboveground component. Allometric relationships between stem diameter and total aboveground biomass were similar to those for single-stemmed trees in NE Australia, but multi-stemmed trees on the west coast had much greater proportion of their biomass in the form of prop roots than single-stemmed trees of comparable stem diameter on the NE coast. This is attributed to the arid environment on the NW coast of Australia.","author":[{"dropping-particle":"","family":"Clough","given":"B F","non-dropping-particle":"","parse-names":false,"suffix":""},{"dropping-particle":"","family":"Dixon","given":"P","non-dropping-particle":"","parse-names":false,"suffix":""},{"dropping-particle":"","family":"Dalhaus","given":"O","non-dropping-particle":"","parse-names":false,"suffix":""}],"container-title":"Australian Journal of Botany","id":"ITEM-1","issue":"6","issued":{"date-parts":[["1997"]]},"page":"1023-1031","title":"Allometric Relationships for Estimating Biomass in Multi-stemmed Mangrove Trees","type":"article-journal","volume":"45"},"uris":["http://www.mendeley.com/documents/?uuid=a16823f6-f60c-3707-a156-09647f145e15"]}],"mendeley":{"formattedCitation":"(Clough et al., 1997)","plainTextFormattedCitation":"(Clough et al., 1997)","previouslyFormattedCitation":"(Clough et al., 1997)"},"properties":{"noteIndex":0},"schema":"https://github.com/citation-style-language/schema/raw/master/csl-citation.json"}</w:instrText>
      </w:r>
      <w:r w:rsidRPr="0067054C">
        <w:fldChar w:fldCharType="separate"/>
      </w:r>
      <w:r w:rsidRPr="0067054C">
        <w:rPr>
          <w:noProof/>
        </w:rPr>
        <w:t>(Clough et al., 1997)</w:t>
      </w:r>
      <w:r w:rsidRPr="0067054C">
        <w:fldChar w:fldCharType="end"/>
      </w:r>
      <w:r w:rsidRPr="0067054C">
        <w:t xml:space="preserve">. All trees in each plot were measured for height, the diameter across the widest part of the canopy (Crown Length: CL) and the canopy diameter perpendicular to CL (Crown Width: CW). Crown Diameter (CD) was calculated as (CL + CW)/2. Below ground, the mass of large roots (&gt;20 mm diameter) </w:t>
      </w:r>
      <w:proofErr w:type="gramStart"/>
      <w:r w:rsidRPr="0067054C">
        <w:t>were</w:t>
      </w:r>
      <w:proofErr w:type="gramEnd"/>
      <w:r w:rsidRPr="0067054C">
        <w:t xml:space="preserve"> estimated after establishing allometric equations (see below). The mass of fine roots (1-20 mm) </w:t>
      </w:r>
      <w:r w:rsidRPr="0067054C">
        <w:fldChar w:fldCharType="begin" w:fldLock="1"/>
      </w:r>
      <w:r w:rsidRPr="0067054C">
        <w:instrText>ADDIN CSL_CITATION {"citationItems":[{"id":"ITEM-1","itemData":{"DOI":"10.1007/s10021-002-0191-8","ISBN":"1432-9840","ISSN":"14329840","abstract":"The objective of this study was to quantify spatial patterns in above- and belowground biomass, primary productivity, and growth efficiency along a tidal gradient in a 4700-ha mangrove forest in the Dominican Republic. We tested the hypothesis that spatial patterns of forest structure and growth following 50 years of development were associated with variations in the soil environment across the tidal gradient. Twenty-three plots were monitored from 1994 to 1998. Aboveground biomass and biomass accumulation were estimated by applying allometric regression equations derived from dimension analysis of trees harvested at our study site. Soil porewater salinity ranged from 5 to 38 g . kg(-1) across the tidal gradient, and most measurements of forest biomass and productivity were inversely related to salinity. Mean standing biomass (233 +/- 16.0 Mg . ha(-1); range, 123.5-383.5), biomass increment (9.7 +/- 1.0 Mg . ha(-1) y(-1); range, 3.7-18.1), annual litterfall rates (11.4 Mg . ha(-1) yr(-1); range, 10.2-12.8), leaf area index (LAI) (4.4 m(2) . m(-2); range, 2.9-5.6), aboveground net primary productivity (ANPP) (19.7 Mg . ha(-1) y(-1); range, 15.6-25.0), and growth efficiency (1.6 +/- 0.2 kg . ha(-1) y(-1); range, 1.0-3.6) all showed an inverse linear relationship with salinity. Fine-root biomass (less than or equal to 2 mm) (9.7 +/- 1.2 Mg . ha(-1); range, 2.7-13.8) showed a weak tendency to increase with salinity, and the ratio of root to aboveground biomass increased strongly with salinity. Our results suggest that physiological stresses associated with salinity, or with some combination of salinity and other covarying soil factors, control forest structure and growth along the tidal gradient. The higher allocation of carbon to belowground resources in more saline sites apparently contributed to reductions in ANPP along the tidal gradient.","author":[{"dropping-particle":"","family":"Sherman","given":"Ruth E.","non-dropping-particle":"","parse-names":false,"suffix":""},{"dropping-particle":"","family":"Fahey","given":"Timothy J.","non-dropping-particle":"","parse-names":false,"suffix":""},{"dropping-particle":"","family":"Martinez","given":"Pedro","non-dropping-particle":"","parse-names":false,"suffix":""}],"container-title":"Ecosystems","id":"ITEM-1","issue":"4","issued":{"date-parts":[["2003"]]},"page":"384-398","title":"Spatial Patterns of Biomass and Aboveground Net Primary Productivity in a Mangrove Ecosystem in the Dominican Republic","type":"article-journal","volume":"6"},"uris":["http://www.mendeley.com/documents/?uuid=f02db92d-3381-445b-b85c-d65205a65215"]}],"mendeley":{"formattedCitation":"(Sherman et al., 2003)","plainTextFormattedCitation":"(Sherman et al., 2003)","previouslyFormattedCitation":"(Sherman et al., 2003)"},"properties":{"noteIndex":0},"schema":"https://github.com/citation-style-language/schema/raw/master/csl-citation.json"}</w:instrText>
      </w:r>
      <w:r w:rsidRPr="0067054C">
        <w:fldChar w:fldCharType="separate"/>
      </w:r>
      <w:r w:rsidRPr="0067054C">
        <w:rPr>
          <w:noProof/>
        </w:rPr>
        <w:t>(Sherman et al., 2003)</w:t>
      </w:r>
      <w:r w:rsidRPr="0067054C">
        <w:fldChar w:fldCharType="end"/>
      </w:r>
      <w:r w:rsidRPr="0067054C">
        <w:t xml:space="preserve"> was sampled using four 4.5 </w:t>
      </w:r>
      <w:r w:rsidRPr="0067054C">
        <w:lastRenderedPageBreak/>
        <w:t xml:space="preserve">cm diameter 60 cm deep cores per plot </w:t>
      </w:r>
      <w:r w:rsidRPr="0067054C">
        <w:fldChar w:fldCharType="begin" w:fldLock="1"/>
      </w:r>
      <w:r w:rsidRPr="0067054C">
        <w:instrText>ADDIN CSL_CITATION {"citationItems":[{"id":"ITEM-1","itemData":{"DOI":"10.1016/S0304-3770(00)00110-8","ISBN":"0304-3770","ISSN":"0304-3770","abstract":"Differences in biogeochemical characteristics between three Rhizophora stylosa and three Avicennia marina forests were examined in different coastal settings of and Western Australia. Decomposition rates of sediment organic matter correlated with temperature, but did not differ significantly between Rhizophora (range: 46.5-52.9 mmol C m(-2) per day) and Avicennia (range: 28.5-48.3 mmol C m(-2) per day) forests. There were, however, clear differences in the dominance of specific carbon oxidation pathways between forest types. Rates of sulfate reduction were significantly greater in the Rhizophora (range: 12.9-28.2 mmol S m(-2) per day) than in the Avicennia (range: 2.1-8.5 mmol S m(-2) per day) forests, accounting for 54-100 and 20-55% of total mineralization rates in both forest types, respectively. Sulfate reduction rates correlated significantly with live root biomass, above-ground biomass and forest net primary production. Rates of oxic respiration were, on average, greater in the Avicennia forests (range: 12.7-37.4 mmol m(-2) per day). Oxic respiration appeared to be a minor decomposition pathway in two of the three Rhizophora forests (range: 0.0-23.1 mmol m(-2) per day). It was estimated that, on average, 50% (Avicennia) to 87% (Rhizophora) of total oxygen uptake was consumed in oxidation of reduced metabolites. Methanogenesis was not detected in any of the forests, and Mn and Fe reduction were minor carbon oxidation pathways. Rates of dissolved nitrogen and phosphorus regeneration across the sediment-water interface were slow when measurable. The percentage ratios of total sediment respiration to forest net primary production (T-COX/NPP) were low, ranging among forests between 3 and 7%. Although there may be some carbon loss via tidal export, the low T-COX/NPP ratios suggest slow rates of organic matter decomposition in relation to tree productivity. A large, slowly decomposing, pool of wood and other plant detritus may be an adaptive response, as in other tropical forests, to enhance ecosystem stability and conserve essential nutrients. (C) 2000 Elsevier Science B.V. All rights reserved.","author":[{"dropping-particle":"","family":"Alongi","given":"D M","non-dropping-particle":"","parse-names":false,"suffix":""},{"dropping-particle":"","family":"Tirendi","given":"F","non-dropping-particle":"","parse-names":false,"suffix":""},{"dropping-particle":"","family":"Clough","given":"B F","non-dropping-particle":"","parse-names":false,"suffix":""}],"container-title":"Aquatic Botany","id":"ITEM-1","issue":"2","issued":{"date-parts":[["2000"]]},"page":"97-122","title":"Below-ground decomposition of organic matter in forests of the mangroves Rhizophora stylosa and Avicennia marina along the arid coast of Western Australia","type":"article-journal","volume":"68"},"uris":["http://www.mendeley.com/documents/?uuid=5e0b2708-d495-3968-916d-b5ce264a6da3"]}],"mendeley":{"formattedCitation":"(Alongi et al., 2000)","plainTextFormattedCitation":"(Alongi et al., 2000)","previouslyFormattedCitation":"(Alongi et al., 2000)"},"properties":{"noteIndex":0},"schema":"https://github.com/citation-style-language/schema/raw/master/csl-citation.json"}</w:instrText>
      </w:r>
      <w:r w:rsidRPr="0067054C">
        <w:fldChar w:fldCharType="separate"/>
      </w:r>
      <w:r w:rsidRPr="0067054C">
        <w:rPr>
          <w:noProof/>
        </w:rPr>
        <w:t>(Alongi et al., 2000)</w:t>
      </w:r>
      <w:r w:rsidRPr="0067054C">
        <w:fldChar w:fldCharType="end"/>
      </w:r>
      <w:r w:rsidRPr="0067054C">
        <w:t xml:space="preserve">. Soil depth profile throughout the sites comprised an organic rich fine-root layer (ranging from 0 to &lt;20 cm depth), below which was a homogenous soil layer to bedrock. The fine-root layer was a clearly visible horizon. The depth of the fine-root layer was measured in four cores per plot. The contents of all cores were washed and sieved to 1 mm and all fine root material was dried to constant weight (60 </w:t>
      </w:r>
      <w:proofErr w:type="spellStart"/>
      <w:r w:rsidRPr="0067054C">
        <w:rPr>
          <w:vertAlign w:val="superscript"/>
        </w:rPr>
        <w:t>o</w:t>
      </w:r>
      <w:r w:rsidRPr="0067054C">
        <w:t>C</w:t>
      </w:r>
      <w:proofErr w:type="spellEnd"/>
      <w:r w:rsidRPr="0067054C">
        <w:t xml:space="preserve"> for 48 hours). Soil depth was observed at each plot by inserting a steel pole to the bedrock. To estimate dry bulk density (DBD) and organic carbon content, a hole was dug and two 5.5 cm diameter 3 cm deep cores were inserted horizontally into the soil, one to represent the fine root layer at &lt;20 cm depth, the other at &gt;30 cm depth </w:t>
      </w:r>
      <w:r w:rsidRPr="0067054C">
        <w:fldChar w:fldCharType="begin" w:fldLock="1"/>
      </w:r>
      <w:r w:rsidRPr="0067054C">
        <w:instrText>ADDIN CSL_CITATION {"citationItems":[{"id":"ITEM-1","itemData":{"DOI":"10.1007/s11273-014-9379-x","ISBN":"0923-4861","ISSN":"15729834","PMID":"24405426","abstract":"The Sundarbans (21830 0 –22830 0 N and 89800 0 –89855 0 E) is the largest mangrove forest in the world. Forests are very important for sequester-ing atmospheric carbon and mangroves are amongst the most efficient in carbon sequestration. This study presents the estimation of ecosystem carbon (above-and belowground) stock in the Sundarbans using a large scale data sets collected from systematic grid samples throughout the forest. The variation of carbon stock in different vegetation types and in different salinity zones in Sundarbans was investigated. The relationships between carbon stock and different vegetation functional attributes (basal area, mean tree height, crown coverage etc.) were also investigated. The amount of carbon stored varied significantly among vegetation types, salinity zones and vegetation functional attributes (P \\ 0.05). Sundri (Heritiera fomes) dominated forest types store more ecosystem carbon (360.1 ± 22.71 Mg C ha -1) than other vege-tation types. The fresh water zone shows the highest ecosystem carbon stock (336.09 ± 14.74 Mg C ha -1) followed by moderate and strong salinity zones. Salinity was found to enhance belowground carbon stock as revealed by the lowest proportion of below-ground carbon stock (57.2 %) with respect to ecosys-tem carbon in fresh water zone and by the highest (71.9 %) in strong salinity zone. The results also reveal that no matter whether the mangroves are tall or dwarf, a significant amount of carbon is stored into the sediment. The vegetation attributes (basal area and mean tree height) of the dominant mangrove species in each vegetation type were identified as the key indicator of ecosystem carbon stock. We recom-mended some generalized regression equations to predict ecosystem carbon stock from basal area or mean tree height.","author":[{"dropping-particle":"","family":"Mizanur Rahman","given":"Md.","non-dropping-particle":"","parse-names":false,"suffix":""},{"dropping-particle":"","family":"Nabiul Islam Khan","given":"Md.","non-dropping-particle":"","parse-names":false,"suffix":""},{"dropping-particle":"","family":"Fazlul Hoque","given":"A. K.","non-dropping-particle":"","parse-names":false,"suffix":""},{"dropping-particle":"","family":"Ahmed","given":"Imran","non-dropping-particle":"","parse-names":false,"suffix":""}],"container-title":"Wetlands Ecology and Management","id":"ITEM-1","issue":"2","issued":{"date-parts":[["2015","4","29"]]},"page":"269-283","publisher":"Springer Netherlands","title":"Carbon stock in the Sundarbans mangrove forest: spatial variations in vegetation types and salinity zones","type":"article-journal","volume":"23"},"uris":["http://www.mendeley.com/documents/?uuid=ccf6e5e0-1c00-4eb2-9b10-023e3e3ece0c"]}],"mendeley":{"formattedCitation":"(Mizanur Rahman et al., 2015)","plainTextFormattedCitation":"(Mizanur Rahman et al., 2015)","previouslyFormattedCitation":"(Mizanur Rahman et al., 2015)"},"properties":{"noteIndex":0},"schema":"https://github.com/citation-style-language/schema/raw/master/csl-citation.json"}</w:instrText>
      </w:r>
      <w:r w:rsidRPr="0067054C">
        <w:fldChar w:fldCharType="separate"/>
      </w:r>
      <w:r w:rsidRPr="0067054C">
        <w:rPr>
          <w:noProof/>
        </w:rPr>
        <w:t>(Mizanur Rahman et al., 2015)</w:t>
      </w:r>
      <w:r w:rsidRPr="0067054C">
        <w:fldChar w:fldCharType="end"/>
      </w:r>
      <w:r w:rsidRPr="0067054C">
        <w:t xml:space="preserve"> (</w:t>
      </w:r>
      <w:r w:rsidRPr="00C24B80">
        <w:t>Figure A</w:t>
      </w:r>
      <w:r>
        <w:t>3</w:t>
      </w:r>
      <w:r w:rsidRPr="0067054C">
        <w:t>). Rather than sampling the whole depth range of the soil, subsamples were taken to represent a particular depth range as this strategy has been found to be adequate for mangroves where carbon content generally changes slowly with depth (Kauffman &amp; Donato 2012). Samples were dried to constant weight at 60</w:t>
      </w:r>
      <w:r w:rsidRPr="0067054C">
        <w:rPr>
          <w:vertAlign w:val="superscript"/>
        </w:rPr>
        <w:t>o</w:t>
      </w:r>
      <w:r w:rsidRPr="0067054C">
        <w:t>C for 48 hours and weighed to obtain DBD. Soil organic matter content was determined by loss on ignition (LOI)</w:t>
      </w:r>
      <w:r>
        <w:t xml:space="preserve"> where samples were placed in a blast furnace at 400</w:t>
      </w:r>
      <w:r w:rsidRPr="00CE15EA">
        <w:rPr>
          <w:vertAlign w:val="superscript"/>
        </w:rPr>
        <w:t>o</w:t>
      </w:r>
      <w:r>
        <w:t>C for 16 hours</w:t>
      </w:r>
      <w:r w:rsidRPr="0067054C">
        <w:t xml:space="preserve"> </w:t>
      </w:r>
      <w:r w:rsidRPr="0067054C">
        <w:fldChar w:fldCharType="begin" w:fldLock="1"/>
      </w:r>
      <w:r w:rsidRPr="0067054C">
        <w:instrText>ADDIN CSL_CITATION {"citationItems":[{"id":"ITEM-1","itemData":{"DOI":"10.17528/cifor/003749","ISBN":"978-1-4020-4948-4","ISSN":"14624605","PMID":"17900368","abstract":"This report describes the approaches necessary for the measurement, monitoring and reporting of structure, biomass and carbon stocks in mangrove forests. Mangroves are coastal ecosystems providing numerous ecosystem services affecting both marine and terrestrial resources. In addition, they contain substantial carbon stocks and, due to high rates of deforestation, are significant sources of carbon emissions. Because of their value as carbon stocks and sinks and their numerous other benefits, mangroves could be excellent candidates for carbon mitigation programmes including Reducing Emissions from Deforestation and Forest Degradation, and Enhancing Forest Carbon Stocks in Developing Countries (REDD+). This publication outlines biologically relevant and statistically valid approaches to the efficient and accurate assessment of ecosystem structure, biomass and carbon stocks of mangrove forests","author":[{"dropping-particle":"","family":"Kauffman","given":"Jb","non-dropping-particle":"","parse-names":false,"suffix":""},{"dropping-particle":"","family":"Donato","given":"Dc","non-dropping-particle":"","parse-names":false,"suffix":""}],"container-title":"Center for International Forestry","id":"ITEM-1","issued":{"date-parts":[["2012"]]},"number-of-pages":"11","publisher-place":"Bogor, Indonesia.","title":"Protocols for the measurement, monitoring and reporting of structure, biomass and carbon stocks in mangrove forests","type":"report","volume":"Working pa"},"uris":["http://www.mendeley.com/documents/?uuid=457549ae-d4d9-4913-9057-a89dc9875f73"]}],"mendeley":{"formattedCitation":"(Kauffman and Donato, 2012)","plainTextFormattedCitation":"(Kauffman and Donato, 2012)","previouslyFormattedCitation":"(Kauffman and Donato, 2012)"},"properties":{"noteIndex":0},"schema":"https://github.com/citation-style-language/schema/raw/master/csl-citation.json"}</w:instrText>
      </w:r>
      <w:r w:rsidRPr="0067054C">
        <w:fldChar w:fldCharType="separate"/>
      </w:r>
      <w:r w:rsidRPr="0067054C">
        <w:rPr>
          <w:noProof/>
        </w:rPr>
        <w:t>(Kauffman and Donato, 2012)</w:t>
      </w:r>
      <w:r w:rsidRPr="0067054C">
        <w:fldChar w:fldCharType="end"/>
      </w:r>
      <w:r w:rsidRPr="0067054C">
        <w:t xml:space="preserve"> and converted to organic soil carbon content (hereafter referred to as soil C as </w:t>
      </w:r>
      <w:proofErr w:type="spellStart"/>
      <w:r w:rsidRPr="0067054C">
        <w:t>wt</w:t>
      </w:r>
      <w:proofErr w:type="spellEnd"/>
      <w:r w:rsidRPr="0067054C">
        <w:t>%) using a recently published conversion equation (0.21LOI</w:t>
      </w:r>
      <w:r w:rsidRPr="0067054C">
        <w:rPr>
          <w:vertAlign w:val="superscript"/>
        </w:rPr>
        <w:t>1.12</w:t>
      </w:r>
      <w:r w:rsidRPr="0067054C">
        <w:t>, R</w:t>
      </w:r>
      <w:r w:rsidRPr="0067054C">
        <w:rPr>
          <w:vertAlign w:val="superscript"/>
        </w:rPr>
        <w:t>2</w:t>
      </w:r>
      <w:r w:rsidRPr="0067054C">
        <w:t xml:space="preserve"> = 0.86) </w:t>
      </w:r>
      <w:r w:rsidRPr="0067054C">
        <w:fldChar w:fldCharType="begin" w:fldLock="1"/>
      </w:r>
      <w:r w:rsidRPr="0067054C">
        <w:instrText>ADDIN CSL_CITATION {"citationItems":[{"id":"ITEM-1","itemData":{"DOI":"10.1038/s41467-019-14120-2","ISSN":"20411723","abstract":"Tidal wetlands are global hotspots of carbon storage but errors exist with current estimates on their carbon density due to the use of factors estimated from other habitats for converting loss-on-ignition (LOI) to organic carbon (OC); and the omission of certain significant carbon pools. Here we show that the widely used conversion factor (LOI/OC = 1.724) is significantly lower than our measurements for saltmarsh sediments (1.92 ± 0.01) and oversimplifies the polynomial relationship between sediment OC and LOI for mangrove forests. Global mangrove OC stock in the top-meter sediment reaches 1.93 Pg when corrected for this bias, and is 20% lower than the previous estimates. Ecosystem carbon stock (living and dead biomass, sediment OC and inorganic carbon) is estimated at 3.7–6.2 Pg. Mangrove deforestation leads to carbon emission rates at 23.5–38.7 Tg yr−1 after 2000. Mangrove sediment OC stock has previously been over-estimated while ecosystem carbon stock underestimated.","author":[{"dropping-particle":"","family":"Ouyang","given":"Xiaoguang","non-dropping-particle":"","parse-names":false,"suffix":""},{"dropping-particle":"","family":"Lee","given":"Shing Yip","non-dropping-particle":"","parse-names":false,"suffix":""}],"container-title":"Nature Communications","id":"ITEM-1","issue":"1","issued":{"date-parts":[["2020"]]},"title":"Improved estimates on global carbon stock and carbon pools in tidal wetlands","type":"article-journal","volume":"11"},"uris":["http://www.mendeley.com/documents/?uuid=cbb7014f-89e5-491e-9d16-ddb7c750d829"]}],"mendeley":{"formattedCitation":"(Ouyang and Lee, 2020)","plainTextFormattedCitation":"(Ouyang and Lee, 2020)","previouslyFormattedCitation":"(Ouyang and Lee, 2020)"},"properties":{"noteIndex":0},"schema":"https://github.com/citation-style-language/schema/raw/master/csl-citation.json"}</w:instrText>
      </w:r>
      <w:r w:rsidRPr="0067054C">
        <w:fldChar w:fldCharType="separate"/>
      </w:r>
      <w:r w:rsidRPr="0067054C">
        <w:rPr>
          <w:noProof/>
        </w:rPr>
        <w:t>(Ouyang and Lee, 2020)</w:t>
      </w:r>
      <w:r w:rsidRPr="0067054C">
        <w:fldChar w:fldCharType="end"/>
      </w:r>
      <w:r w:rsidRPr="0067054C">
        <w:t>, which used 844 data points from 53 countries and included data from arid mangrove settings including the adjacent United Arab Emirates. Soil C density (mg C cm</w:t>
      </w:r>
      <w:r w:rsidRPr="0067054C">
        <w:rPr>
          <w:vertAlign w:val="superscript"/>
        </w:rPr>
        <w:t>-3</w:t>
      </w:r>
      <w:r w:rsidRPr="0067054C">
        <w:t>) was calculated as (DBD (g cm</w:t>
      </w:r>
      <w:r w:rsidRPr="0067054C">
        <w:rPr>
          <w:vertAlign w:val="superscript"/>
        </w:rPr>
        <w:t>-3</w:t>
      </w:r>
      <w:r w:rsidRPr="0067054C">
        <w:t xml:space="preserve">) x (%C/100)) x 1000. </w:t>
      </w:r>
    </w:p>
    <w:p w14:paraId="121B1F42" w14:textId="77777777" w:rsidR="009C75D7" w:rsidRPr="0067054C" w:rsidRDefault="009C75D7" w:rsidP="009C75D7">
      <w:pPr>
        <w:spacing w:line="480" w:lineRule="auto"/>
      </w:pPr>
    </w:p>
    <w:p w14:paraId="358AEA90" w14:textId="4C264CB2" w:rsidR="009C75D7" w:rsidRPr="00CA5D7E" w:rsidRDefault="009C75D7" w:rsidP="009C75D7">
      <w:pPr>
        <w:pStyle w:val="Heading3"/>
        <w:rPr>
          <w:rFonts w:asciiTheme="minorHAnsi" w:hAnsiTheme="minorHAnsi" w:cstheme="minorHAnsi"/>
          <w:b/>
          <w:bCs/>
          <w:color w:val="auto"/>
          <w:lang w:val="en-GB"/>
        </w:rPr>
      </w:pPr>
      <w:bookmarkStart w:id="44" w:name="_Toc120622133"/>
      <w:r>
        <w:rPr>
          <w:rFonts w:asciiTheme="minorHAnsi" w:hAnsiTheme="minorHAnsi" w:cstheme="minorHAnsi"/>
          <w:b/>
          <w:bCs/>
          <w:color w:val="auto"/>
          <w:lang w:val="en-GB"/>
        </w:rPr>
        <w:t>4.3.4</w:t>
      </w:r>
      <w:r>
        <w:rPr>
          <w:rFonts w:asciiTheme="minorHAnsi" w:hAnsiTheme="minorHAnsi" w:cstheme="minorHAnsi"/>
          <w:b/>
          <w:bCs/>
          <w:color w:val="auto"/>
          <w:lang w:val="en-GB"/>
        </w:rPr>
        <w:tab/>
      </w:r>
      <w:r w:rsidRPr="00CA5D7E">
        <w:rPr>
          <w:rFonts w:asciiTheme="minorHAnsi" w:hAnsiTheme="minorHAnsi" w:cstheme="minorHAnsi"/>
          <w:b/>
          <w:bCs/>
          <w:color w:val="auto"/>
          <w:lang w:val="en-GB"/>
        </w:rPr>
        <w:t>Tree excavation to establish allometric equations</w:t>
      </w:r>
      <w:bookmarkEnd w:id="44"/>
    </w:p>
    <w:p w14:paraId="2D556A02" w14:textId="38A04E04" w:rsidR="009C75D7" w:rsidRPr="0067054C" w:rsidRDefault="009C75D7" w:rsidP="009C75D7">
      <w:pPr>
        <w:spacing w:line="480" w:lineRule="auto"/>
      </w:pPr>
      <w:r w:rsidRPr="0067054C">
        <w:t xml:space="preserve">Allometric relationships were established using 17 excavated trees designated for destruction by a coastal infrastructure project located in a bay 70 km south of the study </w:t>
      </w:r>
      <w:r w:rsidRPr="0067054C">
        <w:lastRenderedPageBreak/>
        <w:t>sites (N 25.027395</w:t>
      </w:r>
      <w:r w:rsidRPr="0067054C">
        <w:rPr>
          <w:vertAlign w:val="superscript"/>
        </w:rPr>
        <w:t>o</w:t>
      </w:r>
      <w:r w:rsidRPr="0067054C">
        <w:t>, E 51.614390</w:t>
      </w:r>
      <w:r w:rsidRPr="0067054C">
        <w:rPr>
          <w:vertAlign w:val="superscript"/>
        </w:rPr>
        <w:t>o</w:t>
      </w:r>
      <w:r w:rsidRPr="0067054C">
        <w:t xml:space="preserve">). These mangroves were in a similar habitat to the study sites: sandy sediment and located adjacent to saltmarshes and seagrass beds. Isolated trees were selected to ensure that cable root material around the tree only originated from that tree </w:t>
      </w:r>
      <w:r w:rsidRPr="0067054C">
        <w:fldChar w:fldCharType="begin" w:fldLock="1"/>
      </w:r>
      <w:r w:rsidRPr="0067054C">
        <w:instrText>ADDIN CSL_CITATION {"citationItems":[{"id":"ITEM-1","itemData":{"DOI":"10.1023/A:1009959909208","ISBN":"1386-3509, 1386-3509","ISSN":"13863509","abstract":"Above-ground and below-ground root biomasses (B(above) and B(root)) were measured for young, isolated Rhizophora stylosa on Iriomote Island, Japan. The relationship between these two parameters was significant and given as the equation, B(root) (g dry weight) = 0.394 x B(above) (g dry weight) - 485 (r = 0.986). Multiple regression analyses also revealed good correlation between diameter and biomass of prop roots (D(prop) and B(prop)) and between prop root and root biomasses. Consequently, root biomass could be estimated from the measurements of diameter and biomass of prop roots using the multiple regression equation, B(root) (g dry weight) = 80.0 x D(prop) (cm) + 0.86 x B(prop) (g dry weight) - 251. The relationship between DBH (diameter at breast height) and prop root biomass was also adequately described using an allometric equation. In Hinchinbrook Channel, Australia, redox potential (measured as Eh) and organic carbon stocks in the top 5 cm of mangrove sediments were measured along a 600 m transect from the frequently inundated, Rhizophora dominated zone on the creek edge, towards higher grounds, where Ceriops spp. became increasingly dominant. Eh values were about -60 mV near the creek edge and increased to 260 mV on higher grounds. Organic carbon stocks showed an opposite trend to Eh, with the values decreasing from about 360 t C ha-1 to 160 t C ha-1. At 18 sites, representing six different habitats, organic carbon stocks were also measured along with the DBH of mangrove trees. DBH was converted into above-ground biomass and then into root biomass using the equations obtained in the study on Iriomote Island. The average organic carbon stocks in the top 50 cm of sediments, above-ground biomass and root biomass were 296 t C ha-1, 123 t C ha-1 and 52 t C ha-1, respectively, and accounted for 64%, 25% and 11% of the total organic carbon stock.","author":[{"dropping-particle":"","family":"Matsui","given":"N.","non-dropping-particle":"","parse-names":false,"suffix":""}],"container-title":"Mangroves and Salt Marshes","id":"ITEM-1","issue":"4","issued":{"date-parts":[["1998"]]},"page":"199-204","title":"Estimated stocks of organic carbon in mangrove roots and sediments in Hinchinbrook Channel, Australia","type":"article-journal","volume":"2"},"uris":["http://www.mendeley.com/documents/?uuid=5cce22bb-355f-309f-b2da-246335a20a0e"]}],"mendeley":{"formattedCitation":"(Matsui, 1998)","plainTextFormattedCitation":"(Matsui, 1998)","previouslyFormattedCitation":"(Matsui, 1998)"},"properties":{"noteIndex":0},"schema":"https://github.com/citation-style-language/schema/raw/master/csl-citation.json"}</w:instrText>
      </w:r>
      <w:r w:rsidRPr="0067054C">
        <w:fldChar w:fldCharType="separate"/>
      </w:r>
      <w:r w:rsidRPr="0067054C">
        <w:rPr>
          <w:noProof/>
        </w:rPr>
        <w:t>(Matsui, 1998)</w:t>
      </w:r>
      <w:r w:rsidRPr="0067054C">
        <w:fldChar w:fldCharType="end"/>
      </w:r>
      <w:r w:rsidRPr="0067054C">
        <w:t xml:space="preserve">. </w:t>
      </w:r>
      <w:r w:rsidR="004C791A">
        <w:t>I</w:t>
      </w:r>
      <w:r w:rsidR="005F0295">
        <w:t xml:space="preserve">t is possible choosing isolated trees may have biased the </w:t>
      </w:r>
      <w:r w:rsidR="009B3262">
        <w:t xml:space="preserve">below ground biomass being recorded. </w:t>
      </w:r>
      <w:r w:rsidR="00BB3B58">
        <w:t xml:space="preserve">It is plausible that isolated trees may have comparatively greater below ground biomass than non-isolated trees due to a lack of competition </w:t>
      </w:r>
      <w:r w:rsidR="001C0A9C">
        <w:t xml:space="preserve">for below ground space. </w:t>
      </w:r>
      <w:r w:rsidR="004C791A">
        <w:t xml:space="preserve">However, </w:t>
      </w:r>
      <w:r w:rsidR="00D04430">
        <w:t xml:space="preserve">it was decided that </w:t>
      </w:r>
      <w:r w:rsidR="00C07074">
        <w:t xml:space="preserve">choosing isolated trees was a better trade off to ensure </w:t>
      </w:r>
      <w:r w:rsidR="00F944DD">
        <w:t xml:space="preserve">all root biomass captured originated from the selected tree. </w:t>
      </w:r>
      <w:r w:rsidRPr="0067054C">
        <w:t xml:space="preserve">Tree height (H), CL and CW were measured prior to excavation. Trees were marked at ground level before excavation to allow later separation of above and below ground biomass. The ground was excavated to 0.5 m depth </w:t>
      </w:r>
      <w:r w:rsidRPr="0067054C">
        <w:fldChar w:fldCharType="begin" w:fldLock="1"/>
      </w:r>
      <w:r w:rsidRPr="0067054C">
        <w:instrText>ADDIN CSL_CITATION {"citationItems":[{"id":"ITEM-1","itemData":{"DOI":"10.1016/S0378-1127(99)00339-4","ISBN":"0378-1127","ISSN":"03781127","abstract":"In southeast Asia, secondary mangrove forests cover a vast area, and the precise estimation of their biomass is necessary for evaluating the carbon stocking pattern in the coastal areas of the tropics. In order to estimate the above-ground biomass of a Ceriops tagal forest, allometric relationships were examined using some variables relating to the stem diameter (DBH, DB) and length (H). The relationship for the stem weight of an individual tree was the most significant when the variable DBH2H was used. Whereas, for the branch and leaf weights the variable DB2(H-HB) gave the best fit. For estimating the root biomass, the method using the horizontal distribution of the root density [Komiyama, A., Ogino, K., Aksornkoae, S., Sabhasri, S., 1987. J. Trop. Ecol. 3, 97-108] was further developed and used. The biomass estimation was carried out for 77 tree stems in a 7 m×10 m area, where C. tagal was dominant and associated with Rhizophora apiculata and Xylocarpus moluccensis. The estimated biomass were 53.35, 23.61, 13.29, 1.99, and 87.51 t ha-1, respectively, for the stem, the branch, the leaf, the prop root, and the below-ground root. In this forest, the root biomass was large enough to give the top/root biomass ratio as low as 1.05. The biomass-allocation pattern of the secondary C. tagal forest and its ecological significance are discussed. © 2000 Elsevier Science B.V. All rights reserved.","author":[{"dropping-particle":"","family":"Komiyama","given":"Akira","non-dropping-particle":"","parse-names":false,"suffix":""},{"dropping-particle":"","family":"Havanond","given":"Sonjai","non-dropping-particle":"","parse-names":false,"suffix":""},{"dropping-particle":"","family":"Srisawatt","given":"Wasant","non-dropping-particle":"","parse-names":false,"suffix":""},{"dropping-particle":"","family":"Mochida","given":"Yukira","non-dropping-particle":"","parse-names":false,"suffix":""},{"dropping-particle":"","family":"Fujimoto","given":"Kiyoshi","non-dropping-particle":"","parse-names":false,"suffix":""},{"dropping-particle":"","family":"Ohnishi","given":"Takahiro","non-dropping-particle":"","parse-names":false,"suffix":""},{"dropping-particle":"","family":"Ishihara","given":"Shuichi","non-dropping-particle":"","parse-names":false,"suffix":""},{"dropping-particle":"","family":"Miyagi","given":"Toyohiko","non-dropping-particle":"","parse-names":false,"suffix":""}],"container-title":"Forest Ecology and Management","id":"ITEM-1","issue":"1-3","issued":{"date-parts":[["2000"]]},"page":"127-134","title":"Top/root biomass ratio of a secondary mangrove (Ceriops tagal (Perr.) C.B. Rob.) forest","type":"article-journal","volume":"139"},"uris":["http://www.mendeley.com/documents/?uuid=a7a043a0-2173-4076-89e7-b49b1623d7f4"]}],"mendeley":{"formattedCitation":"(Komiyama et al., 2000)","plainTextFormattedCitation":"(Komiyama et al., 2000)","previouslyFormattedCitation":"(Komiyama et al., 2000)"},"properties":{"noteIndex":0},"schema":"https://github.com/citation-style-language/schema/raw/master/csl-citation.json"}</w:instrText>
      </w:r>
      <w:r w:rsidRPr="0067054C">
        <w:fldChar w:fldCharType="separate"/>
      </w:r>
      <w:r w:rsidRPr="0067054C">
        <w:rPr>
          <w:noProof/>
        </w:rPr>
        <w:t>(Komiyama et al., 2000)</w:t>
      </w:r>
      <w:r w:rsidRPr="0067054C">
        <w:fldChar w:fldCharType="end"/>
      </w:r>
      <w:r w:rsidRPr="0067054C">
        <w:t xml:space="preserve">, including the area falling below the canopy of each tree, plus 0.5 m radius beyond the edge of the canopy. This method provides a best estimate of below-ground biomass, as the excavation plot is proportional to the canopy size; it is superior to excavating in a constant 2 m radius for all excavated trees, irrespective of tree size </w:t>
      </w:r>
      <w:r w:rsidRPr="0067054C">
        <w:fldChar w:fldCharType="begin" w:fldLock="1"/>
      </w:r>
      <w:r w:rsidRPr="0067054C">
        <w:instrText>ADDIN CSL_CITATION {"citationItems":[{"id":"ITEM-1","itemData":{"DOI":"10.1071/BT04162","ISBN":"0067-1924","ISSN":"00671924","abstract":"Mangrove forests are an integral part of tropical coastal ecosystems, particularly in northern Australia. In the Northern Territory, studies have determined the extent and species diversity of these associations but little is known of biomass or productivity. We sampled the above- and below-ground biomass of the four most abundant species, Avicennia marina, Bruguiera exaristata, Ceriops australis and Rhizophora stylosa, developed allometric relationships and examined partitioning. Unlike many other studies, we sampled below-ground biomass, which constituted a substantial proportion (0.29–0.57) of the total dry weight. Our results should be valuable in modelling potential changes in carbon allocation resulting from small- and large-scale ecosystem changes.","author":[{"dropping-particle":"","family":"Comley","given":"B. W T","non-dropping-particle":"","parse-names":false,"suffix":""},{"dropping-particle":"","family":"McGuinness","given":"K. A.","non-dropping-particle":"","parse-names":false,"suffix":""}],"container-title":"Australian Journal of Botany","id":"ITEM-1","issue":"5","issued":{"date-parts":[["2005"]]},"page":"431-436","title":"Above- and below-ground biomass, and allometry, of four common northern Australian mangroves","type":"article-journal","volume":"53"},"uris":["http://www.mendeley.com/documents/?uuid=d9846ebf-2311-34c8-bdd3-4f6e17651f49"]}],"mendeley":{"formattedCitation":"(Comley and McGuinness, 2005)","plainTextFormattedCitation":"(Comley and McGuinness, 2005)","previouslyFormattedCitation":"(Comley and McGuinness, 2005)"},"properties":{"noteIndex":0},"schema":"https://github.com/citation-style-language/schema/raw/master/csl-citation.json"}</w:instrText>
      </w:r>
      <w:r w:rsidRPr="0067054C">
        <w:fldChar w:fldCharType="separate"/>
      </w:r>
      <w:r w:rsidRPr="0067054C">
        <w:rPr>
          <w:noProof/>
        </w:rPr>
        <w:t>(Comley and McGuinness, 2005)</w:t>
      </w:r>
      <w:r w:rsidRPr="0067054C">
        <w:fldChar w:fldCharType="end"/>
      </w:r>
      <w:r w:rsidRPr="0067054C">
        <w:t>. The mass of removed trees was divided into leaf, branch, stem and below-ground large root materials (&gt;20 mm), and the dry weight of each component was established after drying at 60</w:t>
      </w:r>
      <w:r w:rsidRPr="0067054C">
        <w:rPr>
          <w:vertAlign w:val="superscript"/>
        </w:rPr>
        <w:t>o</w:t>
      </w:r>
      <w:r w:rsidRPr="0067054C">
        <w:t>C for 48 hours.</w:t>
      </w:r>
    </w:p>
    <w:p w14:paraId="40D0A472" w14:textId="77777777" w:rsidR="009C75D7" w:rsidRPr="0067054C" w:rsidRDefault="009C75D7" w:rsidP="009C75D7">
      <w:pPr>
        <w:spacing w:line="480" w:lineRule="auto"/>
      </w:pPr>
    </w:p>
    <w:p w14:paraId="1F417B76" w14:textId="48C21C8D" w:rsidR="009C75D7" w:rsidRPr="000106E7" w:rsidRDefault="009C75D7" w:rsidP="009C75D7">
      <w:pPr>
        <w:pStyle w:val="Heading3"/>
        <w:rPr>
          <w:rFonts w:asciiTheme="minorHAnsi" w:hAnsiTheme="minorHAnsi" w:cstheme="minorHAnsi"/>
          <w:b/>
          <w:bCs/>
          <w:color w:val="auto"/>
          <w:lang w:val="en-GB"/>
        </w:rPr>
      </w:pPr>
      <w:bookmarkStart w:id="45" w:name="_Toc120622134"/>
      <w:r w:rsidRPr="000106E7">
        <w:rPr>
          <w:rFonts w:asciiTheme="minorHAnsi" w:hAnsiTheme="minorHAnsi" w:cstheme="minorHAnsi"/>
          <w:b/>
          <w:bCs/>
          <w:color w:val="auto"/>
          <w:lang w:val="en-GB"/>
        </w:rPr>
        <w:t>4.3.5</w:t>
      </w:r>
      <w:r w:rsidRPr="000106E7">
        <w:rPr>
          <w:rFonts w:asciiTheme="minorHAnsi" w:hAnsiTheme="minorHAnsi" w:cstheme="minorHAnsi"/>
          <w:b/>
          <w:bCs/>
          <w:color w:val="auto"/>
          <w:lang w:val="en-GB"/>
        </w:rPr>
        <w:tab/>
        <w:t>Converting Field Observations into Tree Carbon Stocks</w:t>
      </w:r>
      <w:bookmarkEnd w:id="45"/>
    </w:p>
    <w:p w14:paraId="2E2A33BD" w14:textId="77777777" w:rsidR="009C75D7" w:rsidRPr="0067054C" w:rsidRDefault="009C75D7" w:rsidP="009C75D7">
      <w:pPr>
        <w:spacing w:line="480" w:lineRule="auto"/>
        <w:rPr>
          <w:b/>
          <w:bCs/>
        </w:rPr>
      </w:pPr>
      <w:r w:rsidRPr="0067054C">
        <w:t>The derived allometric equations were used at our study sites to convert CD measurements from plots to mean tree aboveground biomass (AGB) and large root (&gt;20 mm) biomass ha</w:t>
      </w:r>
      <w:r w:rsidRPr="0067054C">
        <w:rPr>
          <w:vertAlign w:val="superscript"/>
        </w:rPr>
        <w:t>-1</w:t>
      </w:r>
      <w:r w:rsidRPr="0067054C">
        <w:t>. Fine-root biomass (1-20 mm) obtained from plot cores was added to the large root biomass to obtain the below</w:t>
      </w:r>
      <w:r>
        <w:t xml:space="preserve"> </w:t>
      </w:r>
      <w:r w:rsidRPr="0067054C">
        <w:t>ground biomass (BGB) per plot. Biomass was converted to above and below</w:t>
      </w:r>
      <w:r>
        <w:t xml:space="preserve"> </w:t>
      </w:r>
      <w:r w:rsidRPr="0067054C">
        <w:t>ground tree carbon (onwards referred to as C</w:t>
      </w:r>
      <w:r w:rsidRPr="0067054C">
        <w:rPr>
          <w:vertAlign w:val="subscript"/>
        </w:rPr>
        <w:t>AG</w:t>
      </w:r>
      <w:r w:rsidRPr="0067054C">
        <w:t xml:space="preserve"> and C</w:t>
      </w:r>
      <w:r w:rsidRPr="0067054C">
        <w:rPr>
          <w:vertAlign w:val="subscript"/>
        </w:rPr>
        <w:t>BG</w:t>
      </w:r>
      <w:r w:rsidRPr="0067054C">
        <w:t xml:space="preserve">) using 48% and 39% carbon </w:t>
      </w:r>
      <w:r w:rsidRPr="0067054C">
        <w:lastRenderedPageBreak/>
        <w:t xml:space="preserve">content conversion, respectively </w:t>
      </w:r>
      <w:r w:rsidRPr="0067054C">
        <w:fldChar w:fldCharType="begin" w:fldLock="1"/>
      </w:r>
      <w:r w:rsidRPr="0067054C">
        <w:instrText>ADDIN CSL_CITATION {"citationItems":[{"id":"ITEM-1","itemData":{"DOI":"10.17528/cifor/003749","ISBN":"978-1-4020-4948-4","ISSN":"14624605","PMID":"17900368","abstract":"This report describes the approaches necessary for the measurement, monitoring and reporting of structure, biomass and carbon stocks in mangrove forests. Mangroves are coastal ecosystems providing numerous ecosystem services affecting both marine and terrestrial resources. In addition, they contain substantial carbon stocks and, due to high rates of deforestation, are significant sources of carbon emissions. Because of their value as carbon stocks and sinks and their numerous other benefits, mangroves could be excellent candidates for carbon mitigation programmes including Reducing Emissions from Deforestation and Forest Degradation, and Enhancing Forest Carbon Stocks in Developing Countries (REDD+). This publication outlines biologically relevant and statistically valid approaches to the efficient and accurate assessment of ecosystem structure, biomass and carbon stocks of mangrove forests","author":[{"dropping-particle":"","family":"Kauffman","given":"Jb","non-dropping-particle":"","parse-names":false,"suffix":""},{"dropping-particle":"","family":"Donato","given":"Dc","non-dropping-particle":"","parse-names":false,"suffix":""}],"container-title":"Center for International Forestry","id":"ITEM-1","issued":{"date-parts":[["2012"]]},"number-of-pages":"11","publisher-place":"Bogor, Indonesia.","title":"Protocols for the measurement, monitoring and reporting of structure, biomass and carbon stocks in mangrove forests","type":"report","volume":"Working pa"},"uris":["http://www.mendeley.com/documents/?uuid=457549ae-d4d9-4913-9057-a89dc9875f73"]}],"mendeley":{"formattedCitation":"(Kauffman and Donato, 2012)","plainTextFormattedCitation":"(Kauffman and Donato, 2012)","previouslyFormattedCitation":"(Kauffman and Donato, 2012)"},"properties":{"noteIndex":0},"schema":"https://github.com/citation-style-language/schema/raw/master/csl-citation.json"}</w:instrText>
      </w:r>
      <w:r w:rsidRPr="0067054C">
        <w:fldChar w:fldCharType="separate"/>
      </w:r>
      <w:r w:rsidRPr="0067054C">
        <w:rPr>
          <w:noProof/>
        </w:rPr>
        <w:t>(Kauffman and Donato, 2012)</w:t>
      </w:r>
      <w:r w:rsidRPr="0067054C">
        <w:fldChar w:fldCharType="end"/>
      </w:r>
      <w:r w:rsidRPr="0067054C">
        <w:t xml:space="preserve">. Measurements of soil C stocks are reported from soil depths that ranged from </w:t>
      </w:r>
      <w:r>
        <w:t>16</w:t>
      </w:r>
      <w:r w:rsidRPr="0067054C">
        <w:t xml:space="preserve">.25 to &gt;200 cm depth. We standardised soil C stocks to </w:t>
      </w:r>
      <w:r>
        <w:t xml:space="preserve">a maximum </w:t>
      </w:r>
      <w:r w:rsidRPr="0067054C">
        <w:t>50 cm depth</w:t>
      </w:r>
      <w:r>
        <w:t xml:space="preserve"> when sites were deeper than 50 cm. When sites were shallower than 50 </w:t>
      </w:r>
      <w:proofErr w:type="gramStart"/>
      <w:r>
        <w:t>cm</w:t>
      </w:r>
      <w:proofErr w:type="gramEnd"/>
      <w:r>
        <w:t xml:space="preserve"> we calculated soil C stocks to bedrock to avoid overestimation of soil C stocks. T</w:t>
      </w:r>
      <w:r w:rsidRPr="0067054C">
        <w:t xml:space="preserve">o make comparisons with other reported stocks in the literature we also calculated stocks to 1 m depth. Out of our 27 soil cores, 15 were at least 50 cm and 7 were &gt;1 m depth. The calculation was made by extrapolating the deeper soil layer to a total soil depth of 50 cm or 1 m by assuming that the deeper root-layer had constant soil properties (BD and %C) from 30 cm depth to 1 m. This method may lead to under or over-estimation of soil C stocks in deeper soils as %C may change with depth </w:t>
      </w:r>
      <w:r w:rsidRPr="0067054C">
        <w:fldChar w:fldCharType="begin" w:fldLock="1"/>
      </w:r>
      <w:r>
        <w:instrText>ADDIN CSL_CITATION {"citationItems":[{"id":"ITEM-1","itemData":{"DOI":"10.17528/cifor/003749","ISBN":"978-1-4020-4948-4","ISSN":"14624605","PMID":"17900368","abstract":"This report describes the approaches necessary for the measurement, monitoring and reporting of structure, biomass and carbon stocks in mangrove forests. Mangroves are coastal ecosystems providing numerous ecosystem services affecting both marine and terrestrial resources. In addition, they contain substantial carbon stocks and, due to high rates of deforestation, are significant sources of carbon emissions. Because of their value as carbon stocks and sinks and their numerous other benefits, mangroves could be excellent candidates for carbon mitigation programmes including Reducing Emissions from Deforestation and Forest Degradation, and Enhancing Forest Carbon Stocks in Developing Countries (REDD+). This publication outlines biologically relevant and statistically valid approaches to the efficient and accurate assessment of ecosystem structure, biomass and carbon stocks of mangrove forests","author":[{"dropping-particle":"","family":"Kauffman","given":"Jb","non-dropping-particle":"","parse-names":false,"suffix":""},{"dropping-particle":"","family":"Donato","given":"Dc","non-dropping-particle":"","parse-names":false,"suffix":""}],"container-title":"Center for International Forestry","id":"ITEM-1","issued":{"date-parts":[["2012"]]},"number-of-pages":"11","publisher-place":"Bogor, Indonesia.","title":"Protocols for the measurement, monitoring and reporting of structure, biomass and carbon stocks in mangrove forests","type":"report","volume":"Working pa"},"uris":["http://www.mendeley.com/documents/?uuid=457549ae-d4d9-4913-9057-a89dc9875f73"]}],"mendeley":{"formattedCitation":"(Kauffman and Donato, 2012)","plainTextFormattedCitation":"(Kauffman and Donato, 2012)","previouslyFormattedCitation":"(Kauffman and Donato, 2012)"},"properties":{"noteIndex":0},"schema":"https://github.com/citation-style-language/schema/raw/master/csl-citation.json"}</w:instrText>
      </w:r>
      <w:r w:rsidRPr="0067054C">
        <w:fldChar w:fldCharType="separate"/>
      </w:r>
      <w:r w:rsidRPr="0067054C">
        <w:rPr>
          <w:noProof/>
        </w:rPr>
        <w:t>(Kauffman and Donato, 2012)</w:t>
      </w:r>
      <w:r w:rsidRPr="0067054C">
        <w:fldChar w:fldCharType="end"/>
      </w:r>
      <w:r w:rsidRPr="0067054C">
        <w:t>.  Soil carbon stocks to 50 cm (C</w:t>
      </w:r>
      <w:r w:rsidRPr="0067054C">
        <w:rPr>
          <w:vertAlign w:val="subscript"/>
        </w:rPr>
        <w:t>50</w:t>
      </w:r>
      <w:r w:rsidRPr="0067054C">
        <w:t>) and 1 m (C</w:t>
      </w:r>
      <w:r w:rsidRPr="0067054C">
        <w:rPr>
          <w:vertAlign w:val="subscript"/>
        </w:rPr>
        <w:t>100</w:t>
      </w:r>
      <w:r w:rsidRPr="0067054C">
        <w:t>) depth for each mangrove plot was calculated as:</w:t>
      </w:r>
    </w:p>
    <w:p w14:paraId="240F9348" w14:textId="77777777" w:rsidR="009C75D7" w:rsidRPr="0067054C" w:rsidRDefault="009C75D7" w:rsidP="009C75D7">
      <w:pPr>
        <w:spacing w:line="480" w:lineRule="auto"/>
        <w:rPr>
          <w:rFonts w:eastAsiaTheme="minorEastAsia"/>
        </w:rPr>
      </w:pPr>
    </w:p>
    <w:p w14:paraId="0491FEC9" w14:textId="77777777" w:rsidR="009C75D7" w:rsidRPr="0067054C" w:rsidRDefault="009C75D7" w:rsidP="009C75D7">
      <w:pPr>
        <w:spacing w:line="480" w:lineRule="auto"/>
        <w:jc w:val="center"/>
        <w:rPr>
          <w:rFonts w:eastAsiaTheme="minorEastAsia"/>
        </w:rPr>
      </w:pPr>
      <w:r w:rsidRPr="0067054C">
        <w:rPr>
          <w:rFonts w:eastAsiaTheme="minorEastAsia"/>
        </w:rPr>
        <w:t>Soil C</w:t>
      </w:r>
      <w:r w:rsidRPr="0067054C">
        <w:rPr>
          <w:rFonts w:eastAsiaTheme="minorEastAsia"/>
          <w:vertAlign w:val="subscript"/>
        </w:rPr>
        <w:t>50</w:t>
      </w:r>
      <w:r w:rsidRPr="0067054C">
        <w:rPr>
          <w:rFonts w:eastAsiaTheme="minorEastAsia"/>
        </w:rPr>
        <w:t xml:space="preserve"> stocks (Mg C ha</w:t>
      </w:r>
      <w:r w:rsidRPr="0067054C">
        <w:rPr>
          <w:rFonts w:eastAsiaTheme="minorEastAsia"/>
          <w:vertAlign w:val="superscript"/>
        </w:rPr>
        <w:t>-1</w:t>
      </w:r>
      <w:r w:rsidRPr="0067054C">
        <w:rPr>
          <w:rFonts w:eastAsiaTheme="minorEastAsia"/>
        </w:rPr>
        <w:t>) = ((Fine-root layer DBD (g cm</w:t>
      </w:r>
      <w:r w:rsidRPr="0067054C">
        <w:rPr>
          <w:rFonts w:eastAsiaTheme="minorEastAsia"/>
          <w:vertAlign w:val="superscript"/>
        </w:rPr>
        <w:t>-3</w:t>
      </w:r>
      <w:r w:rsidRPr="0067054C">
        <w:rPr>
          <w:rFonts w:eastAsiaTheme="minorEastAsia"/>
        </w:rPr>
        <w:t>) x depth (cm) x (%C / 100)) + ((Deeper soil layer DBD (g cm</w:t>
      </w:r>
      <w:r w:rsidRPr="0067054C">
        <w:rPr>
          <w:rFonts w:eastAsiaTheme="minorEastAsia"/>
          <w:vertAlign w:val="superscript"/>
        </w:rPr>
        <w:t>-3</w:t>
      </w:r>
      <w:r w:rsidRPr="0067054C">
        <w:rPr>
          <w:rFonts w:eastAsiaTheme="minorEastAsia"/>
        </w:rPr>
        <w:t xml:space="preserve">) x </w:t>
      </w:r>
      <w:r>
        <w:rPr>
          <w:rFonts w:eastAsiaTheme="minorEastAsia"/>
        </w:rPr>
        <w:t>(</w:t>
      </w:r>
      <w:r w:rsidRPr="0067054C">
        <w:rPr>
          <w:rFonts w:eastAsiaTheme="minorEastAsia"/>
        </w:rPr>
        <w:t>50</w:t>
      </w:r>
      <w:r>
        <w:rPr>
          <w:rFonts w:eastAsiaTheme="minorEastAsia"/>
        </w:rPr>
        <w:t xml:space="preserve"> – Fine-root layer depth)</w:t>
      </w:r>
      <w:r w:rsidRPr="0067054C">
        <w:rPr>
          <w:rFonts w:eastAsiaTheme="minorEastAsia"/>
        </w:rPr>
        <w:t xml:space="preserve"> (cm) x (%C / 100)).     </w:t>
      </w:r>
      <w:r w:rsidRPr="0067054C">
        <w:rPr>
          <w:rFonts w:eastAsiaTheme="minorEastAsia"/>
        </w:rPr>
        <w:fldChar w:fldCharType="begin" w:fldLock="1"/>
      </w:r>
      <w:r w:rsidRPr="0067054C">
        <w:rPr>
          <w:rFonts w:eastAsiaTheme="minorEastAsia"/>
        </w:rPr>
        <w:instrText>ADDIN CSL_CITATION {"citationItems":[{"id":"ITEM-1","itemData":{"DOI":"10.17528/cifor/003749","ISBN":"978-1-4020-4948-4","ISSN":"14624605","PMID":"17900368","abstract":"This report describes the approaches necessary for the measurement, monitoring and reporting of structure, biomass and carbon stocks in mangrove forests. Mangroves are coastal ecosystems providing numerous ecosystem services affecting both marine and terrestrial resources. In addition, they contain substantial carbon stocks and, due to high rates of deforestation, are significant sources of carbon emissions. Because of their value as carbon stocks and sinks and their numerous other benefits, mangroves could be excellent candidates for carbon mitigation programmes including Reducing Emissions from Deforestation and Forest Degradation, and Enhancing Forest Carbon Stocks in Developing Countries (REDD+). This publication outlines biologically relevant and statistically valid approaches to the efficient and accurate assessment of ecosystem structure, biomass and carbon stocks of mangrove forests","author":[{"dropping-particle":"","family":"Kauffman","given":"Jb","non-dropping-particle":"","parse-names":false,"suffix":""},{"dropping-particle":"","family":"Donato","given":"Dc","non-dropping-particle":"","parse-names":false,"suffix":""}],"container-title":"Center for International Forestry","id":"ITEM-1","issued":{"date-parts":[["2012"]]},"number-of-pages":"11","publisher-place":"Bogor, Indonesia.","title":"Protocols for the measurement, monitoring and reporting of structure, biomass and carbon stocks in mangrove forests","type":"report","volume":"Working pa"},"uris":["http://www.mendeley.com/documents/?uuid=457549ae-d4d9-4913-9057-a89dc9875f73"]}],"mendeley":{"formattedCitation":"(Kauffman and Donato, 2012)","plainTextFormattedCitation":"(Kauffman and Donato, 2012)","previouslyFormattedCitation":"(Kauffman and Donato, 2012)"},"properties":{"noteIndex":0},"schema":"https://github.com/citation-style-language/schema/raw/master/csl-citation.json"}</w:instrText>
      </w:r>
      <w:r w:rsidRPr="0067054C">
        <w:rPr>
          <w:rFonts w:eastAsiaTheme="minorEastAsia"/>
        </w:rPr>
        <w:fldChar w:fldCharType="separate"/>
      </w:r>
      <w:r w:rsidRPr="0067054C">
        <w:rPr>
          <w:rFonts w:eastAsiaTheme="minorEastAsia"/>
          <w:noProof/>
        </w:rPr>
        <w:t>(Kauffman and Donato, 2012)</w:t>
      </w:r>
      <w:r w:rsidRPr="0067054C">
        <w:rPr>
          <w:rFonts w:eastAsiaTheme="minorEastAsia"/>
        </w:rPr>
        <w:fldChar w:fldCharType="end"/>
      </w:r>
    </w:p>
    <w:p w14:paraId="6FE81F63" w14:textId="77777777" w:rsidR="009C75D7" w:rsidRPr="0067054C" w:rsidRDefault="009C75D7" w:rsidP="009C75D7">
      <w:pPr>
        <w:spacing w:line="480" w:lineRule="auto"/>
        <w:rPr>
          <w:b/>
          <w:bCs/>
        </w:rPr>
      </w:pPr>
    </w:p>
    <w:p w14:paraId="370905E9" w14:textId="77777777" w:rsidR="009C75D7" w:rsidRPr="0067054C" w:rsidRDefault="009C75D7" w:rsidP="009C75D7">
      <w:pPr>
        <w:spacing w:line="480" w:lineRule="auto"/>
        <w:jc w:val="center"/>
        <w:rPr>
          <w:rFonts w:eastAsiaTheme="minorEastAsia"/>
        </w:rPr>
      </w:pPr>
      <w:r w:rsidRPr="0067054C">
        <w:rPr>
          <w:rFonts w:eastAsiaTheme="minorEastAsia"/>
        </w:rPr>
        <w:t>Soil C</w:t>
      </w:r>
      <w:r w:rsidRPr="0067054C">
        <w:rPr>
          <w:rFonts w:eastAsiaTheme="minorEastAsia"/>
          <w:vertAlign w:val="subscript"/>
        </w:rPr>
        <w:t>100</w:t>
      </w:r>
      <w:r w:rsidRPr="0067054C">
        <w:rPr>
          <w:rFonts w:eastAsiaTheme="minorEastAsia"/>
        </w:rPr>
        <w:t xml:space="preserve"> stocks (Mg C ha</w:t>
      </w:r>
      <w:r w:rsidRPr="0067054C">
        <w:rPr>
          <w:rFonts w:eastAsiaTheme="minorEastAsia"/>
          <w:vertAlign w:val="superscript"/>
        </w:rPr>
        <w:t>-1</w:t>
      </w:r>
      <w:r w:rsidRPr="0067054C">
        <w:rPr>
          <w:rFonts w:eastAsiaTheme="minorEastAsia"/>
        </w:rPr>
        <w:t>) = ((Fine-root layer DBD (g cm</w:t>
      </w:r>
      <w:r w:rsidRPr="0067054C">
        <w:rPr>
          <w:rFonts w:eastAsiaTheme="minorEastAsia"/>
          <w:vertAlign w:val="superscript"/>
        </w:rPr>
        <w:t>-3</w:t>
      </w:r>
      <w:r w:rsidRPr="0067054C">
        <w:rPr>
          <w:rFonts w:eastAsiaTheme="minorEastAsia"/>
        </w:rPr>
        <w:t>) x depth (cm) x (%C / 100)) + ((Deeper soil layer DBD (g cm</w:t>
      </w:r>
      <w:r w:rsidRPr="0067054C">
        <w:rPr>
          <w:rFonts w:eastAsiaTheme="minorEastAsia"/>
          <w:vertAlign w:val="superscript"/>
        </w:rPr>
        <w:t>-3</w:t>
      </w:r>
      <w:r w:rsidRPr="0067054C">
        <w:rPr>
          <w:rFonts w:eastAsiaTheme="minorEastAsia"/>
        </w:rPr>
        <w:t xml:space="preserve">) x </w:t>
      </w:r>
      <w:r>
        <w:rPr>
          <w:rFonts w:eastAsiaTheme="minorEastAsia"/>
        </w:rPr>
        <w:t>(</w:t>
      </w:r>
      <w:r w:rsidRPr="0067054C">
        <w:rPr>
          <w:rFonts w:eastAsiaTheme="minorEastAsia"/>
        </w:rPr>
        <w:t>100</w:t>
      </w:r>
      <w:r>
        <w:rPr>
          <w:rFonts w:eastAsiaTheme="minorEastAsia"/>
        </w:rPr>
        <w:t xml:space="preserve"> – Fine-root layer depth) </w:t>
      </w:r>
      <w:r w:rsidRPr="0067054C">
        <w:rPr>
          <w:rFonts w:eastAsiaTheme="minorEastAsia"/>
        </w:rPr>
        <w:t xml:space="preserve"> (cm) x (%C / 100)).     </w:t>
      </w:r>
      <w:r w:rsidRPr="0067054C">
        <w:rPr>
          <w:rFonts w:eastAsiaTheme="minorEastAsia"/>
        </w:rPr>
        <w:fldChar w:fldCharType="begin" w:fldLock="1"/>
      </w:r>
      <w:r w:rsidRPr="0067054C">
        <w:rPr>
          <w:rFonts w:eastAsiaTheme="minorEastAsia"/>
        </w:rPr>
        <w:instrText>ADDIN CSL_CITATION {"citationItems":[{"id":"ITEM-1","itemData":{"DOI":"10.17528/cifor/003749","ISBN":"978-1-4020-4948-4","ISSN":"14624605","PMID":"17900368","abstract":"This report describes the approaches necessary for the measurement, monitoring and reporting of structure, biomass and carbon stocks in mangrove forests. Mangroves are coastal ecosystems providing numerous ecosystem services affecting both marine and terrestrial resources. In addition, they contain substantial carbon stocks and, due to high rates of deforestation, are significant sources of carbon emissions. Because of their value as carbon stocks and sinks and their numerous other benefits, mangroves could be excellent candidates for carbon mitigation programmes including Reducing Emissions from Deforestation and Forest Degradation, and Enhancing Forest Carbon Stocks in Developing Countries (REDD+). This publication outlines biologically relevant and statistically valid approaches to the efficient and accurate assessment of ecosystem structure, biomass and carbon stocks of mangrove forests","author":[{"dropping-particle":"","family":"Kauffman","given":"Jb","non-dropping-particle":"","parse-names":false,"suffix":""},{"dropping-particle":"","family":"Donato","given":"Dc","non-dropping-particle":"","parse-names":false,"suffix":""}],"container-title":"Center for International Forestry","id":"ITEM-1","issued":{"date-parts":[["2012"]]},"number-of-pages":"11","publisher-place":"Bogor, Indonesia.","title":"Protocols for the measurement, monitoring and reporting of structure, biomass and carbon stocks in mangrove forests","type":"report","volume":"Working pa"},"uris":["http://www.mendeley.com/documents/?uuid=457549ae-d4d9-4913-9057-a89dc9875f73"]}],"mendeley":{"formattedCitation":"(Kauffman and Donato, 2012)","plainTextFormattedCitation":"(Kauffman and Donato, 2012)","previouslyFormattedCitation":"(Kauffman and Donato, 2012)"},"properties":{"noteIndex":0},"schema":"https://github.com/citation-style-language/schema/raw/master/csl-citation.json"}</w:instrText>
      </w:r>
      <w:r w:rsidRPr="0067054C">
        <w:rPr>
          <w:rFonts w:eastAsiaTheme="minorEastAsia"/>
        </w:rPr>
        <w:fldChar w:fldCharType="separate"/>
      </w:r>
      <w:r w:rsidRPr="0067054C">
        <w:rPr>
          <w:rFonts w:eastAsiaTheme="minorEastAsia"/>
          <w:noProof/>
        </w:rPr>
        <w:t>(Kauffman and Donato, 2012)</w:t>
      </w:r>
      <w:r w:rsidRPr="0067054C">
        <w:rPr>
          <w:rFonts w:eastAsiaTheme="minorEastAsia"/>
        </w:rPr>
        <w:fldChar w:fldCharType="end"/>
      </w:r>
    </w:p>
    <w:p w14:paraId="703499AD" w14:textId="77777777" w:rsidR="009C75D7" w:rsidRPr="0067054C" w:rsidRDefault="009C75D7" w:rsidP="009C75D7">
      <w:pPr>
        <w:spacing w:line="480" w:lineRule="auto"/>
        <w:rPr>
          <w:b/>
          <w:bCs/>
        </w:rPr>
      </w:pPr>
    </w:p>
    <w:p w14:paraId="2CF8807A" w14:textId="5526AC6E" w:rsidR="009C75D7" w:rsidRPr="00733EE3" w:rsidRDefault="009C75D7" w:rsidP="009C75D7">
      <w:pPr>
        <w:pStyle w:val="Heading3"/>
        <w:rPr>
          <w:rFonts w:asciiTheme="minorHAnsi" w:hAnsiTheme="minorHAnsi" w:cstheme="minorHAnsi"/>
          <w:b/>
          <w:bCs/>
          <w:color w:val="auto"/>
          <w:lang w:val="en-GB"/>
        </w:rPr>
      </w:pPr>
      <w:bookmarkStart w:id="46" w:name="_Toc120622135"/>
      <w:r w:rsidRPr="00733EE3">
        <w:rPr>
          <w:rFonts w:asciiTheme="minorHAnsi" w:hAnsiTheme="minorHAnsi" w:cstheme="minorHAnsi"/>
          <w:b/>
          <w:bCs/>
          <w:color w:val="auto"/>
          <w:lang w:val="en-GB"/>
        </w:rPr>
        <w:t>4.3.6</w:t>
      </w:r>
      <w:r w:rsidRPr="00733EE3">
        <w:rPr>
          <w:rFonts w:asciiTheme="minorHAnsi" w:hAnsiTheme="minorHAnsi" w:cstheme="minorHAnsi"/>
          <w:b/>
          <w:bCs/>
          <w:color w:val="auto"/>
          <w:lang w:val="en-GB"/>
        </w:rPr>
        <w:tab/>
        <w:t>Statistical Analysis</w:t>
      </w:r>
      <w:bookmarkEnd w:id="46"/>
    </w:p>
    <w:p w14:paraId="5465A142" w14:textId="77777777" w:rsidR="009C75D7" w:rsidRPr="0067054C" w:rsidRDefault="009C75D7" w:rsidP="009C75D7">
      <w:pPr>
        <w:spacing w:line="480" w:lineRule="auto"/>
      </w:pPr>
      <w:r w:rsidRPr="0067054C">
        <w:t xml:space="preserve">Two-way Analysis of Variance (ANOVA) were used to test for effect of study sites (random factor, 3 levels) or mangrove zone (3 levels: high, mid and low mangrove) on </w:t>
      </w:r>
      <w:proofErr w:type="spellStart"/>
      <w:r w:rsidRPr="0067054C">
        <w:t>Tree</w:t>
      </w:r>
      <w:r w:rsidRPr="0067054C">
        <w:rPr>
          <w:vertAlign w:val="subscript"/>
        </w:rPr>
        <w:t>CD</w:t>
      </w:r>
      <w:proofErr w:type="spellEnd"/>
      <w:r w:rsidRPr="0067054C">
        <w:t xml:space="preserve"> and tree </w:t>
      </w:r>
      <w:r w:rsidRPr="0067054C">
        <w:lastRenderedPageBreak/>
        <w:t>height. Linear regression was used to test for effect of distance to the seaward fringe on the responses of C</w:t>
      </w:r>
      <w:r w:rsidRPr="0067054C">
        <w:rPr>
          <w:vertAlign w:val="subscript"/>
        </w:rPr>
        <w:t>AG</w:t>
      </w:r>
      <w:r w:rsidRPr="0067054C">
        <w:t>, C</w:t>
      </w:r>
      <w:r w:rsidRPr="0067054C">
        <w:rPr>
          <w:vertAlign w:val="subscript"/>
        </w:rPr>
        <w:t>BG</w:t>
      </w:r>
      <w:r w:rsidRPr="0067054C">
        <w:t xml:space="preserve"> and C</w:t>
      </w:r>
      <w:r w:rsidRPr="0067054C">
        <w:rPr>
          <w:vertAlign w:val="subscript"/>
        </w:rPr>
        <w:t>50</w:t>
      </w:r>
      <w:r w:rsidRPr="0067054C">
        <w:t xml:space="preserve">. Log-transformations were used where required to comply with test assumptions. Significant ANOVAs were followed by Tukey honest significant differences (HSD) post hoc comparisons of treatments. Regression analysis was used to establish allometric relationships of tree above and below ground biomass with CD and H. A logarithmic transformation was used to linearize the relationship between variables and ensure homogeneity of variance in model residuals </w:t>
      </w:r>
      <w:r w:rsidRPr="0067054C">
        <w:fldChar w:fldCharType="begin" w:fldLock="1"/>
      </w:r>
      <w:r w:rsidRPr="0067054C">
        <w:instrText>ADDIN CSL_CITATION {"citationItems":[{"id":"ITEM-1","itemData":{"DOI":"10.1007/s10750-014-1878-5","ISBN":"0304-3770","ISSN":"15735117","PMID":"959","abstract":"As mangroves become recognized as important carbon storages, the need for reducing the uncertainty of carbon inventories becomes increas- ingly emphasized. Accordingly, the objective of this study was to develop allometric models to estimate the total aboveground biomass (AGB) and the biomass per compartment of Avicennia schaueriana and to com- pare them with other models previously published for the genus Avicennia. Fifty three A. schaueriana trees, with different diameters at breast height (DBH) and height, were felled in a mangrove from Southeastern Brazil and their dry weight determined. Simple linear regression analysis was used to develop the equations after log-transformation, using the following indepen- dent variables: DBH and DBH 2 * height. All the equations were signiﬁcant and presented high R a 2 (adjusted coefﬁcient of determination). DBH provided the lowest SEE (standard error of estimation) in the regressions associated to leaves and total AGB, while DBH 2 * height generated the most precise regressions for trunk, branches, and twigs. In comparison with other 11 equations previously developed for the genus Avicennia, the equation developed in the present study for total AGB showed the lowest mean deviation in relation to trees with known biomass, underscoring the importance of developing species- and site-speciﬁc equations.","author":[{"dropping-particle":"","family":"Estrada","given":"Gustavo Calderucio Duque","non-dropping-particle":"","parse-names":false,"suffix":""},{"dropping-particle":"","family":"Soares","given":"Mário Luiz Gomes","non-dropping-particle":"","parse-names":false,"suffix":""},{"dropping-particle":"","family":"Santos","given":"Daniel Medina Corrêa","non-dropping-particle":"","parse-names":false,"suffix":""},{"dropping-particle":"","family":"Fernandez","given":"Viviane","non-dropping-particle":"","parse-names":false,"suffix":""},{"dropping-particle":"","family":"Almeida","given":"Paula Maria Moura","non-dropping-particle":"de","parse-names":false,"suffix":""},{"dropping-particle":"","family":"Estevam","given":"Marciel Rocha de Medeiros","non-dropping-particle":"","parse-names":false,"suffix":""},{"dropping-particle":"","family":"Machado","given":"Maria Rita Olyntho","non-dropping-particle":"","parse-names":false,"suffix":""}],"container-title":"Hydrobiologia","id":"ITEM-1","issue":"1","issued":{"date-parts":[["2014"]]},"page":"171-185","title":"Allometric models for aboveground biomass estimation of the mangrove Avicennia schaueriana","type":"article-journal","volume":"734"},"uris":["http://www.mendeley.com/documents/?uuid=804ecc1c-f979-35d2-9439-edc65d9fdc9a"]}],"mendeley":{"formattedCitation":"(Estrada et al., 2014)","plainTextFormattedCitation":"(Estrada et al., 2014)","previouslyFormattedCitation":"(Estrada et al., 2014)"},"properties":{"noteIndex":0},"schema":"https://github.com/citation-style-language/schema/raw/master/csl-citation.json"}</w:instrText>
      </w:r>
      <w:r w:rsidRPr="0067054C">
        <w:fldChar w:fldCharType="separate"/>
      </w:r>
      <w:r w:rsidRPr="0067054C">
        <w:rPr>
          <w:noProof/>
        </w:rPr>
        <w:t>(Estrada et al., 2014)</w:t>
      </w:r>
      <w:r w:rsidRPr="0067054C">
        <w:fldChar w:fldCharType="end"/>
      </w:r>
      <w:r w:rsidRPr="0067054C">
        <w:t>. A high degree of collinearity was detected between crown diameter and tree height so multiple regression was not used. Comparison of R</w:t>
      </w:r>
      <w:r w:rsidRPr="0067054C">
        <w:rPr>
          <w:vertAlign w:val="superscript"/>
        </w:rPr>
        <w:t>2</w:t>
      </w:r>
      <w:r w:rsidRPr="0067054C">
        <w:t xml:space="preserve"> and AIC,</w:t>
      </w:r>
      <w:r w:rsidRPr="0067054C">
        <w:rPr>
          <w:noProof/>
          <w:lang w:eastAsia="en-GB"/>
        </w:rPr>
        <w:t xml:space="preserve"> an estimate of the relative quality of statistical models,</w:t>
      </w:r>
      <w:r w:rsidRPr="0067054C">
        <w:t xml:space="preserve"> values was performed to determine the better predictor. After using allometric equations on log transformed data, the results were then back transformed for conversion to Mg ha</w:t>
      </w:r>
      <w:r w:rsidRPr="0067054C">
        <w:rPr>
          <w:vertAlign w:val="superscript"/>
        </w:rPr>
        <w:t>-1</w:t>
      </w:r>
      <w:r w:rsidRPr="0067054C">
        <w:t xml:space="preserve"> values for biomass estimation </w:t>
      </w:r>
      <w:r w:rsidRPr="0067054C">
        <w:fldChar w:fldCharType="begin" w:fldLock="1"/>
      </w:r>
      <w:r w:rsidRPr="0067054C">
        <w:instrText>ADDIN CSL_CITATION {"citationItems":[{"id":"ITEM-1","itemData":{"DOI":"10.1007/s10750-014-1878-5","ISBN":"0304-3770","ISSN":"15735117","PMID":"959","abstract":"As mangroves become recognized as important carbon storages, the need for reducing the uncertainty of carbon inventories becomes increas- ingly emphasized. Accordingly, the objective of this study was to develop allometric models to estimate the total aboveground biomass (AGB) and the biomass per compartment of Avicennia schaueriana and to com- pare them with other models previously published for the genus Avicennia. Fifty three A. schaueriana trees, with different diameters at breast height (DBH) and height, were felled in a mangrove from Southeastern Brazil and their dry weight determined. Simple linear regression analysis was used to develop the equations after log-transformation, using the following indepen- dent variables: DBH and DBH 2 * height. All the equations were signiﬁcant and presented high R a 2 (adjusted coefﬁcient of determination). DBH provided the lowest SEE (standard error of estimation) in the regressions associated to leaves and total AGB, while DBH 2 * height generated the most precise regressions for trunk, branches, and twigs. In comparison with other 11 equations previously developed for the genus Avicennia, the equation developed in the present study for total AGB showed the lowest mean deviation in relation to trees with known biomass, underscoring the importance of developing species- and site-speciﬁc equations.","author":[{"dropping-particle":"","family":"Estrada","given":"Gustavo Calderucio Duque","non-dropping-particle":"","parse-names":false,"suffix":""},{"dropping-particle":"","family":"Soares","given":"Mário Luiz Gomes","non-dropping-particle":"","parse-names":false,"suffix":""},{"dropping-particle":"","family":"Santos","given":"Daniel Medina Corrêa","non-dropping-particle":"","parse-names":false,"suffix":""},{"dropping-particle":"","family":"Fernandez","given":"Viviane","non-dropping-particle":"","parse-names":false,"suffix":""},{"dropping-particle":"","family":"Almeida","given":"Paula Maria Moura","non-dropping-particle":"de","parse-names":false,"suffix":""},{"dropping-particle":"","family":"Estevam","given":"Marciel Rocha de Medeiros","non-dropping-particle":"","parse-names":false,"suffix":""},{"dropping-particle":"","family":"Machado","given":"Maria Rita Olyntho","non-dropping-particle":"","parse-names":false,"suffix":""}],"container-title":"Hydrobiologia","id":"ITEM-1","issue":"1","issued":{"date-parts":[["2014"]]},"page":"171-185","title":"Allometric models for aboveground biomass estimation of the mangrove Avicennia schaueriana","type":"article-journal","volume":"734"},"uris":["http://www.mendeley.com/documents/?uuid=804ecc1c-f979-35d2-9439-edc65d9fdc9a"]}],"mendeley":{"formattedCitation":"(Estrada et al., 2014)","plainTextFormattedCitation":"(Estrada et al., 2014)","previouslyFormattedCitation":"(Estrada et al., 2014)"},"properties":{"noteIndex":0},"schema":"https://github.com/citation-style-language/schema/raw/master/csl-citation.json"}</w:instrText>
      </w:r>
      <w:r w:rsidRPr="0067054C">
        <w:fldChar w:fldCharType="separate"/>
      </w:r>
      <w:r w:rsidRPr="0067054C">
        <w:rPr>
          <w:noProof/>
        </w:rPr>
        <w:t>(Estrada et al., 2014)</w:t>
      </w:r>
      <w:r w:rsidRPr="0067054C">
        <w:fldChar w:fldCharType="end"/>
      </w:r>
      <w:r w:rsidRPr="0067054C">
        <w:t xml:space="preserve">. </w:t>
      </w:r>
    </w:p>
    <w:p w14:paraId="59E8521E" w14:textId="77777777" w:rsidR="009C75D7" w:rsidRPr="0067054C" w:rsidRDefault="009C75D7" w:rsidP="009C75D7">
      <w:pPr>
        <w:spacing w:line="480" w:lineRule="auto"/>
      </w:pPr>
    </w:p>
    <w:p w14:paraId="40A32D61" w14:textId="77777777" w:rsidR="009C75D7" w:rsidRPr="0067054C" w:rsidRDefault="009C75D7" w:rsidP="009C75D7">
      <w:pPr>
        <w:spacing w:line="480" w:lineRule="auto"/>
      </w:pPr>
      <w:r w:rsidRPr="0067054C">
        <w:t xml:space="preserve">To explore whether arid mangroves allocate proportionally more biomass below ground than mangroves in non-arid regions, we contrasted the allometric relationships of Qatari </w:t>
      </w:r>
      <w:r w:rsidRPr="0067054C">
        <w:rPr>
          <w:i/>
          <w:iCs/>
        </w:rPr>
        <w:t xml:space="preserve">A. marina </w:t>
      </w:r>
      <w:r w:rsidRPr="0067054C">
        <w:t xml:space="preserve">with those of other previously published work from two other regions: Iran </w:t>
      </w:r>
      <w:r w:rsidRPr="0067054C">
        <w:fldChar w:fldCharType="begin" w:fldLock="1"/>
      </w:r>
      <w:r w:rsidRPr="0067054C">
        <w:instrText>ADDIN CSL_CITATION {"citationItems":[{"id":"ITEM-1","itemData":{"author":[{"dropping-particle":"","family":"Parvaresh","given":"Hossein","non-dropping-particle":"","parse-names":false,"suffix":""},{"dropping-particle":"","family":"Parvaresh","given":"Elyas","non-dropping-particle":"","parse-names":false,"suffix":""},{"dropping-particle":"","family":"Zahedi","given":"Ghavamaldin","non-dropping-particle":"","parse-names":false,"suffix":""}],"container-title":"J. Basic. Appl. Sci. Res.","id":"ITEM-1","issue":"2","issued":{"date-parts":[["2012"]]},"page":"1763-1769","title":"Establishing Allometric Relationship Using Crown Diameter for the Estimation of above-Ground Biomass of Grey Mangrove , Avicennia marina ( Forsk ) Vierh in Mangrove Forests of Sirik , Iran","type":"article-journal","volume":"2"},"uris":["http://www.mendeley.com/documents/?uuid=b62073f6-4197-4512-b937-606150d4911f"]}],"mendeley":{"formattedCitation":"(Parvaresh et al., 2012)","plainTextFormattedCitation":"(Parvaresh et al., 2012)","previouslyFormattedCitation":"(Parvaresh et al., 2012)"},"properties":{"noteIndex":0},"schema":"https://github.com/citation-style-language/schema/raw/master/csl-citation.json"}</w:instrText>
      </w:r>
      <w:r w:rsidRPr="0067054C">
        <w:fldChar w:fldCharType="separate"/>
      </w:r>
      <w:r w:rsidRPr="0067054C">
        <w:rPr>
          <w:noProof/>
        </w:rPr>
        <w:t>(Parvaresh et al., 2012)</w:t>
      </w:r>
      <w:r w:rsidRPr="0067054C">
        <w:fldChar w:fldCharType="end"/>
      </w:r>
      <w:r w:rsidRPr="0067054C">
        <w:t xml:space="preserve"> and Australia </w:t>
      </w:r>
      <w:r w:rsidRPr="0067054C">
        <w:fldChar w:fldCharType="begin" w:fldLock="1"/>
      </w:r>
      <w:r w:rsidRPr="0067054C">
        <w:instrText>ADDIN CSL_CITATION {"citationItems":[{"id":"ITEM-1","itemData":{"DOI":"10.1071/BT04162","ISBN":"0067-1924","ISSN":"00671924","abstract":"Mangrove forests are an integral part of tropical coastal ecosystems, particularly in northern Australia. In the Northern Territory, studies have determined the extent and species diversity of these associations but little is known of biomass or productivity. We sampled the above- and below-ground biomass of the four most abundant species, Avicennia marina, Bruguiera exaristata, Ceriops australis and Rhizophora stylosa, developed allometric relationships and examined partitioning. Unlike many other studies, we sampled below-ground biomass, which constituted a substantial proportion (0.29–0.57) of the total dry weight. Our results should be valuable in modelling potential changes in carbon allocation resulting from small- and large-scale ecosystem changes.","author":[{"dropping-particle":"","family":"Comley","given":"B. W T","non-dropping-particle":"","parse-names":false,"suffix":""},{"dropping-particle":"","family":"McGuinness","given":"K. A.","non-dropping-particle":"","parse-names":false,"suffix":""}],"container-title":"Australian Journal of Botany","id":"ITEM-1","issue":"5","issued":{"date-parts":[["2005"]]},"page":"431-436","title":"Above- and below-ground biomass, and allometry, of four common northern Australian mangroves","type":"article-journal","volume":"53"},"uris":["http://www.mendeley.com/documents/?uuid=d9846ebf-2311-34c8-bdd3-4f6e17651f49"]}],"mendeley":{"formattedCitation":"(Comley and McGuinness, 2005)","plainTextFormattedCitation":"(Comley and McGuinness, 2005)","previouslyFormattedCitation":"(Comley and McGuinness, 2005)"},"properties":{"noteIndex":0},"schema":"https://github.com/citation-style-language/schema/raw/master/csl-citation.json"}</w:instrText>
      </w:r>
      <w:r w:rsidRPr="0067054C">
        <w:fldChar w:fldCharType="separate"/>
      </w:r>
      <w:r w:rsidRPr="0067054C">
        <w:rPr>
          <w:noProof/>
        </w:rPr>
        <w:t>(Comley and McGuinness, 2005)</w:t>
      </w:r>
      <w:r w:rsidRPr="0067054C">
        <w:fldChar w:fldCharType="end"/>
      </w:r>
      <w:r w:rsidRPr="0067054C">
        <w:t>. Both studies were used to compare aboveground biomass, while only the Australian study was used to compare below</w:t>
      </w:r>
      <w:r>
        <w:t xml:space="preserve"> </w:t>
      </w:r>
      <w:r w:rsidRPr="0067054C">
        <w:t xml:space="preserve">ground biomass. As Connolly and McGuiness (2005) used DBH as a predictor of biomass, raw tree data measurements from </w:t>
      </w:r>
      <w:proofErr w:type="spellStart"/>
      <w:r w:rsidRPr="0067054C">
        <w:t>Schile</w:t>
      </w:r>
      <w:proofErr w:type="spellEnd"/>
      <w:r w:rsidRPr="0067054C">
        <w:t xml:space="preserve"> et al. (2017) were used to develop an equation to predict CD from DBH (Table </w:t>
      </w:r>
      <w:r>
        <w:t>4.</w:t>
      </w:r>
      <w:r w:rsidRPr="0067054C">
        <w:t xml:space="preserve">1 for equation). Analysis of Covariance (ANCOVA) was used to test for a difference between aboveground biomass and CD in different locations (factor: 3 levels) as well as below ground biomass between Qatar and Australia </w:t>
      </w:r>
      <w:r w:rsidRPr="0067054C">
        <w:lastRenderedPageBreak/>
        <w:t xml:space="preserve">(factor: 2 levels). </w:t>
      </w:r>
      <w:r w:rsidRPr="0067054C">
        <w:rPr>
          <w:i/>
          <w:iCs/>
        </w:rPr>
        <w:t>Log x + 1</w:t>
      </w:r>
      <w:r w:rsidRPr="0067054C">
        <w:t xml:space="preserve"> transformations were used to comply with ANCOVA test assumptions.</w:t>
      </w:r>
    </w:p>
    <w:p w14:paraId="4F10ABF8" w14:textId="77777777" w:rsidR="009C75D7" w:rsidRPr="002F756C" w:rsidRDefault="009C75D7" w:rsidP="009C75D7">
      <w:pPr>
        <w:rPr>
          <w:b/>
          <w:bCs/>
          <w:sz w:val="20"/>
          <w:szCs w:val="20"/>
        </w:rPr>
      </w:pPr>
      <w:r w:rsidRPr="002F756C">
        <w:rPr>
          <w:b/>
          <w:bCs/>
          <w:sz w:val="20"/>
          <w:szCs w:val="20"/>
        </w:rPr>
        <w:t xml:space="preserve">Table 4.1: Allometric equations developed from tree removal and raw data from </w:t>
      </w:r>
      <w:proofErr w:type="spellStart"/>
      <w:r w:rsidRPr="002F756C">
        <w:rPr>
          <w:b/>
          <w:bCs/>
          <w:sz w:val="20"/>
          <w:szCs w:val="20"/>
        </w:rPr>
        <w:t>Schile</w:t>
      </w:r>
      <w:proofErr w:type="spellEnd"/>
      <w:r w:rsidRPr="002F756C">
        <w:rPr>
          <w:b/>
          <w:bCs/>
          <w:sz w:val="20"/>
          <w:szCs w:val="20"/>
        </w:rPr>
        <w:t xml:space="preserve"> et al. (2017). B = biomass (kg), CD = crown diameter (m), DBH = diameter at breast height (cm). *This equation was developed using raw data from </w:t>
      </w:r>
      <w:proofErr w:type="spellStart"/>
      <w:r w:rsidRPr="002F756C">
        <w:rPr>
          <w:b/>
          <w:bCs/>
          <w:sz w:val="20"/>
          <w:szCs w:val="20"/>
        </w:rPr>
        <w:t>Schile</w:t>
      </w:r>
      <w:proofErr w:type="spellEnd"/>
      <w:r w:rsidRPr="002F756C">
        <w:rPr>
          <w:b/>
          <w:bCs/>
          <w:sz w:val="20"/>
          <w:szCs w:val="20"/>
        </w:rPr>
        <w:t xml:space="preserve"> et al. (2017).</w:t>
      </w:r>
    </w:p>
    <w:tbl>
      <w:tblPr>
        <w:tblStyle w:val="TableGrid"/>
        <w:tblW w:w="9795"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2"/>
        <w:gridCol w:w="3946"/>
        <w:gridCol w:w="658"/>
        <w:gridCol w:w="623"/>
        <w:gridCol w:w="663"/>
        <w:gridCol w:w="623"/>
      </w:tblGrid>
      <w:tr w:rsidR="004D12C8" w:rsidRPr="0067054C" w14:paraId="441506B1" w14:textId="2E7C496B" w:rsidTr="00906EF9">
        <w:trPr>
          <w:trHeight w:val="532"/>
        </w:trPr>
        <w:tc>
          <w:tcPr>
            <w:tcW w:w="3294" w:type="dxa"/>
            <w:tcBorders>
              <w:top w:val="single" w:sz="4" w:space="0" w:color="auto"/>
              <w:bottom w:val="single" w:sz="4" w:space="0" w:color="auto"/>
            </w:tcBorders>
          </w:tcPr>
          <w:p w14:paraId="4DA218BE" w14:textId="77777777" w:rsidR="004D12C8" w:rsidRPr="0067054C" w:rsidRDefault="004D12C8" w:rsidP="00672286">
            <w:pPr>
              <w:spacing w:line="480" w:lineRule="auto"/>
              <w:rPr>
                <w:b/>
                <w:bCs/>
                <w:i/>
                <w:iCs/>
              </w:rPr>
            </w:pPr>
            <w:r w:rsidRPr="0067054C">
              <w:rPr>
                <w:b/>
                <w:bCs/>
                <w:i/>
                <w:iCs/>
              </w:rPr>
              <w:t>Tree component</w:t>
            </w:r>
          </w:p>
        </w:tc>
        <w:tc>
          <w:tcPr>
            <w:tcW w:w="3965" w:type="dxa"/>
            <w:tcBorders>
              <w:top w:val="single" w:sz="4" w:space="0" w:color="auto"/>
              <w:bottom w:val="single" w:sz="4" w:space="0" w:color="auto"/>
            </w:tcBorders>
          </w:tcPr>
          <w:p w14:paraId="5E9C0E15" w14:textId="77777777" w:rsidR="004D12C8" w:rsidRPr="0067054C" w:rsidRDefault="004D12C8" w:rsidP="00672286">
            <w:pPr>
              <w:spacing w:line="480" w:lineRule="auto"/>
              <w:rPr>
                <w:b/>
                <w:bCs/>
                <w:i/>
                <w:iCs/>
              </w:rPr>
            </w:pPr>
            <w:r w:rsidRPr="0067054C">
              <w:rPr>
                <w:b/>
                <w:bCs/>
                <w:i/>
                <w:iCs/>
              </w:rPr>
              <w:t>Equation</w:t>
            </w:r>
          </w:p>
        </w:tc>
        <w:tc>
          <w:tcPr>
            <w:tcW w:w="658" w:type="dxa"/>
            <w:tcBorders>
              <w:top w:val="single" w:sz="4" w:space="0" w:color="auto"/>
              <w:bottom w:val="single" w:sz="4" w:space="0" w:color="auto"/>
            </w:tcBorders>
          </w:tcPr>
          <w:p w14:paraId="23D52C66" w14:textId="77777777" w:rsidR="004D12C8" w:rsidRPr="0067054C" w:rsidRDefault="004D12C8" w:rsidP="00672286">
            <w:pPr>
              <w:spacing w:line="480" w:lineRule="auto"/>
              <w:rPr>
                <w:b/>
                <w:bCs/>
                <w:i/>
                <w:iCs/>
              </w:rPr>
            </w:pPr>
            <w:r w:rsidRPr="0067054C">
              <w:rPr>
                <w:b/>
                <w:bCs/>
                <w:i/>
                <w:iCs/>
              </w:rPr>
              <w:t>R</w:t>
            </w:r>
            <w:r w:rsidRPr="0067054C">
              <w:rPr>
                <w:b/>
                <w:bCs/>
                <w:i/>
                <w:iCs/>
                <w:vertAlign w:val="superscript"/>
              </w:rPr>
              <w:t>2</w:t>
            </w:r>
          </w:p>
        </w:tc>
        <w:tc>
          <w:tcPr>
            <w:tcW w:w="626" w:type="dxa"/>
            <w:tcBorders>
              <w:top w:val="single" w:sz="4" w:space="0" w:color="auto"/>
              <w:bottom w:val="single" w:sz="4" w:space="0" w:color="auto"/>
            </w:tcBorders>
          </w:tcPr>
          <w:p w14:paraId="71196A54" w14:textId="77777777" w:rsidR="004D12C8" w:rsidRPr="0067054C" w:rsidRDefault="004D12C8" w:rsidP="00672286">
            <w:pPr>
              <w:spacing w:line="480" w:lineRule="auto"/>
              <w:rPr>
                <w:b/>
                <w:bCs/>
                <w:i/>
                <w:iCs/>
              </w:rPr>
            </w:pPr>
          </w:p>
        </w:tc>
        <w:tc>
          <w:tcPr>
            <w:tcW w:w="626" w:type="dxa"/>
            <w:tcBorders>
              <w:top w:val="single" w:sz="4" w:space="0" w:color="auto"/>
              <w:bottom w:val="single" w:sz="4" w:space="0" w:color="auto"/>
            </w:tcBorders>
          </w:tcPr>
          <w:p w14:paraId="77111E42" w14:textId="28CAEE77" w:rsidR="004D12C8" w:rsidRPr="0067054C" w:rsidRDefault="004D12C8" w:rsidP="00672286">
            <w:pPr>
              <w:spacing w:line="480" w:lineRule="auto"/>
              <w:rPr>
                <w:b/>
                <w:bCs/>
                <w:i/>
                <w:iCs/>
              </w:rPr>
            </w:pPr>
            <w:r>
              <w:rPr>
                <w:b/>
                <w:bCs/>
                <w:i/>
                <w:iCs/>
              </w:rPr>
              <w:t>N</w:t>
            </w:r>
          </w:p>
        </w:tc>
        <w:tc>
          <w:tcPr>
            <w:tcW w:w="626" w:type="dxa"/>
            <w:tcBorders>
              <w:top w:val="single" w:sz="4" w:space="0" w:color="auto"/>
              <w:bottom w:val="single" w:sz="4" w:space="0" w:color="auto"/>
            </w:tcBorders>
          </w:tcPr>
          <w:p w14:paraId="66C2D305" w14:textId="77777777" w:rsidR="004D12C8" w:rsidRPr="0067054C" w:rsidRDefault="004D12C8" w:rsidP="00672286">
            <w:pPr>
              <w:spacing w:line="480" w:lineRule="auto"/>
              <w:rPr>
                <w:b/>
                <w:bCs/>
                <w:i/>
                <w:iCs/>
              </w:rPr>
            </w:pPr>
          </w:p>
        </w:tc>
      </w:tr>
      <w:tr w:rsidR="004D12C8" w:rsidRPr="0067054C" w14:paraId="1F36AE37" w14:textId="5B264932" w:rsidTr="00906EF9">
        <w:trPr>
          <w:trHeight w:val="546"/>
        </w:trPr>
        <w:tc>
          <w:tcPr>
            <w:tcW w:w="3294" w:type="dxa"/>
            <w:tcBorders>
              <w:top w:val="single" w:sz="4" w:space="0" w:color="auto"/>
            </w:tcBorders>
          </w:tcPr>
          <w:p w14:paraId="75AE92A2" w14:textId="77777777" w:rsidR="004D12C8" w:rsidRPr="0067054C" w:rsidRDefault="004D12C8" w:rsidP="00672286">
            <w:pPr>
              <w:spacing w:line="480" w:lineRule="auto"/>
              <w:rPr>
                <w:b/>
                <w:bCs/>
              </w:rPr>
            </w:pPr>
            <w:r w:rsidRPr="0067054C">
              <w:t>Aboveground biomass</w:t>
            </w:r>
          </w:p>
        </w:tc>
        <w:tc>
          <w:tcPr>
            <w:tcW w:w="3965" w:type="dxa"/>
            <w:tcBorders>
              <w:top w:val="single" w:sz="4" w:space="0" w:color="auto"/>
            </w:tcBorders>
          </w:tcPr>
          <w:p w14:paraId="453C44FE" w14:textId="77777777" w:rsidR="004D12C8" w:rsidRPr="0067054C" w:rsidRDefault="004D12C8" w:rsidP="00672286">
            <w:pPr>
              <w:spacing w:line="480" w:lineRule="auto"/>
              <w:rPr>
                <w:b/>
                <w:bCs/>
              </w:rPr>
            </w:pPr>
            <w:proofErr w:type="gramStart"/>
            <w:r w:rsidRPr="0067054C">
              <w:t>Log(</w:t>
            </w:r>
            <w:proofErr w:type="gramEnd"/>
            <w:r w:rsidRPr="0067054C">
              <w:t>AG) = 2.14 x Log(CD)</w:t>
            </w:r>
            <w:r w:rsidRPr="0067054C">
              <w:rPr>
                <w:vertAlign w:val="superscript"/>
              </w:rPr>
              <w:t xml:space="preserve"> </w:t>
            </w:r>
            <w:r w:rsidRPr="0067054C">
              <w:t xml:space="preserve">+ 0.20 </w:t>
            </w:r>
          </w:p>
        </w:tc>
        <w:tc>
          <w:tcPr>
            <w:tcW w:w="658" w:type="dxa"/>
            <w:tcBorders>
              <w:top w:val="single" w:sz="4" w:space="0" w:color="auto"/>
            </w:tcBorders>
          </w:tcPr>
          <w:p w14:paraId="342F8CBB" w14:textId="77777777" w:rsidR="004D12C8" w:rsidRPr="0067054C" w:rsidRDefault="004D12C8" w:rsidP="00672286">
            <w:pPr>
              <w:spacing w:line="480" w:lineRule="auto"/>
              <w:rPr>
                <w:b/>
                <w:bCs/>
              </w:rPr>
            </w:pPr>
            <w:r w:rsidRPr="0067054C">
              <w:t>0.94</w:t>
            </w:r>
          </w:p>
        </w:tc>
        <w:tc>
          <w:tcPr>
            <w:tcW w:w="626" w:type="dxa"/>
            <w:tcBorders>
              <w:top w:val="single" w:sz="4" w:space="0" w:color="auto"/>
            </w:tcBorders>
          </w:tcPr>
          <w:p w14:paraId="66D2EFF5" w14:textId="77777777" w:rsidR="004D12C8" w:rsidRPr="0067054C" w:rsidRDefault="004D12C8" w:rsidP="00672286">
            <w:pPr>
              <w:spacing w:line="480" w:lineRule="auto"/>
            </w:pPr>
          </w:p>
        </w:tc>
        <w:tc>
          <w:tcPr>
            <w:tcW w:w="626" w:type="dxa"/>
            <w:tcBorders>
              <w:top w:val="single" w:sz="4" w:space="0" w:color="auto"/>
            </w:tcBorders>
          </w:tcPr>
          <w:p w14:paraId="454C8051" w14:textId="41AFCE0A" w:rsidR="004D12C8" w:rsidRPr="0067054C" w:rsidRDefault="004D12C8" w:rsidP="00672286">
            <w:pPr>
              <w:spacing w:line="480" w:lineRule="auto"/>
            </w:pPr>
            <w:r>
              <w:t>17</w:t>
            </w:r>
          </w:p>
        </w:tc>
        <w:tc>
          <w:tcPr>
            <w:tcW w:w="626" w:type="dxa"/>
            <w:tcBorders>
              <w:top w:val="single" w:sz="4" w:space="0" w:color="auto"/>
            </w:tcBorders>
          </w:tcPr>
          <w:p w14:paraId="22E37600" w14:textId="77777777" w:rsidR="004D12C8" w:rsidRPr="0067054C" w:rsidRDefault="004D12C8" w:rsidP="00672286">
            <w:pPr>
              <w:spacing w:line="480" w:lineRule="auto"/>
            </w:pPr>
          </w:p>
        </w:tc>
      </w:tr>
      <w:tr w:rsidR="004D12C8" w:rsidRPr="0067054C" w14:paraId="5D97FF8E" w14:textId="0B3297EC" w:rsidTr="00906EF9">
        <w:trPr>
          <w:trHeight w:val="532"/>
        </w:trPr>
        <w:tc>
          <w:tcPr>
            <w:tcW w:w="3294" w:type="dxa"/>
          </w:tcPr>
          <w:p w14:paraId="0FC62403" w14:textId="77777777" w:rsidR="004D12C8" w:rsidRPr="0067054C" w:rsidRDefault="004D12C8" w:rsidP="00672286">
            <w:pPr>
              <w:spacing w:line="480" w:lineRule="auto"/>
              <w:rPr>
                <w:b/>
                <w:bCs/>
              </w:rPr>
            </w:pPr>
            <w:r w:rsidRPr="0067054C">
              <w:t>Below ground biomass</w:t>
            </w:r>
          </w:p>
        </w:tc>
        <w:tc>
          <w:tcPr>
            <w:tcW w:w="3965" w:type="dxa"/>
          </w:tcPr>
          <w:p w14:paraId="3F604B20" w14:textId="77777777" w:rsidR="004D12C8" w:rsidRPr="0067054C" w:rsidRDefault="004D12C8" w:rsidP="00672286">
            <w:pPr>
              <w:spacing w:line="480" w:lineRule="auto"/>
              <w:rPr>
                <w:b/>
                <w:bCs/>
              </w:rPr>
            </w:pPr>
            <w:proofErr w:type="gramStart"/>
            <w:r w:rsidRPr="0067054C">
              <w:t>Log(</w:t>
            </w:r>
            <w:proofErr w:type="gramEnd"/>
            <w:r w:rsidRPr="0067054C">
              <w:t>BG) = 2.67 x Log(CD) -0.11</w:t>
            </w:r>
          </w:p>
        </w:tc>
        <w:tc>
          <w:tcPr>
            <w:tcW w:w="658" w:type="dxa"/>
          </w:tcPr>
          <w:p w14:paraId="6C2EE1C4" w14:textId="77777777" w:rsidR="004D12C8" w:rsidRPr="0067054C" w:rsidRDefault="004D12C8" w:rsidP="00672286">
            <w:pPr>
              <w:spacing w:line="480" w:lineRule="auto"/>
              <w:rPr>
                <w:b/>
                <w:bCs/>
              </w:rPr>
            </w:pPr>
            <w:r w:rsidRPr="0067054C">
              <w:t>0.89</w:t>
            </w:r>
          </w:p>
        </w:tc>
        <w:tc>
          <w:tcPr>
            <w:tcW w:w="626" w:type="dxa"/>
          </w:tcPr>
          <w:p w14:paraId="2EFAFBDF" w14:textId="77777777" w:rsidR="004D12C8" w:rsidRPr="0067054C" w:rsidRDefault="004D12C8" w:rsidP="00672286">
            <w:pPr>
              <w:spacing w:line="480" w:lineRule="auto"/>
            </w:pPr>
          </w:p>
        </w:tc>
        <w:tc>
          <w:tcPr>
            <w:tcW w:w="626" w:type="dxa"/>
          </w:tcPr>
          <w:p w14:paraId="6D9D6A42" w14:textId="3D4DA82F" w:rsidR="004D12C8" w:rsidRPr="0067054C" w:rsidRDefault="004D12C8" w:rsidP="00672286">
            <w:pPr>
              <w:spacing w:line="480" w:lineRule="auto"/>
            </w:pPr>
            <w:r>
              <w:t>17</w:t>
            </w:r>
          </w:p>
        </w:tc>
        <w:tc>
          <w:tcPr>
            <w:tcW w:w="626" w:type="dxa"/>
          </w:tcPr>
          <w:p w14:paraId="4B02546C" w14:textId="77777777" w:rsidR="004D12C8" w:rsidRPr="0067054C" w:rsidRDefault="004D12C8" w:rsidP="00672286">
            <w:pPr>
              <w:spacing w:line="480" w:lineRule="auto"/>
            </w:pPr>
          </w:p>
        </w:tc>
      </w:tr>
      <w:tr w:rsidR="004D12C8" w:rsidRPr="0067054C" w14:paraId="4CA612F2" w14:textId="336D832F" w:rsidTr="00906EF9">
        <w:trPr>
          <w:trHeight w:val="546"/>
        </w:trPr>
        <w:tc>
          <w:tcPr>
            <w:tcW w:w="3294" w:type="dxa"/>
          </w:tcPr>
          <w:p w14:paraId="2B33E565" w14:textId="77777777" w:rsidR="004D12C8" w:rsidRPr="0067054C" w:rsidRDefault="004D12C8" w:rsidP="00672286">
            <w:pPr>
              <w:spacing w:line="480" w:lineRule="auto"/>
              <w:rPr>
                <w:b/>
                <w:bCs/>
              </w:rPr>
            </w:pPr>
            <w:r w:rsidRPr="0067054C">
              <w:t>Leaf biomass</w:t>
            </w:r>
          </w:p>
        </w:tc>
        <w:tc>
          <w:tcPr>
            <w:tcW w:w="3965" w:type="dxa"/>
          </w:tcPr>
          <w:p w14:paraId="00F4225F" w14:textId="77777777" w:rsidR="004D12C8" w:rsidRPr="0067054C" w:rsidRDefault="004D12C8" w:rsidP="00672286">
            <w:pPr>
              <w:spacing w:line="480" w:lineRule="auto"/>
              <w:rPr>
                <w:b/>
                <w:bCs/>
                <w:lang w:val="es-ES"/>
              </w:rPr>
            </w:pPr>
            <w:r w:rsidRPr="0067054C">
              <w:rPr>
                <w:lang w:val="es-ES"/>
              </w:rPr>
              <w:t xml:space="preserve">Log(B) = 2.41 x </w:t>
            </w:r>
            <w:proofErr w:type="gramStart"/>
            <w:r w:rsidRPr="0067054C">
              <w:rPr>
                <w:lang w:val="es-ES"/>
              </w:rPr>
              <w:t>Log(</w:t>
            </w:r>
            <w:proofErr w:type="gramEnd"/>
            <w:r w:rsidRPr="0067054C">
              <w:rPr>
                <w:lang w:val="es-ES"/>
              </w:rPr>
              <w:t>CD) - 0.13</w:t>
            </w:r>
          </w:p>
        </w:tc>
        <w:tc>
          <w:tcPr>
            <w:tcW w:w="658" w:type="dxa"/>
          </w:tcPr>
          <w:p w14:paraId="30D73F59" w14:textId="77777777" w:rsidR="004D12C8" w:rsidRPr="0067054C" w:rsidRDefault="004D12C8" w:rsidP="00672286">
            <w:pPr>
              <w:spacing w:line="480" w:lineRule="auto"/>
              <w:rPr>
                <w:b/>
                <w:bCs/>
              </w:rPr>
            </w:pPr>
            <w:r w:rsidRPr="0067054C">
              <w:t>0.88</w:t>
            </w:r>
          </w:p>
        </w:tc>
        <w:tc>
          <w:tcPr>
            <w:tcW w:w="626" w:type="dxa"/>
          </w:tcPr>
          <w:p w14:paraId="0B4E74A6" w14:textId="77777777" w:rsidR="004D12C8" w:rsidRPr="0067054C" w:rsidRDefault="004D12C8" w:rsidP="00672286">
            <w:pPr>
              <w:spacing w:line="480" w:lineRule="auto"/>
            </w:pPr>
          </w:p>
        </w:tc>
        <w:tc>
          <w:tcPr>
            <w:tcW w:w="626" w:type="dxa"/>
          </w:tcPr>
          <w:p w14:paraId="5BDDBE39" w14:textId="089D6782" w:rsidR="004D12C8" w:rsidRPr="0067054C" w:rsidRDefault="004D12C8" w:rsidP="00672286">
            <w:pPr>
              <w:spacing w:line="480" w:lineRule="auto"/>
            </w:pPr>
            <w:r>
              <w:t>17</w:t>
            </w:r>
          </w:p>
        </w:tc>
        <w:tc>
          <w:tcPr>
            <w:tcW w:w="626" w:type="dxa"/>
          </w:tcPr>
          <w:p w14:paraId="64D77A34" w14:textId="77777777" w:rsidR="004D12C8" w:rsidRPr="0067054C" w:rsidRDefault="004D12C8" w:rsidP="00672286">
            <w:pPr>
              <w:spacing w:line="480" w:lineRule="auto"/>
            </w:pPr>
          </w:p>
        </w:tc>
      </w:tr>
      <w:tr w:rsidR="004D12C8" w:rsidRPr="0067054C" w14:paraId="7EA36F95" w14:textId="39781381" w:rsidTr="00906EF9">
        <w:trPr>
          <w:trHeight w:val="546"/>
        </w:trPr>
        <w:tc>
          <w:tcPr>
            <w:tcW w:w="3294" w:type="dxa"/>
          </w:tcPr>
          <w:p w14:paraId="1A31BC8C" w14:textId="77777777" w:rsidR="004D12C8" w:rsidRPr="0067054C" w:rsidRDefault="004D12C8" w:rsidP="00672286">
            <w:pPr>
              <w:spacing w:line="480" w:lineRule="auto"/>
              <w:rPr>
                <w:b/>
                <w:bCs/>
              </w:rPr>
            </w:pPr>
            <w:r w:rsidRPr="0067054C">
              <w:t>Branch and stem biomass</w:t>
            </w:r>
          </w:p>
        </w:tc>
        <w:tc>
          <w:tcPr>
            <w:tcW w:w="3965" w:type="dxa"/>
          </w:tcPr>
          <w:p w14:paraId="011B14F0" w14:textId="77777777" w:rsidR="004D12C8" w:rsidRPr="0067054C" w:rsidRDefault="004D12C8" w:rsidP="00672286">
            <w:pPr>
              <w:spacing w:line="480" w:lineRule="auto"/>
              <w:rPr>
                <w:b/>
                <w:bCs/>
                <w:lang w:val="es-ES"/>
              </w:rPr>
            </w:pPr>
            <w:r w:rsidRPr="0067054C">
              <w:rPr>
                <w:lang w:val="es-ES"/>
              </w:rPr>
              <w:t xml:space="preserve">Log(B) = 2.09 x </w:t>
            </w:r>
            <w:proofErr w:type="gramStart"/>
            <w:r w:rsidRPr="0067054C">
              <w:rPr>
                <w:lang w:val="es-ES"/>
              </w:rPr>
              <w:t>Log(</w:t>
            </w:r>
            <w:proofErr w:type="gramEnd"/>
            <w:r w:rsidRPr="0067054C">
              <w:rPr>
                <w:lang w:val="es-ES"/>
              </w:rPr>
              <w:t>CD) + 0.15</w:t>
            </w:r>
          </w:p>
        </w:tc>
        <w:tc>
          <w:tcPr>
            <w:tcW w:w="658" w:type="dxa"/>
          </w:tcPr>
          <w:p w14:paraId="06FEF902" w14:textId="77777777" w:rsidR="004D12C8" w:rsidRPr="0067054C" w:rsidRDefault="004D12C8" w:rsidP="00672286">
            <w:pPr>
              <w:spacing w:line="480" w:lineRule="auto"/>
              <w:rPr>
                <w:b/>
                <w:bCs/>
              </w:rPr>
            </w:pPr>
            <w:r w:rsidRPr="0067054C">
              <w:t>0.89</w:t>
            </w:r>
          </w:p>
        </w:tc>
        <w:tc>
          <w:tcPr>
            <w:tcW w:w="626" w:type="dxa"/>
          </w:tcPr>
          <w:p w14:paraId="4E9103F2" w14:textId="77777777" w:rsidR="004D12C8" w:rsidRPr="0067054C" w:rsidRDefault="004D12C8" w:rsidP="00672286">
            <w:pPr>
              <w:spacing w:line="480" w:lineRule="auto"/>
            </w:pPr>
          </w:p>
        </w:tc>
        <w:tc>
          <w:tcPr>
            <w:tcW w:w="626" w:type="dxa"/>
          </w:tcPr>
          <w:p w14:paraId="2C512AB7" w14:textId="682A5628" w:rsidR="004D12C8" w:rsidRPr="0067054C" w:rsidRDefault="004D12C8" w:rsidP="00672286">
            <w:pPr>
              <w:spacing w:line="480" w:lineRule="auto"/>
            </w:pPr>
            <w:r>
              <w:t>17</w:t>
            </w:r>
          </w:p>
        </w:tc>
        <w:tc>
          <w:tcPr>
            <w:tcW w:w="626" w:type="dxa"/>
          </w:tcPr>
          <w:p w14:paraId="40E0731D" w14:textId="77777777" w:rsidR="004D12C8" w:rsidRPr="0067054C" w:rsidRDefault="004D12C8" w:rsidP="00672286">
            <w:pPr>
              <w:spacing w:line="480" w:lineRule="auto"/>
            </w:pPr>
          </w:p>
        </w:tc>
      </w:tr>
      <w:tr w:rsidR="004D12C8" w:rsidRPr="0067054C" w14:paraId="56FB8770" w14:textId="7DAD080F" w:rsidTr="00906EF9">
        <w:trPr>
          <w:trHeight w:val="503"/>
        </w:trPr>
        <w:tc>
          <w:tcPr>
            <w:tcW w:w="3294" w:type="dxa"/>
          </w:tcPr>
          <w:p w14:paraId="5EFC92C3" w14:textId="77777777" w:rsidR="004D12C8" w:rsidRPr="0067054C" w:rsidRDefault="004D12C8" w:rsidP="00672286">
            <w:pPr>
              <w:spacing w:line="480" w:lineRule="auto"/>
              <w:rPr>
                <w:b/>
                <w:bCs/>
              </w:rPr>
            </w:pPr>
            <w:r w:rsidRPr="0067054C">
              <w:t>Convert DBH to crown diameter</w:t>
            </w:r>
          </w:p>
        </w:tc>
        <w:tc>
          <w:tcPr>
            <w:tcW w:w="3965" w:type="dxa"/>
          </w:tcPr>
          <w:p w14:paraId="1A972D2A" w14:textId="77777777" w:rsidR="004D12C8" w:rsidRPr="0067054C" w:rsidRDefault="004D12C8" w:rsidP="00672286">
            <w:pPr>
              <w:spacing w:line="480" w:lineRule="auto"/>
              <w:rPr>
                <w:b/>
                <w:bCs/>
              </w:rPr>
            </w:pPr>
            <w:r w:rsidRPr="0067054C">
              <w:t>CD = 0.3831 x DBH + 0.6863*</w:t>
            </w:r>
          </w:p>
        </w:tc>
        <w:tc>
          <w:tcPr>
            <w:tcW w:w="658" w:type="dxa"/>
          </w:tcPr>
          <w:p w14:paraId="34AC746F" w14:textId="77777777" w:rsidR="004D12C8" w:rsidRPr="0067054C" w:rsidRDefault="004D12C8" w:rsidP="00672286">
            <w:pPr>
              <w:spacing w:line="480" w:lineRule="auto"/>
              <w:rPr>
                <w:b/>
                <w:bCs/>
              </w:rPr>
            </w:pPr>
            <w:r w:rsidRPr="0067054C">
              <w:t>0.53</w:t>
            </w:r>
          </w:p>
        </w:tc>
        <w:tc>
          <w:tcPr>
            <w:tcW w:w="626" w:type="dxa"/>
          </w:tcPr>
          <w:p w14:paraId="721B1032" w14:textId="77777777" w:rsidR="004D12C8" w:rsidRPr="0067054C" w:rsidRDefault="004D12C8" w:rsidP="00672286">
            <w:pPr>
              <w:spacing w:line="480" w:lineRule="auto"/>
            </w:pPr>
          </w:p>
        </w:tc>
        <w:tc>
          <w:tcPr>
            <w:tcW w:w="626" w:type="dxa"/>
          </w:tcPr>
          <w:p w14:paraId="13494BF9" w14:textId="156B296B" w:rsidR="004D12C8" w:rsidRPr="0067054C" w:rsidRDefault="002875C2" w:rsidP="00672286">
            <w:pPr>
              <w:spacing w:line="480" w:lineRule="auto"/>
            </w:pPr>
            <w:r>
              <w:t>6978</w:t>
            </w:r>
          </w:p>
        </w:tc>
        <w:tc>
          <w:tcPr>
            <w:tcW w:w="626" w:type="dxa"/>
          </w:tcPr>
          <w:p w14:paraId="7DF44208" w14:textId="77777777" w:rsidR="004D12C8" w:rsidRPr="0067054C" w:rsidRDefault="004D12C8" w:rsidP="00672286">
            <w:pPr>
              <w:spacing w:line="480" w:lineRule="auto"/>
            </w:pPr>
          </w:p>
        </w:tc>
      </w:tr>
    </w:tbl>
    <w:p w14:paraId="0A87A79C" w14:textId="77777777" w:rsidR="009C75D7" w:rsidRDefault="009C75D7" w:rsidP="009C75D7">
      <w:pPr>
        <w:spacing w:line="480" w:lineRule="auto"/>
        <w:rPr>
          <w:b/>
          <w:bCs/>
        </w:rPr>
      </w:pPr>
    </w:p>
    <w:p w14:paraId="1135CFEF" w14:textId="75B3021E" w:rsidR="009C75D7" w:rsidRPr="00AB0EF4" w:rsidRDefault="009C75D7" w:rsidP="009C75D7">
      <w:pPr>
        <w:pStyle w:val="Heading2"/>
        <w:rPr>
          <w:rFonts w:asciiTheme="minorHAnsi" w:hAnsiTheme="minorHAnsi" w:cstheme="minorHAnsi"/>
          <w:b/>
          <w:bCs/>
          <w:color w:val="auto"/>
        </w:rPr>
      </w:pPr>
      <w:bookmarkStart w:id="47" w:name="_Toc120622136"/>
      <w:r>
        <w:rPr>
          <w:rFonts w:asciiTheme="minorHAnsi" w:hAnsiTheme="minorHAnsi" w:cstheme="minorHAnsi"/>
          <w:b/>
          <w:bCs/>
          <w:color w:val="auto"/>
        </w:rPr>
        <w:t>4</w:t>
      </w:r>
      <w:r w:rsidRPr="00AB0EF4">
        <w:rPr>
          <w:rFonts w:asciiTheme="minorHAnsi" w:hAnsiTheme="minorHAnsi" w:cstheme="minorHAnsi"/>
          <w:b/>
          <w:bCs/>
          <w:color w:val="auto"/>
        </w:rPr>
        <w:t>.4</w:t>
      </w:r>
      <w:r w:rsidRPr="00AB0EF4">
        <w:rPr>
          <w:rFonts w:asciiTheme="minorHAnsi" w:hAnsiTheme="minorHAnsi" w:cstheme="minorHAnsi"/>
          <w:b/>
          <w:bCs/>
          <w:color w:val="auto"/>
        </w:rPr>
        <w:tab/>
        <w:t>Results</w:t>
      </w:r>
      <w:bookmarkEnd w:id="47"/>
    </w:p>
    <w:p w14:paraId="5876C982" w14:textId="2B08D45C" w:rsidR="009C75D7" w:rsidRPr="00733EE3" w:rsidRDefault="009C75D7" w:rsidP="009C75D7">
      <w:pPr>
        <w:pStyle w:val="Heading3"/>
        <w:rPr>
          <w:rFonts w:asciiTheme="minorHAnsi" w:hAnsiTheme="minorHAnsi" w:cstheme="minorHAnsi"/>
          <w:b/>
          <w:bCs/>
          <w:color w:val="auto"/>
          <w:lang w:val="en-GB"/>
        </w:rPr>
      </w:pPr>
      <w:bookmarkStart w:id="48" w:name="_Toc120622137"/>
      <w:r w:rsidRPr="00733EE3">
        <w:rPr>
          <w:rFonts w:asciiTheme="minorHAnsi" w:hAnsiTheme="minorHAnsi" w:cstheme="minorHAnsi"/>
          <w:b/>
          <w:bCs/>
          <w:color w:val="auto"/>
          <w:lang w:val="en-GB"/>
        </w:rPr>
        <w:t>4.4.1</w:t>
      </w:r>
      <w:r w:rsidRPr="00733EE3">
        <w:rPr>
          <w:rFonts w:asciiTheme="minorHAnsi" w:hAnsiTheme="minorHAnsi" w:cstheme="minorHAnsi"/>
          <w:b/>
          <w:bCs/>
          <w:color w:val="auto"/>
          <w:lang w:val="en-GB"/>
        </w:rPr>
        <w:tab/>
        <w:t>Stand Characteristics of Qatar Mangroves</w:t>
      </w:r>
      <w:bookmarkEnd w:id="48"/>
    </w:p>
    <w:p w14:paraId="601D5737" w14:textId="3DA4CF2F" w:rsidR="009C75D7" w:rsidRPr="0067054C" w:rsidRDefault="009C75D7" w:rsidP="009C75D7">
      <w:pPr>
        <w:tabs>
          <w:tab w:val="left" w:pos="1350"/>
        </w:tabs>
        <w:spacing w:line="480" w:lineRule="auto"/>
      </w:pPr>
      <w:r w:rsidRPr="0067054C">
        <w:rPr>
          <w:iCs/>
        </w:rPr>
        <w:t>M</w:t>
      </w:r>
      <w:r w:rsidRPr="0067054C">
        <w:t>ean ± standard error (</w:t>
      </w:r>
      <w:proofErr w:type="spellStart"/>
      <w:r w:rsidRPr="0067054C">
        <w:t>s.e.m</w:t>
      </w:r>
      <w:proofErr w:type="spellEnd"/>
      <w:r w:rsidRPr="0067054C">
        <w:t>) tree density, crown diameter (CD) and tree height (H) were 2589 ± 267 trees ha</w:t>
      </w:r>
      <w:r w:rsidRPr="0067054C">
        <w:rPr>
          <w:vertAlign w:val="superscript"/>
        </w:rPr>
        <w:t>-1</w:t>
      </w:r>
      <w:r w:rsidRPr="0067054C">
        <w:t xml:space="preserve">, 1.57 ± 0.08 m and 1.92 ± 0.09 m, respectively (Table </w:t>
      </w:r>
      <w:r>
        <w:t>4.</w:t>
      </w:r>
      <w:r w:rsidRPr="0067054C">
        <w:t xml:space="preserve">2). Trees excavated for use in allometric models had mean CD and </w:t>
      </w:r>
      <w:r w:rsidR="008C11B0">
        <w:t xml:space="preserve">a mean </w:t>
      </w:r>
      <w:r w:rsidRPr="0067054C">
        <w:t>H of 1.18 ± 0.10 m and 1.03 ± 0.67 m respectively</w:t>
      </w:r>
      <w:r w:rsidR="00F60530">
        <w:t xml:space="preserve">, which was </w:t>
      </w:r>
      <w:r w:rsidR="00F96134">
        <w:t>similar</w:t>
      </w:r>
      <w:r w:rsidR="00F60530">
        <w:t xml:space="preserve"> to those in the studied sites where mean CD and H were </w:t>
      </w:r>
      <w:r w:rsidR="00BE7F8A" w:rsidRPr="0067054C">
        <w:t>1.</w:t>
      </w:r>
      <w:r w:rsidR="003424BE">
        <w:t>27</w:t>
      </w:r>
      <w:r w:rsidR="00BE7F8A" w:rsidRPr="0067054C">
        <w:t xml:space="preserve"> ± 0.10 m and 1.</w:t>
      </w:r>
      <w:r w:rsidR="003424BE">
        <w:t>71</w:t>
      </w:r>
      <w:r w:rsidR="00BE7F8A" w:rsidRPr="0067054C">
        <w:t xml:space="preserve"> ± 0.67 m</w:t>
      </w:r>
      <w:r w:rsidR="00F60530">
        <w:t>, respectively</w:t>
      </w:r>
      <w:r w:rsidRPr="0067054C">
        <w:t>. Site and mangrove zone had interactive effects on CD (ANOVA: F</w:t>
      </w:r>
      <w:r w:rsidRPr="0067054C">
        <w:rPr>
          <w:vertAlign w:val="subscript"/>
        </w:rPr>
        <w:t>4, 691</w:t>
      </w:r>
      <w:r w:rsidRPr="0067054C">
        <w:t xml:space="preserve"> = 5.03, p&lt;0.01) and height (ANOVA: F</w:t>
      </w:r>
      <w:r w:rsidRPr="0067054C">
        <w:rPr>
          <w:vertAlign w:val="subscript"/>
        </w:rPr>
        <w:t>4, 691</w:t>
      </w:r>
      <w:r w:rsidRPr="0067054C">
        <w:t xml:space="preserve"> = 16.02, p&lt;0.01, p&lt;0.01). A greater CD was generally associated with low tidal zones and the tallest trees were in West Al </w:t>
      </w:r>
      <w:proofErr w:type="spellStart"/>
      <w:r w:rsidRPr="0067054C">
        <w:t>Dhakira</w:t>
      </w:r>
      <w:proofErr w:type="spellEnd"/>
      <w:r w:rsidRPr="0067054C">
        <w:t xml:space="preserve">. Shorter trees were found in high tidal areas, particularly in Al Khor. Tree biomass </w:t>
      </w:r>
      <w:r w:rsidR="004960CF">
        <w:t xml:space="preserve">averaged </w:t>
      </w:r>
      <w:r w:rsidRPr="0067054C">
        <w:t>23.93 ± 1.39 Mg ha</w:t>
      </w:r>
      <w:r w:rsidRPr="0067054C">
        <w:rPr>
          <w:vertAlign w:val="superscript"/>
        </w:rPr>
        <w:t>-1</w:t>
      </w:r>
      <w:r w:rsidR="004960CF">
        <w:t xml:space="preserve">, </w:t>
      </w:r>
      <w:r w:rsidRPr="0067054C">
        <w:t>substantially greater below ground (14.54 ± 0.98 Mg ha</w:t>
      </w:r>
      <w:r w:rsidRPr="0067054C">
        <w:rPr>
          <w:vertAlign w:val="superscript"/>
        </w:rPr>
        <w:t>-1</w:t>
      </w:r>
      <w:r w:rsidRPr="0067054C">
        <w:t>) than aboveground (9.39 ± 0.94 Mg ha</w:t>
      </w:r>
      <w:r w:rsidRPr="0067054C">
        <w:rPr>
          <w:vertAlign w:val="superscript"/>
        </w:rPr>
        <w:t>-1</w:t>
      </w:r>
      <w:r w:rsidRPr="0067054C">
        <w:t xml:space="preserve">), with below ground biomass ratio averaging 0.61 ± 0.02. </w:t>
      </w:r>
    </w:p>
    <w:p w14:paraId="60A7D4C3" w14:textId="77777777" w:rsidR="009C75D7" w:rsidRPr="0067054C" w:rsidRDefault="009C75D7" w:rsidP="009C75D7">
      <w:pPr>
        <w:tabs>
          <w:tab w:val="left" w:pos="1350"/>
        </w:tabs>
        <w:spacing w:line="480" w:lineRule="auto"/>
      </w:pPr>
    </w:p>
    <w:p w14:paraId="219A1961" w14:textId="7F0622E6" w:rsidR="009C75D7" w:rsidRPr="00733EE3" w:rsidRDefault="009C75D7" w:rsidP="009C75D7">
      <w:pPr>
        <w:pStyle w:val="Heading3"/>
        <w:rPr>
          <w:rFonts w:asciiTheme="minorHAnsi" w:hAnsiTheme="minorHAnsi" w:cstheme="minorHAnsi"/>
          <w:b/>
          <w:bCs/>
          <w:color w:val="auto"/>
          <w:lang w:val="en-GB"/>
        </w:rPr>
      </w:pPr>
      <w:bookmarkStart w:id="49" w:name="_Toc120622138"/>
      <w:r w:rsidRPr="00733EE3">
        <w:rPr>
          <w:rFonts w:asciiTheme="minorHAnsi" w:hAnsiTheme="minorHAnsi" w:cstheme="minorHAnsi"/>
          <w:b/>
          <w:bCs/>
          <w:color w:val="auto"/>
          <w:lang w:val="en-GB"/>
        </w:rPr>
        <w:lastRenderedPageBreak/>
        <w:t>4.4.2</w:t>
      </w:r>
      <w:r w:rsidRPr="00733EE3">
        <w:rPr>
          <w:rFonts w:asciiTheme="minorHAnsi" w:hAnsiTheme="minorHAnsi" w:cstheme="minorHAnsi"/>
          <w:b/>
          <w:bCs/>
          <w:color w:val="auto"/>
          <w:lang w:val="en-GB"/>
        </w:rPr>
        <w:tab/>
        <w:t>Tree Allometry</w:t>
      </w:r>
      <w:bookmarkEnd w:id="49"/>
    </w:p>
    <w:p w14:paraId="2FCC5E3A" w14:textId="77777777" w:rsidR="009C75D7" w:rsidRPr="0067054C" w:rsidRDefault="009C75D7" w:rsidP="009C75D7">
      <w:pPr>
        <w:spacing w:line="480" w:lineRule="auto"/>
      </w:pPr>
      <w:r w:rsidRPr="0067054C">
        <w:t xml:space="preserve">Crown Diameter (CD) was a better predictor than tree height (H) for all tree components. Subsequently, only CD was used as a predictor in allometric equations (Table </w:t>
      </w:r>
      <w:r>
        <w:t>4.</w:t>
      </w:r>
      <w:r w:rsidRPr="0067054C">
        <w:t>1). The relationship between aboveground biomass and CD varied between global locations. With increase in size (CD), Australian trees grew proportionally more aboveground and below ground biomass than Qatari trees, however, Qatari trees had a steeper above and below ground biomass increase with size than Australian trees. ANCOVA confirmed these differences between Australia, Qatar and Iran aboveground (ANCOVA: F</w:t>
      </w:r>
      <w:r w:rsidRPr="0067054C">
        <w:rPr>
          <w:vertAlign w:val="subscript"/>
        </w:rPr>
        <w:t xml:space="preserve">5,32 </w:t>
      </w:r>
      <w:r w:rsidRPr="0067054C">
        <w:t>= 51.63, p&lt;0.01, Fig</w:t>
      </w:r>
      <w:r>
        <w:t>ure</w:t>
      </w:r>
      <w:r w:rsidRPr="0067054C">
        <w:t xml:space="preserve"> </w:t>
      </w:r>
      <w:r>
        <w:t>4.1</w:t>
      </w:r>
      <w:r w:rsidRPr="0067054C">
        <w:t>a) and below ground biomass (ANCOVA: F</w:t>
      </w:r>
      <w:r w:rsidRPr="0067054C">
        <w:rPr>
          <w:vertAlign w:val="subscript"/>
        </w:rPr>
        <w:t xml:space="preserve">3,25 </w:t>
      </w:r>
      <w:r w:rsidRPr="0067054C">
        <w:t>= 194.7, p&lt;0.01, Fig</w:t>
      </w:r>
      <w:r>
        <w:t>ure</w:t>
      </w:r>
      <w:r w:rsidRPr="0067054C">
        <w:t xml:space="preserve"> </w:t>
      </w:r>
      <w:r>
        <w:t>4.1</w:t>
      </w:r>
      <w:r w:rsidRPr="0067054C">
        <w:t>b).</w:t>
      </w:r>
    </w:p>
    <w:p w14:paraId="4E47B58E" w14:textId="77777777" w:rsidR="009C75D7" w:rsidRPr="0067054C" w:rsidRDefault="009C75D7" w:rsidP="009C75D7">
      <w:pPr>
        <w:widowControl w:val="0"/>
        <w:autoSpaceDE w:val="0"/>
        <w:autoSpaceDN w:val="0"/>
        <w:adjustRightInd w:val="0"/>
        <w:spacing w:line="480" w:lineRule="auto"/>
      </w:pPr>
      <w:r w:rsidRPr="0067054C">
        <w:rPr>
          <w:noProof/>
          <w:lang w:eastAsia="en-GB"/>
        </w:rPr>
        <w:lastRenderedPageBreak/>
        <w:drawing>
          <wp:inline distT="0" distB="0" distL="0" distR="0" wp14:anchorId="2E8AD925" wp14:editId="5FE1CAA6">
            <wp:extent cx="4855434" cy="5748950"/>
            <wp:effectExtent l="0" t="0" r="0" b="4445"/>
            <wp:docPr id="20" name="Picture 20" descr="A close up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01-01.tif"/>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898886" cy="5800398"/>
                    </a:xfrm>
                    <a:prstGeom prst="rect">
                      <a:avLst/>
                    </a:prstGeom>
                  </pic:spPr>
                </pic:pic>
              </a:graphicData>
            </a:graphic>
          </wp:inline>
        </w:drawing>
      </w:r>
    </w:p>
    <w:p w14:paraId="300CE44D" w14:textId="77777777" w:rsidR="009C75D7" w:rsidRPr="002F756C" w:rsidRDefault="009C75D7" w:rsidP="009C75D7">
      <w:pPr>
        <w:rPr>
          <w:b/>
          <w:bCs/>
          <w:sz w:val="20"/>
          <w:szCs w:val="20"/>
        </w:rPr>
      </w:pPr>
      <w:r w:rsidRPr="002F756C">
        <w:rPr>
          <w:b/>
          <w:bCs/>
          <w:sz w:val="20"/>
          <w:szCs w:val="20"/>
        </w:rPr>
        <w:t xml:space="preserve">Figure </w:t>
      </w:r>
      <w:r>
        <w:rPr>
          <w:b/>
          <w:bCs/>
          <w:sz w:val="20"/>
          <w:szCs w:val="20"/>
        </w:rPr>
        <w:t>4.1</w:t>
      </w:r>
      <w:r w:rsidRPr="002F756C">
        <w:rPr>
          <w:b/>
          <w:bCs/>
          <w:sz w:val="20"/>
          <w:szCs w:val="20"/>
        </w:rPr>
        <w:t xml:space="preserve">: Allometric relationships of a) aboveground and b) below ground biomass with crown diameter for </w:t>
      </w:r>
      <w:r w:rsidRPr="002F756C">
        <w:rPr>
          <w:b/>
          <w:bCs/>
          <w:i/>
          <w:iCs/>
          <w:sz w:val="20"/>
          <w:szCs w:val="20"/>
        </w:rPr>
        <w:t xml:space="preserve">A. marina </w:t>
      </w:r>
      <w:r w:rsidRPr="002F756C">
        <w:rPr>
          <w:b/>
          <w:bCs/>
          <w:sz w:val="20"/>
          <w:szCs w:val="20"/>
        </w:rPr>
        <w:t xml:space="preserve">trees of three global locations. Australia data were from Connolly and McGuiness (2005), Iran data from </w:t>
      </w:r>
      <w:r w:rsidRPr="002F756C">
        <w:rPr>
          <w:b/>
          <w:bCs/>
          <w:sz w:val="20"/>
          <w:szCs w:val="20"/>
        </w:rPr>
        <w:fldChar w:fldCharType="begin" w:fldLock="1"/>
      </w:r>
      <w:r w:rsidRPr="002F756C">
        <w:rPr>
          <w:b/>
          <w:bCs/>
          <w:sz w:val="20"/>
          <w:szCs w:val="20"/>
        </w:rPr>
        <w:instrText>ADDIN CSL_CITATION {"citationItems":[{"id":"ITEM-1","itemData":{"author":[{"dropping-particle":"","family":"Parvaresh","given":"Hossein","non-dropping-particle":"","parse-names":false,"suffix":""},{"dropping-particle":"","family":"Parvaresh","given":"Elyas","non-dropping-particle":"","parse-names":false,"suffix":""},{"dropping-particle":"","family":"Zahedi","given":"Ghavamaldin","non-dropping-particle":"","parse-names":false,"suffix":""}],"container-title":"J. Basic. Appl. Sci. Res.","id":"ITEM-1","issue":"2","issued":{"date-parts":[["2012"]]},"page":"1763-1769","title":"Establishing Allometric Relationship Using Crown Diameter for the Estimation of above-Ground Biomass of Grey Mangrove , Avicennia marina ( Forsk ) Vierh in Mangrove Forests of Sirik , Iran","type":"article-journal","volume":"2"},"uris":["http://www.mendeley.com/documents/?uuid=b62073f6-4197-4512-b937-606150d4911f"]}],"mendeley":{"formattedCitation":"(Parvaresh et al., 2012)","manualFormatting":"Parvaresh et al. (2012)","plainTextFormattedCitation":"(Parvaresh et al., 2012)","previouslyFormattedCitation":"(Parvaresh et al., 2012)"},"properties":{"noteIndex":0},"schema":"https://github.com/citation-style-language/schema/raw/master/csl-citation.json"}</w:instrText>
      </w:r>
      <w:r w:rsidRPr="002F756C">
        <w:rPr>
          <w:b/>
          <w:bCs/>
          <w:sz w:val="20"/>
          <w:szCs w:val="20"/>
        </w:rPr>
        <w:fldChar w:fldCharType="separate"/>
      </w:r>
      <w:r w:rsidRPr="002F756C">
        <w:rPr>
          <w:b/>
          <w:bCs/>
          <w:noProof/>
          <w:sz w:val="20"/>
          <w:szCs w:val="20"/>
        </w:rPr>
        <w:t>Parvaresh et al. (2012)</w:t>
      </w:r>
      <w:r w:rsidRPr="002F756C">
        <w:rPr>
          <w:b/>
          <w:bCs/>
          <w:sz w:val="20"/>
          <w:szCs w:val="20"/>
        </w:rPr>
        <w:fldChar w:fldCharType="end"/>
      </w:r>
      <w:r w:rsidRPr="002F756C">
        <w:rPr>
          <w:b/>
          <w:bCs/>
          <w:sz w:val="20"/>
          <w:szCs w:val="20"/>
        </w:rPr>
        <w:t>. Solid and dashed lines represent mean and 95% CI’s colour coded for each location.</w:t>
      </w:r>
    </w:p>
    <w:p w14:paraId="799F1E08" w14:textId="77777777" w:rsidR="009C75D7" w:rsidRPr="0067054C" w:rsidRDefault="009C75D7" w:rsidP="009C75D7">
      <w:pPr>
        <w:tabs>
          <w:tab w:val="left" w:pos="1350"/>
        </w:tabs>
        <w:spacing w:line="480" w:lineRule="auto"/>
        <w:sectPr w:rsidR="009C75D7" w:rsidRPr="0067054C" w:rsidSect="001468EE">
          <w:pgSz w:w="11906" w:h="16838"/>
          <w:pgMar w:top="1440" w:right="1440" w:bottom="1440" w:left="1440" w:header="720" w:footer="720" w:gutter="0"/>
          <w:cols w:space="720"/>
          <w:docGrid w:linePitch="360"/>
        </w:sectPr>
      </w:pPr>
    </w:p>
    <w:tbl>
      <w:tblPr>
        <w:tblpPr w:leftFromText="180" w:rightFromText="180" w:tblpY="551"/>
        <w:tblW w:w="13081" w:type="dxa"/>
        <w:tblBorders>
          <w:top w:val="single" w:sz="4" w:space="0" w:color="auto"/>
          <w:bottom w:val="single" w:sz="4" w:space="0" w:color="auto"/>
        </w:tblBorders>
        <w:tblLook w:val="04A0" w:firstRow="1" w:lastRow="0" w:firstColumn="1" w:lastColumn="0" w:noHBand="0" w:noVBand="1"/>
      </w:tblPr>
      <w:tblGrid>
        <w:gridCol w:w="1786"/>
        <w:gridCol w:w="2186"/>
        <w:gridCol w:w="1786"/>
        <w:gridCol w:w="1786"/>
        <w:gridCol w:w="1965"/>
        <w:gridCol w:w="1786"/>
        <w:gridCol w:w="1786"/>
      </w:tblGrid>
      <w:tr w:rsidR="009C75D7" w:rsidRPr="00D67122" w14:paraId="1635644C" w14:textId="77777777" w:rsidTr="00672286">
        <w:trPr>
          <w:trHeight w:val="311"/>
        </w:trPr>
        <w:tc>
          <w:tcPr>
            <w:tcW w:w="1786" w:type="dxa"/>
            <w:tcBorders>
              <w:top w:val="single" w:sz="4" w:space="0" w:color="auto"/>
              <w:bottom w:val="single" w:sz="4" w:space="0" w:color="auto"/>
            </w:tcBorders>
            <w:shd w:val="clear" w:color="auto" w:fill="auto"/>
            <w:noWrap/>
            <w:vAlign w:val="bottom"/>
            <w:hideMark/>
          </w:tcPr>
          <w:p w14:paraId="685024B8" w14:textId="77777777" w:rsidR="009C75D7" w:rsidRPr="00D67122" w:rsidRDefault="009C75D7" w:rsidP="00672286">
            <w:pPr>
              <w:jc w:val="center"/>
              <w:rPr>
                <w:rFonts w:ascii="Calibri" w:eastAsia="Times New Roman" w:hAnsi="Calibri" w:cs="Times New Roman"/>
                <w:b/>
                <w:bCs/>
                <w:color w:val="000000"/>
                <w:sz w:val="22"/>
                <w:szCs w:val="22"/>
                <w:lang w:eastAsia="en-GB"/>
              </w:rPr>
            </w:pPr>
            <w:r w:rsidRPr="00D67122">
              <w:rPr>
                <w:rFonts w:ascii="Calibri" w:eastAsia="Times New Roman" w:hAnsi="Calibri" w:cs="Times New Roman"/>
                <w:b/>
                <w:bCs/>
                <w:color w:val="000000"/>
                <w:sz w:val="22"/>
                <w:szCs w:val="22"/>
                <w:lang w:eastAsia="en-GB"/>
              </w:rPr>
              <w:lastRenderedPageBreak/>
              <w:t>Intertidal depth</w:t>
            </w:r>
          </w:p>
        </w:tc>
        <w:tc>
          <w:tcPr>
            <w:tcW w:w="2186" w:type="dxa"/>
            <w:tcBorders>
              <w:top w:val="single" w:sz="4" w:space="0" w:color="auto"/>
              <w:bottom w:val="single" w:sz="4" w:space="0" w:color="auto"/>
            </w:tcBorders>
            <w:shd w:val="clear" w:color="auto" w:fill="auto"/>
            <w:noWrap/>
            <w:vAlign w:val="bottom"/>
            <w:hideMark/>
          </w:tcPr>
          <w:p w14:paraId="659DA4F2" w14:textId="77777777" w:rsidR="009C75D7" w:rsidRPr="00D67122" w:rsidRDefault="009C75D7" w:rsidP="00672286">
            <w:pPr>
              <w:jc w:val="center"/>
              <w:rPr>
                <w:rFonts w:ascii="Calibri" w:eastAsia="Times New Roman" w:hAnsi="Calibri" w:cs="Times New Roman"/>
                <w:b/>
                <w:bCs/>
                <w:color w:val="000000"/>
                <w:sz w:val="22"/>
                <w:szCs w:val="22"/>
                <w:lang w:eastAsia="en-GB"/>
              </w:rPr>
            </w:pPr>
            <w:r w:rsidRPr="00D67122">
              <w:rPr>
                <w:rFonts w:ascii="Calibri" w:eastAsia="Times New Roman" w:hAnsi="Calibri" w:cs="Times New Roman"/>
                <w:b/>
                <w:bCs/>
                <w:color w:val="000000"/>
                <w:sz w:val="22"/>
                <w:szCs w:val="22"/>
                <w:lang w:eastAsia="en-GB"/>
              </w:rPr>
              <w:t>Density trees ha</w:t>
            </w:r>
            <w:r w:rsidRPr="00D67122">
              <w:rPr>
                <w:rFonts w:ascii="Calibri" w:eastAsia="Times New Roman" w:hAnsi="Calibri" w:cs="Times New Roman"/>
                <w:b/>
                <w:bCs/>
                <w:color w:val="000000"/>
                <w:sz w:val="22"/>
                <w:szCs w:val="22"/>
                <w:vertAlign w:val="superscript"/>
                <w:lang w:eastAsia="en-GB"/>
              </w:rPr>
              <w:t>-1</w:t>
            </w:r>
          </w:p>
        </w:tc>
        <w:tc>
          <w:tcPr>
            <w:tcW w:w="1786" w:type="dxa"/>
            <w:tcBorders>
              <w:top w:val="single" w:sz="4" w:space="0" w:color="auto"/>
              <w:bottom w:val="single" w:sz="4" w:space="0" w:color="auto"/>
            </w:tcBorders>
            <w:shd w:val="clear" w:color="auto" w:fill="auto"/>
            <w:noWrap/>
            <w:vAlign w:val="bottom"/>
            <w:hideMark/>
          </w:tcPr>
          <w:p w14:paraId="6BCDCCA6" w14:textId="77777777" w:rsidR="009C75D7" w:rsidRPr="00D67122" w:rsidRDefault="009C75D7" w:rsidP="00672286">
            <w:pPr>
              <w:jc w:val="center"/>
              <w:rPr>
                <w:rFonts w:ascii="Calibri" w:eastAsia="Times New Roman" w:hAnsi="Calibri" w:cs="Times New Roman"/>
                <w:b/>
                <w:bCs/>
                <w:color w:val="000000"/>
                <w:sz w:val="22"/>
                <w:szCs w:val="22"/>
                <w:lang w:eastAsia="en-GB"/>
              </w:rPr>
            </w:pPr>
            <w:r w:rsidRPr="00D67122">
              <w:rPr>
                <w:rFonts w:ascii="Calibri" w:eastAsia="Times New Roman" w:hAnsi="Calibri" w:cs="Times New Roman"/>
                <w:b/>
                <w:bCs/>
                <w:color w:val="000000"/>
                <w:sz w:val="22"/>
                <w:szCs w:val="22"/>
                <w:lang w:eastAsia="en-GB"/>
              </w:rPr>
              <w:t>CD (m)</w:t>
            </w:r>
          </w:p>
        </w:tc>
        <w:tc>
          <w:tcPr>
            <w:tcW w:w="1786" w:type="dxa"/>
            <w:tcBorders>
              <w:top w:val="single" w:sz="4" w:space="0" w:color="auto"/>
              <w:bottom w:val="single" w:sz="4" w:space="0" w:color="auto"/>
            </w:tcBorders>
            <w:shd w:val="clear" w:color="auto" w:fill="auto"/>
            <w:noWrap/>
            <w:vAlign w:val="bottom"/>
            <w:hideMark/>
          </w:tcPr>
          <w:p w14:paraId="5130FC5B" w14:textId="77777777" w:rsidR="009C75D7" w:rsidRPr="00D67122" w:rsidRDefault="009C75D7" w:rsidP="00672286">
            <w:pPr>
              <w:jc w:val="center"/>
              <w:rPr>
                <w:rFonts w:ascii="Calibri" w:eastAsia="Times New Roman" w:hAnsi="Calibri" w:cs="Times New Roman"/>
                <w:b/>
                <w:bCs/>
                <w:color w:val="000000"/>
                <w:sz w:val="22"/>
                <w:szCs w:val="22"/>
                <w:lang w:eastAsia="en-GB"/>
              </w:rPr>
            </w:pPr>
            <w:r w:rsidRPr="00D67122">
              <w:rPr>
                <w:rFonts w:ascii="Calibri" w:eastAsia="Times New Roman" w:hAnsi="Calibri" w:cs="Times New Roman"/>
                <w:b/>
                <w:bCs/>
                <w:color w:val="000000"/>
                <w:sz w:val="22"/>
                <w:szCs w:val="22"/>
                <w:lang w:eastAsia="en-GB"/>
              </w:rPr>
              <w:t>H (m)</w:t>
            </w:r>
          </w:p>
        </w:tc>
        <w:tc>
          <w:tcPr>
            <w:tcW w:w="1965" w:type="dxa"/>
            <w:tcBorders>
              <w:top w:val="single" w:sz="4" w:space="0" w:color="auto"/>
              <w:bottom w:val="single" w:sz="4" w:space="0" w:color="auto"/>
            </w:tcBorders>
            <w:shd w:val="clear" w:color="auto" w:fill="auto"/>
            <w:noWrap/>
            <w:vAlign w:val="bottom"/>
            <w:hideMark/>
          </w:tcPr>
          <w:p w14:paraId="5F4E193B" w14:textId="77777777" w:rsidR="009C75D7" w:rsidRPr="00D67122" w:rsidRDefault="009C75D7" w:rsidP="00672286">
            <w:pPr>
              <w:jc w:val="center"/>
              <w:rPr>
                <w:rFonts w:ascii="Calibri" w:eastAsia="Times New Roman" w:hAnsi="Calibri" w:cs="Times New Roman"/>
                <w:b/>
                <w:bCs/>
                <w:color w:val="000000"/>
                <w:sz w:val="22"/>
                <w:szCs w:val="22"/>
                <w:lang w:eastAsia="en-GB"/>
              </w:rPr>
            </w:pPr>
            <w:r w:rsidRPr="00D67122">
              <w:rPr>
                <w:rFonts w:ascii="Calibri" w:eastAsia="Times New Roman" w:hAnsi="Calibri" w:cs="Times New Roman"/>
                <w:b/>
                <w:bCs/>
                <w:color w:val="000000"/>
                <w:sz w:val="22"/>
                <w:szCs w:val="22"/>
                <w:lang w:eastAsia="en-GB"/>
              </w:rPr>
              <w:t>BGB Mg ha</w:t>
            </w:r>
            <w:r w:rsidRPr="00D67122">
              <w:rPr>
                <w:rFonts w:ascii="Calibri" w:eastAsia="Times New Roman" w:hAnsi="Calibri" w:cs="Times New Roman"/>
                <w:b/>
                <w:bCs/>
                <w:color w:val="000000"/>
                <w:sz w:val="22"/>
                <w:szCs w:val="22"/>
                <w:vertAlign w:val="superscript"/>
                <w:lang w:eastAsia="en-GB"/>
              </w:rPr>
              <w:t>-1</w:t>
            </w:r>
          </w:p>
        </w:tc>
        <w:tc>
          <w:tcPr>
            <w:tcW w:w="1786" w:type="dxa"/>
            <w:tcBorders>
              <w:top w:val="single" w:sz="4" w:space="0" w:color="auto"/>
              <w:bottom w:val="single" w:sz="4" w:space="0" w:color="auto"/>
            </w:tcBorders>
            <w:shd w:val="clear" w:color="auto" w:fill="auto"/>
            <w:noWrap/>
            <w:vAlign w:val="bottom"/>
            <w:hideMark/>
          </w:tcPr>
          <w:p w14:paraId="522AD508" w14:textId="77777777" w:rsidR="009C75D7" w:rsidRPr="00D67122" w:rsidRDefault="009C75D7" w:rsidP="00672286">
            <w:pPr>
              <w:jc w:val="center"/>
              <w:rPr>
                <w:rFonts w:ascii="Calibri" w:eastAsia="Times New Roman" w:hAnsi="Calibri" w:cs="Times New Roman"/>
                <w:b/>
                <w:bCs/>
                <w:color w:val="000000"/>
                <w:sz w:val="22"/>
                <w:szCs w:val="22"/>
                <w:lang w:eastAsia="en-GB"/>
              </w:rPr>
            </w:pPr>
            <w:r w:rsidRPr="00D67122">
              <w:rPr>
                <w:rFonts w:ascii="Calibri" w:eastAsia="Times New Roman" w:hAnsi="Calibri" w:cs="Times New Roman"/>
                <w:b/>
                <w:bCs/>
                <w:color w:val="000000"/>
                <w:sz w:val="22"/>
                <w:szCs w:val="22"/>
                <w:lang w:eastAsia="en-GB"/>
              </w:rPr>
              <w:t>AGB Mg ha</w:t>
            </w:r>
            <w:r w:rsidRPr="00D67122">
              <w:rPr>
                <w:rFonts w:ascii="Calibri" w:eastAsia="Times New Roman" w:hAnsi="Calibri" w:cs="Times New Roman"/>
                <w:b/>
                <w:bCs/>
                <w:color w:val="000000"/>
                <w:sz w:val="22"/>
                <w:szCs w:val="22"/>
                <w:vertAlign w:val="superscript"/>
                <w:lang w:eastAsia="en-GB"/>
              </w:rPr>
              <w:t>-1</w:t>
            </w:r>
          </w:p>
        </w:tc>
        <w:tc>
          <w:tcPr>
            <w:tcW w:w="1786" w:type="dxa"/>
            <w:tcBorders>
              <w:top w:val="single" w:sz="4" w:space="0" w:color="auto"/>
              <w:bottom w:val="single" w:sz="4" w:space="0" w:color="auto"/>
            </w:tcBorders>
            <w:shd w:val="clear" w:color="auto" w:fill="auto"/>
            <w:noWrap/>
            <w:vAlign w:val="bottom"/>
            <w:hideMark/>
          </w:tcPr>
          <w:p w14:paraId="503B83A0" w14:textId="77777777" w:rsidR="009C75D7" w:rsidRPr="00D67122" w:rsidRDefault="009C75D7" w:rsidP="00672286">
            <w:pPr>
              <w:jc w:val="center"/>
              <w:rPr>
                <w:rFonts w:ascii="Calibri" w:eastAsia="Times New Roman" w:hAnsi="Calibri" w:cs="Times New Roman"/>
                <w:b/>
                <w:bCs/>
                <w:color w:val="000000"/>
                <w:sz w:val="22"/>
                <w:szCs w:val="22"/>
                <w:lang w:eastAsia="en-GB"/>
              </w:rPr>
            </w:pPr>
            <w:r w:rsidRPr="00D67122">
              <w:rPr>
                <w:rFonts w:ascii="Calibri" w:eastAsia="Times New Roman" w:hAnsi="Calibri" w:cs="Times New Roman"/>
                <w:b/>
                <w:bCs/>
                <w:color w:val="000000"/>
                <w:sz w:val="22"/>
                <w:szCs w:val="22"/>
                <w:lang w:eastAsia="en-GB"/>
              </w:rPr>
              <w:t>BGB ratio</w:t>
            </w:r>
          </w:p>
        </w:tc>
      </w:tr>
      <w:tr w:rsidR="009C75D7" w:rsidRPr="00D67122" w14:paraId="008C138B" w14:textId="77777777" w:rsidTr="00672286">
        <w:trPr>
          <w:trHeight w:val="311"/>
        </w:trPr>
        <w:tc>
          <w:tcPr>
            <w:tcW w:w="13081" w:type="dxa"/>
            <w:gridSpan w:val="7"/>
            <w:tcBorders>
              <w:top w:val="single" w:sz="4" w:space="0" w:color="auto"/>
              <w:bottom w:val="single" w:sz="4" w:space="0" w:color="auto"/>
            </w:tcBorders>
            <w:shd w:val="clear" w:color="auto" w:fill="auto"/>
            <w:noWrap/>
            <w:vAlign w:val="center"/>
            <w:hideMark/>
          </w:tcPr>
          <w:p w14:paraId="195582EA" w14:textId="77777777" w:rsidR="009C75D7" w:rsidRPr="00D67122" w:rsidRDefault="009C75D7" w:rsidP="00672286">
            <w:pPr>
              <w:jc w:val="center"/>
              <w:rPr>
                <w:rFonts w:ascii="Calibri" w:eastAsia="Times New Roman" w:hAnsi="Calibri" w:cs="Times New Roman"/>
                <w:b/>
                <w:bCs/>
                <w:color w:val="000000"/>
                <w:sz w:val="22"/>
                <w:szCs w:val="22"/>
                <w:lang w:eastAsia="en-GB"/>
              </w:rPr>
            </w:pPr>
            <w:r w:rsidRPr="00D67122">
              <w:rPr>
                <w:rFonts w:ascii="Calibri" w:eastAsia="Times New Roman" w:hAnsi="Calibri" w:cs="Times New Roman"/>
                <w:b/>
                <w:bCs/>
                <w:color w:val="000000"/>
                <w:sz w:val="22"/>
                <w:szCs w:val="22"/>
                <w:lang w:eastAsia="en-GB"/>
              </w:rPr>
              <w:t>Al Khor</w:t>
            </w:r>
          </w:p>
        </w:tc>
      </w:tr>
      <w:tr w:rsidR="009C75D7" w:rsidRPr="00D67122" w14:paraId="13250EF2" w14:textId="77777777" w:rsidTr="00672286">
        <w:trPr>
          <w:trHeight w:val="311"/>
        </w:trPr>
        <w:tc>
          <w:tcPr>
            <w:tcW w:w="1786" w:type="dxa"/>
            <w:tcBorders>
              <w:top w:val="single" w:sz="4" w:space="0" w:color="auto"/>
            </w:tcBorders>
            <w:shd w:val="clear" w:color="auto" w:fill="auto"/>
            <w:noWrap/>
            <w:vAlign w:val="bottom"/>
            <w:hideMark/>
          </w:tcPr>
          <w:p w14:paraId="18D66862"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Low</w:t>
            </w:r>
          </w:p>
        </w:tc>
        <w:tc>
          <w:tcPr>
            <w:tcW w:w="2186" w:type="dxa"/>
            <w:tcBorders>
              <w:top w:val="single" w:sz="4" w:space="0" w:color="auto"/>
            </w:tcBorders>
            <w:shd w:val="clear" w:color="auto" w:fill="auto"/>
            <w:noWrap/>
            <w:vAlign w:val="bottom"/>
            <w:hideMark/>
          </w:tcPr>
          <w:p w14:paraId="746F2382"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1433 ± 190.52</w:t>
            </w:r>
          </w:p>
        </w:tc>
        <w:tc>
          <w:tcPr>
            <w:tcW w:w="1786" w:type="dxa"/>
            <w:tcBorders>
              <w:top w:val="single" w:sz="4" w:space="0" w:color="auto"/>
            </w:tcBorders>
            <w:shd w:val="clear" w:color="auto" w:fill="auto"/>
            <w:noWrap/>
            <w:vAlign w:val="bottom"/>
            <w:hideMark/>
          </w:tcPr>
          <w:p w14:paraId="66B22880"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2.04 ± 0.15</w:t>
            </w:r>
          </w:p>
        </w:tc>
        <w:tc>
          <w:tcPr>
            <w:tcW w:w="1786" w:type="dxa"/>
            <w:tcBorders>
              <w:top w:val="single" w:sz="4" w:space="0" w:color="auto"/>
            </w:tcBorders>
            <w:shd w:val="clear" w:color="auto" w:fill="auto"/>
            <w:noWrap/>
            <w:vAlign w:val="bottom"/>
            <w:hideMark/>
          </w:tcPr>
          <w:p w14:paraId="5BC898E1"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1.98 ± 0.07</w:t>
            </w:r>
          </w:p>
        </w:tc>
        <w:tc>
          <w:tcPr>
            <w:tcW w:w="1965" w:type="dxa"/>
            <w:tcBorders>
              <w:top w:val="single" w:sz="4" w:space="0" w:color="auto"/>
            </w:tcBorders>
            <w:shd w:val="clear" w:color="auto" w:fill="auto"/>
            <w:noWrap/>
            <w:vAlign w:val="bottom"/>
            <w:hideMark/>
          </w:tcPr>
          <w:p w14:paraId="399DDC89"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10.55 ± 1.83</w:t>
            </w:r>
          </w:p>
        </w:tc>
        <w:tc>
          <w:tcPr>
            <w:tcW w:w="1786" w:type="dxa"/>
            <w:tcBorders>
              <w:top w:val="single" w:sz="4" w:space="0" w:color="auto"/>
            </w:tcBorders>
            <w:shd w:val="clear" w:color="auto" w:fill="auto"/>
            <w:noWrap/>
            <w:vAlign w:val="bottom"/>
            <w:hideMark/>
          </w:tcPr>
          <w:p w14:paraId="782243B7"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11.99 ± 2.00</w:t>
            </w:r>
          </w:p>
        </w:tc>
        <w:tc>
          <w:tcPr>
            <w:tcW w:w="1786" w:type="dxa"/>
            <w:tcBorders>
              <w:top w:val="single" w:sz="4" w:space="0" w:color="auto"/>
            </w:tcBorders>
            <w:shd w:val="clear" w:color="auto" w:fill="auto"/>
            <w:noWrap/>
            <w:vAlign w:val="bottom"/>
            <w:hideMark/>
          </w:tcPr>
          <w:p w14:paraId="558CBC6A"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0.47 ± 0.007</w:t>
            </w:r>
          </w:p>
        </w:tc>
      </w:tr>
      <w:tr w:rsidR="009C75D7" w:rsidRPr="00D67122" w14:paraId="21CFCE43" w14:textId="77777777" w:rsidTr="00672286">
        <w:trPr>
          <w:trHeight w:val="311"/>
        </w:trPr>
        <w:tc>
          <w:tcPr>
            <w:tcW w:w="1786" w:type="dxa"/>
            <w:shd w:val="clear" w:color="auto" w:fill="auto"/>
            <w:noWrap/>
            <w:vAlign w:val="bottom"/>
            <w:hideMark/>
          </w:tcPr>
          <w:p w14:paraId="0FBB04A0"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Mid</w:t>
            </w:r>
          </w:p>
        </w:tc>
        <w:tc>
          <w:tcPr>
            <w:tcW w:w="2186" w:type="dxa"/>
            <w:shd w:val="clear" w:color="auto" w:fill="auto"/>
            <w:noWrap/>
            <w:vAlign w:val="bottom"/>
            <w:hideMark/>
          </w:tcPr>
          <w:p w14:paraId="14AD3622"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3500 ± 94.28</w:t>
            </w:r>
          </w:p>
        </w:tc>
        <w:tc>
          <w:tcPr>
            <w:tcW w:w="1786" w:type="dxa"/>
            <w:shd w:val="clear" w:color="auto" w:fill="auto"/>
            <w:noWrap/>
            <w:vAlign w:val="bottom"/>
            <w:hideMark/>
          </w:tcPr>
          <w:p w14:paraId="54027F2E"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1.32 ± 0.08</w:t>
            </w:r>
          </w:p>
        </w:tc>
        <w:tc>
          <w:tcPr>
            <w:tcW w:w="1786" w:type="dxa"/>
            <w:shd w:val="clear" w:color="auto" w:fill="auto"/>
            <w:noWrap/>
            <w:vAlign w:val="bottom"/>
            <w:hideMark/>
          </w:tcPr>
          <w:p w14:paraId="7ED5F6D3"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2.02 ± 0.06</w:t>
            </w:r>
          </w:p>
        </w:tc>
        <w:tc>
          <w:tcPr>
            <w:tcW w:w="1965" w:type="dxa"/>
            <w:shd w:val="clear" w:color="auto" w:fill="auto"/>
            <w:noWrap/>
            <w:vAlign w:val="bottom"/>
            <w:hideMark/>
          </w:tcPr>
          <w:p w14:paraId="716B0B2A"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12.84 ± 2.68</w:t>
            </w:r>
          </w:p>
        </w:tc>
        <w:tc>
          <w:tcPr>
            <w:tcW w:w="1786" w:type="dxa"/>
            <w:shd w:val="clear" w:color="auto" w:fill="auto"/>
            <w:noWrap/>
            <w:vAlign w:val="bottom"/>
            <w:hideMark/>
          </w:tcPr>
          <w:p w14:paraId="329836AE"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11.59 ± 3.36</w:t>
            </w:r>
          </w:p>
        </w:tc>
        <w:tc>
          <w:tcPr>
            <w:tcW w:w="1786" w:type="dxa"/>
            <w:shd w:val="clear" w:color="auto" w:fill="auto"/>
            <w:noWrap/>
            <w:vAlign w:val="bottom"/>
            <w:hideMark/>
          </w:tcPr>
          <w:p w14:paraId="147684C2"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0.54 ± 0.029</w:t>
            </w:r>
          </w:p>
        </w:tc>
      </w:tr>
      <w:tr w:rsidR="009C75D7" w:rsidRPr="00D67122" w14:paraId="6AF36B8D" w14:textId="77777777" w:rsidTr="00672286">
        <w:trPr>
          <w:trHeight w:val="311"/>
        </w:trPr>
        <w:tc>
          <w:tcPr>
            <w:tcW w:w="1786" w:type="dxa"/>
            <w:tcBorders>
              <w:bottom w:val="single" w:sz="4" w:space="0" w:color="auto"/>
            </w:tcBorders>
            <w:shd w:val="clear" w:color="auto" w:fill="auto"/>
            <w:noWrap/>
            <w:vAlign w:val="bottom"/>
            <w:hideMark/>
          </w:tcPr>
          <w:p w14:paraId="3C289444"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High</w:t>
            </w:r>
          </w:p>
        </w:tc>
        <w:tc>
          <w:tcPr>
            <w:tcW w:w="2186" w:type="dxa"/>
            <w:tcBorders>
              <w:bottom w:val="single" w:sz="4" w:space="0" w:color="auto"/>
            </w:tcBorders>
            <w:shd w:val="clear" w:color="auto" w:fill="auto"/>
            <w:noWrap/>
            <w:vAlign w:val="bottom"/>
            <w:hideMark/>
          </w:tcPr>
          <w:p w14:paraId="7BCCC9D1"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2100 ± 374.17</w:t>
            </w:r>
          </w:p>
        </w:tc>
        <w:tc>
          <w:tcPr>
            <w:tcW w:w="1786" w:type="dxa"/>
            <w:tcBorders>
              <w:bottom w:val="single" w:sz="4" w:space="0" w:color="auto"/>
            </w:tcBorders>
            <w:shd w:val="clear" w:color="auto" w:fill="auto"/>
            <w:noWrap/>
            <w:vAlign w:val="bottom"/>
            <w:hideMark/>
          </w:tcPr>
          <w:p w14:paraId="7A676450"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1.25 ± 0.04</w:t>
            </w:r>
          </w:p>
        </w:tc>
        <w:tc>
          <w:tcPr>
            <w:tcW w:w="1786" w:type="dxa"/>
            <w:tcBorders>
              <w:bottom w:val="single" w:sz="4" w:space="0" w:color="auto"/>
            </w:tcBorders>
            <w:shd w:val="clear" w:color="auto" w:fill="auto"/>
            <w:noWrap/>
            <w:vAlign w:val="bottom"/>
            <w:hideMark/>
          </w:tcPr>
          <w:p w14:paraId="6B8047F9"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1.41 ± 0.04</w:t>
            </w:r>
          </w:p>
        </w:tc>
        <w:tc>
          <w:tcPr>
            <w:tcW w:w="1965" w:type="dxa"/>
            <w:tcBorders>
              <w:bottom w:val="single" w:sz="4" w:space="0" w:color="auto"/>
            </w:tcBorders>
            <w:shd w:val="clear" w:color="auto" w:fill="auto"/>
            <w:noWrap/>
            <w:vAlign w:val="bottom"/>
            <w:hideMark/>
          </w:tcPr>
          <w:p w14:paraId="3355FF7D"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7.47 ± 2.17</w:t>
            </w:r>
          </w:p>
        </w:tc>
        <w:tc>
          <w:tcPr>
            <w:tcW w:w="1786" w:type="dxa"/>
            <w:tcBorders>
              <w:bottom w:val="single" w:sz="4" w:space="0" w:color="auto"/>
            </w:tcBorders>
            <w:shd w:val="clear" w:color="auto" w:fill="auto"/>
            <w:noWrap/>
            <w:vAlign w:val="bottom"/>
            <w:hideMark/>
          </w:tcPr>
          <w:p w14:paraId="053724C6"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7.19 ± 2.23</w:t>
            </w:r>
          </w:p>
        </w:tc>
        <w:tc>
          <w:tcPr>
            <w:tcW w:w="1786" w:type="dxa"/>
            <w:tcBorders>
              <w:bottom w:val="single" w:sz="4" w:space="0" w:color="auto"/>
            </w:tcBorders>
            <w:shd w:val="clear" w:color="auto" w:fill="auto"/>
            <w:noWrap/>
            <w:vAlign w:val="bottom"/>
            <w:hideMark/>
          </w:tcPr>
          <w:p w14:paraId="2F8A628C"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0.51 ± 0.010</w:t>
            </w:r>
          </w:p>
        </w:tc>
      </w:tr>
      <w:tr w:rsidR="009C75D7" w:rsidRPr="00D67122" w14:paraId="06B03F03" w14:textId="77777777" w:rsidTr="00672286">
        <w:trPr>
          <w:trHeight w:val="311"/>
        </w:trPr>
        <w:tc>
          <w:tcPr>
            <w:tcW w:w="13081" w:type="dxa"/>
            <w:gridSpan w:val="7"/>
            <w:tcBorders>
              <w:top w:val="single" w:sz="4" w:space="0" w:color="auto"/>
              <w:bottom w:val="single" w:sz="4" w:space="0" w:color="auto"/>
            </w:tcBorders>
            <w:shd w:val="clear" w:color="auto" w:fill="auto"/>
            <w:noWrap/>
            <w:vAlign w:val="bottom"/>
            <w:hideMark/>
          </w:tcPr>
          <w:p w14:paraId="1771E022" w14:textId="77777777" w:rsidR="009C75D7" w:rsidRPr="00D67122" w:rsidRDefault="009C75D7" w:rsidP="00672286">
            <w:pPr>
              <w:jc w:val="center"/>
              <w:rPr>
                <w:rFonts w:ascii="Calibri" w:eastAsia="Times New Roman" w:hAnsi="Calibri" w:cs="Times New Roman"/>
                <w:b/>
                <w:bCs/>
                <w:color w:val="000000"/>
                <w:sz w:val="22"/>
                <w:szCs w:val="22"/>
                <w:lang w:eastAsia="en-GB"/>
              </w:rPr>
            </w:pPr>
            <w:r w:rsidRPr="00D67122">
              <w:rPr>
                <w:rFonts w:ascii="Calibri" w:eastAsia="Times New Roman" w:hAnsi="Calibri" w:cs="Times New Roman"/>
                <w:b/>
                <w:bCs/>
                <w:color w:val="000000"/>
                <w:sz w:val="22"/>
                <w:szCs w:val="22"/>
                <w:lang w:eastAsia="en-GB"/>
              </w:rPr>
              <w:t xml:space="preserve">West Al </w:t>
            </w:r>
            <w:proofErr w:type="spellStart"/>
            <w:r w:rsidRPr="00D67122">
              <w:rPr>
                <w:rFonts w:ascii="Calibri" w:eastAsia="Times New Roman" w:hAnsi="Calibri" w:cs="Times New Roman"/>
                <w:b/>
                <w:bCs/>
                <w:color w:val="000000"/>
                <w:sz w:val="22"/>
                <w:szCs w:val="22"/>
                <w:lang w:eastAsia="en-GB"/>
              </w:rPr>
              <w:t>Dhakira</w:t>
            </w:r>
            <w:proofErr w:type="spellEnd"/>
          </w:p>
        </w:tc>
      </w:tr>
      <w:tr w:rsidR="009C75D7" w:rsidRPr="00D67122" w14:paraId="10BD10F2" w14:textId="77777777" w:rsidTr="00672286">
        <w:trPr>
          <w:trHeight w:val="311"/>
        </w:trPr>
        <w:tc>
          <w:tcPr>
            <w:tcW w:w="1786" w:type="dxa"/>
            <w:tcBorders>
              <w:top w:val="single" w:sz="4" w:space="0" w:color="auto"/>
            </w:tcBorders>
            <w:shd w:val="clear" w:color="auto" w:fill="auto"/>
            <w:noWrap/>
            <w:vAlign w:val="bottom"/>
            <w:hideMark/>
          </w:tcPr>
          <w:p w14:paraId="326E1495"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Low</w:t>
            </w:r>
          </w:p>
        </w:tc>
        <w:tc>
          <w:tcPr>
            <w:tcW w:w="2186" w:type="dxa"/>
            <w:tcBorders>
              <w:top w:val="single" w:sz="4" w:space="0" w:color="auto"/>
            </w:tcBorders>
            <w:shd w:val="clear" w:color="auto" w:fill="auto"/>
            <w:noWrap/>
            <w:vAlign w:val="bottom"/>
            <w:hideMark/>
          </w:tcPr>
          <w:p w14:paraId="44185E56"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1233 ± 118.63</w:t>
            </w:r>
          </w:p>
        </w:tc>
        <w:tc>
          <w:tcPr>
            <w:tcW w:w="1786" w:type="dxa"/>
            <w:tcBorders>
              <w:top w:val="single" w:sz="4" w:space="0" w:color="auto"/>
            </w:tcBorders>
            <w:shd w:val="clear" w:color="auto" w:fill="auto"/>
            <w:noWrap/>
            <w:vAlign w:val="bottom"/>
            <w:hideMark/>
          </w:tcPr>
          <w:p w14:paraId="75E7EAA5"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2.20 ± 0.08</w:t>
            </w:r>
          </w:p>
        </w:tc>
        <w:tc>
          <w:tcPr>
            <w:tcW w:w="1786" w:type="dxa"/>
            <w:tcBorders>
              <w:top w:val="single" w:sz="4" w:space="0" w:color="auto"/>
            </w:tcBorders>
            <w:shd w:val="clear" w:color="auto" w:fill="auto"/>
            <w:noWrap/>
            <w:vAlign w:val="bottom"/>
            <w:hideMark/>
          </w:tcPr>
          <w:p w14:paraId="5D21C13D"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2.81 ± 0.16</w:t>
            </w:r>
          </w:p>
        </w:tc>
        <w:tc>
          <w:tcPr>
            <w:tcW w:w="1965" w:type="dxa"/>
            <w:tcBorders>
              <w:top w:val="single" w:sz="4" w:space="0" w:color="auto"/>
            </w:tcBorders>
            <w:shd w:val="clear" w:color="auto" w:fill="auto"/>
            <w:noWrap/>
            <w:vAlign w:val="bottom"/>
            <w:hideMark/>
          </w:tcPr>
          <w:p w14:paraId="72FF2064"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15.17 ± 2.59</w:t>
            </w:r>
          </w:p>
        </w:tc>
        <w:tc>
          <w:tcPr>
            <w:tcW w:w="1786" w:type="dxa"/>
            <w:tcBorders>
              <w:top w:val="single" w:sz="4" w:space="0" w:color="auto"/>
            </w:tcBorders>
            <w:shd w:val="clear" w:color="auto" w:fill="auto"/>
            <w:noWrap/>
            <w:vAlign w:val="bottom"/>
            <w:hideMark/>
          </w:tcPr>
          <w:p w14:paraId="408A975C"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15.76 ± 2.87</w:t>
            </w:r>
          </w:p>
        </w:tc>
        <w:tc>
          <w:tcPr>
            <w:tcW w:w="1786" w:type="dxa"/>
            <w:tcBorders>
              <w:top w:val="single" w:sz="4" w:space="0" w:color="auto"/>
            </w:tcBorders>
            <w:shd w:val="clear" w:color="auto" w:fill="auto"/>
            <w:noWrap/>
            <w:vAlign w:val="bottom"/>
            <w:hideMark/>
          </w:tcPr>
          <w:p w14:paraId="1FDD8827"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0.49 ± 0.005</w:t>
            </w:r>
          </w:p>
        </w:tc>
      </w:tr>
      <w:tr w:rsidR="009C75D7" w:rsidRPr="00D67122" w14:paraId="47B33225" w14:textId="77777777" w:rsidTr="00672286">
        <w:trPr>
          <w:trHeight w:val="311"/>
        </w:trPr>
        <w:tc>
          <w:tcPr>
            <w:tcW w:w="1786" w:type="dxa"/>
            <w:shd w:val="clear" w:color="auto" w:fill="auto"/>
            <w:noWrap/>
            <w:vAlign w:val="bottom"/>
            <w:hideMark/>
          </w:tcPr>
          <w:p w14:paraId="403FC00C"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Mid</w:t>
            </w:r>
          </w:p>
        </w:tc>
        <w:tc>
          <w:tcPr>
            <w:tcW w:w="2186" w:type="dxa"/>
            <w:shd w:val="clear" w:color="auto" w:fill="auto"/>
            <w:noWrap/>
            <w:vAlign w:val="bottom"/>
            <w:hideMark/>
          </w:tcPr>
          <w:p w14:paraId="68B765AC"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4700 ± 1143.10</w:t>
            </w:r>
          </w:p>
        </w:tc>
        <w:tc>
          <w:tcPr>
            <w:tcW w:w="1786" w:type="dxa"/>
            <w:shd w:val="clear" w:color="auto" w:fill="auto"/>
            <w:noWrap/>
            <w:vAlign w:val="bottom"/>
            <w:hideMark/>
          </w:tcPr>
          <w:p w14:paraId="5EC4651A"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1.17 ± 0.09</w:t>
            </w:r>
          </w:p>
        </w:tc>
        <w:tc>
          <w:tcPr>
            <w:tcW w:w="1786" w:type="dxa"/>
            <w:shd w:val="clear" w:color="auto" w:fill="auto"/>
            <w:noWrap/>
            <w:vAlign w:val="bottom"/>
            <w:hideMark/>
          </w:tcPr>
          <w:p w14:paraId="2F678CAF"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1.81 ± 0.05</w:t>
            </w:r>
          </w:p>
        </w:tc>
        <w:tc>
          <w:tcPr>
            <w:tcW w:w="1965" w:type="dxa"/>
            <w:shd w:val="clear" w:color="auto" w:fill="auto"/>
            <w:noWrap/>
            <w:vAlign w:val="bottom"/>
            <w:hideMark/>
          </w:tcPr>
          <w:p w14:paraId="328CE12E"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16.17 ± 1.65</w:t>
            </w:r>
          </w:p>
        </w:tc>
        <w:tc>
          <w:tcPr>
            <w:tcW w:w="1786" w:type="dxa"/>
            <w:shd w:val="clear" w:color="auto" w:fill="auto"/>
            <w:noWrap/>
            <w:vAlign w:val="bottom"/>
            <w:hideMark/>
          </w:tcPr>
          <w:p w14:paraId="61A75FC0"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13.48 ± 3.68</w:t>
            </w:r>
          </w:p>
        </w:tc>
        <w:tc>
          <w:tcPr>
            <w:tcW w:w="1786" w:type="dxa"/>
            <w:shd w:val="clear" w:color="auto" w:fill="auto"/>
            <w:noWrap/>
            <w:vAlign w:val="bottom"/>
            <w:hideMark/>
          </w:tcPr>
          <w:p w14:paraId="6D1131DF"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0.56 ± 0.066</w:t>
            </w:r>
          </w:p>
        </w:tc>
      </w:tr>
      <w:tr w:rsidR="009C75D7" w:rsidRPr="00D67122" w14:paraId="404F9547" w14:textId="77777777" w:rsidTr="00672286">
        <w:trPr>
          <w:trHeight w:val="311"/>
        </w:trPr>
        <w:tc>
          <w:tcPr>
            <w:tcW w:w="1786" w:type="dxa"/>
            <w:tcBorders>
              <w:bottom w:val="single" w:sz="4" w:space="0" w:color="auto"/>
            </w:tcBorders>
            <w:shd w:val="clear" w:color="auto" w:fill="auto"/>
            <w:noWrap/>
            <w:vAlign w:val="bottom"/>
            <w:hideMark/>
          </w:tcPr>
          <w:p w14:paraId="40979247"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High</w:t>
            </w:r>
          </w:p>
        </w:tc>
        <w:tc>
          <w:tcPr>
            <w:tcW w:w="2186" w:type="dxa"/>
            <w:tcBorders>
              <w:bottom w:val="single" w:sz="4" w:space="0" w:color="auto"/>
            </w:tcBorders>
            <w:shd w:val="clear" w:color="auto" w:fill="auto"/>
            <w:noWrap/>
            <w:vAlign w:val="bottom"/>
            <w:hideMark/>
          </w:tcPr>
          <w:p w14:paraId="11D389A8"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2767 ± 427.74</w:t>
            </w:r>
          </w:p>
        </w:tc>
        <w:tc>
          <w:tcPr>
            <w:tcW w:w="1786" w:type="dxa"/>
            <w:tcBorders>
              <w:bottom w:val="single" w:sz="4" w:space="0" w:color="auto"/>
            </w:tcBorders>
            <w:shd w:val="clear" w:color="auto" w:fill="auto"/>
            <w:noWrap/>
            <w:vAlign w:val="bottom"/>
            <w:hideMark/>
          </w:tcPr>
          <w:p w14:paraId="7B54C007"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1.39 ± 0.12</w:t>
            </w:r>
          </w:p>
        </w:tc>
        <w:tc>
          <w:tcPr>
            <w:tcW w:w="1786" w:type="dxa"/>
            <w:tcBorders>
              <w:bottom w:val="single" w:sz="4" w:space="0" w:color="auto"/>
            </w:tcBorders>
            <w:shd w:val="clear" w:color="auto" w:fill="auto"/>
            <w:noWrap/>
            <w:vAlign w:val="bottom"/>
            <w:hideMark/>
          </w:tcPr>
          <w:p w14:paraId="7D57D01D"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1.65 ± 0.06</w:t>
            </w:r>
          </w:p>
        </w:tc>
        <w:tc>
          <w:tcPr>
            <w:tcW w:w="1965" w:type="dxa"/>
            <w:tcBorders>
              <w:bottom w:val="single" w:sz="4" w:space="0" w:color="auto"/>
            </w:tcBorders>
            <w:shd w:val="clear" w:color="auto" w:fill="auto"/>
            <w:noWrap/>
            <w:vAlign w:val="bottom"/>
            <w:hideMark/>
          </w:tcPr>
          <w:p w14:paraId="2CD7E73E"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14.68 ± 2.45</w:t>
            </w:r>
          </w:p>
        </w:tc>
        <w:tc>
          <w:tcPr>
            <w:tcW w:w="1786" w:type="dxa"/>
            <w:tcBorders>
              <w:bottom w:val="single" w:sz="4" w:space="0" w:color="auto"/>
            </w:tcBorders>
            <w:shd w:val="clear" w:color="auto" w:fill="auto"/>
            <w:noWrap/>
            <w:vAlign w:val="bottom"/>
            <w:hideMark/>
          </w:tcPr>
          <w:p w14:paraId="71CEEEFE"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5.80 ± 0.87</w:t>
            </w:r>
          </w:p>
        </w:tc>
        <w:tc>
          <w:tcPr>
            <w:tcW w:w="1786" w:type="dxa"/>
            <w:tcBorders>
              <w:bottom w:val="single" w:sz="4" w:space="0" w:color="auto"/>
            </w:tcBorders>
            <w:shd w:val="clear" w:color="auto" w:fill="auto"/>
            <w:noWrap/>
            <w:vAlign w:val="bottom"/>
            <w:hideMark/>
          </w:tcPr>
          <w:p w14:paraId="2AB36C54"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0.72 ± 0.006</w:t>
            </w:r>
          </w:p>
        </w:tc>
      </w:tr>
      <w:tr w:rsidR="009C75D7" w:rsidRPr="00D67122" w14:paraId="58CFA8FF" w14:textId="77777777" w:rsidTr="00672286">
        <w:trPr>
          <w:trHeight w:val="311"/>
        </w:trPr>
        <w:tc>
          <w:tcPr>
            <w:tcW w:w="13081" w:type="dxa"/>
            <w:gridSpan w:val="7"/>
            <w:tcBorders>
              <w:top w:val="single" w:sz="4" w:space="0" w:color="auto"/>
              <w:bottom w:val="single" w:sz="4" w:space="0" w:color="auto"/>
            </w:tcBorders>
            <w:shd w:val="clear" w:color="auto" w:fill="auto"/>
            <w:noWrap/>
            <w:vAlign w:val="center"/>
            <w:hideMark/>
          </w:tcPr>
          <w:p w14:paraId="481E9890" w14:textId="77777777" w:rsidR="009C75D7" w:rsidRPr="00D67122" w:rsidRDefault="009C75D7" w:rsidP="00672286">
            <w:pPr>
              <w:jc w:val="center"/>
              <w:rPr>
                <w:rFonts w:ascii="Calibri" w:eastAsia="Times New Roman" w:hAnsi="Calibri" w:cs="Times New Roman"/>
                <w:b/>
                <w:bCs/>
                <w:color w:val="000000"/>
                <w:sz w:val="22"/>
                <w:szCs w:val="22"/>
                <w:lang w:eastAsia="en-GB"/>
              </w:rPr>
            </w:pPr>
            <w:r w:rsidRPr="00D67122">
              <w:rPr>
                <w:rFonts w:ascii="Calibri" w:eastAsia="Times New Roman" w:hAnsi="Calibri" w:cs="Times New Roman"/>
                <w:b/>
                <w:bCs/>
                <w:color w:val="000000"/>
                <w:sz w:val="22"/>
                <w:szCs w:val="22"/>
                <w:lang w:eastAsia="en-GB"/>
              </w:rPr>
              <w:t xml:space="preserve">South Al </w:t>
            </w:r>
            <w:proofErr w:type="spellStart"/>
            <w:r w:rsidRPr="00D67122">
              <w:rPr>
                <w:rFonts w:ascii="Calibri" w:eastAsia="Times New Roman" w:hAnsi="Calibri" w:cs="Times New Roman"/>
                <w:b/>
                <w:bCs/>
                <w:color w:val="000000"/>
                <w:sz w:val="22"/>
                <w:szCs w:val="22"/>
                <w:lang w:eastAsia="en-GB"/>
              </w:rPr>
              <w:t>Dhakira</w:t>
            </w:r>
            <w:proofErr w:type="spellEnd"/>
          </w:p>
        </w:tc>
      </w:tr>
      <w:tr w:rsidR="009C75D7" w:rsidRPr="00D67122" w14:paraId="246DF602" w14:textId="77777777" w:rsidTr="00672286">
        <w:trPr>
          <w:trHeight w:val="311"/>
        </w:trPr>
        <w:tc>
          <w:tcPr>
            <w:tcW w:w="1786" w:type="dxa"/>
            <w:tcBorders>
              <w:top w:val="single" w:sz="4" w:space="0" w:color="auto"/>
            </w:tcBorders>
            <w:shd w:val="clear" w:color="auto" w:fill="auto"/>
            <w:noWrap/>
            <w:vAlign w:val="bottom"/>
            <w:hideMark/>
          </w:tcPr>
          <w:p w14:paraId="319332ED"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Low</w:t>
            </w:r>
          </w:p>
        </w:tc>
        <w:tc>
          <w:tcPr>
            <w:tcW w:w="2186" w:type="dxa"/>
            <w:tcBorders>
              <w:top w:val="single" w:sz="4" w:space="0" w:color="auto"/>
            </w:tcBorders>
            <w:shd w:val="clear" w:color="auto" w:fill="auto"/>
            <w:noWrap/>
            <w:vAlign w:val="bottom"/>
            <w:hideMark/>
          </w:tcPr>
          <w:p w14:paraId="77158456"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1567 ± 347.48</w:t>
            </w:r>
          </w:p>
        </w:tc>
        <w:tc>
          <w:tcPr>
            <w:tcW w:w="1786" w:type="dxa"/>
            <w:tcBorders>
              <w:top w:val="single" w:sz="4" w:space="0" w:color="auto"/>
            </w:tcBorders>
            <w:shd w:val="clear" w:color="auto" w:fill="auto"/>
            <w:noWrap/>
            <w:vAlign w:val="bottom"/>
            <w:hideMark/>
          </w:tcPr>
          <w:p w14:paraId="0F82DA12"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1.95 ± 0.15</w:t>
            </w:r>
          </w:p>
        </w:tc>
        <w:tc>
          <w:tcPr>
            <w:tcW w:w="1786" w:type="dxa"/>
            <w:tcBorders>
              <w:top w:val="single" w:sz="4" w:space="0" w:color="auto"/>
            </w:tcBorders>
            <w:shd w:val="clear" w:color="auto" w:fill="auto"/>
            <w:noWrap/>
            <w:vAlign w:val="bottom"/>
            <w:hideMark/>
          </w:tcPr>
          <w:p w14:paraId="29F49DB6"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1.88 ± 0.13</w:t>
            </w:r>
          </w:p>
        </w:tc>
        <w:tc>
          <w:tcPr>
            <w:tcW w:w="1965" w:type="dxa"/>
            <w:tcBorders>
              <w:top w:val="single" w:sz="4" w:space="0" w:color="auto"/>
            </w:tcBorders>
            <w:shd w:val="clear" w:color="auto" w:fill="auto"/>
            <w:noWrap/>
            <w:vAlign w:val="bottom"/>
            <w:hideMark/>
          </w:tcPr>
          <w:p w14:paraId="2853194C"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18.96 ± 1.46</w:t>
            </w:r>
          </w:p>
        </w:tc>
        <w:tc>
          <w:tcPr>
            <w:tcW w:w="1786" w:type="dxa"/>
            <w:tcBorders>
              <w:top w:val="single" w:sz="4" w:space="0" w:color="auto"/>
            </w:tcBorders>
            <w:shd w:val="clear" w:color="auto" w:fill="auto"/>
            <w:noWrap/>
            <w:vAlign w:val="bottom"/>
            <w:hideMark/>
          </w:tcPr>
          <w:p w14:paraId="16FE4BB5"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6.92 ± 0.71</w:t>
            </w:r>
          </w:p>
        </w:tc>
        <w:tc>
          <w:tcPr>
            <w:tcW w:w="1786" w:type="dxa"/>
            <w:tcBorders>
              <w:top w:val="single" w:sz="4" w:space="0" w:color="auto"/>
            </w:tcBorders>
            <w:shd w:val="clear" w:color="auto" w:fill="auto"/>
            <w:noWrap/>
            <w:vAlign w:val="bottom"/>
            <w:hideMark/>
          </w:tcPr>
          <w:p w14:paraId="34AB2317"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0.73 ± 0.005</w:t>
            </w:r>
          </w:p>
        </w:tc>
      </w:tr>
      <w:tr w:rsidR="009C75D7" w:rsidRPr="00D67122" w14:paraId="1473DA66" w14:textId="77777777" w:rsidTr="00672286">
        <w:trPr>
          <w:trHeight w:val="311"/>
        </w:trPr>
        <w:tc>
          <w:tcPr>
            <w:tcW w:w="1786" w:type="dxa"/>
            <w:shd w:val="clear" w:color="auto" w:fill="auto"/>
            <w:noWrap/>
            <w:vAlign w:val="bottom"/>
            <w:hideMark/>
          </w:tcPr>
          <w:p w14:paraId="29837D99"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Mid</w:t>
            </w:r>
          </w:p>
        </w:tc>
        <w:tc>
          <w:tcPr>
            <w:tcW w:w="2186" w:type="dxa"/>
            <w:shd w:val="clear" w:color="auto" w:fill="auto"/>
            <w:noWrap/>
            <w:vAlign w:val="bottom"/>
            <w:hideMark/>
          </w:tcPr>
          <w:p w14:paraId="34762C60"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2933 ± 54.43</w:t>
            </w:r>
          </w:p>
        </w:tc>
        <w:tc>
          <w:tcPr>
            <w:tcW w:w="1786" w:type="dxa"/>
            <w:shd w:val="clear" w:color="auto" w:fill="auto"/>
            <w:noWrap/>
            <w:vAlign w:val="bottom"/>
            <w:hideMark/>
          </w:tcPr>
          <w:p w14:paraId="349137E4"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1.47 ± 0.09</w:t>
            </w:r>
          </w:p>
        </w:tc>
        <w:tc>
          <w:tcPr>
            <w:tcW w:w="1786" w:type="dxa"/>
            <w:shd w:val="clear" w:color="auto" w:fill="auto"/>
            <w:noWrap/>
            <w:vAlign w:val="bottom"/>
            <w:hideMark/>
          </w:tcPr>
          <w:p w14:paraId="4219F793"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2.07 ± 0.07</w:t>
            </w:r>
          </w:p>
        </w:tc>
        <w:tc>
          <w:tcPr>
            <w:tcW w:w="1965" w:type="dxa"/>
            <w:shd w:val="clear" w:color="auto" w:fill="auto"/>
            <w:noWrap/>
            <w:vAlign w:val="bottom"/>
            <w:hideMark/>
          </w:tcPr>
          <w:p w14:paraId="793BA2C2"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21.21 ± 3.04</w:t>
            </w:r>
          </w:p>
        </w:tc>
        <w:tc>
          <w:tcPr>
            <w:tcW w:w="1786" w:type="dxa"/>
            <w:shd w:val="clear" w:color="auto" w:fill="auto"/>
            <w:noWrap/>
            <w:vAlign w:val="bottom"/>
            <w:hideMark/>
          </w:tcPr>
          <w:p w14:paraId="7FDFDCF1"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6.89 ± 1.03</w:t>
            </w:r>
          </w:p>
        </w:tc>
        <w:tc>
          <w:tcPr>
            <w:tcW w:w="1786" w:type="dxa"/>
            <w:shd w:val="clear" w:color="auto" w:fill="auto"/>
            <w:noWrap/>
            <w:vAlign w:val="bottom"/>
            <w:hideMark/>
          </w:tcPr>
          <w:p w14:paraId="4A2BFC1E"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0.76 ± 0.009</w:t>
            </w:r>
          </w:p>
        </w:tc>
      </w:tr>
      <w:tr w:rsidR="009C75D7" w:rsidRPr="00D67122" w14:paraId="5A8E3756" w14:textId="77777777" w:rsidTr="00672286">
        <w:trPr>
          <w:trHeight w:val="311"/>
        </w:trPr>
        <w:tc>
          <w:tcPr>
            <w:tcW w:w="1786" w:type="dxa"/>
            <w:shd w:val="clear" w:color="auto" w:fill="auto"/>
            <w:noWrap/>
            <w:vAlign w:val="bottom"/>
            <w:hideMark/>
          </w:tcPr>
          <w:p w14:paraId="3B8E4A2E"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High</w:t>
            </w:r>
          </w:p>
        </w:tc>
        <w:tc>
          <w:tcPr>
            <w:tcW w:w="2186" w:type="dxa"/>
            <w:shd w:val="clear" w:color="auto" w:fill="auto"/>
            <w:noWrap/>
            <w:vAlign w:val="bottom"/>
            <w:hideMark/>
          </w:tcPr>
          <w:p w14:paraId="5CC0995B"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3067 ± 625.98</w:t>
            </w:r>
          </w:p>
        </w:tc>
        <w:tc>
          <w:tcPr>
            <w:tcW w:w="1786" w:type="dxa"/>
            <w:shd w:val="clear" w:color="auto" w:fill="auto"/>
            <w:noWrap/>
            <w:vAlign w:val="bottom"/>
            <w:hideMark/>
          </w:tcPr>
          <w:p w14:paraId="63C81F4F"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1.35 ± 0.10</w:t>
            </w:r>
          </w:p>
        </w:tc>
        <w:tc>
          <w:tcPr>
            <w:tcW w:w="1786" w:type="dxa"/>
            <w:shd w:val="clear" w:color="auto" w:fill="auto"/>
            <w:noWrap/>
            <w:vAlign w:val="bottom"/>
            <w:hideMark/>
          </w:tcPr>
          <w:p w14:paraId="0F65FF15"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1.54 ± 0.03</w:t>
            </w:r>
          </w:p>
        </w:tc>
        <w:tc>
          <w:tcPr>
            <w:tcW w:w="1965" w:type="dxa"/>
            <w:shd w:val="clear" w:color="auto" w:fill="auto"/>
            <w:noWrap/>
            <w:vAlign w:val="bottom"/>
            <w:hideMark/>
          </w:tcPr>
          <w:p w14:paraId="56F772E3"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13.77 ± 1.18</w:t>
            </w:r>
          </w:p>
        </w:tc>
        <w:tc>
          <w:tcPr>
            <w:tcW w:w="1786" w:type="dxa"/>
            <w:shd w:val="clear" w:color="auto" w:fill="auto"/>
            <w:noWrap/>
            <w:vAlign w:val="bottom"/>
            <w:hideMark/>
          </w:tcPr>
          <w:p w14:paraId="6DFF5963"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4.89 ± 0.18</w:t>
            </w:r>
          </w:p>
        </w:tc>
        <w:tc>
          <w:tcPr>
            <w:tcW w:w="1786" w:type="dxa"/>
            <w:shd w:val="clear" w:color="auto" w:fill="auto"/>
            <w:noWrap/>
            <w:vAlign w:val="bottom"/>
            <w:hideMark/>
          </w:tcPr>
          <w:p w14:paraId="78150C85" w14:textId="77777777" w:rsidR="009C75D7" w:rsidRPr="00D67122" w:rsidRDefault="009C75D7" w:rsidP="00672286">
            <w:pPr>
              <w:jc w:val="center"/>
              <w:rPr>
                <w:rFonts w:ascii="Calibri" w:eastAsia="Times New Roman" w:hAnsi="Calibri" w:cs="Times New Roman"/>
                <w:color w:val="000000"/>
                <w:sz w:val="22"/>
                <w:szCs w:val="22"/>
                <w:lang w:eastAsia="en-GB"/>
              </w:rPr>
            </w:pPr>
            <w:r w:rsidRPr="00D67122">
              <w:rPr>
                <w:rFonts w:ascii="Calibri" w:eastAsia="Times New Roman" w:hAnsi="Calibri" w:cs="Times New Roman"/>
                <w:color w:val="000000"/>
                <w:sz w:val="22"/>
                <w:szCs w:val="22"/>
                <w:lang w:eastAsia="en-GB"/>
              </w:rPr>
              <w:t>0.74 ± 0.017</w:t>
            </w:r>
          </w:p>
        </w:tc>
      </w:tr>
    </w:tbl>
    <w:p w14:paraId="1CEDC32C" w14:textId="77777777" w:rsidR="009C75D7" w:rsidRPr="002F756C" w:rsidRDefault="009C75D7" w:rsidP="009C75D7">
      <w:pPr>
        <w:tabs>
          <w:tab w:val="left" w:pos="1350"/>
        </w:tabs>
        <w:rPr>
          <w:b/>
          <w:bCs/>
          <w:sz w:val="20"/>
          <w:szCs w:val="20"/>
        </w:rPr>
        <w:sectPr w:rsidR="009C75D7" w:rsidRPr="002F756C" w:rsidSect="00BE3E5F">
          <w:pgSz w:w="16838" w:h="11906" w:orient="landscape"/>
          <w:pgMar w:top="1440" w:right="1440" w:bottom="1440" w:left="1440" w:header="720" w:footer="720" w:gutter="0"/>
          <w:lnNumType w:countBy="1" w:restart="continuous"/>
          <w:cols w:space="720"/>
          <w:docGrid w:linePitch="360"/>
        </w:sectPr>
      </w:pPr>
      <w:r w:rsidRPr="002F756C">
        <w:rPr>
          <w:b/>
          <w:bCs/>
          <w:sz w:val="20"/>
          <w:szCs w:val="20"/>
        </w:rPr>
        <w:t xml:space="preserve">Table 4.2: Mean ± </w:t>
      </w:r>
      <w:proofErr w:type="spellStart"/>
      <w:r w:rsidRPr="002F756C">
        <w:rPr>
          <w:b/>
          <w:bCs/>
          <w:sz w:val="20"/>
          <w:szCs w:val="20"/>
        </w:rPr>
        <w:t>st.</w:t>
      </w:r>
      <w:proofErr w:type="spellEnd"/>
      <w:r w:rsidRPr="002F756C">
        <w:rPr>
          <w:b/>
          <w:bCs/>
          <w:sz w:val="20"/>
          <w:szCs w:val="20"/>
        </w:rPr>
        <w:t xml:space="preserve"> error tree density, mean plot crown diameter (CD), tree height (H), below ground and aboveground biomasses (Mg ha</w:t>
      </w:r>
      <w:r w:rsidRPr="002F756C">
        <w:rPr>
          <w:b/>
          <w:bCs/>
          <w:sz w:val="20"/>
          <w:szCs w:val="20"/>
          <w:vertAlign w:val="superscript"/>
        </w:rPr>
        <w:t>-1</w:t>
      </w:r>
      <w:r w:rsidRPr="002F756C">
        <w:rPr>
          <w:b/>
          <w:bCs/>
          <w:sz w:val="20"/>
          <w:szCs w:val="20"/>
        </w:rPr>
        <w:t>) and aboveground to below ground biomass ratio in different sites and intertidal depths in Qatar mangroves.</w:t>
      </w:r>
    </w:p>
    <w:p w14:paraId="68653C29" w14:textId="189E51B5" w:rsidR="009C75D7" w:rsidRPr="00733EE3" w:rsidRDefault="009C75D7" w:rsidP="009C75D7">
      <w:pPr>
        <w:pStyle w:val="Heading3"/>
        <w:rPr>
          <w:rFonts w:asciiTheme="minorHAnsi" w:hAnsiTheme="minorHAnsi" w:cstheme="minorHAnsi"/>
          <w:b/>
          <w:bCs/>
          <w:color w:val="auto"/>
          <w:lang w:val="en-GB"/>
        </w:rPr>
      </w:pPr>
      <w:bookmarkStart w:id="50" w:name="_Toc120622139"/>
      <w:r w:rsidRPr="00733EE3">
        <w:rPr>
          <w:rFonts w:asciiTheme="minorHAnsi" w:hAnsiTheme="minorHAnsi" w:cstheme="minorHAnsi"/>
          <w:b/>
          <w:bCs/>
          <w:color w:val="auto"/>
          <w:lang w:val="en-GB"/>
        </w:rPr>
        <w:lastRenderedPageBreak/>
        <w:t>4.4.3</w:t>
      </w:r>
      <w:r w:rsidRPr="00733EE3">
        <w:rPr>
          <w:rFonts w:asciiTheme="minorHAnsi" w:hAnsiTheme="minorHAnsi" w:cstheme="minorHAnsi"/>
          <w:b/>
          <w:bCs/>
          <w:color w:val="auto"/>
          <w:lang w:val="en-GB"/>
        </w:rPr>
        <w:tab/>
        <w:t>Tree and Soil Carbon stocks</w:t>
      </w:r>
      <w:bookmarkEnd w:id="50"/>
    </w:p>
    <w:p w14:paraId="0EC1CE2F" w14:textId="77777777" w:rsidR="009C75D7" w:rsidRPr="0067054C" w:rsidRDefault="009C75D7" w:rsidP="009C75D7">
      <w:pPr>
        <w:spacing w:line="480" w:lineRule="auto"/>
        <w:rPr>
          <w:iCs/>
        </w:rPr>
      </w:pPr>
      <w:r w:rsidRPr="0067054C">
        <w:t>Across all sites, wood biomass contained a mean carbon content (C) of 10.18 (± 0.82) Mg C ha</w:t>
      </w:r>
      <w:r w:rsidRPr="0067054C">
        <w:rPr>
          <w:vertAlign w:val="superscript"/>
        </w:rPr>
        <w:t>-1</w:t>
      </w:r>
      <w:r w:rsidRPr="0067054C">
        <w:t>. Of that, mean above and below ground tree C were 4.51 Mg ha</w:t>
      </w:r>
      <w:r w:rsidRPr="0067054C">
        <w:rPr>
          <w:vertAlign w:val="superscript"/>
        </w:rPr>
        <w:t>-1</w:t>
      </w:r>
      <w:r w:rsidRPr="0067054C">
        <w:t xml:space="preserve"> (± 0.44) and 5.67 Mg ha</w:t>
      </w:r>
      <w:r w:rsidRPr="0067054C">
        <w:rPr>
          <w:vertAlign w:val="superscript"/>
        </w:rPr>
        <w:t>-1</w:t>
      </w:r>
      <w:r w:rsidRPr="0067054C">
        <w:t xml:space="preserve"> (± 0.38), respectively. Distance to the seaward edge had a significant effect on overall tree C (Regression: F</w:t>
      </w:r>
      <w:r w:rsidRPr="0067054C">
        <w:rPr>
          <w:vertAlign w:val="subscript"/>
        </w:rPr>
        <w:t xml:space="preserve">1,25 </w:t>
      </w:r>
      <w:r w:rsidRPr="0067054C">
        <w:t>= 7.34, p = 0.01). Aboveground C did not vary with distance to the seaward edge (Regression: F</w:t>
      </w:r>
      <w:r w:rsidRPr="0067054C">
        <w:rPr>
          <w:vertAlign w:val="subscript"/>
        </w:rPr>
        <w:t xml:space="preserve">1, 25 </w:t>
      </w:r>
      <w:r w:rsidRPr="0067054C">
        <w:t xml:space="preserve">= 2.74, p = 0.11, </w:t>
      </w:r>
      <w:r>
        <w:t>Figure 4.2</w:t>
      </w:r>
      <w:r w:rsidRPr="0067054C">
        <w:t>a). However, below ground tree C was inversely related to distance to the seaward edge (Regression: F</w:t>
      </w:r>
      <w:r w:rsidRPr="0067054C">
        <w:rPr>
          <w:vertAlign w:val="subscript"/>
        </w:rPr>
        <w:t xml:space="preserve">1,25 </w:t>
      </w:r>
      <w:r w:rsidRPr="0067054C">
        <w:t xml:space="preserve">= 6.85, p = 0.01, </w:t>
      </w:r>
      <w:r>
        <w:t>Figure 4.2</w:t>
      </w:r>
      <w:r w:rsidRPr="0067054C">
        <w:t>b). Across all tidal heights, tree stocks accounted for 23.98% of total carbon (C</w:t>
      </w:r>
      <w:r w:rsidRPr="0067054C">
        <w:rPr>
          <w:vertAlign w:val="subscript"/>
        </w:rPr>
        <w:t>TOT</w:t>
      </w:r>
      <w:r w:rsidRPr="0067054C">
        <w:t>) (Fig</w:t>
      </w:r>
      <w:r>
        <w:t>ure</w:t>
      </w:r>
      <w:r w:rsidRPr="0067054C">
        <w:t xml:space="preserve"> 4</w:t>
      </w:r>
      <w:r>
        <w:t>.3</w:t>
      </w:r>
      <w:r w:rsidRPr="0067054C">
        <w:t>). Overall mean total stocks were 45.70 ±3.70 Mg C ha</w:t>
      </w:r>
      <w:r w:rsidRPr="0067054C">
        <w:rPr>
          <w:vertAlign w:val="superscript"/>
        </w:rPr>
        <w:t>-1</w:t>
      </w:r>
      <w:r w:rsidRPr="0067054C">
        <w:t>. Soil C</w:t>
      </w:r>
      <w:r w:rsidRPr="0067054C">
        <w:rPr>
          <w:vertAlign w:val="subscript"/>
        </w:rPr>
        <w:t>50</w:t>
      </w:r>
      <w:r w:rsidRPr="0067054C">
        <w:t xml:space="preserve"> were 30.48 ±5.11, 44.39 ±5.63 and 31.69 ±3.39 Mg ha</w:t>
      </w:r>
      <w:r w:rsidRPr="0067054C">
        <w:rPr>
          <w:vertAlign w:val="superscript"/>
        </w:rPr>
        <w:t>-1</w:t>
      </w:r>
      <w:r w:rsidRPr="0067054C">
        <w:t xml:space="preserve"> in low, mid and high tidal zones respectively. When extrapolated to 1m depth, overall mean soil C</w:t>
      </w:r>
      <w:r w:rsidRPr="0067054C">
        <w:rPr>
          <w:vertAlign w:val="subscript"/>
        </w:rPr>
        <w:t>100</w:t>
      </w:r>
      <w:r w:rsidRPr="0067054C">
        <w:t xml:space="preserve"> stocks were 5</w:t>
      </w:r>
      <w:r>
        <w:t>0.17</w:t>
      </w:r>
      <w:r w:rsidRPr="0067054C">
        <w:t xml:space="preserve"> ±6.27 Mg C ha</w:t>
      </w:r>
      <w:r w:rsidRPr="0067054C">
        <w:rPr>
          <w:vertAlign w:val="superscript"/>
        </w:rPr>
        <w:t>-1</w:t>
      </w:r>
      <w:r w:rsidRPr="0067054C">
        <w:t>. There was no significant effect of distance to the seaward edge on soil C</w:t>
      </w:r>
      <w:r w:rsidRPr="0067054C">
        <w:rPr>
          <w:vertAlign w:val="subscript"/>
        </w:rPr>
        <w:t>50</w:t>
      </w:r>
      <w:r w:rsidRPr="0067054C">
        <w:t xml:space="preserve"> (Regression: F</w:t>
      </w:r>
      <w:r w:rsidRPr="0067054C">
        <w:rPr>
          <w:vertAlign w:val="subscript"/>
        </w:rPr>
        <w:t xml:space="preserve">1,25 </w:t>
      </w:r>
      <w:r w:rsidRPr="0067054C">
        <w:t xml:space="preserve">= 0.45, p = 0.51). </w:t>
      </w:r>
      <w:r w:rsidRPr="0067054C">
        <w:rPr>
          <w:iCs/>
        </w:rPr>
        <w:t>Carbon density was significantly higher in the fine root layer closer to the sediment surface than in the soil below the fine-root layer (ANOVA: F</w:t>
      </w:r>
      <w:r w:rsidRPr="0067054C">
        <w:rPr>
          <w:iCs/>
          <w:vertAlign w:val="subscript"/>
        </w:rPr>
        <w:t xml:space="preserve">1,52 </w:t>
      </w:r>
      <w:r w:rsidRPr="0067054C">
        <w:rPr>
          <w:iCs/>
        </w:rPr>
        <w:t>= 27.46, p&lt;0.01). Mean soil C density across all sites in the fine root layer was 11.81 ± 1.49 mg cm</w:t>
      </w:r>
      <w:r w:rsidRPr="0067054C">
        <w:rPr>
          <w:iCs/>
          <w:vertAlign w:val="superscript"/>
        </w:rPr>
        <w:t>-3</w:t>
      </w:r>
      <w:r w:rsidRPr="0067054C">
        <w:rPr>
          <w:iCs/>
        </w:rPr>
        <w:t>, compared to 6.98 ± 0.74 mg cm</w:t>
      </w:r>
      <w:r w:rsidRPr="0067054C">
        <w:rPr>
          <w:iCs/>
          <w:vertAlign w:val="superscript"/>
        </w:rPr>
        <w:t>-3</w:t>
      </w:r>
      <w:r w:rsidRPr="0067054C">
        <w:rPr>
          <w:iCs/>
        </w:rPr>
        <w:t xml:space="preserve"> in deeper soil (Table </w:t>
      </w:r>
      <w:r>
        <w:rPr>
          <w:iCs/>
        </w:rPr>
        <w:t>4.</w:t>
      </w:r>
      <w:r w:rsidRPr="0067054C">
        <w:rPr>
          <w:iCs/>
        </w:rPr>
        <w:t>3). Mean BD was 1.18 ±0.13 g cm</w:t>
      </w:r>
      <w:r w:rsidRPr="0067054C">
        <w:rPr>
          <w:iCs/>
          <w:vertAlign w:val="superscript"/>
        </w:rPr>
        <w:t>-3</w:t>
      </w:r>
      <w:r w:rsidRPr="0067054C">
        <w:rPr>
          <w:iCs/>
        </w:rPr>
        <w:t xml:space="preserve"> and %C was 1.51 ±0.35%, as a result, overall mean soil C density was 9.40 ±0.66 mg cm</w:t>
      </w:r>
      <w:r w:rsidRPr="0067054C">
        <w:rPr>
          <w:iCs/>
          <w:vertAlign w:val="superscript"/>
        </w:rPr>
        <w:t>-3</w:t>
      </w:r>
      <w:r w:rsidRPr="0067054C">
        <w:rPr>
          <w:iCs/>
        </w:rPr>
        <w:t xml:space="preserve">. Soil </w:t>
      </w:r>
      <w:proofErr w:type="gramStart"/>
      <w:r w:rsidRPr="0067054C">
        <w:rPr>
          <w:iCs/>
        </w:rPr>
        <w:t>C</w:t>
      </w:r>
      <w:r w:rsidRPr="0067054C">
        <w:rPr>
          <w:iCs/>
          <w:vertAlign w:val="subscript"/>
        </w:rPr>
        <w:t xml:space="preserve">  </w:t>
      </w:r>
      <w:r w:rsidRPr="0067054C">
        <w:rPr>
          <w:iCs/>
        </w:rPr>
        <w:t>in</w:t>
      </w:r>
      <w:proofErr w:type="gramEnd"/>
      <w:r w:rsidRPr="0067054C">
        <w:rPr>
          <w:iCs/>
        </w:rPr>
        <w:t xml:space="preserve"> the mid mangroves were characterised by comparatively low BD (0.82 ±0.07 g cm</w:t>
      </w:r>
      <w:r w:rsidRPr="0067054C">
        <w:rPr>
          <w:iCs/>
          <w:vertAlign w:val="superscript"/>
        </w:rPr>
        <w:t>-3</w:t>
      </w:r>
      <w:r w:rsidRPr="0067054C">
        <w:rPr>
          <w:iCs/>
        </w:rPr>
        <w:t>) and high %C (2.73 ±0.37), whereas, high and low mangroves had higher BD (high = 1.35 ±0.07 g cm</w:t>
      </w:r>
      <w:r w:rsidRPr="0067054C">
        <w:rPr>
          <w:iCs/>
          <w:vertAlign w:val="superscript"/>
        </w:rPr>
        <w:t>-3</w:t>
      </w:r>
      <w:r w:rsidRPr="0067054C">
        <w:rPr>
          <w:iCs/>
        </w:rPr>
        <w:t>; low = 1.36 ±0.05 g cm</w:t>
      </w:r>
      <w:r w:rsidRPr="0067054C">
        <w:rPr>
          <w:iCs/>
          <w:vertAlign w:val="superscript"/>
        </w:rPr>
        <w:t>-3</w:t>
      </w:r>
      <w:r w:rsidRPr="0067054C">
        <w:rPr>
          <w:iCs/>
        </w:rPr>
        <w:t>) and lower %C (high = 1.19 ±0.29; low = 0.62 ±0.04).</w:t>
      </w:r>
    </w:p>
    <w:p w14:paraId="3C0F9A05" w14:textId="77777777" w:rsidR="009C75D7" w:rsidRPr="0067054C" w:rsidRDefault="009C75D7" w:rsidP="009C75D7">
      <w:pPr>
        <w:spacing w:line="480" w:lineRule="auto"/>
        <w:rPr>
          <w:i/>
          <w:iCs/>
        </w:rPr>
      </w:pPr>
      <w:r w:rsidRPr="00C66B5E">
        <w:rPr>
          <w:noProof/>
        </w:rPr>
        <w:lastRenderedPageBreak/>
        <w:drawing>
          <wp:inline distT="0" distB="0" distL="0" distR="0" wp14:anchorId="1B8B610B" wp14:editId="4D16AAB4">
            <wp:extent cx="5731510" cy="7054215"/>
            <wp:effectExtent l="0" t="0" r="0" b="0"/>
            <wp:docPr id="21" name="Picture 2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1510" cy="7054215"/>
                    </a:xfrm>
                    <a:prstGeom prst="rect">
                      <a:avLst/>
                    </a:prstGeom>
                  </pic:spPr>
                </pic:pic>
              </a:graphicData>
            </a:graphic>
          </wp:inline>
        </w:drawing>
      </w:r>
    </w:p>
    <w:p w14:paraId="3D948D74" w14:textId="77777777" w:rsidR="009C75D7" w:rsidRPr="002F756C" w:rsidRDefault="009C75D7" w:rsidP="009C75D7">
      <w:pPr>
        <w:rPr>
          <w:b/>
          <w:bCs/>
          <w:sz w:val="20"/>
          <w:szCs w:val="20"/>
        </w:rPr>
      </w:pPr>
      <w:r w:rsidRPr="002F756C">
        <w:rPr>
          <w:b/>
          <w:bCs/>
          <w:sz w:val="20"/>
          <w:szCs w:val="20"/>
        </w:rPr>
        <w:t xml:space="preserve">Figure </w:t>
      </w:r>
      <w:r>
        <w:rPr>
          <w:b/>
          <w:bCs/>
          <w:sz w:val="20"/>
          <w:szCs w:val="20"/>
        </w:rPr>
        <w:t>4.2</w:t>
      </w:r>
      <w:r w:rsidRPr="002F756C">
        <w:rPr>
          <w:b/>
          <w:bCs/>
          <w:sz w:val="20"/>
          <w:szCs w:val="20"/>
        </w:rPr>
        <w:t xml:space="preserve">: a) aboveground and b) below ground tree C distance to seaward edge in the three different mangrove sampling locations. Black solid lines and dashed lines represent overall mean and 95% </w:t>
      </w:r>
      <w:proofErr w:type="gramStart"/>
      <w:r w:rsidRPr="002F756C">
        <w:rPr>
          <w:b/>
          <w:bCs/>
          <w:sz w:val="20"/>
          <w:szCs w:val="20"/>
        </w:rPr>
        <w:t>CI’s</w:t>
      </w:r>
      <w:proofErr w:type="gramEnd"/>
      <w:r w:rsidRPr="002F756C">
        <w:rPr>
          <w:b/>
          <w:bCs/>
          <w:sz w:val="20"/>
          <w:szCs w:val="20"/>
        </w:rPr>
        <w:t xml:space="preserve"> respectively. </w:t>
      </w:r>
    </w:p>
    <w:p w14:paraId="07037A9A" w14:textId="77777777" w:rsidR="009C75D7" w:rsidRPr="0067054C" w:rsidRDefault="009C75D7" w:rsidP="009C75D7">
      <w:pPr>
        <w:pStyle w:val="Caption"/>
        <w:spacing w:line="480" w:lineRule="auto"/>
        <w:rPr>
          <w:b w:val="0"/>
          <w:bCs w:val="0"/>
          <w:color w:val="auto"/>
          <w:sz w:val="22"/>
          <w:szCs w:val="22"/>
          <w:lang w:val="en-GB"/>
        </w:rPr>
      </w:pPr>
    </w:p>
    <w:p w14:paraId="2B832928" w14:textId="77777777" w:rsidR="009C75D7" w:rsidRPr="0067054C" w:rsidRDefault="009C75D7" w:rsidP="009C75D7">
      <w:pPr>
        <w:pStyle w:val="Caption"/>
        <w:spacing w:line="480" w:lineRule="auto"/>
        <w:jc w:val="center"/>
        <w:rPr>
          <w:b w:val="0"/>
          <w:bCs w:val="0"/>
          <w:color w:val="auto"/>
          <w:sz w:val="22"/>
          <w:szCs w:val="22"/>
          <w:lang w:val="en-GB"/>
        </w:rPr>
      </w:pPr>
      <w:r w:rsidRPr="0067054C">
        <w:rPr>
          <w:noProof/>
          <w:lang w:val="en-GB" w:eastAsia="en-GB"/>
        </w:rPr>
        <w:lastRenderedPageBreak/>
        <w:drawing>
          <wp:inline distT="0" distB="0" distL="0" distR="0" wp14:anchorId="799F8EB5" wp14:editId="7932B55B">
            <wp:extent cx="5731510" cy="3206369"/>
            <wp:effectExtent l="0" t="0" r="0" b="0"/>
            <wp:docPr id="22" name="Picture 22" descr="A screenshot of a video gam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177" t="1777" r="1156" b="1942"/>
                    <a:stretch/>
                  </pic:blipFill>
                  <pic:spPr bwMode="auto">
                    <a:xfrm>
                      <a:off x="0" y="0"/>
                      <a:ext cx="5731510" cy="3206369"/>
                    </a:xfrm>
                    <a:prstGeom prst="rect">
                      <a:avLst/>
                    </a:prstGeom>
                    <a:ln>
                      <a:noFill/>
                    </a:ln>
                    <a:extLst>
                      <a:ext uri="{53640926-AAD7-44D8-BBD7-CCE9431645EC}">
                        <a14:shadowObscured xmlns:a14="http://schemas.microsoft.com/office/drawing/2010/main"/>
                      </a:ext>
                    </a:extLst>
                  </pic:spPr>
                </pic:pic>
              </a:graphicData>
            </a:graphic>
          </wp:inline>
        </w:drawing>
      </w:r>
    </w:p>
    <w:p w14:paraId="61CEBABF" w14:textId="77777777" w:rsidR="009C75D7" w:rsidRPr="002F756C" w:rsidRDefault="009C75D7" w:rsidP="009C75D7">
      <w:pPr>
        <w:pStyle w:val="Caption"/>
        <w:rPr>
          <w:color w:val="auto"/>
          <w:sz w:val="20"/>
          <w:szCs w:val="20"/>
          <w:lang w:val="en-GB"/>
        </w:rPr>
        <w:sectPr w:rsidR="009C75D7" w:rsidRPr="002F756C" w:rsidSect="00995D14">
          <w:pgSz w:w="11906" w:h="16838"/>
          <w:pgMar w:top="1440" w:right="1440" w:bottom="1440" w:left="1440" w:header="720" w:footer="720" w:gutter="0"/>
          <w:cols w:space="720"/>
          <w:docGrid w:linePitch="360"/>
        </w:sectPr>
      </w:pPr>
      <w:r w:rsidRPr="002F756C">
        <w:rPr>
          <w:color w:val="auto"/>
          <w:sz w:val="20"/>
          <w:szCs w:val="20"/>
          <w:lang w:val="en-GB"/>
        </w:rPr>
        <w:t>Figure 4</w:t>
      </w:r>
      <w:r>
        <w:rPr>
          <w:color w:val="auto"/>
          <w:sz w:val="20"/>
          <w:szCs w:val="20"/>
          <w:lang w:val="en-GB"/>
        </w:rPr>
        <w:t>.3</w:t>
      </w:r>
      <w:r w:rsidRPr="002F756C">
        <w:rPr>
          <w:color w:val="auto"/>
          <w:sz w:val="20"/>
          <w:szCs w:val="20"/>
          <w:lang w:val="en-GB"/>
        </w:rPr>
        <w:t>: Total C across tidal zones in Qatari mangroves. Mean ± SEM aboveground, root and soil carbon stocks across the three mangrove shore heights, at three sites in Qatar.</w:t>
      </w:r>
    </w:p>
    <w:tbl>
      <w:tblPr>
        <w:tblpPr w:leftFromText="180" w:rightFromText="180" w:vertAnchor="page" w:horzAnchor="margin" w:tblpY="2453"/>
        <w:tblW w:w="14686" w:type="dxa"/>
        <w:tblLook w:val="04A0" w:firstRow="1" w:lastRow="0" w:firstColumn="1" w:lastColumn="0" w:noHBand="0" w:noVBand="1"/>
      </w:tblPr>
      <w:tblGrid>
        <w:gridCol w:w="1147"/>
        <w:gridCol w:w="1082"/>
        <w:gridCol w:w="1940"/>
        <w:gridCol w:w="1695"/>
        <w:gridCol w:w="1981"/>
        <w:gridCol w:w="1838"/>
        <w:gridCol w:w="1368"/>
        <w:gridCol w:w="1940"/>
        <w:gridCol w:w="1695"/>
      </w:tblGrid>
      <w:tr w:rsidR="009C75D7" w:rsidRPr="009C75D7" w14:paraId="23D9627B" w14:textId="77777777" w:rsidTr="003620E4">
        <w:trPr>
          <w:trHeight w:val="613"/>
        </w:trPr>
        <w:tc>
          <w:tcPr>
            <w:tcW w:w="1147" w:type="dxa"/>
            <w:tcBorders>
              <w:top w:val="single" w:sz="4" w:space="0" w:color="auto"/>
              <w:left w:val="nil"/>
              <w:bottom w:val="single" w:sz="4" w:space="0" w:color="auto"/>
              <w:right w:val="nil"/>
            </w:tcBorders>
            <w:shd w:val="clear" w:color="auto" w:fill="auto"/>
            <w:vAlign w:val="center"/>
            <w:hideMark/>
          </w:tcPr>
          <w:p w14:paraId="52DF1BB6" w14:textId="77777777" w:rsidR="009C75D7" w:rsidRPr="009C75D7" w:rsidRDefault="009C75D7" w:rsidP="003620E4">
            <w:pPr>
              <w:jc w:val="center"/>
              <w:rPr>
                <w:rFonts w:ascii="Calibri" w:eastAsia="Times New Roman" w:hAnsi="Calibri" w:cs="Times New Roman"/>
                <w:b/>
                <w:bCs/>
                <w:color w:val="000000"/>
                <w:sz w:val="22"/>
                <w:szCs w:val="22"/>
                <w:lang w:eastAsia="en-GB"/>
              </w:rPr>
            </w:pPr>
            <w:r w:rsidRPr="009C75D7">
              <w:rPr>
                <w:rFonts w:ascii="Calibri" w:eastAsia="Times New Roman" w:hAnsi="Calibri" w:cs="Times New Roman"/>
                <w:b/>
                <w:bCs/>
                <w:color w:val="000000"/>
                <w:sz w:val="22"/>
                <w:szCs w:val="22"/>
                <w:lang w:eastAsia="en-GB"/>
              </w:rPr>
              <w:lastRenderedPageBreak/>
              <w:t>Intertidal Depth</w:t>
            </w:r>
          </w:p>
        </w:tc>
        <w:tc>
          <w:tcPr>
            <w:tcW w:w="1082" w:type="dxa"/>
            <w:tcBorders>
              <w:top w:val="single" w:sz="4" w:space="0" w:color="auto"/>
              <w:left w:val="nil"/>
              <w:bottom w:val="single" w:sz="4" w:space="0" w:color="auto"/>
              <w:right w:val="nil"/>
            </w:tcBorders>
            <w:shd w:val="clear" w:color="auto" w:fill="auto"/>
            <w:vAlign w:val="center"/>
            <w:hideMark/>
          </w:tcPr>
          <w:p w14:paraId="5436E54A" w14:textId="77777777" w:rsidR="009C75D7" w:rsidRPr="009C75D7" w:rsidRDefault="009C75D7" w:rsidP="003620E4">
            <w:pPr>
              <w:jc w:val="center"/>
              <w:rPr>
                <w:rFonts w:ascii="Calibri" w:eastAsia="Times New Roman" w:hAnsi="Calibri" w:cs="Times New Roman"/>
                <w:b/>
                <w:bCs/>
                <w:color w:val="000000"/>
                <w:sz w:val="22"/>
                <w:szCs w:val="22"/>
                <w:lang w:eastAsia="en-GB"/>
              </w:rPr>
            </w:pPr>
            <w:r w:rsidRPr="009C75D7">
              <w:rPr>
                <w:rFonts w:ascii="Calibri" w:eastAsia="Times New Roman" w:hAnsi="Calibri" w:cs="Times New Roman"/>
                <w:b/>
                <w:bCs/>
                <w:color w:val="000000"/>
                <w:sz w:val="22"/>
                <w:szCs w:val="22"/>
                <w:lang w:eastAsia="en-GB"/>
              </w:rPr>
              <w:t>Soil Interval</w:t>
            </w:r>
          </w:p>
        </w:tc>
        <w:tc>
          <w:tcPr>
            <w:tcW w:w="1940" w:type="dxa"/>
            <w:tcBorders>
              <w:top w:val="single" w:sz="4" w:space="0" w:color="auto"/>
              <w:left w:val="nil"/>
              <w:bottom w:val="single" w:sz="4" w:space="0" w:color="auto"/>
              <w:right w:val="nil"/>
            </w:tcBorders>
            <w:shd w:val="clear" w:color="auto" w:fill="auto"/>
            <w:vAlign w:val="center"/>
            <w:hideMark/>
          </w:tcPr>
          <w:p w14:paraId="59072F5C" w14:textId="77777777" w:rsidR="009C75D7" w:rsidRPr="009C75D7" w:rsidRDefault="009C75D7" w:rsidP="003620E4">
            <w:pPr>
              <w:jc w:val="center"/>
              <w:rPr>
                <w:rFonts w:ascii="Calibri" w:eastAsia="Times New Roman" w:hAnsi="Calibri" w:cs="Times New Roman"/>
                <w:b/>
                <w:bCs/>
                <w:color w:val="000000"/>
                <w:sz w:val="22"/>
                <w:szCs w:val="22"/>
                <w:lang w:eastAsia="en-GB"/>
              </w:rPr>
            </w:pPr>
            <w:r w:rsidRPr="009C75D7">
              <w:rPr>
                <w:rFonts w:ascii="Calibri" w:eastAsia="Times New Roman" w:hAnsi="Calibri" w:cs="Times New Roman"/>
                <w:b/>
                <w:bCs/>
                <w:color w:val="000000"/>
                <w:sz w:val="22"/>
                <w:szCs w:val="22"/>
                <w:lang w:eastAsia="en-GB"/>
              </w:rPr>
              <w:t>Soil layer depth (cm)</w:t>
            </w:r>
          </w:p>
        </w:tc>
        <w:tc>
          <w:tcPr>
            <w:tcW w:w="1695" w:type="dxa"/>
            <w:tcBorders>
              <w:top w:val="single" w:sz="4" w:space="0" w:color="auto"/>
              <w:left w:val="nil"/>
              <w:bottom w:val="single" w:sz="4" w:space="0" w:color="auto"/>
              <w:right w:val="nil"/>
            </w:tcBorders>
            <w:shd w:val="clear" w:color="auto" w:fill="auto"/>
            <w:vAlign w:val="center"/>
            <w:hideMark/>
          </w:tcPr>
          <w:p w14:paraId="03B0B058" w14:textId="77777777" w:rsidR="009C75D7" w:rsidRPr="009C75D7" w:rsidRDefault="009C75D7" w:rsidP="003620E4">
            <w:pPr>
              <w:jc w:val="center"/>
              <w:rPr>
                <w:rFonts w:ascii="Calibri" w:eastAsia="Times New Roman" w:hAnsi="Calibri" w:cs="Times New Roman"/>
                <w:b/>
                <w:bCs/>
                <w:color w:val="000000"/>
                <w:sz w:val="22"/>
                <w:szCs w:val="22"/>
                <w:lang w:eastAsia="en-GB"/>
              </w:rPr>
            </w:pPr>
            <w:r w:rsidRPr="009C75D7">
              <w:rPr>
                <w:rFonts w:ascii="Calibri" w:eastAsia="Times New Roman" w:hAnsi="Calibri" w:cs="Times New Roman"/>
                <w:b/>
                <w:bCs/>
                <w:color w:val="000000"/>
                <w:sz w:val="22"/>
                <w:szCs w:val="22"/>
                <w:lang w:eastAsia="en-GB"/>
              </w:rPr>
              <w:t>Soil Depth (cm)</w:t>
            </w:r>
          </w:p>
        </w:tc>
        <w:tc>
          <w:tcPr>
            <w:tcW w:w="1981" w:type="dxa"/>
            <w:tcBorders>
              <w:top w:val="single" w:sz="4" w:space="0" w:color="auto"/>
              <w:left w:val="nil"/>
              <w:bottom w:val="single" w:sz="4" w:space="0" w:color="auto"/>
              <w:right w:val="nil"/>
            </w:tcBorders>
            <w:shd w:val="clear" w:color="auto" w:fill="auto"/>
            <w:vAlign w:val="center"/>
            <w:hideMark/>
          </w:tcPr>
          <w:p w14:paraId="2C69E43B" w14:textId="77777777" w:rsidR="009C75D7" w:rsidRPr="009C75D7" w:rsidRDefault="009C75D7" w:rsidP="003620E4">
            <w:pPr>
              <w:jc w:val="center"/>
              <w:rPr>
                <w:rFonts w:ascii="Calibri" w:eastAsia="Times New Roman" w:hAnsi="Calibri" w:cs="Times New Roman"/>
                <w:b/>
                <w:bCs/>
                <w:color w:val="000000"/>
                <w:sz w:val="22"/>
                <w:szCs w:val="22"/>
                <w:lang w:eastAsia="en-GB"/>
              </w:rPr>
            </w:pPr>
            <w:r w:rsidRPr="009C75D7">
              <w:rPr>
                <w:rFonts w:ascii="Calibri" w:eastAsia="Times New Roman" w:hAnsi="Calibri" w:cs="Times New Roman"/>
                <w:b/>
                <w:bCs/>
                <w:color w:val="000000"/>
                <w:sz w:val="22"/>
                <w:szCs w:val="22"/>
                <w:lang w:eastAsia="en-GB"/>
              </w:rPr>
              <w:t>Bulk Density g cm</w:t>
            </w:r>
            <w:r w:rsidRPr="009C75D7">
              <w:rPr>
                <w:rFonts w:ascii="Calibri" w:eastAsia="Times New Roman" w:hAnsi="Calibri" w:cs="Times New Roman"/>
                <w:b/>
                <w:bCs/>
                <w:color w:val="000000"/>
                <w:sz w:val="22"/>
                <w:szCs w:val="22"/>
                <w:vertAlign w:val="superscript"/>
                <w:lang w:eastAsia="en-GB"/>
              </w:rPr>
              <w:t>-3</w:t>
            </w:r>
          </w:p>
        </w:tc>
        <w:tc>
          <w:tcPr>
            <w:tcW w:w="1838" w:type="dxa"/>
            <w:tcBorders>
              <w:top w:val="single" w:sz="4" w:space="0" w:color="auto"/>
              <w:left w:val="nil"/>
              <w:bottom w:val="single" w:sz="4" w:space="0" w:color="auto"/>
              <w:right w:val="nil"/>
            </w:tcBorders>
            <w:shd w:val="clear" w:color="auto" w:fill="auto"/>
            <w:vAlign w:val="center"/>
            <w:hideMark/>
          </w:tcPr>
          <w:p w14:paraId="7565711D" w14:textId="77777777" w:rsidR="009C75D7" w:rsidRPr="009C75D7" w:rsidRDefault="009C75D7" w:rsidP="003620E4">
            <w:pPr>
              <w:jc w:val="center"/>
              <w:rPr>
                <w:rFonts w:ascii="Calibri" w:eastAsia="Times New Roman" w:hAnsi="Calibri" w:cs="Times New Roman"/>
                <w:b/>
                <w:bCs/>
                <w:color w:val="000000"/>
                <w:sz w:val="22"/>
                <w:szCs w:val="22"/>
                <w:lang w:eastAsia="en-GB"/>
              </w:rPr>
            </w:pPr>
            <w:r w:rsidRPr="009C75D7">
              <w:rPr>
                <w:rFonts w:ascii="Calibri" w:eastAsia="Times New Roman" w:hAnsi="Calibri" w:cs="Times New Roman"/>
                <w:b/>
                <w:bCs/>
                <w:color w:val="000000"/>
                <w:sz w:val="22"/>
                <w:szCs w:val="22"/>
                <w:lang w:eastAsia="en-GB"/>
              </w:rPr>
              <w:t>Carbon content %</w:t>
            </w:r>
          </w:p>
        </w:tc>
        <w:tc>
          <w:tcPr>
            <w:tcW w:w="1368" w:type="dxa"/>
            <w:tcBorders>
              <w:top w:val="single" w:sz="4" w:space="0" w:color="auto"/>
              <w:left w:val="nil"/>
              <w:bottom w:val="single" w:sz="4" w:space="0" w:color="auto"/>
              <w:right w:val="nil"/>
            </w:tcBorders>
            <w:shd w:val="clear" w:color="auto" w:fill="auto"/>
            <w:vAlign w:val="center"/>
            <w:hideMark/>
          </w:tcPr>
          <w:p w14:paraId="4FB162E4" w14:textId="77777777" w:rsidR="009C75D7" w:rsidRPr="009C75D7" w:rsidRDefault="009C75D7" w:rsidP="003620E4">
            <w:pPr>
              <w:jc w:val="center"/>
              <w:rPr>
                <w:rFonts w:ascii="Calibri" w:eastAsia="Times New Roman" w:hAnsi="Calibri" w:cs="Times New Roman"/>
                <w:b/>
                <w:bCs/>
                <w:color w:val="000000"/>
                <w:sz w:val="22"/>
                <w:szCs w:val="22"/>
                <w:lang w:eastAsia="en-GB"/>
              </w:rPr>
            </w:pPr>
            <w:r w:rsidRPr="009C75D7">
              <w:rPr>
                <w:rFonts w:ascii="Calibri" w:eastAsia="Times New Roman" w:hAnsi="Calibri" w:cs="Times New Roman"/>
                <w:b/>
                <w:bCs/>
                <w:color w:val="000000"/>
                <w:sz w:val="22"/>
                <w:szCs w:val="22"/>
                <w:lang w:eastAsia="en-GB"/>
              </w:rPr>
              <w:t>C density mg cm</w:t>
            </w:r>
            <w:r w:rsidRPr="009C75D7">
              <w:rPr>
                <w:rFonts w:ascii="Calibri" w:eastAsia="Times New Roman" w:hAnsi="Calibri" w:cs="Times New Roman"/>
                <w:b/>
                <w:bCs/>
                <w:color w:val="000000"/>
                <w:sz w:val="22"/>
                <w:szCs w:val="22"/>
                <w:vertAlign w:val="superscript"/>
                <w:lang w:eastAsia="en-GB"/>
              </w:rPr>
              <w:t>-3</w:t>
            </w:r>
          </w:p>
        </w:tc>
        <w:tc>
          <w:tcPr>
            <w:tcW w:w="1940" w:type="dxa"/>
            <w:tcBorders>
              <w:top w:val="single" w:sz="4" w:space="0" w:color="auto"/>
              <w:left w:val="nil"/>
              <w:bottom w:val="single" w:sz="4" w:space="0" w:color="auto"/>
              <w:right w:val="nil"/>
            </w:tcBorders>
            <w:shd w:val="clear" w:color="auto" w:fill="auto"/>
            <w:vAlign w:val="center"/>
            <w:hideMark/>
          </w:tcPr>
          <w:p w14:paraId="632B9A52" w14:textId="77777777" w:rsidR="009C75D7" w:rsidRPr="009C75D7" w:rsidRDefault="009C75D7" w:rsidP="003620E4">
            <w:pPr>
              <w:jc w:val="center"/>
              <w:rPr>
                <w:rFonts w:ascii="Calibri" w:eastAsia="Times New Roman" w:hAnsi="Calibri" w:cs="Times New Roman"/>
                <w:b/>
                <w:bCs/>
                <w:color w:val="000000"/>
                <w:sz w:val="22"/>
                <w:szCs w:val="22"/>
                <w:lang w:eastAsia="en-GB"/>
              </w:rPr>
            </w:pPr>
            <w:r w:rsidRPr="009C75D7">
              <w:rPr>
                <w:rFonts w:ascii="Calibri" w:eastAsia="Times New Roman" w:hAnsi="Calibri" w:cs="Times New Roman"/>
                <w:b/>
                <w:bCs/>
                <w:color w:val="000000"/>
                <w:sz w:val="22"/>
                <w:szCs w:val="22"/>
                <w:lang w:eastAsia="en-GB"/>
              </w:rPr>
              <w:t>Interval soil C Mg ha</w:t>
            </w:r>
            <w:r w:rsidRPr="009C75D7">
              <w:rPr>
                <w:rFonts w:ascii="Calibri" w:eastAsia="Times New Roman" w:hAnsi="Calibri" w:cs="Times New Roman"/>
                <w:b/>
                <w:bCs/>
                <w:color w:val="000000"/>
                <w:sz w:val="22"/>
                <w:szCs w:val="22"/>
                <w:vertAlign w:val="superscript"/>
                <w:lang w:eastAsia="en-GB"/>
              </w:rPr>
              <w:t>-1</w:t>
            </w:r>
          </w:p>
        </w:tc>
        <w:tc>
          <w:tcPr>
            <w:tcW w:w="1695" w:type="dxa"/>
            <w:tcBorders>
              <w:top w:val="single" w:sz="4" w:space="0" w:color="auto"/>
              <w:left w:val="nil"/>
              <w:bottom w:val="single" w:sz="4" w:space="0" w:color="auto"/>
              <w:right w:val="nil"/>
            </w:tcBorders>
            <w:shd w:val="clear" w:color="auto" w:fill="auto"/>
            <w:vAlign w:val="center"/>
            <w:hideMark/>
          </w:tcPr>
          <w:p w14:paraId="1ACC1F4C" w14:textId="77777777" w:rsidR="009C75D7" w:rsidRPr="009C75D7" w:rsidRDefault="009C75D7" w:rsidP="003620E4">
            <w:pPr>
              <w:jc w:val="center"/>
              <w:rPr>
                <w:rFonts w:ascii="Calibri" w:eastAsia="Times New Roman" w:hAnsi="Calibri" w:cs="Times New Roman"/>
                <w:b/>
                <w:bCs/>
                <w:color w:val="000000"/>
                <w:sz w:val="22"/>
                <w:szCs w:val="22"/>
                <w:lang w:eastAsia="en-GB"/>
              </w:rPr>
            </w:pPr>
            <w:r w:rsidRPr="009C75D7">
              <w:rPr>
                <w:rFonts w:ascii="Calibri" w:eastAsia="Times New Roman" w:hAnsi="Calibri" w:cs="Times New Roman"/>
                <w:b/>
                <w:bCs/>
                <w:color w:val="000000"/>
                <w:sz w:val="22"/>
                <w:szCs w:val="22"/>
                <w:lang w:eastAsia="en-GB"/>
              </w:rPr>
              <w:t>Soil C</w:t>
            </w:r>
            <w:r w:rsidRPr="009C75D7">
              <w:rPr>
                <w:rFonts w:ascii="Calibri" w:eastAsia="Times New Roman" w:hAnsi="Calibri" w:cs="Times New Roman"/>
                <w:b/>
                <w:bCs/>
                <w:color w:val="000000"/>
                <w:sz w:val="22"/>
                <w:szCs w:val="22"/>
                <w:vertAlign w:val="subscript"/>
                <w:lang w:eastAsia="en-GB"/>
              </w:rPr>
              <w:t>50</w:t>
            </w:r>
            <w:r w:rsidRPr="009C75D7">
              <w:rPr>
                <w:rFonts w:ascii="Calibri" w:eastAsia="Times New Roman" w:hAnsi="Calibri" w:cs="Times New Roman"/>
                <w:b/>
                <w:bCs/>
                <w:color w:val="000000"/>
                <w:sz w:val="22"/>
                <w:szCs w:val="22"/>
                <w:lang w:eastAsia="en-GB"/>
              </w:rPr>
              <w:t xml:space="preserve"> Mg ha</w:t>
            </w:r>
            <w:r w:rsidRPr="009C75D7">
              <w:rPr>
                <w:rFonts w:ascii="Calibri" w:eastAsia="Times New Roman" w:hAnsi="Calibri" w:cs="Times New Roman"/>
                <w:b/>
                <w:bCs/>
                <w:color w:val="000000"/>
                <w:sz w:val="22"/>
                <w:szCs w:val="22"/>
                <w:vertAlign w:val="superscript"/>
                <w:lang w:eastAsia="en-GB"/>
              </w:rPr>
              <w:t>-1</w:t>
            </w:r>
          </w:p>
        </w:tc>
      </w:tr>
      <w:tr w:rsidR="009C75D7" w:rsidRPr="009C75D7" w14:paraId="5636D9E7" w14:textId="77777777" w:rsidTr="003620E4">
        <w:trPr>
          <w:trHeight w:val="306"/>
        </w:trPr>
        <w:tc>
          <w:tcPr>
            <w:tcW w:w="14686" w:type="dxa"/>
            <w:gridSpan w:val="9"/>
            <w:tcBorders>
              <w:top w:val="single" w:sz="4" w:space="0" w:color="auto"/>
              <w:left w:val="nil"/>
              <w:bottom w:val="single" w:sz="4" w:space="0" w:color="auto"/>
              <w:right w:val="nil"/>
            </w:tcBorders>
            <w:shd w:val="clear" w:color="auto" w:fill="auto"/>
            <w:noWrap/>
            <w:vAlign w:val="center"/>
            <w:hideMark/>
          </w:tcPr>
          <w:p w14:paraId="65A3C12D" w14:textId="77777777" w:rsidR="009C75D7" w:rsidRPr="009C75D7" w:rsidRDefault="009C75D7" w:rsidP="003620E4">
            <w:pPr>
              <w:jc w:val="center"/>
              <w:rPr>
                <w:rFonts w:ascii="Calibri" w:eastAsia="Times New Roman" w:hAnsi="Calibri" w:cs="Times New Roman"/>
                <w:b/>
                <w:bCs/>
                <w:color w:val="000000"/>
                <w:sz w:val="22"/>
                <w:szCs w:val="22"/>
                <w:lang w:eastAsia="en-GB"/>
              </w:rPr>
            </w:pPr>
            <w:r w:rsidRPr="009C75D7">
              <w:rPr>
                <w:rFonts w:ascii="Calibri" w:eastAsia="Times New Roman" w:hAnsi="Calibri" w:cs="Times New Roman"/>
                <w:b/>
                <w:bCs/>
                <w:color w:val="000000"/>
                <w:sz w:val="22"/>
                <w:szCs w:val="22"/>
                <w:lang w:eastAsia="en-GB"/>
              </w:rPr>
              <w:t>Al Khor</w:t>
            </w:r>
          </w:p>
        </w:tc>
      </w:tr>
      <w:tr w:rsidR="009C75D7" w:rsidRPr="009C75D7" w14:paraId="174B00D5" w14:textId="77777777" w:rsidTr="003620E4">
        <w:trPr>
          <w:trHeight w:val="306"/>
        </w:trPr>
        <w:tc>
          <w:tcPr>
            <w:tcW w:w="1147" w:type="dxa"/>
            <w:vMerge w:val="restart"/>
            <w:tcBorders>
              <w:top w:val="nil"/>
              <w:left w:val="nil"/>
              <w:bottom w:val="nil"/>
              <w:right w:val="nil"/>
            </w:tcBorders>
            <w:shd w:val="clear" w:color="auto" w:fill="auto"/>
            <w:noWrap/>
            <w:vAlign w:val="center"/>
            <w:hideMark/>
          </w:tcPr>
          <w:p w14:paraId="115244BE"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Low</w:t>
            </w:r>
          </w:p>
        </w:tc>
        <w:tc>
          <w:tcPr>
            <w:tcW w:w="1082" w:type="dxa"/>
            <w:tcBorders>
              <w:top w:val="nil"/>
              <w:left w:val="nil"/>
              <w:bottom w:val="nil"/>
              <w:right w:val="nil"/>
            </w:tcBorders>
            <w:shd w:val="clear" w:color="auto" w:fill="auto"/>
            <w:noWrap/>
            <w:vAlign w:val="center"/>
            <w:hideMark/>
          </w:tcPr>
          <w:p w14:paraId="1C23EDFD"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Fine-root</w:t>
            </w:r>
          </w:p>
        </w:tc>
        <w:tc>
          <w:tcPr>
            <w:tcW w:w="1940" w:type="dxa"/>
            <w:tcBorders>
              <w:top w:val="nil"/>
              <w:left w:val="nil"/>
              <w:bottom w:val="nil"/>
              <w:right w:val="nil"/>
            </w:tcBorders>
            <w:shd w:val="clear" w:color="auto" w:fill="auto"/>
            <w:noWrap/>
            <w:vAlign w:val="center"/>
            <w:hideMark/>
          </w:tcPr>
          <w:p w14:paraId="296DC8E5"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8.82 ± 0.50</w:t>
            </w:r>
          </w:p>
        </w:tc>
        <w:tc>
          <w:tcPr>
            <w:tcW w:w="1695" w:type="dxa"/>
            <w:tcBorders>
              <w:top w:val="nil"/>
              <w:left w:val="nil"/>
              <w:bottom w:val="nil"/>
              <w:right w:val="nil"/>
            </w:tcBorders>
            <w:shd w:val="clear" w:color="auto" w:fill="auto"/>
            <w:noWrap/>
            <w:vAlign w:val="center"/>
            <w:hideMark/>
          </w:tcPr>
          <w:p w14:paraId="73C0C5B1" w14:textId="77777777" w:rsidR="009C75D7" w:rsidRPr="009C75D7" w:rsidRDefault="009C75D7" w:rsidP="003620E4">
            <w:pP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43.33 ± 3.56</w:t>
            </w:r>
          </w:p>
        </w:tc>
        <w:tc>
          <w:tcPr>
            <w:tcW w:w="1981" w:type="dxa"/>
            <w:tcBorders>
              <w:top w:val="nil"/>
              <w:left w:val="nil"/>
              <w:bottom w:val="nil"/>
              <w:right w:val="nil"/>
            </w:tcBorders>
            <w:shd w:val="clear" w:color="auto" w:fill="auto"/>
            <w:noWrap/>
            <w:vAlign w:val="center"/>
            <w:hideMark/>
          </w:tcPr>
          <w:p w14:paraId="456D0299"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1.36 ± 0.05</w:t>
            </w:r>
          </w:p>
        </w:tc>
        <w:tc>
          <w:tcPr>
            <w:tcW w:w="1838" w:type="dxa"/>
            <w:tcBorders>
              <w:top w:val="nil"/>
              <w:left w:val="nil"/>
              <w:bottom w:val="nil"/>
              <w:right w:val="nil"/>
            </w:tcBorders>
            <w:shd w:val="clear" w:color="auto" w:fill="auto"/>
            <w:noWrap/>
            <w:vAlign w:val="center"/>
            <w:hideMark/>
          </w:tcPr>
          <w:p w14:paraId="0209859F"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0.52 ± 0.05</w:t>
            </w:r>
          </w:p>
        </w:tc>
        <w:tc>
          <w:tcPr>
            <w:tcW w:w="1368" w:type="dxa"/>
            <w:tcBorders>
              <w:top w:val="nil"/>
              <w:left w:val="nil"/>
              <w:bottom w:val="nil"/>
              <w:right w:val="nil"/>
            </w:tcBorders>
            <w:shd w:val="clear" w:color="auto" w:fill="auto"/>
            <w:noWrap/>
            <w:vAlign w:val="center"/>
            <w:hideMark/>
          </w:tcPr>
          <w:p w14:paraId="4257D6AA"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7.03 ± 0.52</w:t>
            </w:r>
          </w:p>
        </w:tc>
        <w:tc>
          <w:tcPr>
            <w:tcW w:w="1940" w:type="dxa"/>
            <w:tcBorders>
              <w:top w:val="nil"/>
              <w:left w:val="nil"/>
              <w:bottom w:val="nil"/>
              <w:right w:val="nil"/>
            </w:tcBorders>
            <w:shd w:val="clear" w:color="auto" w:fill="auto"/>
            <w:noWrap/>
            <w:vAlign w:val="center"/>
            <w:hideMark/>
          </w:tcPr>
          <w:p w14:paraId="3ED3108D"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6.23 ± 0.67</w:t>
            </w:r>
          </w:p>
        </w:tc>
        <w:tc>
          <w:tcPr>
            <w:tcW w:w="1695" w:type="dxa"/>
            <w:tcBorders>
              <w:top w:val="nil"/>
              <w:left w:val="nil"/>
              <w:bottom w:val="nil"/>
              <w:right w:val="nil"/>
            </w:tcBorders>
            <w:shd w:val="clear" w:color="auto" w:fill="auto"/>
            <w:noWrap/>
            <w:vAlign w:val="bottom"/>
            <w:hideMark/>
          </w:tcPr>
          <w:p w14:paraId="422EC511" w14:textId="77777777" w:rsidR="009C75D7" w:rsidRPr="009C75D7" w:rsidRDefault="009C75D7" w:rsidP="003620E4">
            <w:pP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24.31 ± 4.26</w:t>
            </w:r>
          </w:p>
        </w:tc>
      </w:tr>
      <w:tr w:rsidR="009C75D7" w:rsidRPr="009C75D7" w14:paraId="326F1ADB" w14:textId="77777777" w:rsidTr="003620E4">
        <w:trPr>
          <w:trHeight w:val="306"/>
        </w:trPr>
        <w:tc>
          <w:tcPr>
            <w:tcW w:w="1147" w:type="dxa"/>
            <w:vMerge/>
            <w:tcBorders>
              <w:top w:val="nil"/>
              <w:left w:val="nil"/>
              <w:bottom w:val="nil"/>
              <w:right w:val="nil"/>
            </w:tcBorders>
            <w:vAlign w:val="center"/>
            <w:hideMark/>
          </w:tcPr>
          <w:p w14:paraId="336BB52F" w14:textId="77777777" w:rsidR="009C75D7" w:rsidRPr="009C75D7" w:rsidRDefault="009C75D7" w:rsidP="003620E4">
            <w:pPr>
              <w:rPr>
                <w:rFonts w:ascii="Calibri" w:eastAsia="Times New Roman" w:hAnsi="Calibri" w:cs="Times New Roman"/>
                <w:color w:val="000000"/>
                <w:sz w:val="22"/>
                <w:szCs w:val="22"/>
                <w:lang w:eastAsia="en-GB"/>
              </w:rPr>
            </w:pPr>
          </w:p>
        </w:tc>
        <w:tc>
          <w:tcPr>
            <w:tcW w:w="1082" w:type="dxa"/>
            <w:tcBorders>
              <w:top w:val="nil"/>
              <w:left w:val="nil"/>
              <w:bottom w:val="nil"/>
              <w:right w:val="nil"/>
            </w:tcBorders>
            <w:shd w:val="clear" w:color="auto" w:fill="auto"/>
            <w:noWrap/>
            <w:vAlign w:val="center"/>
            <w:hideMark/>
          </w:tcPr>
          <w:p w14:paraId="4612A2B1"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Deeper</w:t>
            </w:r>
          </w:p>
        </w:tc>
        <w:tc>
          <w:tcPr>
            <w:tcW w:w="1940" w:type="dxa"/>
            <w:tcBorders>
              <w:top w:val="nil"/>
              <w:left w:val="nil"/>
              <w:bottom w:val="nil"/>
              <w:right w:val="nil"/>
            </w:tcBorders>
            <w:shd w:val="clear" w:color="auto" w:fill="auto"/>
            <w:noWrap/>
            <w:vAlign w:val="center"/>
            <w:hideMark/>
          </w:tcPr>
          <w:p w14:paraId="53F8393D"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34.51 ± 3.97</w:t>
            </w:r>
          </w:p>
        </w:tc>
        <w:tc>
          <w:tcPr>
            <w:tcW w:w="1695" w:type="dxa"/>
            <w:tcBorders>
              <w:top w:val="nil"/>
              <w:left w:val="nil"/>
              <w:bottom w:val="nil"/>
              <w:right w:val="nil"/>
            </w:tcBorders>
            <w:shd w:val="clear" w:color="auto" w:fill="auto"/>
            <w:noWrap/>
            <w:vAlign w:val="center"/>
            <w:hideMark/>
          </w:tcPr>
          <w:p w14:paraId="74B8CA4D" w14:textId="77777777" w:rsidR="009C75D7" w:rsidRPr="009C75D7" w:rsidRDefault="009C75D7" w:rsidP="003620E4">
            <w:pPr>
              <w:rPr>
                <w:rFonts w:ascii="Calibri" w:eastAsia="Times New Roman" w:hAnsi="Calibri" w:cs="Times New Roman"/>
                <w:color w:val="000000"/>
                <w:sz w:val="22"/>
                <w:szCs w:val="22"/>
                <w:lang w:eastAsia="en-GB"/>
              </w:rPr>
            </w:pPr>
          </w:p>
        </w:tc>
        <w:tc>
          <w:tcPr>
            <w:tcW w:w="1981" w:type="dxa"/>
            <w:tcBorders>
              <w:top w:val="nil"/>
              <w:left w:val="nil"/>
              <w:bottom w:val="nil"/>
              <w:right w:val="nil"/>
            </w:tcBorders>
            <w:shd w:val="clear" w:color="auto" w:fill="auto"/>
            <w:noWrap/>
            <w:vAlign w:val="center"/>
            <w:hideMark/>
          </w:tcPr>
          <w:p w14:paraId="7035D073"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2.00 ± 0.05</w:t>
            </w:r>
          </w:p>
        </w:tc>
        <w:tc>
          <w:tcPr>
            <w:tcW w:w="1838" w:type="dxa"/>
            <w:tcBorders>
              <w:top w:val="nil"/>
              <w:left w:val="nil"/>
              <w:bottom w:val="nil"/>
              <w:right w:val="nil"/>
            </w:tcBorders>
            <w:shd w:val="clear" w:color="auto" w:fill="auto"/>
            <w:noWrap/>
            <w:vAlign w:val="center"/>
            <w:hideMark/>
          </w:tcPr>
          <w:p w14:paraId="5B8ABBF2"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0.26 ± 0.04</w:t>
            </w:r>
          </w:p>
        </w:tc>
        <w:tc>
          <w:tcPr>
            <w:tcW w:w="1368" w:type="dxa"/>
            <w:tcBorders>
              <w:top w:val="nil"/>
              <w:left w:val="nil"/>
              <w:bottom w:val="nil"/>
              <w:right w:val="nil"/>
            </w:tcBorders>
            <w:shd w:val="clear" w:color="auto" w:fill="auto"/>
            <w:noWrap/>
            <w:vAlign w:val="center"/>
            <w:hideMark/>
          </w:tcPr>
          <w:p w14:paraId="7459099A"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5.17 ± 0.74</w:t>
            </w:r>
          </w:p>
        </w:tc>
        <w:tc>
          <w:tcPr>
            <w:tcW w:w="1940" w:type="dxa"/>
            <w:tcBorders>
              <w:top w:val="nil"/>
              <w:left w:val="nil"/>
              <w:bottom w:val="nil"/>
              <w:right w:val="nil"/>
            </w:tcBorders>
            <w:shd w:val="clear" w:color="auto" w:fill="auto"/>
            <w:noWrap/>
            <w:vAlign w:val="center"/>
            <w:hideMark/>
          </w:tcPr>
          <w:p w14:paraId="16D25F38"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18.08 ± 4</w:t>
            </w:r>
          </w:p>
        </w:tc>
        <w:tc>
          <w:tcPr>
            <w:tcW w:w="1695" w:type="dxa"/>
            <w:tcBorders>
              <w:top w:val="nil"/>
              <w:left w:val="nil"/>
              <w:bottom w:val="nil"/>
              <w:right w:val="nil"/>
            </w:tcBorders>
            <w:shd w:val="clear" w:color="auto" w:fill="auto"/>
            <w:noWrap/>
            <w:vAlign w:val="bottom"/>
            <w:hideMark/>
          </w:tcPr>
          <w:p w14:paraId="1F9BAE01" w14:textId="77777777" w:rsidR="009C75D7" w:rsidRPr="009C75D7" w:rsidRDefault="009C75D7" w:rsidP="003620E4">
            <w:pPr>
              <w:rPr>
                <w:rFonts w:ascii="Calibri" w:eastAsia="Times New Roman" w:hAnsi="Calibri" w:cs="Times New Roman"/>
                <w:color w:val="000000"/>
                <w:sz w:val="22"/>
                <w:szCs w:val="22"/>
                <w:lang w:eastAsia="en-GB"/>
              </w:rPr>
            </w:pPr>
          </w:p>
        </w:tc>
      </w:tr>
      <w:tr w:rsidR="009C75D7" w:rsidRPr="009C75D7" w14:paraId="135DFAED" w14:textId="77777777" w:rsidTr="003620E4">
        <w:trPr>
          <w:trHeight w:val="306"/>
        </w:trPr>
        <w:tc>
          <w:tcPr>
            <w:tcW w:w="1147" w:type="dxa"/>
            <w:vMerge w:val="restart"/>
            <w:tcBorders>
              <w:top w:val="nil"/>
              <w:left w:val="nil"/>
              <w:bottom w:val="nil"/>
              <w:right w:val="nil"/>
            </w:tcBorders>
            <w:shd w:val="clear" w:color="auto" w:fill="auto"/>
            <w:noWrap/>
            <w:vAlign w:val="center"/>
            <w:hideMark/>
          </w:tcPr>
          <w:p w14:paraId="6B6609C4"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Mid</w:t>
            </w:r>
          </w:p>
        </w:tc>
        <w:tc>
          <w:tcPr>
            <w:tcW w:w="1082" w:type="dxa"/>
            <w:tcBorders>
              <w:top w:val="nil"/>
              <w:left w:val="nil"/>
              <w:bottom w:val="nil"/>
              <w:right w:val="nil"/>
            </w:tcBorders>
            <w:shd w:val="clear" w:color="auto" w:fill="auto"/>
            <w:noWrap/>
            <w:vAlign w:val="center"/>
            <w:hideMark/>
          </w:tcPr>
          <w:p w14:paraId="4491859C"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Fine-root</w:t>
            </w:r>
          </w:p>
        </w:tc>
        <w:tc>
          <w:tcPr>
            <w:tcW w:w="1940" w:type="dxa"/>
            <w:tcBorders>
              <w:top w:val="nil"/>
              <w:left w:val="nil"/>
              <w:bottom w:val="nil"/>
              <w:right w:val="nil"/>
            </w:tcBorders>
            <w:shd w:val="clear" w:color="auto" w:fill="auto"/>
            <w:noWrap/>
            <w:vAlign w:val="center"/>
            <w:hideMark/>
          </w:tcPr>
          <w:p w14:paraId="1DBF909C"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9.23 ± 0.12</w:t>
            </w:r>
          </w:p>
        </w:tc>
        <w:tc>
          <w:tcPr>
            <w:tcW w:w="1695" w:type="dxa"/>
            <w:tcBorders>
              <w:top w:val="nil"/>
              <w:left w:val="nil"/>
              <w:bottom w:val="nil"/>
              <w:right w:val="nil"/>
            </w:tcBorders>
            <w:shd w:val="clear" w:color="auto" w:fill="auto"/>
            <w:noWrap/>
            <w:vAlign w:val="center"/>
            <w:hideMark/>
          </w:tcPr>
          <w:p w14:paraId="591B6977" w14:textId="77777777" w:rsidR="009C75D7" w:rsidRPr="009C75D7" w:rsidRDefault="009C75D7" w:rsidP="003620E4">
            <w:pP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50.00 ± 0.00*</w:t>
            </w:r>
          </w:p>
        </w:tc>
        <w:tc>
          <w:tcPr>
            <w:tcW w:w="1981" w:type="dxa"/>
            <w:tcBorders>
              <w:top w:val="nil"/>
              <w:left w:val="nil"/>
              <w:bottom w:val="nil"/>
              <w:right w:val="nil"/>
            </w:tcBorders>
            <w:shd w:val="clear" w:color="auto" w:fill="auto"/>
            <w:noWrap/>
            <w:vAlign w:val="center"/>
            <w:hideMark/>
          </w:tcPr>
          <w:p w14:paraId="0BA9EE4C"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0.43 ± 0.12</w:t>
            </w:r>
          </w:p>
        </w:tc>
        <w:tc>
          <w:tcPr>
            <w:tcW w:w="1838" w:type="dxa"/>
            <w:tcBorders>
              <w:top w:val="nil"/>
              <w:left w:val="nil"/>
              <w:bottom w:val="nil"/>
              <w:right w:val="nil"/>
            </w:tcBorders>
            <w:shd w:val="clear" w:color="auto" w:fill="auto"/>
            <w:noWrap/>
            <w:vAlign w:val="center"/>
            <w:hideMark/>
          </w:tcPr>
          <w:p w14:paraId="11279AF3"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2.72 ± 0.65</w:t>
            </w:r>
          </w:p>
        </w:tc>
        <w:tc>
          <w:tcPr>
            <w:tcW w:w="1368" w:type="dxa"/>
            <w:tcBorders>
              <w:top w:val="nil"/>
              <w:left w:val="nil"/>
              <w:bottom w:val="nil"/>
              <w:right w:val="nil"/>
            </w:tcBorders>
            <w:shd w:val="clear" w:color="auto" w:fill="auto"/>
            <w:noWrap/>
            <w:vAlign w:val="center"/>
            <w:hideMark/>
          </w:tcPr>
          <w:p w14:paraId="37701EBD"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10.06 ± 1.32</w:t>
            </w:r>
          </w:p>
        </w:tc>
        <w:tc>
          <w:tcPr>
            <w:tcW w:w="1940" w:type="dxa"/>
            <w:tcBorders>
              <w:top w:val="nil"/>
              <w:left w:val="nil"/>
              <w:bottom w:val="nil"/>
              <w:right w:val="nil"/>
            </w:tcBorders>
            <w:shd w:val="clear" w:color="auto" w:fill="auto"/>
            <w:noWrap/>
            <w:vAlign w:val="center"/>
            <w:hideMark/>
          </w:tcPr>
          <w:p w14:paraId="635816EB"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9.31 ± 1.3</w:t>
            </w:r>
          </w:p>
        </w:tc>
        <w:tc>
          <w:tcPr>
            <w:tcW w:w="1695" w:type="dxa"/>
            <w:tcBorders>
              <w:top w:val="nil"/>
              <w:left w:val="nil"/>
              <w:bottom w:val="nil"/>
              <w:right w:val="nil"/>
            </w:tcBorders>
            <w:shd w:val="clear" w:color="auto" w:fill="auto"/>
            <w:noWrap/>
            <w:vAlign w:val="bottom"/>
            <w:hideMark/>
          </w:tcPr>
          <w:p w14:paraId="4574228B" w14:textId="77777777" w:rsidR="009C75D7" w:rsidRPr="009C75D7" w:rsidRDefault="009C75D7" w:rsidP="003620E4">
            <w:pP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39.42 ± 2.79</w:t>
            </w:r>
          </w:p>
        </w:tc>
      </w:tr>
      <w:tr w:rsidR="009C75D7" w:rsidRPr="009C75D7" w14:paraId="14471C03" w14:textId="77777777" w:rsidTr="003620E4">
        <w:trPr>
          <w:trHeight w:val="306"/>
        </w:trPr>
        <w:tc>
          <w:tcPr>
            <w:tcW w:w="1147" w:type="dxa"/>
            <w:vMerge/>
            <w:tcBorders>
              <w:top w:val="nil"/>
              <w:left w:val="nil"/>
              <w:bottom w:val="nil"/>
              <w:right w:val="nil"/>
            </w:tcBorders>
            <w:vAlign w:val="center"/>
            <w:hideMark/>
          </w:tcPr>
          <w:p w14:paraId="17701411" w14:textId="77777777" w:rsidR="009C75D7" w:rsidRPr="009C75D7" w:rsidRDefault="009C75D7" w:rsidP="003620E4">
            <w:pPr>
              <w:rPr>
                <w:rFonts w:ascii="Calibri" w:eastAsia="Times New Roman" w:hAnsi="Calibri" w:cs="Times New Roman"/>
                <w:color w:val="000000"/>
                <w:sz w:val="22"/>
                <w:szCs w:val="22"/>
                <w:lang w:eastAsia="en-GB"/>
              </w:rPr>
            </w:pPr>
          </w:p>
        </w:tc>
        <w:tc>
          <w:tcPr>
            <w:tcW w:w="1082" w:type="dxa"/>
            <w:tcBorders>
              <w:top w:val="nil"/>
              <w:left w:val="nil"/>
              <w:bottom w:val="nil"/>
              <w:right w:val="nil"/>
            </w:tcBorders>
            <w:shd w:val="clear" w:color="auto" w:fill="auto"/>
            <w:noWrap/>
            <w:vAlign w:val="center"/>
            <w:hideMark/>
          </w:tcPr>
          <w:p w14:paraId="41BE8BF8"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Deeper</w:t>
            </w:r>
          </w:p>
        </w:tc>
        <w:tc>
          <w:tcPr>
            <w:tcW w:w="1940" w:type="dxa"/>
            <w:tcBorders>
              <w:top w:val="nil"/>
              <w:left w:val="nil"/>
              <w:bottom w:val="nil"/>
              <w:right w:val="nil"/>
            </w:tcBorders>
            <w:shd w:val="clear" w:color="auto" w:fill="auto"/>
            <w:noWrap/>
            <w:vAlign w:val="center"/>
            <w:hideMark/>
          </w:tcPr>
          <w:p w14:paraId="460C80FC"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40.77 ± 0.12</w:t>
            </w:r>
          </w:p>
        </w:tc>
        <w:tc>
          <w:tcPr>
            <w:tcW w:w="1695" w:type="dxa"/>
            <w:tcBorders>
              <w:top w:val="nil"/>
              <w:left w:val="nil"/>
              <w:bottom w:val="nil"/>
              <w:right w:val="nil"/>
            </w:tcBorders>
            <w:shd w:val="clear" w:color="auto" w:fill="auto"/>
            <w:noWrap/>
            <w:vAlign w:val="center"/>
            <w:hideMark/>
          </w:tcPr>
          <w:p w14:paraId="68BD1FDB" w14:textId="77777777" w:rsidR="009C75D7" w:rsidRPr="009C75D7" w:rsidRDefault="009C75D7" w:rsidP="003620E4">
            <w:pPr>
              <w:rPr>
                <w:rFonts w:ascii="Calibri" w:eastAsia="Times New Roman" w:hAnsi="Calibri" w:cs="Times New Roman"/>
                <w:color w:val="000000"/>
                <w:sz w:val="22"/>
                <w:szCs w:val="22"/>
                <w:lang w:eastAsia="en-GB"/>
              </w:rPr>
            </w:pPr>
          </w:p>
        </w:tc>
        <w:tc>
          <w:tcPr>
            <w:tcW w:w="1981" w:type="dxa"/>
            <w:tcBorders>
              <w:top w:val="nil"/>
              <w:left w:val="nil"/>
              <w:bottom w:val="nil"/>
              <w:right w:val="nil"/>
            </w:tcBorders>
            <w:shd w:val="clear" w:color="auto" w:fill="auto"/>
            <w:noWrap/>
            <w:vAlign w:val="center"/>
            <w:hideMark/>
          </w:tcPr>
          <w:p w14:paraId="3A7C0C5F"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1.44 ± 0.17</w:t>
            </w:r>
          </w:p>
        </w:tc>
        <w:tc>
          <w:tcPr>
            <w:tcW w:w="1838" w:type="dxa"/>
            <w:tcBorders>
              <w:top w:val="nil"/>
              <w:left w:val="nil"/>
              <w:bottom w:val="nil"/>
              <w:right w:val="nil"/>
            </w:tcBorders>
            <w:shd w:val="clear" w:color="auto" w:fill="auto"/>
            <w:noWrap/>
            <w:vAlign w:val="center"/>
            <w:hideMark/>
          </w:tcPr>
          <w:p w14:paraId="43F35CFF"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0.52 ± 0.04</w:t>
            </w:r>
          </w:p>
        </w:tc>
        <w:tc>
          <w:tcPr>
            <w:tcW w:w="1368" w:type="dxa"/>
            <w:tcBorders>
              <w:top w:val="nil"/>
              <w:left w:val="nil"/>
              <w:bottom w:val="nil"/>
              <w:right w:val="nil"/>
            </w:tcBorders>
            <w:shd w:val="clear" w:color="auto" w:fill="auto"/>
            <w:noWrap/>
            <w:vAlign w:val="center"/>
            <w:hideMark/>
          </w:tcPr>
          <w:p w14:paraId="6A437D39"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7.38 ± 0.69</w:t>
            </w:r>
          </w:p>
        </w:tc>
        <w:tc>
          <w:tcPr>
            <w:tcW w:w="1940" w:type="dxa"/>
            <w:tcBorders>
              <w:top w:val="nil"/>
              <w:left w:val="nil"/>
              <w:bottom w:val="nil"/>
              <w:right w:val="nil"/>
            </w:tcBorders>
            <w:shd w:val="clear" w:color="auto" w:fill="auto"/>
            <w:noWrap/>
            <w:vAlign w:val="center"/>
            <w:hideMark/>
          </w:tcPr>
          <w:p w14:paraId="3A27E4B3"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30.1 ± 2.89</w:t>
            </w:r>
          </w:p>
        </w:tc>
        <w:tc>
          <w:tcPr>
            <w:tcW w:w="1695" w:type="dxa"/>
            <w:tcBorders>
              <w:top w:val="nil"/>
              <w:left w:val="nil"/>
              <w:bottom w:val="nil"/>
              <w:right w:val="nil"/>
            </w:tcBorders>
            <w:shd w:val="clear" w:color="auto" w:fill="auto"/>
            <w:noWrap/>
            <w:vAlign w:val="bottom"/>
            <w:hideMark/>
          </w:tcPr>
          <w:p w14:paraId="277D7D92" w14:textId="77777777" w:rsidR="009C75D7" w:rsidRPr="009C75D7" w:rsidRDefault="009C75D7" w:rsidP="003620E4">
            <w:pPr>
              <w:rPr>
                <w:rFonts w:ascii="Calibri" w:eastAsia="Times New Roman" w:hAnsi="Calibri" w:cs="Times New Roman"/>
                <w:color w:val="000000"/>
                <w:sz w:val="22"/>
                <w:szCs w:val="22"/>
                <w:lang w:eastAsia="en-GB"/>
              </w:rPr>
            </w:pPr>
          </w:p>
        </w:tc>
      </w:tr>
      <w:tr w:rsidR="009C75D7" w:rsidRPr="009C75D7" w14:paraId="4568138D" w14:textId="77777777" w:rsidTr="003620E4">
        <w:trPr>
          <w:trHeight w:val="306"/>
        </w:trPr>
        <w:tc>
          <w:tcPr>
            <w:tcW w:w="1147" w:type="dxa"/>
            <w:vMerge w:val="restart"/>
            <w:tcBorders>
              <w:top w:val="nil"/>
              <w:left w:val="nil"/>
              <w:bottom w:val="nil"/>
              <w:right w:val="nil"/>
            </w:tcBorders>
            <w:shd w:val="clear" w:color="auto" w:fill="auto"/>
            <w:noWrap/>
            <w:vAlign w:val="center"/>
            <w:hideMark/>
          </w:tcPr>
          <w:p w14:paraId="070A6DFE"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High</w:t>
            </w:r>
          </w:p>
        </w:tc>
        <w:tc>
          <w:tcPr>
            <w:tcW w:w="1082" w:type="dxa"/>
            <w:tcBorders>
              <w:top w:val="nil"/>
              <w:left w:val="nil"/>
              <w:bottom w:val="nil"/>
              <w:right w:val="nil"/>
            </w:tcBorders>
            <w:shd w:val="clear" w:color="auto" w:fill="auto"/>
            <w:noWrap/>
            <w:vAlign w:val="center"/>
            <w:hideMark/>
          </w:tcPr>
          <w:p w14:paraId="362A6704"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Fine-root</w:t>
            </w:r>
          </w:p>
        </w:tc>
        <w:tc>
          <w:tcPr>
            <w:tcW w:w="1940" w:type="dxa"/>
            <w:tcBorders>
              <w:top w:val="nil"/>
              <w:left w:val="nil"/>
              <w:bottom w:val="nil"/>
              <w:right w:val="nil"/>
            </w:tcBorders>
            <w:shd w:val="clear" w:color="auto" w:fill="auto"/>
            <w:noWrap/>
            <w:vAlign w:val="center"/>
            <w:hideMark/>
          </w:tcPr>
          <w:p w14:paraId="13BED1B5"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8.00 ± 0.00</w:t>
            </w:r>
          </w:p>
        </w:tc>
        <w:tc>
          <w:tcPr>
            <w:tcW w:w="1695" w:type="dxa"/>
            <w:tcBorders>
              <w:top w:val="nil"/>
              <w:left w:val="nil"/>
              <w:bottom w:val="nil"/>
              <w:right w:val="nil"/>
            </w:tcBorders>
            <w:shd w:val="clear" w:color="auto" w:fill="auto"/>
            <w:noWrap/>
            <w:vAlign w:val="center"/>
            <w:hideMark/>
          </w:tcPr>
          <w:p w14:paraId="1A7FCAA6" w14:textId="77777777" w:rsidR="009C75D7" w:rsidRPr="009C75D7" w:rsidRDefault="009C75D7" w:rsidP="003620E4">
            <w:pP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50.00 ± 0.00*</w:t>
            </w:r>
          </w:p>
        </w:tc>
        <w:tc>
          <w:tcPr>
            <w:tcW w:w="1981" w:type="dxa"/>
            <w:tcBorders>
              <w:top w:val="nil"/>
              <w:left w:val="nil"/>
              <w:bottom w:val="nil"/>
              <w:right w:val="nil"/>
            </w:tcBorders>
            <w:shd w:val="clear" w:color="auto" w:fill="auto"/>
            <w:noWrap/>
            <w:vAlign w:val="center"/>
            <w:hideMark/>
          </w:tcPr>
          <w:p w14:paraId="338DF721"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1.15 ± 0.32</w:t>
            </w:r>
          </w:p>
        </w:tc>
        <w:tc>
          <w:tcPr>
            <w:tcW w:w="1838" w:type="dxa"/>
            <w:tcBorders>
              <w:top w:val="nil"/>
              <w:left w:val="nil"/>
              <w:bottom w:val="nil"/>
              <w:right w:val="nil"/>
            </w:tcBorders>
            <w:shd w:val="clear" w:color="auto" w:fill="auto"/>
            <w:noWrap/>
            <w:vAlign w:val="center"/>
            <w:hideMark/>
          </w:tcPr>
          <w:p w14:paraId="684E8900"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0.99 ± 0.29</w:t>
            </w:r>
          </w:p>
        </w:tc>
        <w:tc>
          <w:tcPr>
            <w:tcW w:w="1368" w:type="dxa"/>
            <w:tcBorders>
              <w:top w:val="nil"/>
              <w:left w:val="nil"/>
              <w:bottom w:val="nil"/>
              <w:right w:val="nil"/>
            </w:tcBorders>
            <w:shd w:val="clear" w:color="auto" w:fill="auto"/>
            <w:noWrap/>
            <w:vAlign w:val="center"/>
            <w:hideMark/>
          </w:tcPr>
          <w:p w14:paraId="27EAA0F0"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9.58 ± 0.65</w:t>
            </w:r>
          </w:p>
        </w:tc>
        <w:tc>
          <w:tcPr>
            <w:tcW w:w="1940" w:type="dxa"/>
            <w:tcBorders>
              <w:top w:val="nil"/>
              <w:left w:val="nil"/>
              <w:bottom w:val="nil"/>
              <w:right w:val="nil"/>
            </w:tcBorders>
            <w:shd w:val="clear" w:color="auto" w:fill="auto"/>
            <w:noWrap/>
            <w:vAlign w:val="center"/>
            <w:hideMark/>
          </w:tcPr>
          <w:p w14:paraId="6F2CEC27"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7.66 ± 0.52</w:t>
            </w:r>
          </w:p>
        </w:tc>
        <w:tc>
          <w:tcPr>
            <w:tcW w:w="1695" w:type="dxa"/>
            <w:tcBorders>
              <w:top w:val="nil"/>
              <w:left w:val="nil"/>
              <w:bottom w:val="nil"/>
              <w:right w:val="nil"/>
            </w:tcBorders>
            <w:shd w:val="clear" w:color="auto" w:fill="auto"/>
            <w:noWrap/>
            <w:vAlign w:val="bottom"/>
            <w:hideMark/>
          </w:tcPr>
          <w:p w14:paraId="296C939F" w14:textId="77777777" w:rsidR="009C75D7" w:rsidRPr="009C75D7" w:rsidRDefault="009C75D7" w:rsidP="003620E4">
            <w:pP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30.94 ± 2.76</w:t>
            </w:r>
          </w:p>
        </w:tc>
      </w:tr>
      <w:tr w:rsidR="009C75D7" w:rsidRPr="009C75D7" w14:paraId="4C830DEA" w14:textId="77777777" w:rsidTr="003620E4">
        <w:trPr>
          <w:trHeight w:val="306"/>
        </w:trPr>
        <w:tc>
          <w:tcPr>
            <w:tcW w:w="1147" w:type="dxa"/>
            <w:vMerge/>
            <w:tcBorders>
              <w:top w:val="nil"/>
              <w:left w:val="nil"/>
              <w:bottom w:val="nil"/>
              <w:right w:val="nil"/>
            </w:tcBorders>
            <w:vAlign w:val="center"/>
            <w:hideMark/>
          </w:tcPr>
          <w:p w14:paraId="44C2EB6E" w14:textId="77777777" w:rsidR="009C75D7" w:rsidRPr="009C75D7" w:rsidRDefault="009C75D7" w:rsidP="003620E4">
            <w:pPr>
              <w:rPr>
                <w:rFonts w:ascii="Calibri" w:eastAsia="Times New Roman" w:hAnsi="Calibri" w:cs="Times New Roman"/>
                <w:color w:val="000000"/>
                <w:sz w:val="22"/>
                <w:szCs w:val="22"/>
                <w:lang w:eastAsia="en-GB"/>
              </w:rPr>
            </w:pPr>
          </w:p>
        </w:tc>
        <w:tc>
          <w:tcPr>
            <w:tcW w:w="1082" w:type="dxa"/>
            <w:tcBorders>
              <w:top w:val="nil"/>
              <w:left w:val="nil"/>
              <w:bottom w:val="nil"/>
              <w:right w:val="nil"/>
            </w:tcBorders>
            <w:shd w:val="clear" w:color="auto" w:fill="auto"/>
            <w:noWrap/>
            <w:vAlign w:val="center"/>
            <w:hideMark/>
          </w:tcPr>
          <w:p w14:paraId="04CEA153"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Deeper</w:t>
            </w:r>
          </w:p>
        </w:tc>
        <w:tc>
          <w:tcPr>
            <w:tcW w:w="1940" w:type="dxa"/>
            <w:tcBorders>
              <w:top w:val="nil"/>
              <w:left w:val="nil"/>
              <w:bottom w:val="nil"/>
              <w:right w:val="nil"/>
            </w:tcBorders>
            <w:shd w:val="clear" w:color="auto" w:fill="auto"/>
            <w:noWrap/>
            <w:vAlign w:val="center"/>
            <w:hideMark/>
          </w:tcPr>
          <w:p w14:paraId="060F8FC6"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42.00 ± 0.00</w:t>
            </w:r>
          </w:p>
        </w:tc>
        <w:tc>
          <w:tcPr>
            <w:tcW w:w="1695" w:type="dxa"/>
            <w:tcBorders>
              <w:top w:val="nil"/>
              <w:left w:val="nil"/>
              <w:bottom w:val="single" w:sz="4" w:space="0" w:color="auto"/>
              <w:right w:val="nil"/>
            </w:tcBorders>
            <w:shd w:val="clear" w:color="auto" w:fill="auto"/>
            <w:noWrap/>
            <w:vAlign w:val="center"/>
            <w:hideMark/>
          </w:tcPr>
          <w:p w14:paraId="1E0B4F43" w14:textId="77777777" w:rsidR="009C75D7" w:rsidRPr="009C75D7" w:rsidRDefault="009C75D7" w:rsidP="003620E4">
            <w:pP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 </w:t>
            </w:r>
          </w:p>
        </w:tc>
        <w:tc>
          <w:tcPr>
            <w:tcW w:w="1981" w:type="dxa"/>
            <w:tcBorders>
              <w:top w:val="nil"/>
              <w:left w:val="nil"/>
              <w:bottom w:val="nil"/>
              <w:right w:val="nil"/>
            </w:tcBorders>
            <w:shd w:val="clear" w:color="auto" w:fill="auto"/>
            <w:noWrap/>
            <w:vAlign w:val="center"/>
            <w:hideMark/>
          </w:tcPr>
          <w:p w14:paraId="32EC76E3"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1.88 ± 0.20</w:t>
            </w:r>
          </w:p>
        </w:tc>
        <w:tc>
          <w:tcPr>
            <w:tcW w:w="1838" w:type="dxa"/>
            <w:tcBorders>
              <w:top w:val="nil"/>
              <w:left w:val="nil"/>
              <w:bottom w:val="nil"/>
              <w:right w:val="nil"/>
            </w:tcBorders>
            <w:shd w:val="clear" w:color="auto" w:fill="auto"/>
            <w:noWrap/>
            <w:vAlign w:val="center"/>
            <w:hideMark/>
          </w:tcPr>
          <w:p w14:paraId="3499A920"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0.3 ± 0.04</w:t>
            </w:r>
          </w:p>
        </w:tc>
        <w:tc>
          <w:tcPr>
            <w:tcW w:w="1368" w:type="dxa"/>
            <w:tcBorders>
              <w:top w:val="nil"/>
              <w:left w:val="nil"/>
              <w:bottom w:val="nil"/>
              <w:right w:val="nil"/>
            </w:tcBorders>
            <w:shd w:val="clear" w:color="auto" w:fill="auto"/>
            <w:noWrap/>
            <w:vAlign w:val="center"/>
            <w:hideMark/>
          </w:tcPr>
          <w:p w14:paraId="05F9EF1E"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5.54 ± 0.61</w:t>
            </w:r>
          </w:p>
        </w:tc>
        <w:tc>
          <w:tcPr>
            <w:tcW w:w="1940" w:type="dxa"/>
            <w:tcBorders>
              <w:top w:val="nil"/>
              <w:left w:val="nil"/>
              <w:bottom w:val="nil"/>
              <w:right w:val="nil"/>
            </w:tcBorders>
            <w:shd w:val="clear" w:color="auto" w:fill="auto"/>
            <w:noWrap/>
            <w:vAlign w:val="center"/>
            <w:hideMark/>
          </w:tcPr>
          <w:p w14:paraId="6057181B"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23.28 ± 2.56</w:t>
            </w:r>
          </w:p>
        </w:tc>
        <w:tc>
          <w:tcPr>
            <w:tcW w:w="1695" w:type="dxa"/>
            <w:tcBorders>
              <w:top w:val="nil"/>
              <w:left w:val="nil"/>
              <w:bottom w:val="nil"/>
              <w:right w:val="nil"/>
            </w:tcBorders>
            <w:shd w:val="clear" w:color="auto" w:fill="auto"/>
            <w:noWrap/>
            <w:vAlign w:val="bottom"/>
            <w:hideMark/>
          </w:tcPr>
          <w:p w14:paraId="0844A538" w14:textId="77777777" w:rsidR="009C75D7" w:rsidRPr="009C75D7" w:rsidRDefault="009C75D7" w:rsidP="003620E4">
            <w:pPr>
              <w:rPr>
                <w:rFonts w:ascii="Calibri" w:eastAsia="Times New Roman" w:hAnsi="Calibri" w:cs="Times New Roman"/>
                <w:color w:val="000000"/>
                <w:sz w:val="22"/>
                <w:szCs w:val="22"/>
                <w:lang w:eastAsia="en-GB"/>
              </w:rPr>
            </w:pPr>
          </w:p>
        </w:tc>
      </w:tr>
      <w:tr w:rsidR="009C75D7" w:rsidRPr="009C75D7" w14:paraId="1F9BA453" w14:textId="77777777" w:rsidTr="003620E4">
        <w:trPr>
          <w:trHeight w:val="306"/>
        </w:trPr>
        <w:tc>
          <w:tcPr>
            <w:tcW w:w="14686" w:type="dxa"/>
            <w:gridSpan w:val="9"/>
            <w:tcBorders>
              <w:top w:val="single" w:sz="4" w:space="0" w:color="auto"/>
              <w:left w:val="nil"/>
              <w:bottom w:val="single" w:sz="4" w:space="0" w:color="auto"/>
              <w:right w:val="nil"/>
            </w:tcBorders>
            <w:shd w:val="clear" w:color="auto" w:fill="auto"/>
            <w:noWrap/>
            <w:vAlign w:val="center"/>
            <w:hideMark/>
          </w:tcPr>
          <w:p w14:paraId="5AB9A92A" w14:textId="77777777" w:rsidR="009C75D7" w:rsidRPr="009C75D7" w:rsidRDefault="009C75D7" w:rsidP="003620E4">
            <w:pPr>
              <w:jc w:val="center"/>
              <w:rPr>
                <w:rFonts w:ascii="Calibri" w:eastAsia="Times New Roman" w:hAnsi="Calibri" w:cs="Times New Roman"/>
                <w:b/>
                <w:bCs/>
                <w:color w:val="000000"/>
                <w:sz w:val="22"/>
                <w:szCs w:val="22"/>
                <w:lang w:eastAsia="en-GB"/>
              </w:rPr>
            </w:pPr>
            <w:r w:rsidRPr="009C75D7">
              <w:rPr>
                <w:rFonts w:ascii="Calibri" w:eastAsia="Times New Roman" w:hAnsi="Calibri" w:cs="Times New Roman"/>
                <w:b/>
                <w:bCs/>
                <w:color w:val="000000"/>
                <w:sz w:val="22"/>
                <w:szCs w:val="22"/>
                <w:lang w:eastAsia="en-GB"/>
              </w:rPr>
              <w:t xml:space="preserve">West </w:t>
            </w:r>
            <w:proofErr w:type="spellStart"/>
            <w:r w:rsidRPr="009C75D7">
              <w:rPr>
                <w:rFonts w:ascii="Calibri" w:eastAsia="Times New Roman" w:hAnsi="Calibri" w:cs="Times New Roman"/>
                <w:b/>
                <w:bCs/>
                <w:color w:val="000000"/>
                <w:sz w:val="22"/>
                <w:szCs w:val="22"/>
                <w:lang w:eastAsia="en-GB"/>
              </w:rPr>
              <w:t>Dhakira</w:t>
            </w:r>
            <w:proofErr w:type="spellEnd"/>
          </w:p>
        </w:tc>
      </w:tr>
      <w:tr w:rsidR="009C75D7" w:rsidRPr="009C75D7" w14:paraId="35F69D26" w14:textId="77777777" w:rsidTr="003620E4">
        <w:trPr>
          <w:trHeight w:val="306"/>
        </w:trPr>
        <w:tc>
          <w:tcPr>
            <w:tcW w:w="1147" w:type="dxa"/>
            <w:vMerge w:val="restart"/>
            <w:tcBorders>
              <w:top w:val="nil"/>
              <w:left w:val="nil"/>
              <w:bottom w:val="nil"/>
              <w:right w:val="nil"/>
            </w:tcBorders>
            <w:shd w:val="clear" w:color="auto" w:fill="auto"/>
            <w:noWrap/>
            <w:vAlign w:val="center"/>
            <w:hideMark/>
          </w:tcPr>
          <w:p w14:paraId="30FBC57E"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Low</w:t>
            </w:r>
          </w:p>
        </w:tc>
        <w:tc>
          <w:tcPr>
            <w:tcW w:w="1082" w:type="dxa"/>
            <w:tcBorders>
              <w:top w:val="nil"/>
              <w:left w:val="nil"/>
              <w:bottom w:val="nil"/>
              <w:right w:val="nil"/>
            </w:tcBorders>
            <w:shd w:val="clear" w:color="auto" w:fill="auto"/>
            <w:noWrap/>
            <w:vAlign w:val="center"/>
            <w:hideMark/>
          </w:tcPr>
          <w:p w14:paraId="45D4353C"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Fine-root</w:t>
            </w:r>
          </w:p>
        </w:tc>
        <w:tc>
          <w:tcPr>
            <w:tcW w:w="1940" w:type="dxa"/>
            <w:tcBorders>
              <w:top w:val="nil"/>
              <w:left w:val="nil"/>
              <w:bottom w:val="nil"/>
              <w:right w:val="nil"/>
            </w:tcBorders>
            <w:shd w:val="clear" w:color="auto" w:fill="auto"/>
            <w:noWrap/>
            <w:vAlign w:val="center"/>
            <w:hideMark/>
          </w:tcPr>
          <w:p w14:paraId="790B1D0E"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12.88 ± 2.13</w:t>
            </w:r>
          </w:p>
        </w:tc>
        <w:tc>
          <w:tcPr>
            <w:tcW w:w="1695" w:type="dxa"/>
            <w:tcBorders>
              <w:top w:val="nil"/>
              <w:left w:val="nil"/>
              <w:bottom w:val="nil"/>
              <w:right w:val="nil"/>
            </w:tcBorders>
            <w:shd w:val="clear" w:color="auto" w:fill="auto"/>
            <w:noWrap/>
            <w:vAlign w:val="center"/>
            <w:hideMark/>
          </w:tcPr>
          <w:p w14:paraId="3A668F42" w14:textId="77777777" w:rsidR="009C75D7" w:rsidRPr="009C75D7" w:rsidRDefault="009C75D7" w:rsidP="003620E4">
            <w:pP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50.00 ± 0.00*</w:t>
            </w:r>
          </w:p>
        </w:tc>
        <w:tc>
          <w:tcPr>
            <w:tcW w:w="1981" w:type="dxa"/>
            <w:tcBorders>
              <w:top w:val="nil"/>
              <w:left w:val="nil"/>
              <w:bottom w:val="nil"/>
              <w:right w:val="nil"/>
            </w:tcBorders>
            <w:shd w:val="clear" w:color="auto" w:fill="auto"/>
            <w:noWrap/>
            <w:vAlign w:val="center"/>
            <w:hideMark/>
          </w:tcPr>
          <w:p w14:paraId="0B92A37B"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0.94 ± 0.02</w:t>
            </w:r>
          </w:p>
        </w:tc>
        <w:tc>
          <w:tcPr>
            <w:tcW w:w="1838" w:type="dxa"/>
            <w:tcBorders>
              <w:top w:val="nil"/>
              <w:left w:val="nil"/>
              <w:bottom w:val="nil"/>
              <w:right w:val="nil"/>
            </w:tcBorders>
            <w:shd w:val="clear" w:color="auto" w:fill="auto"/>
            <w:noWrap/>
            <w:vAlign w:val="center"/>
            <w:hideMark/>
          </w:tcPr>
          <w:p w14:paraId="13966A9F"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1.17 ± 0.01</w:t>
            </w:r>
          </w:p>
        </w:tc>
        <w:tc>
          <w:tcPr>
            <w:tcW w:w="1368" w:type="dxa"/>
            <w:tcBorders>
              <w:top w:val="nil"/>
              <w:left w:val="nil"/>
              <w:bottom w:val="nil"/>
              <w:right w:val="nil"/>
            </w:tcBorders>
            <w:shd w:val="clear" w:color="auto" w:fill="auto"/>
            <w:noWrap/>
            <w:vAlign w:val="center"/>
            <w:hideMark/>
          </w:tcPr>
          <w:p w14:paraId="0C850D70"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11.03 ± 0.39</w:t>
            </w:r>
          </w:p>
        </w:tc>
        <w:tc>
          <w:tcPr>
            <w:tcW w:w="1940" w:type="dxa"/>
            <w:tcBorders>
              <w:top w:val="nil"/>
              <w:left w:val="nil"/>
              <w:bottom w:val="nil"/>
              <w:right w:val="nil"/>
            </w:tcBorders>
            <w:shd w:val="clear" w:color="auto" w:fill="auto"/>
            <w:noWrap/>
            <w:vAlign w:val="center"/>
            <w:hideMark/>
          </w:tcPr>
          <w:p w14:paraId="67613396"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14.2 ± 2.33</w:t>
            </w:r>
          </w:p>
        </w:tc>
        <w:tc>
          <w:tcPr>
            <w:tcW w:w="1695" w:type="dxa"/>
            <w:tcBorders>
              <w:top w:val="nil"/>
              <w:left w:val="nil"/>
              <w:bottom w:val="nil"/>
              <w:right w:val="nil"/>
            </w:tcBorders>
            <w:shd w:val="clear" w:color="auto" w:fill="auto"/>
            <w:noWrap/>
            <w:vAlign w:val="bottom"/>
            <w:hideMark/>
          </w:tcPr>
          <w:p w14:paraId="170500A6" w14:textId="77777777" w:rsidR="009C75D7" w:rsidRPr="009C75D7" w:rsidRDefault="009C75D7" w:rsidP="003620E4">
            <w:pP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46.85 ± 6.29</w:t>
            </w:r>
          </w:p>
        </w:tc>
      </w:tr>
      <w:tr w:rsidR="009C75D7" w:rsidRPr="009C75D7" w14:paraId="6E7D95C8" w14:textId="77777777" w:rsidTr="003620E4">
        <w:trPr>
          <w:trHeight w:val="306"/>
        </w:trPr>
        <w:tc>
          <w:tcPr>
            <w:tcW w:w="1147" w:type="dxa"/>
            <w:vMerge/>
            <w:tcBorders>
              <w:top w:val="nil"/>
              <w:left w:val="nil"/>
              <w:bottom w:val="nil"/>
              <w:right w:val="nil"/>
            </w:tcBorders>
            <w:vAlign w:val="center"/>
            <w:hideMark/>
          </w:tcPr>
          <w:p w14:paraId="50F78129" w14:textId="77777777" w:rsidR="009C75D7" w:rsidRPr="009C75D7" w:rsidRDefault="009C75D7" w:rsidP="003620E4">
            <w:pPr>
              <w:rPr>
                <w:rFonts w:ascii="Calibri" w:eastAsia="Times New Roman" w:hAnsi="Calibri" w:cs="Times New Roman"/>
                <w:color w:val="000000"/>
                <w:sz w:val="22"/>
                <w:szCs w:val="22"/>
                <w:lang w:eastAsia="en-GB"/>
              </w:rPr>
            </w:pPr>
          </w:p>
        </w:tc>
        <w:tc>
          <w:tcPr>
            <w:tcW w:w="1082" w:type="dxa"/>
            <w:tcBorders>
              <w:top w:val="nil"/>
              <w:left w:val="nil"/>
              <w:bottom w:val="nil"/>
              <w:right w:val="nil"/>
            </w:tcBorders>
            <w:shd w:val="clear" w:color="auto" w:fill="auto"/>
            <w:noWrap/>
            <w:vAlign w:val="center"/>
            <w:hideMark/>
          </w:tcPr>
          <w:p w14:paraId="4222F13D"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Deeper</w:t>
            </w:r>
          </w:p>
        </w:tc>
        <w:tc>
          <w:tcPr>
            <w:tcW w:w="1940" w:type="dxa"/>
            <w:tcBorders>
              <w:top w:val="nil"/>
              <w:left w:val="nil"/>
              <w:bottom w:val="nil"/>
              <w:right w:val="nil"/>
            </w:tcBorders>
            <w:shd w:val="clear" w:color="auto" w:fill="auto"/>
            <w:noWrap/>
            <w:vAlign w:val="center"/>
            <w:hideMark/>
          </w:tcPr>
          <w:p w14:paraId="518D87DA"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37.12 ± 2.13</w:t>
            </w:r>
          </w:p>
        </w:tc>
        <w:tc>
          <w:tcPr>
            <w:tcW w:w="1695" w:type="dxa"/>
            <w:tcBorders>
              <w:top w:val="nil"/>
              <w:left w:val="nil"/>
              <w:bottom w:val="nil"/>
              <w:right w:val="nil"/>
            </w:tcBorders>
            <w:shd w:val="clear" w:color="auto" w:fill="auto"/>
            <w:noWrap/>
            <w:vAlign w:val="center"/>
            <w:hideMark/>
          </w:tcPr>
          <w:p w14:paraId="3DA1961B" w14:textId="77777777" w:rsidR="009C75D7" w:rsidRPr="009C75D7" w:rsidRDefault="009C75D7" w:rsidP="003620E4">
            <w:pPr>
              <w:rPr>
                <w:rFonts w:ascii="Calibri" w:eastAsia="Times New Roman" w:hAnsi="Calibri" w:cs="Times New Roman"/>
                <w:color w:val="000000"/>
                <w:sz w:val="22"/>
                <w:szCs w:val="22"/>
                <w:lang w:eastAsia="en-GB"/>
              </w:rPr>
            </w:pPr>
          </w:p>
        </w:tc>
        <w:tc>
          <w:tcPr>
            <w:tcW w:w="1981" w:type="dxa"/>
            <w:tcBorders>
              <w:top w:val="nil"/>
              <w:left w:val="nil"/>
              <w:bottom w:val="nil"/>
              <w:right w:val="nil"/>
            </w:tcBorders>
            <w:shd w:val="clear" w:color="auto" w:fill="auto"/>
            <w:noWrap/>
            <w:vAlign w:val="center"/>
            <w:hideMark/>
          </w:tcPr>
          <w:p w14:paraId="7B085076"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1.30 ± 0.13</w:t>
            </w:r>
          </w:p>
        </w:tc>
        <w:tc>
          <w:tcPr>
            <w:tcW w:w="1838" w:type="dxa"/>
            <w:tcBorders>
              <w:top w:val="nil"/>
              <w:left w:val="nil"/>
              <w:bottom w:val="nil"/>
              <w:right w:val="nil"/>
            </w:tcBorders>
            <w:shd w:val="clear" w:color="auto" w:fill="auto"/>
            <w:noWrap/>
            <w:vAlign w:val="center"/>
            <w:hideMark/>
          </w:tcPr>
          <w:p w14:paraId="0903CA16"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0.65 ± 0.09</w:t>
            </w:r>
          </w:p>
        </w:tc>
        <w:tc>
          <w:tcPr>
            <w:tcW w:w="1368" w:type="dxa"/>
            <w:tcBorders>
              <w:top w:val="nil"/>
              <w:left w:val="nil"/>
              <w:bottom w:val="nil"/>
              <w:right w:val="nil"/>
            </w:tcBorders>
            <w:shd w:val="clear" w:color="auto" w:fill="auto"/>
            <w:noWrap/>
            <w:vAlign w:val="center"/>
            <w:hideMark/>
          </w:tcPr>
          <w:p w14:paraId="716C7459"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8.62 ± 1.79</w:t>
            </w:r>
          </w:p>
        </w:tc>
        <w:tc>
          <w:tcPr>
            <w:tcW w:w="1940" w:type="dxa"/>
            <w:tcBorders>
              <w:top w:val="nil"/>
              <w:left w:val="nil"/>
              <w:bottom w:val="nil"/>
              <w:right w:val="nil"/>
            </w:tcBorders>
            <w:shd w:val="clear" w:color="auto" w:fill="auto"/>
            <w:noWrap/>
            <w:vAlign w:val="center"/>
            <w:hideMark/>
          </w:tcPr>
          <w:p w14:paraId="68B869AC"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32.65 ± 7.98</w:t>
            </w:r>
          </w:p>
        </w:tc>
        <w:tc>
          <w:tcPr>
            <w:tcW w:w="1695" w:type="dxa"/>
            <w:tcBorders>
              <w:top w:val="nil"/>
              <w:left w:val="nil"/>
              <w:bottom w:val="nil"/>
              <w:right w:val="nil"/>
            </w:tcBorders>
            <w:shd w:val="clear" w:color="auto" w:fill="auto"/>
            <w:noWrap/>
            <w:vAlign w:val="bottom"/>
            <w:hideMark/>
          </w:tcPr>
          <w:p w14:paraId="05BAE8B2" w14:textId="77777777" w:rsidR="009C75D7" w:rsidRPr="009C75D7" w:rsidRDefault="009C75D7" w:rsidP="003620E4">
            <w:pPr>
              <w:rPr>
                <w:rFonts w:ascii="Calibri" w:eastAsia="Times New Roman" w:hAnsi="Calibri" w:cs="Times New Roman"/>
                <w:color w:val="000000"/>
                <w:sz w:val="22"/>
                <w:szCs w:val="22"/>
                <w:lang w:eastAsia="en-GB"/>
              </w:rPr>
            </w:pPr>
          </w:p>
        </w:tc>
      </w:tr>
      <w:tr w:rsidR="009C75D7" w:rsidRPr="009C75D7" w14:paraId="27A4B381" w14:textId="77777777" w:rsidTr="003620E4">
        <w:trPr>
          <w:trHeight w:val="306"/>
        </w:trPr>
        <w:tc>
          <w:tcPr>
            <w:tcW w:w="1147" w:type="dxa"/>
            <w:vMerge w:val="restart"/>
            <w:tcBorders>
              <w:top w:val="nil"/>
              <w:left w:val="nil"/>
              <w:bottom w:val="nil"/>
              <w:right w:val="nil"/>
            </w:tcBorders>
            <w:shd w:val="clear" w:color="auto" w:fill="auto"/>
            <w:noWrap/>
            <w:vAlign w:val="center"/>
            <w:hideMark/>
          </w:tcPr>
          <w:p w14:paraId="62E7FE6F"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Mid</w:t>
            </w:r>
          </w:p>
        </w:tc>
        <w:tc>
          <w:tcPr>
            <w:tcW w:w="1082" w:type="dxa"/>
            <w:tcBorders>
              <w:top w:val="nil"/>
              <w:left w:val="nil"/>
              <w:bottom w:val="nil"/>
              <w:right w:val="nil"/>
            </w:tcBorders>
            <w:shd w:val="clear" w:color="auto" w:fill="auto"/>
            <w:noWrap/>
            <w:vAlign w:val="center"/>
            <w:hideMark/>
          </w:tcPr>
          <w:p w14:paraId="7918CE00"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Fine-root</w:t>
            </w:r>
          </w:p>
        </w:tc>
        <w:tc>
          <w:tcPr>
            <w:tcW w:w="1940" w:type="dxa"/>
            <w:tcBorders>
              <w:top w:val="nil"/>
              <w:left w:val="nil"/>
              <w:bottom w:val="nil"/>
              <w:right w:val="nil"/>
            </w:tcBorders>
            <w:shd w:val="clear" w:color="auto" w:fill="auto"/>
            <w:noWrap/>
            <w:vAlign w:val="center"/>
            <w:hideMark/>
          </w:tcPr>
          <w:p w14:paraId="47A3C27F"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14.49 ± 0.02</w:t>
            </w:r>
          </w:p>
        </w:tc>
        <w:tc>
          <w:tcPr>
            <w:tcW w:w="1695" w:type="dxa"/>
            <w:tcBorders>
              <w:top w:val="nil"/>
              <w:left w:val="nil"/>
              <w:bottom w:val="nil"/>
              <w:right w:val="nil"/>
            </w:tcBorders>
            <w:shd w:val="clear" w:color="auto" w:fill="auto"/>
            <w:noWrap/>
            <w:vAlign w:val="center"/>
            <w:hideMark/>
          </w:tcPr>
          <w:p w14:paraId="70695C93" w14:textId="77777777" w:rsidR="009C75D7" w:rsidRPr="009C75D7" w:rsidRDefault="009C75D7" w:rsidP="003620E4">
            <w:pP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49.00 ± 0.82</w:t>
            </w:r>
          </w:p>
        </w:tc>
        <w:tc>
          <w:tcPr>
            <w:tcW w:w="1981" w:type="dxa"/>
            <w:tcBorders>
              <w:top w:val="nil"/>
              <w:left w:val="nil"/>
              <w:bottom w:val="nil"/>
              <w:right w:val="nil"/>
            </w:tcBorders>
            <w:shd w:val="clear" w:color="auto" w:fill="auto"/>
            <w:noWrap/>
            <w:vAlign w:val="center"/>
            <w:hideMark/>
          </w:tcPr>
          <w:p w14:paraId="15115676"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0.35 ± 0.03</w:t>
            </w:r>
          </w:p>
        </w:tc>
        <w:tc>
          <w:tcPr>
            <w:tcW w:w="1838" w:type="dxa"/>
            <w:tcBorders>
              <w:top w:val="nil"/>
              <w:left w:val="nil"/>
              <w:bottom w:val="nil"/>
              <w:right w:val="nil"/>
            </w:tcBorders>
            <w:shd w:val="clear" w:color="auto" w:fill="auto"/>
            <w:noWrap/>
            <w:vAlign w:val="center"/>
            <w:hideMark/>
          </w:tcPr>
          <w:p w14:paraId="552EA570"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6.9 ± 1.5</w:t>
            </w:r>
          </w:p>
        </w:tc>
        <w:tc>
          <w:tcPr>
            <w:tcW w:w="1368" w:type="dxa"/>
            <w:tcBorders>
              <w:top w:val="nil"/>
              <w:left w:val="nil"/>
              <w:bottom w:val="nil"/>
              <w:right w:val="nil"/>
            </w:tcBorders>
            <w:shd w:val="clear" w:color="auto" w:fill="auto"/>
            <w:noWrap/>
            <w:vAlign w:val="center"/>
            <w:hideMark/>
          </w:tcPr>
          <w:p w14:paraId="798D98D8"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23.27 ± 3.52</w:t>
            </w:r>
          </w:p>
        </w:tc>
        <w:tc>
          <w:tcPr>
            <w:tcW w:w="1940" w:type="dxa"/>
            <w:tcBorders>
              <w:top w:val="nil"/>
              <w:left w:val="nil"/>
              <w:bottom w:val="nil"/>
              <w:right w:val="nil"/>
            </w:tcBorders>
            <w:shd w:val="clear" w:color="auto" w:fill="auto"/>
            <w:noWrap/>
            <w:vAlign w:val="center"/>
            <w:hideMark/>
          </w:tcPr>
          <w:p w14:paraId="482D8A88"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33.74 ± 5.16</w:t>
            </w:r>
          </w:p>
        </w:tc>
        <w:tc>
          <w:tcPr>
            <w:tcW w:w="1695" w:type="dxa"/>
            <w:tcBorders>
              <w:top w:val="nil"/>
              <w:left w:val="nil"/>
              <w:bottom w:val="nil"/>
              <w:right w:val="nil"/>
            </w:tcBorders>
            <w:shd w:val="clear" w:color="auto" w:fill="auto"/>
            <w:noWrap/>
            <w:vAlign w:val="bottom"/>
            <w:hideMark/>
          </w:tcPr>
          <w:p w14:paraId="16286B2F" w14:textId="77777777" w:rsidR="009C75D7" w:rsidRPr="009C75D7" w:rsidRDefault="009C75D7" w:rsidP="003620E4">
            <w:pP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64.72 ± 5.69</w:t>
            </w:r>
          </w:p>
        </w:tc>
      </w:tr>
      <w:tr w:rsidR="009C75D7" w:rsidRPr="009C75D7" w14:paraId="4CFA5004" w14:textId="77777777" w:rsidTr="003620E4">
        <w:trPr>
          <w:trHeight w:val="306"/>
        </w:trPr>
        <w:tc>
          <w:tcPr>
            <w:tcW w:w="1147" w:type="dxa"/>
            <w:vMerge/>
            <w:tcBorders>
              <w:top w:val="nil"/>
              <w:left w:val="nil"/>
              <w:bottom w:val="nil"/>
              <w:right w:val="nil"/>
            </w:tcBorders>
            <w:vAlign w:val="center"/>
            <w:hideMark/>
          </w:tcPr>
          <w:p w14:paraId="74873600" w14:textId="77777777" w:rsidR="009C75D7" w:rsidRPr="009C75D7" w:rsidRDefault="009C75D7" w:rsidP="003620E4">
            <w:pPr>
              <w:rPr>
                <w:rFonts w:ascii="Calibri" w:eastAsia="Times New Roman" w:hAnsi="Calibri" w:cs="Times New Roman"/>
                <w:color w:val="000000"/>
                <w:sz w:val="22"/>
                <w:szCs w:val="22"/>
                <w:lang w:eastAsia="en-GB"/>
              </w:rPr>
            </w:pPr>
          </w:p>
        </w:tc>
        <w:tc>
          <w:tcPr>
            <w:tcW w:w="1082" w:type="dxa"/>
            <w:tcBorders>
              <w:top w:val="nil"/>
              <w:left w:val="nil"/>
              <w:bottom w:val="nil"/>
              <w:right w:val="nil"/>
            </w:tcBorders>
            <w:shd w:val="clear" w:color="auto" w:fill="auto"/>
            <w:noWrap/>
            <w:vAlign w:val="center"/>
            <w:hideMark/>
          </w:tcPr>
          <w:p w14:paraId="022F8B8D"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Deeper</w:t>
            </w:r>
          </w:p>
        </w:tc>
        <w:tc>
          <w:tcPr>
            <w:tcW w:w="1940" w:type="dxa"/>
            <w:tcBorders>
              <w:top w:val="nil"/>
              <w:left w:val="nil"/>
              <w:bottom w:val="nil"/>
              <w:right w:val="nil"/>
            </w:tcBorders>
            <w:shd w:val="clear" w:color="auto" w:fill="auto"/>
            <w:noWrap/>
            <w:vAlign w:val="center"/>
            <w:hideMark/>
          </w:tcPr>
          <w:p w14:paraId="750942E9"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34.51 ± 0.98</w:t>
            </w:r>
          </w:p>
        </w:tc>
        <w:tc>
          <w:tcPr>
            <w:tcW w:w="1695" w:type="dxa"/>
            <w:tcBorders>
              <w:top w:val="nil"/>
              <w:left w:val="nil"/>
              <w:bottom w:val="nil"/>
              <w:right w:val="nil"/>
            </w:tcBorders>
            <w:shd w:val="clear" w:color="auto" w:fill="auto"/>
            <w:noWrap/>
            <w:vAlign w:val="center"/>
            <w:hideMark/>
          </w:tcPr>
          <w:p w14:paraId="7F58E8AB" w14:textId="77777777" w:rsidR="009C75D7" w:rsidRPr="009C75D7" w:rsidRDefault="009C75D7" w:rsidP="003620E4">
            <w:pPr>
              <w:rPr>
                <w:rFonts w:ascii="Calibri" w:eastAsia="Times New Roman" w:hAnsi="Calibri" w:cs="Times New Roman"/>
                <w:color w:val="000000"/>
                <w:sz w:val="22"/>
                <w:szCs w:val="22"/>
                <w:lang w:eastAsia="en-GB"/>
              </w:rPr>
            </w:pPr>
          </w:p>
        </w:tc>
        <w:tc>
          <w:tcPr>
            <w:tcW w:w="1981" w:type="dxa"/>
            <w:tcBorders>
              <w:top w:val="nil"/>
              <w:left w:val="nil"/>
              <w:bottom w:val="nil"/>
              <w:right w:val="nil"/>
            </w:tcBorders>
            <w:shd w:val="clear" w:color="auto" w:fill="auto"/>
            <w:noWrap/>
            <w:vAlign w:val="center"/>
            <w:hideMark/>
          </w:tcPr>
          <w:p w14:paraId="10E2DAFD"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1.16 ± 0.14</w:t>
            </w:r>
          </w:p>
        </w:tc>
        <w:tc>
          <w:tcPr>
            <w:tcW w:w="1838" w:type="dxa"/>
            <w:tcBorders>
              <w:top w:val="nil"/>
              <w:left w:val="nil"/>
              <w:bottom w:val="nil"/>
              <w:right w:val="nil"/>
            </w:tcBorders>
            <w:shd w:val="clear" w:color="auto" w:fill="auto"/>
            <w:noWrap/>
            <w:vAlign w:val="center"/>
            <w:hideMark/>
          </w:tcPr>
          <w:p w14:paraId="69F7E0EB"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0.79 ± 0.09</w:t>
            </w:r>
          </w:p>
        </w:tc>
        <w:tc>
          <w:tcPr>
            <w:tcW w:w="1368" w:type="dxa"/>
            <w:tcBorders>
              <w:top w:val="nil"/>
              <w:left w:val="nil"/>
              <w:bottom w:val="nil"/>
              <w:right w:val="nil"/>
            </w:tcBorders>
            <w:shd w:val="clear" w:color="auto" w:fill="auto"/>
            <w:noWrap/>
            <w:vAlign w:val="center"/>
            <w:hideMark/>
          </w:tcPr>
          <w:p w14:paraId="657C7C5F"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8.97 ± 0.29</w:t>
            </w:r>
          </w:p>
        </w:tc>
        <w:tc>
          <w:tcPr>
            <w:tcW w:w="1940" w:type="dxa"/>
            <w:tcBorders>
              <w:top w:val="nil"/>
              <w:left w:val="nil"/>
              <w:bottom w:val="nil"/>
              <w:right w:val="nil"/>
            </w:tcBorders>
            <w:shd w:val="clear" w:color="auto" w:fill="auto"/>
            <w:noWrap/>
            <w:vAlign w:val="center"/>
            <w:hideMark/>
          </w:tcPr>
          <w:p w14:paraId="73BC4304"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30.97 ± 1.59</w:t>
            </w:r>
          </w:p>
        </w:tc>
        <w:tc>
          <w:tcPr>
            <w:tcW w:w="1695" w:type="dxa"/>
            <w:tcBorders>
              <w:top w:val="nil"/>
              <w:left w:val="nil"/>
              <w:bottom w:val="nil"/>
              <w:right w:val="nil"/>
            </w:tcBorders>
            <w:shd w:val="clear" w:color="auto" w:fill="auto"/>
            <w:noWrap/>
            <w:vAlign w:val="bottom"/>
            <w:hideMark/>
          </w:tcPr>
          <w:p w14:paraId="1863EFFC" w14:textId="77777777" w:rsidR="009C75D7" w:rsidRPr="009C75D7" w:rsidRDefault="009C75D7" w:rsidP="003620E4">
            <w:pPr>
              <w:rPr>
                <w:rFonts w:ascii="Calibri" w:eastAsia="Times New Roman" w:hAnsi="Calibri" w:cs="Times New Roman"/>
                <w:color w:val="000000"/>
                <w:sz w:val="22"/>
                <w:szCs w:val="22"/>
                <w:lang w:eastAsia="en-GB"/>
              </w:rPr>
            </w:pPr>
          </w:p>
        </w:tc>
      </w:tr>
      <w:tr w:rsidR="009C75D7" w:rsidRPr="009C75D7" w14:paraId="012B29CB" w14:textId="77777777" w:rsidTr="003620E4">
        <w:trPr>
          <w:trHeight w:val="306"/>
        </w:trPr>
        <w:tc>
          <w:tcPr>
            <w:tcW w:w="1147" w:type="dxa"/>
            <w:vMerge w:val="restart"/>
            <w:tcBorders>
              <w:top w:val="nil"/>
              <w:left w:val="nil"/>
              <w:bottom w:val="nil"/>
              <w:right w:val="nil"/>
            </w:tcBorders>
            <w:shd w:val="clear" w:color="auto" w:fill="auto"/>
            <w:noWrap/>
            <w:vAlign w:val="center"/>
            <w:hideMark/>
          </w:tcPr>
          <w:p w14:paraId="39DC8F82"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High</w:t>
            </w:r>
          </w:p>
        </w:tc>
        <w:tc>
          <w:tcPr>
            <w:tcW w:w="1082" w:type="dxa"/>
            <w:tcBorders>
              <w:top w:val="nil"/>
              <w:left w:val="nil"/>
              <w:bottom w:val="nil"/>
              <w:right w:val="nil"/>
            </w:tcBorders>
            <w:shd w:val="clear" w:color="auto" w:fill="auto"/>
            <w:noWrap/>
            <w:vAlign w:val="center"/>
            <w:hideMark/>
          </w:tcPr>
          <w:p w14:paraId="5D7A30D6"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Fine-root</w:t>
            </w:r>
          </w:p>
        </w:tc>
        <w:tc>
          <w:tcPr>
            <w:tcW w:w="1940" w:type="dxa"/>
            <w:tcBorders>
              <w:top w:val="nil"/>
              <w:left w:val="nil"/>
              <w:bottom w:val="nil"/>
              <w:right w:val="nil"/>
            </w:tcBorders>
            <w:shd w:val="clear" w:color="auto" w:fill="auto"/>
            <w:noWrap/>
            <w:vAlign w:val="center"/>
            <w:hideMark/>
          </w:tcPr>
          <w:p w14:paraId="33B06DF1"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11.44 ± 0.87</w:t>
            </w:r>
          </w:p>
        </w:tc>
        <w:tc>
          <w:tcPr>
            <w:tcW w:w="1695" w:type="dxa"/>
            <w:tcBorders>
              <w:top w:val="nil"/>
              <w:left w:val="nil"/>
              <w:bottom w:val="nil"/>
              <w:right w:val="nil"/>
            </w:tcBorders>
            <w:shd w:val="clear" w:color="auto" w:fill="auto"/>
            <w:noWrap/>
            <w:vAlign w:val="center"/>
            <w:hideMark/>
          </w:tcPr>
          <w:p w14:paraId="1276751E" w14:textId="77777777" w:rsidR="009C75D7" w:rsidRPr="009C75D7" w:rsidRDefault="009C75D7" w:rsidP="003620E4">
            <w:pP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50.00 ± 0.00*</w:t>
            </w:r>
          </w:p>
        </w:tc>
        <w:tc>
          <w:tcPr>
            <w:tcW w:w="1981" w:type="dxa"/>
            <w:tcBorders>
              <w:top w:val="nil"/>
              <w:left w:val="nil"/>
              <w:bottom w:val="nil"/>
              <w:right w:val="nil"/>
            </w:tcBorders>
            <w:shd w:val="clear" w:color="auto" w:fill="auto"/>
            <w:noWrap/>
            <w:vAlign w:val="center"/>
            <w:hideMark/>
          </w:tcPr>
          <w:p w14:paraId="6577CD13"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1.45 ± 0.21</w:t>
            </w:r>
          </w:p>
        </w:tc>
        <w:tc>
          <w:tcPr>
            <w:tcW w:w="1838" w:type="dxa"/>
            <w:tcBorders>
              <w:top w:val="nil"/>
              <w:left w:val="nil"/>
              <w:bottom w:val="nil"/>
              <w:right w:val="nil"/>
            </w:tcBorders>
            <w:shd w:val="clear" w:color="auto" w:fill="auto"/>
            <w:noWrap/>
            <w:vAlign w:val="center"/>
            <w:hideMark/>
          </w:tcPr>
          <w:p w14:paraId="40032F30"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0.75 ± 0.14</w:t>
            </w:r>
          </w:p>
        </w:tc>
        <w:tc>
          <w:tcPr>
            <w:tcW w:w="1368" w:type="dxa"/>
            <w:tcBorders>
              <w:top w:val="nil"/>
              <w:left w:val="nil"/>
              <w:bottom w:val="nil"/>
              <w:right w:val="nil"/>
            </w:tcBorders>
            <w:shd w:val="clear" w:color="auto" w:fill="auto"/>
            <w:noWrap/>
            <w:vAlign w:val="center"/>
            <w:hideMark/>
          </w:tcPr>
          <w:p w14:paraId="553623BF"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10.27 ± 0.24</w:t>
            </w:r>
          </w:p>
        </w:tc>
        <w:tc>
          <w:tcPr>
            <w:tcW w:w="1940" w:type="dxa"/>
            <w:tcBorders>
              <w:top w:val="nil"/>
              <w:left w:val="nil"/>
              <w:bottom w:val="nil"/>
              <w:right w:val="nil"/>
            </w:tcBorders>
            <w:shd w:val="clear" w:color="auto" w:fill="auto"/>
            <w:noWrap/>
            <w:vAlign w:val="center"/>
            <w:hideMark/>
          </w:tcPr>
          <w:p w14:paraId="19063207"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11.73 ± 0.73</w:t>
            </w:r>
          </w:p>
        </w:tc>
        <w:tc>
          <w:tcPr>
            <w:tcW w:w="1695" w:type="dxa"/>
            <w:tcBorders>
              <w:top w:val="nil"/>
              <w:left w:val="nil"/>
              <w:bottom w:val="nil"/>
              <w:right w:val="nil"/>
            </w:tcBorders>
            <w:shd w:val="clear" w:color="auto" w:fill="auto"/>
            <w:noWrap/>
            <w:vAlign w:val="bottom"/>
            <w:hideMark/>
          </w:tcPr>
          <w:p w14:paraId="1DB9EFA4" w14:textId="77777777" w:rsidR="009C75D7" w:rsidRPr="009C75D7" w:rsidRDefault="009C75D7" w:rsidP="003620E4">
            <w:pP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41.29 ± 5.65</w:t>
            </w:r>
          </w:p>
        </w:tc>
      </w:tr>
      <w:tr w:rsidR="009C75D7" w:rsidRPr="009C75D7" w14:paraId="3926A61A" w14:textId="77777777" w:rsidTr="003620E4">
        <w:trPr>
          <w:trHeight w:val="306"/>
        </w:trPr>
        <w:tc>
          <w:tcPr>
            <w:tcW w:w="1147" w:type="dxa"/>
            <w:vMerge/>
            <w:tcBorders>
              <w:top w:val="nil"/>
              <w:left w:val="nil"/>
              <w:bottom w:val="nil"/>
              <w:right w:val="nil"/>
            </w:tcBorders>
            <w:vAlign w:val="center"/>
            <w:hideMark/>
          </w:tcPr>
          <w:p w14:paraId="6FEF0199" w14:textId="77777777" w:rsidR="009C75D7" w:rsidRPr="009C75D7" w:rsidRDefault="009C75D7" w:rsidP="003620E4">
            <w:pPr>
              <w:rPr>
                <w:rFonts w:ascii="Calibri" w:eastAsia="Times New Roman" w:hAnsi="Calibri" w:cs="Times New Roman"/>
                <w:color w:val="000000"/>
                <w:sz w:val="22"/>
                <w:szCs w:val="22"/>
                <w:lang w:eastAsia="en-GB"/>
              </w:rPr>
            </w:pPr>
          </w:p>
        </w:tc>
        <w:tc>
          <w:tcPr>
            <w:tcW w:w="1082" w:type="dxa"/>
            <w:tcBorders>
              <w:top w:val="nil"/>
              <w:left w:val="nil"/>
              <w:bottom w:val="nil"/>
              <w:right w:val="nil"/>
            </w:tcBorders>
            <w:shd w:val="clear" w:color="auto" w:fill="auto"/>
            <w:noWrap/>
            <w:vAlign w:val="center"/>
            <w:hideMark/>
          </w:tcPr>
          <w:p w14:paraId="3F1D34E8"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Deeper</w:t>
            </w:r>
          </w:p>
        </w:tc>
        <w:tc>
          <w:tcPr>
            <w:tcW w:w="1940" w:type="dxa"/>
            <w:tcBorders>
              <w:top w:val="nil"/>
              <w:left w:val="nil"/>
              <w:bottom w:val="nil"/>
              <w:right w:val="nil"/>
            </w:tcBorders>
            <w:shd w:val="clear" w:color="auto" w:fill="auto"/>
            <w:noWrap/>
            <w:vAlign w:val="center"/>
            <w:hideMark/>
          </w:tcPr>
          <w:p w14:paraId="5E838411"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38.56 ± 0.87</w:t>
            </w:r>
          </w:p>
        </w:tc>
        <w:tc>
          <w:tcPr>
            <w:tcW w:w="1695" w:type="dxa"/>
            <w:tcBorders>
              <w:top w:val="nil"/>
              <w:left w:val="nil"/>
              <w:bottom w:val="single" w:sz="4" w:space="0" w:color="auto"/>
              <w:right w:val="nil"/>
            </w:tcBorders>
            <w:shd w:val="clear" w:color="auto" w:fill="auto"/>
            <w:noWrap/>
            <w:vAlign w:val="center"/>
            <w:hideMark/>
          </w:tcPr>
          <w:p w14:paraId="766E6D91" w14:textId="77777777" w:rsidR="009C75D7" w:rsidRPr="009C75D7" w:rsidRDefault="009C75D7" w:rsidP="003620E4">
            <w:pP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 </w:t>
            </w:r>
          </w:p>
        </w:tc>
        <w:tc>
          <w:tcPr>
            <w:tcW w:w="1981" w:type="dxa"/>
            <w:tcBorders>
              <w:top w:val="nil"/>
              <w:left w:val="nil"/>
              <w:bottom w:val="nil"/>
              <w:right w:val="nil"/>
            </w:tcBorders>
            <w:shd w:val="clear" w:color="auto" w:fill="auto"/>
            <w:noWrap/>
            <w:vAlign w:val="center"/>
            <w:hideMark/>
          </w:tcPr>
          <w:p w14:paraId="056E5B60"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1.44 ± 0.17</w:t>
            </w:r>
          </w:p>
        </w:tc>
        <w:tc>
          <w:tcPr>
            <w:tcW w:w="1838" w:type="dxa"/>
            <w:tcBorders>
              <w:top w:val="nil"/>
              <w:left w:val="nil"/>
              <w:bottom w:val="nil"/>
              <w:right w:val="nil"/>
            </w:tcBorders>
            <w:shd w:val="clear" w:color="auto" w:fill="auto"/>
            <w:noWrap/>
            <w:vAlign w:val="center"/>
            <w:hideMark/>
          </w:tcPr>
          <w:p w14:paraId="75B4238D"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0.52 ± 0.04</w:t>
            </w:r>
          </w:p>
        </w:tc>
        <w:tc>
          <w:tcPr>
            <w:tcW w:w="1368" w:type="dxa"/>
            <w:tcBorders>
              <w:top w:val="nil"/>
              <w:left w:val="nil"/>
              <w:bottom w:val="nil"/>
              <w:right w:val="nil"/>
            </w:tcBorders>
            <w:shd w:val="clear" w:color="auto" w:fill="auto"/>
            <w:noWrap/>
            <w:vAlign w:val="center"/>
            <w:hideMark/>
          </w:tcPr>
          <w:p w14:paraId="1AC4C279"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7.6 ± 1.48</w:t>
            </w:r>
          </w:p>
        </w:tc>
        <w:tc>
          <w:tcPr>
            <w:tcW w:w="1940" w:type="dxa"/>
            <w:tcBorders>
              <w:top w:val="nil"/>
              <w:left w:val="nil"/>
              <w:bottom w:val="nil"/>
              <w:right w:val="nil"/>
            </w:tcBorders>
            <w:shd w:val="clear" w:color="auto" w:fill="auto"/>
            <w:noWrap/>
            <w:vAlign w:val="center"/>
            <w:hideMark/>
          </w:tcPr>
          <w:p w14:paraId="09656551"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29.56 ± 6.37</w:t>
            </w:r>
          </w:p>
        </w:tc>
        <w:tc>
          <w:tcPr>
            <w:tcW w:w="1695" w:type="dxa"/>
            <w:tcBorders>
              <w:top w:val="nil"/>
              <w:left w:val="nil"/>
              <w:bottom w:val="nil"/>
              <w:right w:val="nil"/>
            </w:tcBorders>
            <w:shd w:val="clear" w:color="auto" w:fill="auto"/>
            <w:noWrap/>
            <w:vAlign w:val="bottom"/>
            <w:hideMark/>
          </w:tcPr>
          <w:p w14:paraId="11EC813C" w14:textId="77777777" w:rsidR="009C75D7" w:rsidRPr="009C75D7" w:rsidRDefault="009C75D7" w:rsidP="003620E4">
            <w:pPr>
              <w:rPr>
                <w:rFonts w:ascii="Calibri" w:eastAsia="Times New Roman" w:hAnsi="Calibri" w:cs="Times New Roman"/>
                <w:color w:val="000000"/>
                <w:sz w:val="22"/>
                <w:szCs w:val="22"/>
                <w:lang w:eastAsia="en-GB"/>
              </w:rPr>
            </w:pPr>
          </w:p>
        </w:tc>
      </w:tr>
      <w:tr w:rsidR="009C75D7" w:rsidRPr="009C75D7" w14:paraId="2BD57911" w14:textId="77777777" w:rsidTr="003620E4">
        <w:trPr>
          <w:trHeight w:val="306"/>
        </w:trPr>
        <w:tc>
          <w:tcPr>
            <w:tcW w:w="14686" w:type="dxa"/>
            <w:gridSpan w:val="9"/>
            <w:tcBorders>
              <w:top w:val="single" w:sz="4" w:space="0" w:color="auto"/>
              <w:left w:val="nil"/>
              <w:bottom w:val="single" w:sz="4" w:space="0" w:color="auto"/>
              <w:right w:val="nil"/>
            </w:tcBorders>
            <w:shd w:val="clear" w:color="auto" w:fill="auto"/>
            <w:noWrap/>
            <w:vAlign w:val="center"/>
            <w:hideMark/>
          </w:tcPr>
          <w:p w14:paraId="1ABEFBFA" w14:textId="77777777" w:rsidR="009C75D7" w:rsidRPr="009C75D7" w:rsidRDefault="009C75D7" w:rsidP="003620E4">
            <w:pPr>
              <w:jc w:val="center"/>
              <w:rPr>
                <w:rFonts w:ascii="Calibri" w:eastAsia="Times New Roman" w:hAnsi="Calibri" w:cs="Times New Roman"/>
                <w:b/>
                <w:bCs/>
                <w:color w:val="000000"/>
                <w:sz w:val="22"/>
                <w:szCs w:val="22"/>
                <w:lang w:eastAsia="en-GB"/>
              </w:rPr>
            </w:pPr>
            <w:r w:rsidRPr="009C75D7">
              <w:rPr>
                <w:rFonts w:ascii="Calibri" w:eastAsia="Times New Roman" w:hAnsi="Calibri" w:cs="Times New Roman"/>
                <w:b/>
                <w:bCs/>
                <w:color w:val="000000"/>
                <w:sz w:val="22"/>
                <w:szCs w:val="22"/>
                <w:lang w:eastAsia="en-GB"/>
              </w:rPr>
              <w:t xml:space="preserve">South </w:t>
            </w:r>
            <w:proofErr w:type="spellStart"/>
            <w:r w:rsidRPr="009C75D7">
              <w:rPr>
                <w:rFonts w:ascii="Calibri" w:eastAsia="Times New Roman" w:hAnsi="Calibri" w:cs="Times New Roman"/>
                <w:b/>
                <w:bCs/>
                <w:color w:val="000000"/>
                <w:sz w:val="22"/>
                <w:szCs w:val="22"/>
                <w:lang w:eastAsia="en-GB"/>
              </w:rPr>
              <w:t>Dhakira</w:t>
            </w:r>
            <w:proofErr w:type="spellEnd"/>
          </w:p>
        </w:tc>
      </w:tr>
      <w:tr w:rsidR="009C75D7" w:rsidRPr="009C75D7" w14:paraId="6979BC84" w14:textId="77777777" w:rsidTr="003620E4">
        <w:trPr>
          <w:trHeight w:val="306"/>
        </w:trPr>
        <w:tc>
          <w:tcPr>
            <w:tcW w:w="1147" w:type="dxa"/>
            <w:vMerge w:val="restart"/>
            <w:tcBorders>
              <w:top w:val="nil"/>
              <w:left w:val="nil"/>
              <w:bottom w:val="nil"/>
              <w:right w:val="nil"/>
            </w:tcBorders>
            <w:shd w:val="clear" w:color="auto" w:fill="auto"/>
            <w:noWrap/>
            <w:vAlign w:val="center"/>
            <w:hideMark/>
          </w:tcPr>
          <w:p w14:paraId="37925373"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Low</w:t>
            </w:r>
          </w:p>
        </w:tc>
        <w:tc>
          <w:tcPr>
            <w:tcW w:w="1082" w:type="dxa"/>
            <w:tcBorders>
              <w:top w:val="nil"/>
              <w:left w:val="nil"/>
              <w:bottom w:val="nil"/>
              <w:right w:val="nil"/>
            </w:tcBorders>
            <w:shd w:val="clear" w:color="auto" w:fill="auto"/>
            <w:noWrap/>
            <w:vAlign w:val="center"/>
            <w:hideMark/>
          </w:tcPr>
          <w:p w14:paraId="03982731"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Fine-root</w:t>
            </w:r>
          </w:p>
        </w:tc>
        <w:tc>
          <w:tcPr>
            <w:tcW w:w="1940" w:type="dxa"/>
            <w:tcBorders>
              <w:top w:val="nil"/>
              <w:left w:val="nil"/>
              <w:bottom w:val="nil"/>
              <w:right w:val="nil"/>
            </w:tcBorders>
            <w:shd w:val="clear" w:color="auto" w:fill="auto"/>
            <w:noWrap/>
            <w:vAlign w:val="center"/>
            <w:hideMark/>
          </w:tcPr>
          <w:p w14:paraId="7F24300E"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15.36 ± 4.20</w:t>
            </w:r>
          </w:p>
        </w:tc>
        <w:tc>
          <w:tcPr>
            <w:tcW w:w="1695" w:type="dxa"/>
            <w:tcBorders>
              <w:top w:val="nil"/>
              <w:left w:val="nil"/>
              <w:bottom w:val="nil"/>
              <w:right w:val="nil"/>
            </w:tcBorders>
            <w:shd w:val="clear" w:color="auto" w:fill="auto"/>
            <w:noWrap/>
            <w:vAlign w:val="center"/>
            <w:hideMark/>
          </w:tcPr>
          <w:p w14:paraId="2A547E33" w14:textId="77777777" w:rsidR="009C75D7" w:rsidRPr="009C75D7" w:rsidRDefault="009C75D7" w:rsidP="003620E4">
            <w:pP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29.25 ± 10.49</w:t>
            </w:r>
          </w:p>
        </w:tc>
        <w:tc>
          <w:tcPr>
            <w:tcW w:w="1981" w:type="dxa"/>
            <w:tcBorders>
              <w:top w:val="nil"/>
              <w:left w:val="nil"/>
              <w:bottom w:val="nil"/>
              <w:right w:val="nil"/>
            </w:tcBorders>
            <w:shd w:val="clear" w:color="auto" w:fill="auto"/>
            <w:noWrap/>
            <w:vAlign w:val="center"/>
            <w:hideMark/>
          </w:tcPr>
          <w:p w14:paraId="067A40C6"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1.13 ± 0.13</w:t>
            </w:r>
          </w:p>
        </w:tc>
        <w:tc>
          <w:tcPr>
            <w:tcW w:w="1838" w:type="dxa"/>
            <w:tcBorders>
              <w:top w:val="nil"/>
              <w:left w:val="nil"/>
              <w:bottom w:val="nil"/>
              <w:right w:val="nil"/>
            </w:tcBorders>
            <w:shd w:val="clear" w:color="auto" w:fill="auto"/>
            <w:noWrap/>
            <w:vAlign w:val="center"/>
            <w:hideMark/>
          </w:tcPr>
          <w:p w14:paraId="1B13A208"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0.7 ± 0.09</w:t>
            </w:r>
          </w:p>
        </w:tc>
        <w:tc>
          <w:tcPr>
            <w:tcW w:w="1368" w:type="dxa"/>
            <w:tcBorders>
              <w:top w:val="nil"/>
              <w:left w:val="nil"/>
              <w:bottom w:val="nil"/>
              <w:right w:val="nil"/>
            </w:tcBorders>
            <w:shd w:val="clear" w:color="auto" w:fill="auto"/>
            <w:noWrap/>
            <w:vAlign w:val="center"/>
            <w:hideMark/>
          </w:tcPr>
          <w:p w14:paraId="5B3BC5ED"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7.64 ± 0.02</w:t>
            </w:r>
          </w:p>
        </w:tc>
        <w:tc>
          <w:tcPr>
            <w:tcW w:w="1940" w:type="dxa"/>
            <w:tcBorders>
              <w:top w:val="nil"/>
              <w:left w:val="nil"/>
              <w:bottom w:val="nil"/>
              <w:right w:val="nil"/>
            </w:tcBorders>
            <w:shd w:val="clear" w:color="auto" w:fill="auto"/>
            <w:noWrap/>
            <w:vAlign w:val="center"/>
            <w:hideMark/>
          </w:tcPr>
          <w:p w14:paraId="1F24F7B5"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11.72 ± 3.17</w:t>
            </w:r>
          </w:p>
        </w:tc>
        <w:tc>
          <w:tcPr>
            <w:tcW w:w="1695" w:type="dxa"/>
            <w:tcBorders>
              <w:top w:val="nil"/>
              <w:left w:val="nil"/>
              <w:bottom w:val="nil"/>
              <w:right w:val="nil"/>
            </w:tcBorders>
            <w:shd w:val="clear" w:color="auto" w:fill="auto"/>
            <w:noWrap/>
            <w:vAlign w:val="bottom"/>
            <w:hideMark/>
          </w:tcPr>
          <w:p w14:paraId="683F8FBA" w14:textId="77777777" w:rsidR="009C75D7" w:rsidRPr="009C75D7" w:rsidRDefault="009C75D7" w:rsidP="003620E4">
            <w:pP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20.28 ± 7.14</w:t>
            </w:r>
          </w:p>
        </w:tc>
      </w:tr>
      <w:tr w:rsidR="009C75D7" w:rsidRPr="009C75D7" w14:paraId="65F0D71D" w14:textId="77777777" w:rsidTr="003620E4">
        <w:trPr>
          <w:trHeight w:val="306"/>
        </w:trPr>
        <w:tc>
          <w:tcPr>
            <w:tcW w:w="1147" w:type="dxa"/>
            <w:vMerge/>
            <w:tcBorders>
              <w:top w:val="nil"/>
              <w:left w:val="nil"/>
              <w:bottom w:val="nil"/>
              <w:right w:val="nil"/>
            </w:tcBorders>
            <w:vAlign w:val="center"/>
            <w:hideMark/>
          </w:tcPr>
          <w:p w14:paraId="7E420E02" w14:textId="77777777" w:rsidR="009C75D7" w:rsidRPr="009C75D7" w:rsidRDefault="009C75D7" w:rsidP="003620E4">
            <w:pPr>
              <w:rPr>
                <w:rFonts w:ascii="Calibri" w:eastAsia="Times New Roman" w:hAnsi="Calibri" w:cs="Times New Roman"/>
                <w:color w:val="000000"/>
                <w:sz w:val="22"/>
                <w:szCs w:val="22"/>
                <w:lang w:eastAsia="en-GB"/>
              </w:rPr>
            </w:pPr>
          </w:p>
        </w:tc>
        <w:tc>
          <w:tcPr>
            <w:tcW w:w="1082" w:type="dxa"/>
            <w:tcBorders>
              <w:top w:val="nil"/>
              <w:left w:val="nil"/>
              <w:bottom w:val="nil"/>
              <w:right w:val="nil"/>
            </w:tcBorders>
            <w:shd w:val="clear" w:color="auto" w:fill="auto"/>
            <w:noWrap/>
            <w:vAlign w:val="center"/>
            <w:hideMark/>
          </w:tcPr>
          <w:p w14:paraId="47205ECF"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Deeper</w:t>
            </w:r>
          </w:p>
        </w:tc>
        <w:tc>
          <w:tcPr>
            <w:tcW w:w="1940" w:type="dxa"/>
            <w:tcBorders>
              <w:top w:val="nil"/>
              <w:left w:val="nil"/>
              <w:bottom w:val="nil"/>
              <w:right w:val="nil"/>
            </w:tcBorders>
            <w:shd w:val="clear" w:color="auto" w:fill="auto"/>
            <w:noWrap/>
            <w:vAlign w:val="center"/>
            <w:hideMark/>
          </w:tcPr>
          <w:p w14:paraId="3FE1FD3F"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13.89 ± 6.39</w:t>
            </w:r>
          </w:p>
        </w:tc>
        <w:tc>
          <w:tcPr>
            <w:tcW w:w="1695" w:type="dxa"/>
            <w:tcBorders>
              <w:top w:val="nil"/>
              <w:left w:val="nil"/>
              <w:bottom w:val="nil"/>
              <w:right w:val="nil"/>
            </w:tcBorders>
            <w:shd w:val="clear" w:color="auto" w:fill="auto"/>
            <w:noWrap/>
            <w:vAlign w:val="center"/>
            <w:hideMark/>
          </w:tcPr>
          <w:p w14:paraId="5BBD2FC1" w14:textId="77777777" w:rsidR="009C75D7" w:rsidRPr="009C75D7" w:rsidRDefault="009C75D7" w:rsidP="003620E4">
            <w:pPr>
              <w:rPr>
                <w:rFonts w:ascii="Calibri" w:eastAsia="Times New Roman" w:hAnsi="Calibri" w:cs="Times New Roman"/>
                <w:color w:val="000000"/>
                <w:sz w:val="22"/>
                <w:szCs w:val="22"/>
                <w:lang w:eastAsia="en-GB"/>
              </w:rPr>
            </w:pPr>
          </w:p>
        </w:tc>
        <w:tc>
          <w:tcPr>
            <w:tcW w:w="1981" w:type="dxa"/>
            <w:tcBorders>
              <w:top w:val="nil"/>
              <w:left w:val="nil"/>
              <w:bottom w:val="nil"/>
              <w:right w:val="nil"/>
            </w:tcBorders>
            <w:shd w:val="clear" w:color="auto" w:fill="auto"/>
            <w:noWrap/>
            <w:vAlign w:val="center"/>
            <w:hideMark/>
          </w:tcPr>
          <w:p w14:paraId="03DDDF1A"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1.46 ± 0.11</w:t>
            </w:r>
          </w:p>
        </w:tc>
        <w:tc>
          <w:tcPr>
            <w:tcW w:w="1838" w:type="dxa"/>
            <w:tcBorders>
              <w:top w:val="nil"/>
              <w:left w:val="nil"/>
              <w:bottom w:val="nil"/>
              <w:right w:val="nil"/>
            </w:tcBorders>
            <w:shd w:val="clear" w:color="auto" w:fill="auto"/>
            <w:noWrap/>
            <w:vAlign w:val="center"/>
            <w:hideMark/>
          </w:tcPr>
          <w:p w14:paraId="71C48FB4"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0.43 ± 0.04</w:t>
            </w:r>
          </w:p>
        </w:tc>
        <w:tc>
          <w:tcPr>
            <w:tcW w:w="1368" w:type="dxa"/>
            <w:tcBorders>
              <w:top w:val="nil"/>
              <w:left w:val="nil"/>
              <w:bottom w:val="nil"/>
              <w:right w:val="nil"/>
            </w:tcBorders>
            <w:shd w:val="clear" w:color="auto" w:fill="auto"/>
            <w:noWrap/>
            <w:vAlign w:val="center"/>
            <w:hideMark/>
          </w:tcPr>
          <w:p w14:paraId="1CC9F37D"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6.19 ± 0.25</w:t>
            </w:r>
          </w:p>
        </w:tc>
        <w:tc>
          <w:tcPr>
            <w:tcW w:w="1940" w:type="dxa"/>
            <w:tcBorders>
              <w:top w:val="nil"/>
              <w:left w:val="nil"/>
              <w:bottom w:val="nil"/>
              <w:right w:val="nil"/>
            </w:tcBorders>
            <w:shd w:val="clear" w:color="auto" w:fill="auto"/>
            <w:noWrap/>
            <w:vAlign w:val="center"/>
            <w:hideMark/>
          </w:tcPr>
          <w:p w14:paraId="0A8EC912"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8.56 ± 4.01</w:t>
            </w:r>
          </w:p>
        </w:tc>
        <w:tc>
          <w:tcPr>
            <w:tcW w:w="1695" w:type="dxa"/>
            <w:tcBorders>
              <w:top w:val="nil"/>
              <w:left w:val="nil"/>
              <w:bottom w:val="nil"/>
              <w:right w:val="nil"/>
            </w:tcBorders>
            <w:shd w:val="clear" w:color="auto" w:fill="auto"/>
            <w:noWrap/>
            <w:vAlign w:val="bottom"/>
            <w:hideMark/>
          </w:tcPr>
          <w:p w14:paraId="22C47608" w14:textId="77777777" w:rsidR="009C75D7" w:rsidRPr="009C75D7" w:rsidRDefault="009C75D7" w:rsidP="003620E4">
            <w:pPr>
              <w:rPr>
                <w:rFonts w:ascii="Calibri" w:eastAsia="Times New Roman" w:hAnsi="Calibri" w:cs="Times New Roman"/>
                <w:color w:val="000000"/>
                <w:sz w:val="22"/>
                <w:szCs w:val="22"/>
                <w:lang w:eastAsia="en-GB"/>
              </w:rPr>
            </w:pPr>
          </w:p>
        </w:tc>
      </w:tr>
      <w:tr w:rsidR="009C75D7" w:rsidRPr="009C75D7" w14:paraId="2721C892" w14:textId="77777777" w:rsidTr="003620E4">
        <w:trPr>
          <w:trHeight w:val="306"/>
        </w:trPr>
        <w:tc>
          <w:tcPr>
            <w:tcW w:w="1147" w:type="dxa"/>
            <w:vMerge w:val="restart"/>
            <w:tcBorders>
              <w:top w:val="nil"/>
              <w:left w:val="nil"/>
              <w:bottom w:val="nil"/>
              <w:right w:val="nil"/>
            </w:tcBorders>
            <w:shd w:val="clear" w:color="auto" w:fill="auto"/>
            <w:noWrap/>
            <w:vAlign w:val="center"/>
            <w:hideMark/>
          </w:tcPr>
          <w:p w14:paraId="637954F1"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Mid</w:t>
            </w:r>
          </w:p>
        </w:tc>
        <w:tc>
          <w:tcPr>
            <w:tcW w:w="1082" w:type="dxa"/>
            <w:tcBorders>
              <w:top w:val="nil"/>
              <w:left w:val="nil"/>
              <w:bottom w:val="nil"/>
              <w:right w:val="nil"/>
            </w:tcBorders>
            <w:shd w:val="clear" w:color="auto" w:fill="auto"/>
            <w:noWrap/>
            <w:vAlign w:val="center"/>
            <w:hideMark/>
          </w:tcPr>
          <w:p w14:paraId="40BC807C"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Fine-root</w:t>
            </w:r>
          </w:p>
        </w:tc>
        <w:tc>
          <w:tcPr>
            <w:tcW w:w="1940" w:type="dxa"/>
            <w:tcBorders>
              <w:top w:val="nil"/>
              <w:left w:val="nil"/>
              <w:bottom w:val="nil"/>
              <w:right w:val="nil"/>
            </w:tcBorders>
            <w:shd w:val="clear" w:color="auto" w:fill="auto"/>
            <w:noWrap/>
            <w:vAlign w:val="center"/>
            <w:hideMark/>
          </w:tcPr>
          <w:p w14:paraId="1A99F435"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10.64 ± 0.52</w:t>
            </w:r>
          </w:p>
        </w:tc>
        <w:tc>
          <w:tcPr>
            <w:tcW w:w="1695" w:type="dxa"/>
            <w:tcBorders>
              <w:top w:val="nil"/>
              <w:left w:val="nil"/>
              <w:bottom w:val="nil"/>
              <w:right w:val="nil"/>
            </w:tcBorders>
            <w:shd w:val="clear" w:color="auto" w:fill="auto"/>
            <w:noWrap/>
            <w:vAlign w:val="center"/>
            <w:hideMark/>
          </w:tcPr>
          <w:p w14:paraId="1F3A62F5" w14:textId="77777777" w:rsidR="009C75D7" w:rsidRPr="009C75D7" w:rsidRDefault="009C75D7" w:rsidP="003620E4">
            <w:pP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38.75 ± 2.50</w:t>
            </w:r>
          </w:p>
        </w:tc>
        <w:tc>
          <w:tcPr>
            <w:tcW w:w="1981" w:type="dxa"/>
            <w:tcBorders>
              <w:top w:val="nil"/>
              <w:left w:val="nil"/>
              <w:bottom w:val="nil"/>
              <w:right w:val="nil"/>
            </w:tcBorders>
            <w:shd w:val="clear" w:color="auto" w:fill="auto"/>
            <w:noWrap/>
            <w:vAlign w:val="center"/>
            <w:hideMark/>
          </w:tcPr>
          <w:p w14:paraId="1DF31258"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0.22 ± 0.02</w:t>
            </w:r>
          </w:p>
        </w:tc>
        <w:tc>
          <w:tcPr>
            <w:tcW w:w="1838" w:type="dxa"/>
            <w:tcBorders>
              <w:top w:val="nil"/>
              <w:left w:val="nil"/>
              <w:bottom w:val="nil"/>
              <w:right w:val="nil"/>
            </w:tcBorders>
            <w:shd w:val="clear" w:color="auto" w:fill="auto"/>
            <w:noWrap/>
            <w:vAlign w:val="center"/>
            <w:hideMark/>
          </w:tcPr>
          <w:p w14:paraId="11137C6F"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4.97 ± 0.29</w:t>
            </w:r>
          </w:p>
        </w:tc>
        <w:tc>
          <w:tcPr>
            <w:tcW w:w="1368" w:type="dxa"/>
            <w:tcBorders>
              <w:top w:val="nil"/>
              <w:left w:val="nil"/>
              <w:bottom w:val="nil"/>
              <w:right w:val="nil"/>
            </w:tcBorders>
            <w:shd w:val="clear" w:color="auto" w:fill="auto"/>
            <w:noWrap/>
            <w:vAlign w:val="center"/>
            <w:hideMark/>
          </w:tcPr>
          <w:p w14:paraId="33996639"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10.94 ± 1.88</w:t>
            </w:r>
          </w:p>
        </w:tc>
        <w:tc>
          <w:tcPr>
            <w:tcW w:w="1940" w:type="dxa"/>
            <w:tcBorders>
              <w:top w:val="nil"/>
              <w:left w:val="nil"/>
              <w:bottom w:val="nil"/>
              <w:right w:val="nil"/>
            </w:tcBorders>
            <w:shd w:val="clear" w:color="auto" w:fill="auto"/>
            <w:noWrap/>
            <w:vAlign w:val="center"/>
            <w:hideMark/>
          </w:tcPr>
          <w:p w14:paraId="1EF35F84"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11.45 ± 1.45</w:t>
            </w:r>
          </w:p>
        </w:tc>
        <w:tc>
          <w:tcPr>
            <w:tcW w:w="1695" w:type="dxa"/>
            <w:tcBorders>
              <w:top w:val="nil"/>
              <w:left w:val="nil"/>
              <w:bottom w:val="nil"/>
              <w:right w:val="nil"/>
            </w:tcBorders>
            <w:shd w:val="clear" w:color="auto" w:fill="auto"/>
            <w:noWrap/>
            <w:vAlign w:val="bottom"/>
            <w:hideMark/>
          </w:tcPr>
          <w:p w14:paraId="79A41760" w14:textId="77777777" w:rsidR="009C75D7" w:rsidRPr="009C75D7" w:rsidRDefault="009C75D7" w:rsidP="003620E4">
            <w:pP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29.03 ± 1.88</w:t>
            </w:r>
          </w:p>
        </w:tc>
      </w:tr>
      <w:tr w:rsidR="009C75D7" w:rsidRPr="009C75D7" w14:paraId="27CC7688" w14:textId="77777777" w:rsidTr="003620E4">
        <w:trPr>
          <w:trHeight w:val="306"/>
        </w:trPr>
        <w:tc>
          <w:tcPr>
            <w:tcW w:w="1147" w:type="dxa"/>
            <w:vMerge/>
            <w:tcBorders>
              <w:top w:val="nil"/>
              <w:left w:val="nil"/>
              <w:bottom w:val="nil"/>
              <w:right w:val="nil"/>
            </w:tcBorders>
            <w:vAlign w:val="center"/>
            <w:hideMark/>
          </w:tcPr>
          <w:p w14:paraId="561844E8" w14:textId="77777777" w:rsidR="009C75D7" w:rsidRPr="009C75D7" w:rsidRDefault="009C75D7" w:rsidP="003620E4">
            <w:pPr>
              <w:rPr>
                <w:rFonts w:ascii="Calibri" w:eastAsia="Times New Roman" w:hAnsi="Calibri" w:cs="Times New Roman"/>
                <w:color w:val="000000"/>
                <w:sz w:val="22"/>
                <w:szCs w:val="22"/>
                <w:lang w:eastAsia="en-GB"/>
              </w:rPr>
            </w:pPr>
          </w:p>
        </w:tc>
        <w:tc>
          <w:tcPr>
            <w:tcW w:w="1082" w:type="dxa"/>
            <w:tcBorders>
              <w:top w:val="nil"/>
              <w:left w:val="nil"/>
              <w:bottom w:val="nil"/>
              <w:right w:val="nil"/>
            </w:tcBorders>
            <w:shd w:val="clear" w:color="auto" w:fill="auto"/>
            <w:noWrap/>
            <w:vAlign w:val="center"/>
            <w:hideMark/>
          </w:tcPr>
          <w:p w14:paraId="7C185723"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Deeper</w:t>
            </w:r>
          </w:p>
        </w:tc>
        <w:tc>
          <w:tcPr>
            <w:tcW w:w="1940" w:type="dxa"/>
            <w:tcBorders>
              <w:top w:val="nil"/>
              <w:left w:val="nil"/>
              <w:bottom w:val="nil"/>
              <w:right w:val="nil"/>
            </w:tcBorders>
            <w:shd w:val="clear" w:color="auto" w:fill="auto"/>
            <w:noWrap/>
            <w:vAlign w:val="center"/>
            <w:hideMark/>
          </w:tcPr>
          <w:p w14:paraId="4CD3D845"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28.11 ± 2.63</w:t>
            </w:r>
          </w:p>
        </w:tc>
        <w:tc>
          <w:tcPr>
            <w:tcW w:w="1695" w:type="dxa"/>
            <w:tcBorders>
              <w:top w:val="nil"/>
              <w:left w:val="nil"/>
              <w:bottom w:val="nil"/>
              <w:right w:val="nil"/>
            </w:tcBorders>
            <w:shd w:val="clear" w:color="auto" w:fill="auto"/>
            <w:noWrap/>
            <w:vAlign w:val="center"/>
            <w:hideMark/>
          </w:tcPr>
          <w:p w14:paraId="761CA0F6" w14:textId="77777777" w:rsidR="009C75D7" w:rsidRPr="009C75D7" w:rsidRDefault="009C75D7" w:rsidP="003620E4">
            <w:pPr>
              <w:rPr>
                <w:rFonts w:ascii="Calibri" w:eastAsia="Times New Roman" w:hAnsi="Calibri" w:cs="Times New Roman"/>
                <w:color w:val="000000"/>
                <w:sz w:val="22"/>
                <w:szCs w:val="22"/>
                <w:lang w:eastAsia="en-GB"/>
              </w:rPr>
            </w:pPr>
          </w:p>
        </w:tc>
        <w:tc>
          <w:tcPr>
            <w:tcW w:w="1981" w:type="dxa"/>
            <w:tcBorders>
              <w:top w:val="nil"/>
              <w:left w:val="nil"/>
              <w:bottom w:val="nil"/>
              <w:right w:val="nil"/>
            </w:tcBorders>
            <w:shd w:val="clear" w:color="auto" w:fill="auto"/>
            <w:noWrap/>
            <w:vAlign w:val="center"/>
            <w:hideMark/>
          </w:tcPr>
          <w:p w14:paraId="4357EBA9"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1.33 ± 0.017</w:t>
            </w:r>
          </w:p>
        </w:tc>
        <w:tc>
          <w:tcPr>
            <w:tcW w:w="1838" w:type="dxa"/>
            <w:tcBorders>
              <w:top w:val="nil"/>
              <w:left w:val="nil"/>
              <w:bottom w:val="nil"/>
              <w:right w:val="nil"/>
            </w:tcBorders>
            <w:shd w:val="clear" w:color="auto" w:fill="auto"/>
            <w:noWrap/>
            <w:vAlign w:val="center"/>
            <w:hideMark/>
          </w:tcPr>
          <w:p w14:paraId="1EF89A9F"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0.47 ± 0.01</w:t>
            </w:r>
          </w:p>
        </w:tc>
        <w:tc>
          <w:tcPr>
            <w:tcW w:w="1368" w:type="dxa"/>
            <w:tcBorders>
              <w:top w:val="nil"/>
              <w:left w:val="nil"/>
              <w:bottom w:val="nil"/>
              <w:right w:val="nil"/>
            </w:tcBorders>
            <w:shd w:val="clear" w:color="auto" w:fill="auto"/>
            <w:noWrap/>
            <w:vAlign w:val="center"/>
            <w:hideMark/>
          </w:tcPr>
          <w:p w14:paraId="425092A3"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6.26 ± 0.08</w:t>
            </w:r>
          </w:p>
        </w:tc>
        <w:tc>
          <w:tcPr>
            <w:tcW w:w="1940" w:type="dxa"/>
            <w:tcBorders>
              <w:top w:val="nil"/>
              <w:left w:val="nil"/>
              <w:bottom w:val="nil"/>
              <w:right w:val="nil"/>
            </w:tcBorders>
            <w:shd w:val="clear" w:color="auto" w:fill="auto"/>
            <w:noWrap/>
            <w:vAlign w:val="center"/>
            <w:hideMark/>
          </w:tcPr>
          <w:p w14:paraId="28165EFE"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17.57 ± 1.43</w:t>
            </w:r>
          </w:p>
        </w:tc>
        <w:tc>
          <w:tcPr>
            <w:tcW w:w="1695" w:type="dxa"/>
            <w:tcBorders>
              <w:top w:val="nil"/>
              <w:left w:val="nil"/>
              <w:bottom w:val="nil"/>
              <w:right w:val="nil"/>
            </w:tcBorders>
            <w:shd w:val="clear" w:color="auto" w:fill="auto"/>
            <w:noWrap/>
            <w:vAlign w:val="bottom"/>
            <w:hideMark/>
          </w:tcPr>
          <w:p w14:paraId="7D46FFB3" w14:textId="77777777" w:rsidR="009C75D7" w:rsidRPr="009C75D7" w:rsidRDefault="009C75D7" w:rsidP="003620E4">
            <w:pPr>
              <w:rPr>
                <w:rFonts w:ascii="Calibri" w:eastAsia="Times New Roman" w:hAnsi="Calibri" w:cs="Times New Roman"/>
                <w:color w:val="000000"/>
                <w:sz w:val="22"/>
                <w:szCs w:val="22"/>
                <w:lang w:eastAsia="en-GB"/>
              </w:rPr>
            </w:pPr>
          </w:p>
        </w:tc>
      </w:tr>
      <w:tr w:rsidR="009C75D7" w:rsidRPr="009C75D7" w14:paraId="6B0EB1C6" w14:textId="77777777" w:rsidTr="003620E4">
        <w:trPr>
          <w:trHeight w:val="306"/>
        </w:trPr>
        <w:tc>
          <w:tcPr>
            <w:tcW w:w="1147" w:type="dxa"/>
            <w:vMerge w:val="restart"/>
            <w:tcBorders>
              <w:top w:val="nil"/>
              <w:left w:val="nil"/>
              <w:bottom w:val="single" w:sz="4" w:space="0" w:color="000000"/>
              <w:right w:val="nil"/>
            </w:tcBorders>
            <w:shd w:val="clear" w:color="auto" w:fill="auto"/>
            <w:noWrap/>
            <w:vAlign w:val="center"/>
            <w:hideMark/>
          </w:tcPr>
          <w:p w14:paraId="69EC06A9"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High</w:t>
            </w:r>
          </w:p>
        </w:tc>
        <w:tc>
          <w:tcPr>
            <w:tcW w:w="1082" w:type="dxa"/>
            <w:tcBorders>
              <w:top w:val="nil"/>
              <w:left w:val="nil"/>
              <w:bottom w:val="nil"/>
              <w:right w:val="nil"/>
            </w:tcBorders>
            <w:shd w:val="clear" w:color="auto" w:fill="auto"/>
            <w:noWrap/>
            <w:vAlign w:val="center"/>
            <w:hideMark/>
          </w:tcPr>
          <w:p w14:paraId="1EC877A2"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Fine-root</w:t>
            </w:r>
          </w:p>
        </w:tc>
        <w:tc>
          <w:tcPr>
            <w:tcW w:w="1940" w:type="dxa"/>
            <w:tcBorders>
              <w:top w:val="nil"/>
              <w:left w:val="nil"/>
              <w:bottom w:val="nil"/>
              <w:right w:val="nil"/>
            </w:tcBorders>
            <w:shd w:val="clear" w:color="auto" w:fill="auto"/>
            <w:noWrap/>
            <w:vAlign w:val="center"/>
            <w:hideMark/>
          </w:tcPr>
          <w:p w14:paraId="0BA24D75"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8.25 ± 0.73</w:t>
            </w:r>
          </w:p>
        </w:tc>
        <w:tc>
          <w:tcPr>
            <w:tcW w:w="1695" w:type="dxa"/>
            <w:tcBorders>
              <w:top w:val="nil"/>
              <w:left w:val="nil"/>
              <w:bottom w:val="nil"/>
              <w:right w:val="nil"/>
            </w:tcBorders>
            <w:shd w:val="clear" w:color="auto" w:fill="auto"/>
            <w:noWrap/>
            <w:vAlign w:val="center"/>
            <w:hideMark/>
          </w:tcPr>
          <w:p w14:paraId="6C823F8B" w14:textId="77777777" w:rsidR="009C75D7" w:rsidRPr="009C75D7" w:rsidRDefault="009C75D7" w:rsidP="003620E4">
            <w:pP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21.67 ± 2.68</w:t>
            </w:r>
          </w:p>
        </w:tc>
        <w:tc>
          <w:tcPr>
            <w:tcW w:w="1981" w:type="dxa"/>
            <w:tcBorders>
              <w:top w:val="nil"/>
              <w:left w:val="nil"/>
              <w:bottom w:val="nil"/>
              <w:right w:val="nil"/>
            </w:tcBorders>
            <w:shd w:val="clear" w:color="auto" w:fill="auto"/>
            <w:noWrap/>
            <w:vAlign w:val="center"/>
            <w:hideMark/>
          </w:tcPr>
          <w:p w14:paraId="5BCCA09E"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0.76 ± 0.30</w:t>
            </w:r>
          </w:p>
        </w:tc>
        <w:tc>
          <w:tcPr>
            <w:tcW w:w="1838" w:type="dxa"/>
            <w:tcBorders>
              <w:top w:val="nil"/>
              <w:left w:val="nil"/>
              <w:bottom w:val="nil"/>
              <w:right w:val="nil"/>
            </w:tcBorders>
            <w:shd w:val="clear" w:color="auto" w:fill="auto"/>
            <w:noWrap/>
            <w:vAlign w:val="center"/>
            <w:hideMark/>
          </w:tcPr>
          <w:p w14:paraId="543AC79B"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4.05 ± 2.74</w:t>
            </w:r>
          </w:p>
        </w:tc>
        <w:tc>
          <w:tcPr>
            <w:tcW w:w="1368" w:type="dxa"/>
            <w:tcBorders>
              <w:top w:val="nil"/>
              <w:left w:val="nil"/>
              <w:bottom w:val="nil"/>
              <w:right w:val="nil"/>
            </w:tcBorders>
            <w:shd w:val="clear" w:color="auto" w:fill="auto"/>
            <w:noWrap/>
            <w:vAlign w:val="center"/>
            <w:hideMark/>
          </w:tcPr>
          <w:p w14:paraId="6E0868F6"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16.48 ± 4.91</w:t>
            </w:r>
          </w:p>
        </w:tc>
        <w:tc>
          <w:tcPr>
            <w:tcW w:w="1940" w:type="dxa"/>
            <w:tcBorders>
              <w:top w:val="nil"/>
              <w:left w:val="nil"/>
              <w:bottom w:val="nil"/>
              <w:right w:val="nil"/>
            </w:tcBorders>
            <w:shd w:val="clear" w:color="auto" w:fill="auto"/>
            <w:noWrap/>
            <w:vAlign w:val="center"/>
            <w:hideMark/>
          </w:tcPr>
          <w:p w14:paraId="53AF9589"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13.76 ± 4.24</w:t>
            </w:r>
          </w:p>
        </w:tc>
        <w:tc>
          <w:tcPr>
            <w:tcW w:w="1695" w:type="dxa"/>
            <w:tcBorders>
              <w:top w:val="nil"/>
              <w:left w:val="nil"/>
              <w:bottom w:val="nil"/>
              <w:right w:val="nil"/>
            </w:tcBorders>
            <w:shd w:val="clear" w:color="auto" w:fill="auto"/>
            <w:noWrap/>
            <w:vAlign w:val="bottom"/>
            <w:hideMark/>
          </w:tcPr>
          <w:p w14:paraId="12087F77" w14:textId="77777777" w:rsidR="009C75D7" w:rsidRPr="009C75D7" w:rsidRDefault="009C75D7" w:rsidP="003620E4">
            <w:pP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22.84 ± 3.60</w:t>
            </w:r>
          </w:p>
        </w:tc>
      </w:tr>
      <w:tr w:rsidR="009C75D7" w:rsidRPr="009C75D7" w14:paraId="3F68231D" w14:textId="77777777" w:rsidTr="003620E4">
        <w:trPr>
          <w:trHeight w:val="306"/>
        </w:trPr>
        <w:tc>
          <w:tcPr>
            <w:tcW w:w="1147" w:type="dxa"/>
            <w:vMerge/>
            <w:tcBorders>
              <w:top w:val="nil"/>
              <w:left w:val="nil"/>
              <w:bottom w:val="single" w:sz="4" w:space="0" w:color="000000"/>
              <w:right w:val="nil"/>
            </w:tcBorders>
            <w:vAlign w:val="center"/>
            <w:hideMark/>
          </w:tcPr>
          <w:p w14:paraId="2DC6E5F4" w14:textId="77777777" w:rsidR="009C75D7" w:rsidRPr="009C75D7" w:rsidRDefault="009C75D7" w:rsidP="003620E4">
            <w:pPr>
              <w:rPr>
                <w:rFonts w:ascii="Calibri" w:eastAsia="Times New Roman" w:hAnsi="Calibri" w:cs="Times New Roman"/>
                <w:color w:val="000000"/>
                <w:sz w:val="22"/>
                <w:szCs w:val="22"/>
                <w:lang w:eastAsia="en-GB"/>
              </w:rPr>
            </w:pPr>
          </w:p>
        </w:tc>
        <w:tc>
          <w:tcPr>
            <w:tcW w:w="1082" w:type="dxa"/>
            <w:tcBorders>
              <w:top w:val="nil"/>
              <w:left w:val="nil"/>
              <w:bottom w:val="single" w:sz="4" w:space="0" w:color="auto"/>
              <w:right w:val="nil"/>
            </w:tcBorders>
            <w:shd w:val="clear" w:color="auto" w:fill="auto"/>
            <w:noWrap/>
            <w:vAlign w:val="center"/>
            <w:hideMark/>
          </w:tcPr>
          <w:p w14:paraId="42708035"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Deeper</w:t>
            </w:r>
          </w:p>
        </w:tc>
        <w:tc>
          <w:tcPr>
            <w:tcW w:w="1940" w:type="dxa"/>
            <w:tcBorders>
              <w:top w:val="nil"/>
              <w:left w:val="nil"/>
              <w:bottom w:val="single" w:sz="4" w:space="0" w:color="auto"/>
              <w:right w:val="nil"/>
            </w:tcBorders>
            <w:shd w:val="clear" w:color="auto" w:fill="auto"/>
            <w:noWrap/>
            <w:vAlign w:val="center"/>
            <w:hideMark/>
          </w:tcPr>
          <w:p w14:paraId="70F33E6D"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13.41 ± 3.29</w:t>
            </w:r>
          </w:p>
        </w:tc>
        <w:tc>
          <w:tcPr>
            <w:tcW w:w="1695" w:type="dxa"/>
            <w:tcBorders>
              <w:top w:val="nil"/>
              <w:left w:val="nil"/>
              <w:bottom w:val="single" w:sz="4" w:space="0" w:color="auto"/>
              <w:right w:val="nil"/>
            </w:tcBorders>
            <w:shd w:val="clear" w:color="auto" w:fill="auto"/>
            <w:noWrap/>
            <w:vAlign w:val="center"/>
            <w:hideMark/>
          </w:tcPr>
          <w:p w14:paraId="3EAEDF3F" w14:textId="77777777" w:rsidR="009C75D7" w:rsidRPr="009C75D7" w:rsidRDefault="009C75D7" w:rsidP="003620E4">
            <w:pP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 </w:t>
            </w:r>
          </w:p>
        </w:tc>
        <w:tc>
          <w:tcPr>
            <w:tcW w:w="1981" w:type="dxa"/>
            <w:tcBorders>
              <w:top w:val="nil"/>
              <w:left w:val="nil"/>
              <w:bottom w:val="single" w:sz="4" w:space="0" w:color="auto"/>
              <w:right w:val="nil"/>
            </w:tcBorders>
            <w:shd w:val="clear" w:color="auto" w:fill="auto"/>
            <w:noWrap/>
            <w:vAlign w:val="center"/>
            <w:hideMark/>
          </w:tcPr>
          <w:p w14:paraId="55B75345"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1.44 ± 0.17</w:t>
            </w:r>
          </w:p>
        </w:tc>
        <w:tc>
          <w:tcPr>
            <w:tcW w:w="1838" w:type="dxa"/>
            <w:tcBorders>
              <w:top w:val="nil"/>
              <w:left w:val="nil"/>
              <w:bottom w:val="single" w:sz="4" w:space="0" w:color="auto"/>
              <w:right w:val="nil"/>
            </w:tcBorders>
            <w:shd w:val="clear" w:color="auto" w:fill="auto"/>
            <w:noWrap/>
            <w:vAlign w:val="center"/>
            <w:hideMark/>
          </w:tcPr>
          <w:p w14:paraId="750260AB"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0.52 ± 0.12</w:t>
            </w:r>
          </w:p>
        </w:tc>
        <w:tc>
          <w:tcPr>
            <w:tcW w:w="1368" w:type="dxa"/>
            <w:tcBorders>
              <w:top w:val="nil"/>
              <w:left w:val="nil"/>
              <w:bottom w:val="single" w:sz="4" w:space="0" w:color="auto"/>
              <w:right w:val="nil"/>
            </w:tcBorders>
            <w:shd w:val="clear" w:color="auto" w:fill="auto"/>
            <w:noWrap/>
            <w:vAlign w:val="center"/>
            <w:hideMark/>
          </w:tcPr>
          <w:p w14:paraId="774381D2"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7.12 ± 0.77</w:t>
            </w:r>
          </w:p>
        </w:tc>
        <w:tc>
          <w:tcPr>
            <w:tcW w:w="1940" w:type="dxa"/>
            <w:tcBorders>
              <w:top w:val="nil"/>
              <w:left w:val="nil"/>
              <w:bottom w:val="single" w:sz="4" w:space="0" w:color="auto"/>
              <w:right w:val="nil"/>
            </w:tcBorders>
            <w:shd w:val="clear" w:color="auto" w:fill="auto"/>
            <w:noWrap/>
            <w:vAlign w:val="center"/>
            <w:hideMark/>
          </w:tcPr>
          <w:p w14:paraId="73D83F4F" w14:textId="77777777" w:rsidR="009C75D7" w:rsidRPr="009C75D7" w:rsidRDefault="009C75D7" w:rsidP="003620E4">
            <w:pPr>
              <w:jc w:val="cente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9.08 ± 1.17</w:t>
            </w:r>
          </w:p>
        </w:tc>
        <w:tc>
          <w:tcPr>
            <w:tcW w:w="1695" w:type="dxa"/>
            <w:tcBorders>
              <w:top w:val="nil"/>
              <w:left w:val="nil"/>
              <w:bottom w:val="single" w:sz="4" w:space="0" w:color="auto"/>
              <w:right w:val="nil"/>
            </w:tcBorders>
            <w:shd w:val="clear" w:color="auto" w:fill="auto"/>
            <w:noWrap/>
            <w:vAlign w:val="bottom"/>
            <w:hideMark/>
          </w:tcPr>
          <w:p w14:paraId="4A01BACD" w14:textId="77777777" w:rsidR="009C75D7" w:rsidRPr="009C75D7" w:rsidRDefault="009C75D7" w:rsidP="003620E4">
            <w:pPr>
              <w:rPr>
                <w:rFonts w:ascii="Calibri" w:eastAsia="Times New Roman" w:hAnsi="Calibri" w:cs="Times New Roman"/>
                <w:color w:val="000000"/>
                <w:sz w:val="22"/>
                <w:szCs w:val="22"/>
                <w:lang w:eastAsia="en-GB"/>
              </w:rPr>
            </w:pPr>
            <w:r w:rsidRPr="009C75D7">
              <w:rPr>
                <w:rFonts w:ascii="Calibri" w:eastAsia="Times New Roman" w:hAnsi="Calibri" w:cs="Times New Roman"/>
                <w:color w:val="000000"/>
                <w:sz w:val="22"/>
                <w:szCs w:val="22"/>
                <w:lang w:eastAsia="en-GB"/>
              </w:rPr>
              <w:t> </w:t>
            </w:r>
          </w:p>
        </w:tc>
      </w:tr>
    </w:tbl>
    <w:p w14:paraId="1917E4CE" w14:textId="77777777" w:rsidR="009C75D7" w:rsidRPr="002F756C" w:rsidRDefault="009C75D7" w:rsidP="009C75D7">
      <w:pPr>
        <w:widowControl w:val="0"/>
        <w:autoSpaceDE w:val="0"/>
        <w:autoSpaceDN w:val="0"/>
        <w:adjustRightInd w:val="0"/>
        <w:rPr>
          <w:b/>
          <w:bCs/>
          <w:sz w:val="20"/>
          <w:szCs w:val="20"/>
        </w:rPr>
        <w:sectPr w:rsidR="009C75D7" w:rsidRPr="002F756C" w:rsidSect="00BE3E5F">
          <w:pgSz w:w="16838" w:h="11906" w:orient="landscape"/>
          <w:pgMar w:top="1440" w:right="1440" w:bottom="1440" w:left="1440" w:header="720" w:footer="720" w:gutter="0"/>
          <w:lnNumType w:countBy="1" w:restart="continuous"/>
          <w:cols w:space="720"/>
          <w:docGrid w:linePitch="360"/>
        </w:sectPr>
      </w:pPr>
      <w:r w:rsidRPr="002F756C">
        <w:rPr>
          <w:b/>
          <w:bCs/>
          <w:sz w:val="20"/>
          <w:szCs w:val="20"/>
        </w:rPr>
        <w:t xml:space="preserve">Table </w:t>
      </w:r>
      <w:r>
        <w:rPr>
          <w:b/>
          <w:bCs/>
          <w:sz w:val="20"/>
          <w:szCs w:val="20"/>
        </w:rPr>
        <w:t>4.</w:t>
      </w:r>
      <w:r w:rsidRPr="002F756C">
        <w:rPr>
          <w:b/>
          <w:bCs/>
          <w:sz w:val="20"/>
          <w:szCs w:val="20"/>
        </w:rPr>
        <w:t xml:space="preserve">3: Mean± </w:t>
      </w:r>
      <w:proofErr w:type="spellStart"/>
      <w:r w:rsidRPr="002F756C">
        <w:rPr>
          <w:b/>
          <w:bCs/>
          <w:sz w:val="20"/>
          <w:szCs w:val="20"/>
        </w:rPr>
        <w:t>st.</w:t>
      </w:r>
      <w:proofErr w:type="spellEnd"/>
      <w:r w:rsidRPr="002F756C">
        <w:rPr>
          <w:b/>
          <w:bCs/>
          <w:sz w:val="20"/>
          <w:szCs w:val="20"/>
        </w:rPr>
        <w:t xml:space="preserve"> error fine root and deeper soil layer depths (cm), depth to bedrock (cm), bulk density (g cm</w:t>
      </w:r>
      <w:r w:rsidRPr="002F756C">
        <w:rPr>
          <w:b/>
          <w:bCs/>
          <w:sz w:val="20"/>
          <w:szCs w:val="20"/>
          <w:vertAlign w:val="superscript"/>
        </w:rPr>
        <w:t>-3</w:t>
      </w:r>
      <w:r w:rsidRPr="002F756C">
        <w:rPr>
          <w:b/>
          <w:bCs/>
          <w:sz w:val="20"/>
          <w:szCs w:val="20"/>
        </w:rPr>
        <w:t>), carbon content (%), carbon density (mg C cm</w:t>
      </w:r>
      <w:r w:rsidRPr="002F756C">
        <w:rPr>
          <w:b/>
          <w:bCs/>
          <w:sz w:val="20"/>
          <w:szCs w:val="20"/>
          <w:vertAlign w:val="superscript"/>
        </w:rPr>
        <w:t>-3</w:t>
      </w:r>
      <w:r w:rsidRPr="002F756C">
        <w:rPr>
          <w:b/>
          <w:bCs/>
          <w:sz w:val="20"/>
          <w:szCs w:val="20"/>
        </w:rPr>
        <w:t>) and soil carbon pools (Mg C</w:t>
      </w:r>
      <w:r w:rsidRPr="002F756C">
        <w:rPr>
          <w:b/>
          <w:bCs/>
          <w:sz w:val="20"/>
          <w:szCs w:val="20"/>
          <w:vertAlign w:val="subscript"/>
        </w:rPr>
        <w:t>50</w:t>
      </w:r>
      <w:r w:rsidRPr="002F756C">
        <w:rPr>
          <w:b/>
          <w:bCs/>
          <w:sz w:val="20"/>
          <w:szCs w:val="20"/>
        </w:rPr>
        <w:t xml:space="preserve"> ha</w:t>
      </w:r>
      <w:r w:rsidRPr="002F756C">
        <w:rPr>
          <w:b/>
          <w:bCs/>
          <w:sz w:val="20"/>
          <w:szCs w:val="20"/>
          <w:vertAlign w:val="superscript"/>
        </w:rPr>
        <w:t>-1</w:t>
      </w:r>
      <w:r w:rsidRPr="002F756C">
        <w:rPr>
          <w:b/>
          <w:bCs/>
          <w:sz w:val="20"/>
          <w:szCs w:val="20"/>
        </w:rPr>
        <w:t xml:space="preserve">) of sampled plots in Qatari mangroves. * </w:t>
      </w:r>
      <w:proofErr w:type="gramStart"/>
      <w:r w:rsidRPr="002F756C">
        <w:rPr>
          <w:b/>
          <w:bCs/>
          <w:sz w:val="20"/>
          <w:szCs w:val="20"/>
        </w:rPr>
        <w:t>these</w:t>
      </w:r>
      <w:proofErr w:type="gramEnd"/>
      <w:r w:rsidRPr="002F756C">
        <w:rPr>
          <w:b/>
          <w:bCs/>
          <w:sz w:val="20"/>
          <w:szCs w:val="20"/>
        </w:rPr>
        <w:t xml:space="preserve"> sampling locations had soil depths deeper than 50 cm, however, all measurements were standardised to 50 cm depth. </w:t>
      </w:r>
    </w:p>
    <w:p w14:paraId="44B18170" w14:textId="0A629684" w:rsidR="009C75D7" w:rsidRPr="00AB0EF4" w:rsidRDefault="009C75D7" w:rsidP="009C75D7">
      <w:pPr>
        <w:pStyle w:val="Heading2"/>
        <w:rPr>
          <w:rFonts w:asciiTheme="minorHAnsi" w:hAnsiTheme="minorHAnsi" w:cstheme="minorHAnsi"/>
          <w:b/>
          <w:bCs/>
          <w:color w:val="auto"/>
        </w:rPr>
      </w:pPr>
      <w:bookmarkStart w:id="51" w:name="_Toc120622140"/>
      <w:r>
        <w:rPr>
          <w:rFonts w:asciiTheme="minorHAnsi" w:hAnsiTheme="minorHAnsi" w:cstheme="minorHAnsi"/>
          <w:b/>
          <w:bCs/>
          <w:color w:val="auto"/>
        </w:rPr>
        <w:lastRenderedPageBreak/>
        <w:t>4</w:t>
      </w:r>
      <w:r w:rsidRPr="00AB0EF4">
        <w:rPr>
          <w:rFonts w:asciiTheme="minorHAnsi" w:hAnsiTheme="minorHAnsi" w:cstheme="minorHAnsi"/>
          <w:b/>
          <w:bCs/>
          <w:color w:val="auto"/>
        </w:rPr>
        <w:t>.5</w:t>
      </w:r>
      <w:r w:rsidRPr="00AB0EF4">
        <w:rPr>
          <w:rFonts w:asciiTheme="minorHAnsi" w:hAnsiTheme="minorHAnsi" w:cstheme="minorHAnsi"/>
          <w:b/>
          <w:bCs/>
          <w:color w:val="auto"/>
        </w:rPr>
        <w:tab/>
        <w:t>Discussion</w:t>
      </w:r>
      <w:bookmarkEnd w:id="51"/>
    </w:p>
    <w:p w14:paraId="68BF6DEB" w14:textId="77777777" w:rsidR="009C75D7" w:rsidRPr="0067054C" w:rsidRDefault="009C75D7" w:rsidP="009C75D7">
      <w:pPr>
        <w:spacing w:line="480" w:lineRule="auto"/>
      </w:pPr>
      <w:r w:rsidRPr="0067054C">
        <w:t>This study is in agreement with recent findings, which report lower overall C stocks for the arid mangroves of the Arabian Peninsula compared to global averages. Mangrove C stock extrapolated to 1 m depth in Qatar (5</w:t>
      </w:r>
      <w:r>
        <w:t>0.17</w:t>
      </w:r>
      <w:r w:rsidRPr="0067054C">
        <w:t xml:space="preserve"> ±6.27 Mg C ha</w:t>
      </w:r>
      <w:r w:rsidRPr="0067054C">
        <w:rPr>
          <w:vertAlign w:val="superscript"/>
        </w:rPr>
        <w:t>-1</w:t>
      </w:r>
      <w:r w:rsidRPr="0067054C">
        <w:t>) are comparable to 43 - 76 Mg C ha</w:t>
      </w:r>
      <w:r w:rsidRPr="0067054C">
        <w:rPr>
          <w:vertAlign w:val="superscript"/>
        </w:rPr>
        <w:t>-1</w:t>
      </w:r>
      <w:r w:rsidRPr="0067054C">
        <w:t xml:space="preserve"> in 1 m depth soil reported from the Red Sea to the Gulf </w:t>
      </w:r>
      <w:r w:rsidRPr="0067054C">
        <w:fldChar w:fldCharType="begin" w:fldLock="1"/>
      </w:r>
      <w:r w:rsidRPr="0067054C">
        <w:instrText>ADDIN CSL_CITATION {"citationItems":[{"id":"ITEM-1","itemData":{"DOI":"10.1038/s41598-017-10424-9","ISSN":"2045-2322","author":[{"dropping-particle":"","family":"Almahasheer","given":"Hanan","non-dropping-particle":"","parse-names":false,"suffix":""},{"dropping-particle":"","family":"Serrano","given":"Oscar","non-dropping-particle":"","parse-names":false,"suffix":""},{"dropping-particle":"","family":"Duarte","given":"Carlos M.","non-dropping-particle":"","parse-names":false,"suffix":""},{"dropping-particle":"","family":"Arias-Ortiz","given":"Ariane","non-dropping-particle":"","parse-names":false,"suffix":""},{"dropping-particle":"","family":"Masque","given":"Pere","non-dropping-particle":"","parse-names":false,"suffix":""},{"dropping-particle":"","family":"Irigoien","given":"Xabier","non-dropping-particle":"","parse-names":false,"suffix":""}],"container-title":"Scientific Reports","id":"ITEM-1","issue":"1","issued":{"date-parts":[["2017"]]},"page":"9700","title":"Low Carbon sink capacity of Red Sea mangroves","type":"article-journal","volume":"7"},"uris":["http://www.mendeley.com/documents/?uuid=90af8c22-f462-3b43-9dc5-dcc30bc9100e"]},{"id":"ITEM-2","itemData":{"DOI":"10.1088/1748-9326/aac899","ISSN":"17489326","abstract":"Certain coastal ecosystems such as mangrove, saltmarsh and seagrass habitats have been identified as significant natural carbon sinks, through the sequestration and storage of carbon in their biomass and sediments, collectively known as 'blue carbon' ecosystems. These ecosystems can often thrive in extreme environments where terrestrial systems otherwise survive at the limit of their existence, such as in arid and desert regions of the globe. To further our understanding of the capability of blue carbon ecosystems to sequester and store carbon in such extreme climates, we measured carbon sediment stocks in 25 sites along the Western Arabian Gulf coast. While seagrass meadows and saltmarsh habitats were widely distributed along the coast, mangrove stands were much reduced as a result of anthropogenic pressures, with 90% of stands having been lost over the last century. Carbon stocks in 1 m deep surface sediments were similar across all three blue carbon habitats, with comparable stocks for saltmarsh (81 ± 22 Mg Corg ha−1), seagrass (76 ± 20 Mg Corg ha−1) and mangroves (76 ± 23 Mg Corg ha−1). We recorded a 38% decrease in carbon stocks between mature established mangrove stands (91 Mg Corg ha−1) and recently planted mangroves (56 Mg Corg ha−1). Mangroves also had the lowest carbon stock per total area owing to their very limited spatial coverage along the coast. The largest stock per total area belonged to seagrass beds as a result of their large spatial coverage within the Gulf. We employed210Pb dating to determine the sediment accretion rates in each ecosystem and found mangrove habitats to be the most efficient carbon sequesters over the past century, with the highest carbon burial rate of the three ecosystems (19 g Corg m−2 yr−1), followed by seagrass (9 g Corg m−2 yr−1) and saltmarshes (8 g Corg m−2 yr−1). In this work, we describe a comprehensive comparison of sediment stocks in different blue carbon ecosystems within a single marine environment and across a large geographical area, and discuss our results in a global context for other blue carbon ecosystems in the dry tropics.","author":[{"dropping-particle":"","family":"Cusack","given":"M.","non-dropping-particle":"","parse-names":false,"suffix":""},{"dropping-particle":"","family":"Saderne","given":"V.","non-dropping-particle":"","parse-names":false,"suffix":""},{"dropping-particle":"","family":"Arias-Ortiz","given":"A.","non-dropping-particle":"","parse-names":false,"suffix":""},{"dropping-particle":"","family":"Masqué","given":"P.","non-dropping-particle":"","parse-names":false,"suffix":""},{"dropping-particle":"","family":"Krishnakumar","given":"P. K.","non-dropping-particle":"","parse-names":false,"suffix":""},{"dropping-particle":"","family":"Rabaoui","given":"L.","non-dropping-particle":"","parse-names":false,"suffix":""},{"dropping-particle":"","family":"Qurban","given":"M. A.","non-dropping-particle":"","parse-names":false,"suffix":""},{"dropping-particle":"","family":"Qasem","given":"A. M.","non-dropping-particle":"","parse-names":false,"suffix":""},{"dropping-particle":"","family":"Prihartato","given":"P.","non-dropping-particle":"","parse-names":false,"suffix":""},{"dropping-particle":"","family":"Loughland","given":"R. A.","non-dropping-particle":"","parse-names":false,"suffix":""},{"dropping-particle":"","family":"Elyas","given":"A. A.","non-dropping-particle":"","parse-names":false,"suffix":""},{"dropping-particle":"","family":"Duarte","given":"C. M.","non-dropping-particle":"","parse-names":false,"suffix":""}],"container-title":"Environmental Research Letters","id":"ITEM-2","issue":"7","issued":{"date-parts":[["2018"]]},"title":"Organic carbon sequestration and storage in vegetated coastal habitats along the western coast of the Arabian Gulf","type":"article-journal","volume":"13"},"uris":["http://www.mendeley.com/documents/?uuid=e2ac76d4-5307-45b2-80fa-ad1f03f511c7","http://www.mendeley.com/documents/?uuid=75966dd7-d01d-4383-8111-71401fccb59b"]}],"mendeley":{"formattedCitation":"(Almahasheer et al., 2017; Cusack et al., 2018)","plainTextFormattedCitation":"(Almahasheer et al., 2017; Cusack et al., 2018)","previouslyFormattedCitation":"(Almahasheer et al., 2017; Cusack et al., 2018)"},"properties":{"noteIndex":0},"schema":"https://github.com/citation-style-language/schema/raw/master/csl-citation.json"}</w:instrText>
      </w:r>
      <w:r w:rsidRPr="0067054C">
        <w:fldChar w:fldCharType="separate"/>
      </w:r>
      <w:r w:rsidRPr="0067054C">
        <w:rPr>
          <w:noProof/>
        </w:rPr>
        <w:t>(Almahasheer et al., 2017; Cusack et al., 2018)</w:t>
      </w:r>
      <w:r w:rsidRPr="0067054C">
        <w:fldChar w:fldCharType="end"/>
      </w:r>
      <w:r w:rsidRPr="0067054C">
        <w:t>. However, these results are much lower than 728 – 1363 Mg C ha</w:t>
      </w:r>
      <w:r w:rsidRPr="0067054C">
        <w:rPr>
          <w:vertAlign w:val="superscript"/>
        </w:rPr>
        <w:t>-1</w:t>
      </w:r>
      <w:r w:rsidRPr="0067054C">
        <w:t xml:space="preserve"> reported throughout the tropics to comparable depths </w:t>
      </w:r>
      <w:r w:rsidRPr="0067054C">
        <w:fldChar w:fldCharType="begin" w:fldLock="1"/>
      </w:r>
      <w:r w:rsidRPr="0067054C">
        <w:instrText>ADDIN CSL_CITATION {"citationItems":[{"id":"ITEM-1","itemData":{"DOI":"10.1038/nclimate2734","ISBN":"1758-678X","ISSN":"1758-678X","abstract":"Mangroves provide a wide range of ecosystem services, including nutrient cycling, soil formation, wood production, fish spawning grounds, ecotourism and carbon (C) storage 1 . High rates of tree and plant growth, coupled with anaerobic, water-logged soils that slow decomposition, result in large long-term C storage. Given their global significance as large sinks of C, preventing mangrove loss would be an eeective climate change adaptation and mitigation strategy. It has been reported that C stocks in the Indo-Pacific region contain on average 1,023 MgC ha −1 (ref. 2). Here, we estimate that In-donesian mangrove C stocks are 1,083 ± 378 MgC ha −1 . Scaled up to the country-level mangrove extent of 2.9 Mha (ref. 3), Indonesia's mangroves contained on average 3.14 PgC. In three decades Indonesia has lost 40% of its mangroves 4 , mainly as a result of aquaculture development 5 . This has resulted in annual emissions of 0.07–0.21 Pg CO 2 e. Annual mangrove deforesta-tion in Indonesia is only 6% of its total forest loss 6 ; however, if this were halted, total emissions would be reduced by an amount equal to 10–31% of estimated annual emissions from land-use sectors at present. Conservation of carbon-rich man-groves in the Indonesian archipelago should be a high-priority component of strategies to mitigate climate change. Globally, deforestation and conversion of mangroves has been shown to contribute 0.08–0.48 Pg CO 2 e yr −1 , or 10% of the total global emissions from tropical deforestation, even though man-groves account for only about 0.7% of the world's tropical forest area 2 . C losses from mangrove conversion can be high not only because of losses from aboveground C pools but also belowground pools. Potential C losses from mangroves converted to shrimp ponds in the Dominican Republic were 661–1,135 MgC ha −1 (ref. 7). In 1980, there were 4.2 Mha of mangrove forests along Indonesia's 95,000 km of coastline 3 . Over just 20 years mangrove forest cover had declined about 26%, to an estimated 3.1 Mha (ref. 8). In 2005, mangrove forest cover had further decreased to 2.9 Mha (ref. 3). On the basis of FAO data, cumulatively Indonesia has lost 30% of its mangrove forests between 1980 and 2005; this is equivalent to an annual deforestation rate of 1.24%. Recent estimates of Indonesia's mangrove cover suggest a total loss of 40% in the past three decades 4 . Aquaculture development was the main cause 5 , after it expanded rapidly in 1997–2005 and resulted in an o…","author":[{"dropping-particle":"","family":"Murdiyarso","given":"Daniel","non-dropping-particle":"","parse-names":false,"suffix":""},{"dropping-particle":"","family":"Purbopuspito","given":"Joko","non-dropping-particle":"","parse-names":false,"suffix":""},{"dropping-particle":"","family":"Kauffman","given":"J. Boone","non-dropping-particle":"","parse-names":false,"suffix":""},{"dropping-particle":"","family":"Warren","given":"Matthew W.","non-dropping-particle":"","parse-names":false,"suffix":""},{"dropping-particle":"","family":"Sasmito","given":"Sigit D.","non-dropping-particle":"","parse-names":false,"suffix":""},{"dropping-particle":"","family":"Donato","given":"Daniel C.","non-dropping-particle":"","parse-names":false,"suffix":""},{"dropping-particle":"","family":"Manuri","given":"Solichin","non-dropping-particle":"","parse-names":false,"suffix":""},{"dropping-particle":"","family":"Krisnawati","given":"Haruni","non-dropping-particle":"","parse-names":false,"suffix":""},{"dropping-particle":"","family":"Taberima","given":"Sartji","non-dropping-particle":"","parse-names":false,"suffix":""},{"dropping-particle":"","family":"Kurnianto","given":"Sofyan","non-dropping-particle":"","parse-names":false,"suffix":""}],"container-title":"Nature Climate Change","id":"ITEM-1","issue":"12","issued":{"date-parts":[["2015","7","27"]]},"page":"1089-1092","publisher":"Nature Research","title":"The potential of Indonesian mangrove forests for global climate change mitigation","type":"article-journal","volume":"5"},"uris":["http://www.mendeley.com/documents/?uuid=417e17a9-a027-38cc-a856-d90c8fb50285"]},{"id":"ITEM-2","itemData":{"DOI":"10.1007/s13157-011-0148-9","ISBN":"0277-5212","ISSN":"02775212","PMID":"24834737","abstract":"Among the least studied ecosystem services of mangroves is their value as global carbon (C) stocks. This is significant as mangroves are subject to rapid rates of deforestation and therefore could be significant sources of atmospheric emissions. Mangroves could be key ecosystems in strategies addressing the mitigation of climate change though reduced deforestation. We quantified ecosystem C stocks at the seaward, interior, and upland edges of mangroves in the Republic of Palau and Yap, Federated States of Micronesia. The relatively high aboveground biomass coupled with carbon-rich soils resulted in the presence of large ecosystem carbon stocks compared to other tropical forests. Ecosystem C storage at the Palau site ranged from 479Mg/ha in the seaward zone to 1,068Mg/ha in the landward zone; in the Yap site C storage ranged from 853 to 1,385 Mg/ha along this gradient. Soils contained ~70% of the ecosystem C stocks. The elevation range of mangroves was &lt;146 cm, suggesting that projected sea-level rise can influence a large portion of existing stands. Declines in ecosystem carbon stocks will be pronounced if mangroves are replaced by communities adapted to greater inundation such as seagrass communities, where C pools were =7% of that of mangroves (48 Mg C/ha).","author":[{"dropping-particle":"","family":"Kauffman","given":"J. Boone","non-dropping-particle":"","parse-names":false,"suffix":""},{"dropping-particle":"","family":"Heider","given":"Chris","non-dropping-particle":"","parse-names":false,"suffix":""},{"dropping-particle":"","family":"Cole","given":"Thomas G.","non-dropping-particle":"","parse-names":false,"suffix":""},{"dropping-particle":"","family":"Dwire","given":"Kathleen A.","non-dropping-particle":"","parse-names":false,"suffix":""},{"dropping-particle":"","family":"Donato","given":"Daniel C.","non-dropping-particle":"","parse-names":false,"suffix":""}],"container-title":"Wetlands","id":"ITEM-2","issue":"2","issued":{"date-parts":[["2011"]]},"page":"343-352","title":"Ecosystem carbon stocks of micronesian mangrove forests","type":"article-journal","volume":"31"},"uris":["http://www.mendeley.com/documents/?uuid=22ed9481-6a2e-3a46-bd1d-2bb5889bec94"]},{"id":"ITEM-3","itemData":{"author":[{"dropping-particle":"","family":"Gress","given":"SK","non-dropping-particle":"","parse-names":false,"suffix":""},{"dropping-particle":"","family":"Huxham","given":"M","non-dropping-particle":"","parse-names":false,"suffix":""},{"dropping-particle":"","family":"Kairo","given":"JG","non-dropping-particle":"","parse-names":false,"suffix":""},{"dropping-particle":"","family":"Mugi","given":"LM","non-dropping-particle":"","parse-names":false,"suffix":""}],"container-title":"Global change","id":"ITEM-3","issue":"1","issued":{"date-parts":[["2017"]]},"page":"224-234","title":"Evaluating, predicting and mapping belowground carbon stores in Kenyan mangroves - Gress - 2016 - Global Change Biology - Wiley Online Library","type":"article-journal","volume":"23"},"uris":["http://www.mendeley.com/documents/?uuid=2c05e08e-e2b7-307f-99c5-ddd519684aea"]},{"id":"ITEM-4","itemData":{"DOI":"10.4155/cmt.12.20","ISBN":"1758-3004","ISSN":"1758-3004","abstract":"Mangrove forests are highly productive, with carbon production rates\\nequivalent to tropical humid forests. Mangroves allocate proportionally\\nmore carbon belowground, and have higher below- to above-ground carbon\\nmass ratios than terrestrial trees. Most mangrove carbon is stored as\\nlarge pools in soil and dead roots. Mangroves are among the most\\ncarbon-rich biomes, containing an average of 937 tC ha(-1), facilitating\\nthe accumulation of fine particles, and fostering rapid rates of\\nsediment accretion (similar to 5 mm year(-1)) and carbon burial (174 gC\\nm(-2) year(-1)). Mangroves account for only approximately 1% (13.5 Gt\\nyear(-1)) of carbon sequestration by the world's forests, but as coastal\\nhabitats they account for 14% of carbon sequestration by the global\\nocean. If mangrove carbon stocks are disturbed, resultant gas emissions\\nmay be very high. Irrespective of uncertainties and the unique nature of\\nimplementing REDD+ and Blue Carbon projects, mangroves are prime\\necosystems for reforestation and restoration.","author":[{"dropping-particle":"","family":"Alongi","given":"Daniel M","non-dropping-particle":"","parse-names":false,"suffix":""}],"container-title":"Carbon Management","id":"ITEM-4","issue":"3","issued":{"date-parts":[["2012"]]},"page":"313-322","title":"Carbon sequestration in mangrove forests","type":"article-journal","volume":"3"},"uris":["http://www.mendeley.com/documents/?uuid=3241c1b5-0ca9-3fd5-b2e4-34aa00c78452"]}],"mendeley":{"formattedCitation":"(Alongi, 2012; Gress et al., 2017; Kauffman et al., 2011; Murdiyarso et al., 2015)","plainTextFormattedCitation":"(Alongi, 2012; Gress et al., 2017; Kauffman et al., 2011; Murdiyarso et al., 2015)","previouslyFormattedCitation":"(Alongi, 2012; Gress et al., 2017; Kauffman et al., 2011; Murdiyarso et al., 2015)"},"properties":{"noteIndex":0},"schema":"https://github.com/citation-style-language/schema/raw/master/csl-citation.json"}</w:instrText>
      </w:r>
      <w:r w:rsidRPr="0067054C">
        <w:fldChar w:fldCharType="separate"/>
      </w:r>
      <w:r w:rsidRPr="0067054C">
        <w:rPr>
          <w:noProof/>
        </w:rPr>
        <w:t>(Alongi, 2012; Gress et al., 2017; Kauffman et al., 2011; Murdiyarso et al., 2015)</w:t>
      </w:r>
      <w:r w:rsidRPr="0067054C">
        <w:fldChar w:fldCharType="end"/>
      </w:r>
      <w:r w:rsidRPr="0067054C">
        <w:t>. Mean above and below ground tree C stocks (C</w:t>
      </w:r>
      <w:r w:rsidRPr="0067054C">
        <w:rPr>
          <w:vertAlign w:val="subscript"/>
        </w:rPr>
        <w:t xml:space="preserve">AG </w:t>
      </w:r>
      <w:r w:rsidRPr="0067054C">
        <w:t>=</w:t>
      </w:r>
      <w:r w:rsidRPr="0067054C">
        <w:rPr>
          <w:vertAlign w:val="subscript"/>
        </w:rPr>
        <w:t xml:space="preserve"> </w:t>
      </w:r>
      <w:r w:rsidRPr="0067054C">
        <w:t>4.51 ± 0.44</w:t>
      </w:r>
      <w:r w:rsidRPr="0067054C">
        <w:rPr>
          <w:vertAlign w:val="subscript"/>
        </w:rPr>
        <w:t xml:space="preserve"> </w:t>
      </w:r>
      <w:r w:rsidRPr="0067054C">
        <w:t>Mg ha</w:t>
      </w:r>
      <w:r w:rsidRPr="0067054C">
        <w:rPr>
          <w:vertAlign w:val="superscript"/>
        </w:rPr>
        <w:t>-1</w:t>
      </w:r>
      <w:r w:rsidRPr="0067054C">
        <w:t xml:space="preserve"> and C</w:t>
      </w:r>
      <w:r w:rsidRPr="0067054C">
        <w:rPr>
          <w:vertAlign w:val="subscript"/>
        </w:rPr>
        <w:t>BG</w:t>
      </w:r>
      <w:r w:rsidRPr="0067054C">
        <w:t xml:space="preserve"> = 5.67 ±0.38 Mg ha</w:t>
      </w:r>
      <w:r w:rsidRPr="0067054C">
        <w:rPr>
          <w:vertAlign w:val="superscript"/>
        </w:rPr>
        <w:t>-1</w:t>
      </w:r>
      <w:r w:rsidRPr="0067054C">
        <w:t>) and tree sizes (CD = 1.57 ± 0.10 and H = 1.86 ± 0.03) were comparable to other arid regions in which mangroves occur. Mean tree C stocks of 27.50 Mg C ha</w:t>
      </w:r>
      <w:r w:rsidRPr="0067054C">
        <w:rPr>
          <w:vertAlign w:val="superscript"/>
        </w:rPr>
        <w:t>-1</w:t>
      </w:r>
      <w:r w:rsidRPr="0067054C">
        <w:t xml:space="preserve">, of </w:t>
      </w:r>
      <w:r w:rsidRPr="0067054C">
        <w:rPr>
          <w:i/>
          <w:iCs/>
        </w:rPr>
        <w:t xml:space="preserve">A. marina </w:t>
      </w:r>
      <w:r w:rsidRPr="0067054C">
        <w:t>in the Gulf, and 47.5 Mg C ha</w:t>
      </w:r>
      <w:r w:rsidRPr="0067054C">
        <w:rPr>
          <w:vertAlign w:val="superscript"/>
        </w:rPr>
        <w:t>-1</w:t>
      </w:r>
      <w:r w:rsidRPr="0067054C">
        <w:t xml:space="preserve">, in arid mangroves of West Africa, have been reported </w:t>
      </w:r>
      <w:r w:rsidRPr="0067054C">
        <w:fldChar w:fldCharType="begin" w:fldLock="1"/>
      </w:r>
      <w:r w:rsidRPr="0067054C">
        <w:instrText>ADDIN CSL_CITATION {"citationItems":[{"id":"ITEM-1","itemData":{"DOI":"10.1371/journal.pone.0187749","ISBN":"1111111111","ISSN":"19326203","abstract":"Globally, it is recognized that blue carbon ecosystems, especially mangroves, often sequester large quantities of carbon and are of interest for inclusion in climate change mitigation strategies. While 19% of the world’s mangroves are in Africa, they are among the least investigated of all blue carbon ecosystems. We quantified total ecosystem carbon stocks in 33 different mangrove stands along the Atlantic coast of West-Central Africa from Senegal to Southern Gabon spanning large gradients of latitude, soil properties, porewater salinity, and precipitation. Mangrove structure ranged from low and dense stands that were &lt;1m in height and &gt;35,000 trees ha-1 to tall and open stands &gt;40m in height and &lt;100 ha-1. Tremendous variation in ecosystem carbon (C) stocks was measured ranging from 154 to 1,484 Mg C ha-1. The mean total ecosystem carbon stock for all mangroves of West-Central Africa was 799 Mg C ha-1. Soils comprised an average of 86% of the total carbon stock. The greatest carbon stocks were found in the tall mangroves of Liberia and Gabon North with a mean &gt;1,000 Mg C ha-1. The lowest carbon stocks were found in the low mangroves of the semiarid region of Senegal (463 Mg C ha-1) and in mangroves on coarse-textured soils in Gabon South (541 Mg C ha-1). At the scale of the entirety of West-Central Africa, total ecosystem carbon stocks were poorly correlated to aboveground ecosystem carbon pools, precipitation, latitude and soil salinity (r2 = ≤0.07 for all parameters). Based upon a sample of 158 sites from Africa, Asia and Latin America that were sampled in a similar manner to this study, the global mean of carbon stocks for mangroves is 885 Mg C ha-1. The ecosystem carbon stocks of mangroves for West-Central Africa are slightly lower than those of Latin America (940 Mg C ha-1) and Asia (1049 Mg C ha-1) but substantially higher than the default Intergovernmental Panel on Climate Change (IPCC) values for mangroves (511 Mg C ha-1). This study provides an improved estimation of default estimates (Tier 1 values) of mangroves for Asia, Latin America, and West Central Africa.","author":[{"dropping-particle":"","family":"Kauffman","given":"J. B.","non-dropping-particle":"","parse-names":false,"suffix":""},{"dropping-particle":"","family":"Bhomia","given":"Rupesh K.","non-dropping-particle":"","parse-names":false,"suffix":""}],"container-title":"PLoS ONE","editor":[{"dropping-particle":"","family":"Cebrian","given":"Just","non-dropping-particle":"","parse-names":false,"suffix":""}],"id":"ITEM-1","issue":"11","issued":{"date-parts":[["2017","11","13"]]},"page":"e0187749","publisher":"Public Library of Science","title":"Ecosystem carbon stocks of mangroves across broad environmental gradients in West-Central Africa: Global and regional comparisons","type":"article-journal","volume":"12"},"uris":["http://www.mendeley.com/documents/?uuid=0dda3e35-6690-3ef2-afb9-36bcc53c835b"]},{"id":"ITEM-2","itemData":{"DOI":"10.1002/eap.1489","ISSN":"19395582","abstract":"Coastal ecosystems produce and sequester significant amounts of carbon (\"blue carbon\"), which has been well documented in humid and semi-humid regions of temperate and tropical climates but less so in arid regions where mangroves, marshes, and seagrasses exist near the limit of their tolerance for extreme temperature and salinity. To better understand these unique systems, we measured whole-ecosystem carbon stocks in 58 sites across the United Arab Emirates (UAE) in natural and planted mangroves, salt marshes, seagrass beds, microbial mats, and coastal sabkha (inter- and supratidal unvegetated salt flats). Natural mangroves held significantly more carbon in above- and belowground biomass than other vegetated ecosystems. Planted mangrove carbon stocks increased with age, but there were large differences for sites of similar age. Soil carbon varied widely across sites (2-367 Mg C/ha), with ecosystem averages that ranged from 49 to 156 Mg C/ha. For the first time, microbial mats were documented to contain soil carbon pools comparable to vascular plant-dominated ecosystems, and could arguably be recognized as a unique blue carbon ecosystem. Total ecosystem carbon stocks ranged widely from 2 to 515 Mg C/ha (seagrass bed and mangrove, respectively). Seagrass beds had the lowest carbon stock per unit area, but the largest stock per total area due to their large spatial coverage. Compared to similar ecosystems globally, mangroves and marshes in the UAE have lower plant and soil carbon stocks; however, the difference in soil stocks is far larger than with plant stocks. This incongruent difference between stocks is likely due to poor carbon preservation under conditions of weakly reduced soils (200-350 mV), coarse-grained sediments, and active shoreline migration. This work represents the first attempt to produce a country-wide coastal ecosystem carbon accounting using a uniform sampling protocol, and was motivated by specific policy goals identified by the Abu Dhabi Global Environmental Data Initiative. These carbon stock data supported two objectives: to quantify carbon stocks and infer sequestration capacity in arid blue carbon ecosystems, and to explore the potential to incorporate blue carbon science into national reporting and planning documents. © 2016 by the Ecological Society of America.","author":[{"dropping-particle":"","family":"Schile","given":"Lisa M.","non-dropping-particle":"","parse-names":false,"suffix":""},{"dropping-particle":"","family":"Kauffman","given":"J. Boone","non-dropping-particle":"","parse-names":false,"suffix":""},{"dropping-particle":"","family":"Crooks","given":"Stephen","non-dropping-particle":"","parse-names":false,"suffix":""},{"dropping-particle":"","family":"Fourqurean","given":"James W.","non-dropping-particle":"","parse-names":false,"suffix":""},{"dropping-particle":"","family":"Glavan","given":"Jane","non-dropping-particle":"","parse-names":false,"suffix":""},{"dropping-particle":"","family":"Megonigal","given":"J. Patrick","non-dropping-particle":"","parse-names":false,"suffix":""}],"container-title":"Ecological Applications","id":"ITEM-2","issue":"3","issued":{"date-parts":[["2017"]]},"page":"859-874","title":"Limits on carbon sequestration in arid blue carbon ecosystems","type":"article-journal","volume":"27"},"uris":["http://www.mendeley.com/documents/?uuid=c37893be-f79d-4cb3-b5d3-f043469db703"]}],"mendeley":{"formattedCitation":"(Kauffman and Bhomia, 2017; Schile et al., 2017)","plainTextFormattedCitation":"(Kauffman and Bhomia, 2017; Schile et al., 2017)","previouslyFormattedCitation":"(Kauffman and Bhomia, 2017; Schile et al., 2017)"},"properties":{"noteIndex":0},"schema":"https://github.com/citation-style-language/schema/raw/master/csl-citation.json"}</w:instrText>
      </w:r>
      <w:r w:rsidRPr="0067054C">
        <w:fldChar w:fldCharType="separate"/>
      </w:r>
      <w:r w:rsidRPr="0067054C">
        <w:rPr>
          <w:noProof/>
        </w:rPr>
        <w:t>(Kauffman and Bhomia, 2017; Schile et al., 2017)</w:t>
      </w:r>
      <w:r w:rsidRPr="0067054C">
        <w:fldChar w:fldCharType="end"/>
      </w:r>
      <w:r w:rsidRPr="0067054C">
        <w:t xml:space="preserve">. Across the UAE, </w:t>
      </w:r>
      <w:proofErr w:type="spellStart"/>
      <w:r w:rsidRPr="0067054C">
        <w:t>Schile</w:t>
      </w:r>
      <w:proofErr w:type="spellEnd"/>
      <w:r w:rsidRPr="0067054C">
        <w:t xml:space="preserve"> et al. </w:t>
      </w:r>
      <w:r w:rsidRPr="0067054C">
        <w:fldChar w:fldCharType="begin" w:fldLock="1"/>
      </w:r>
      <w:r w:rsidRPr="0067054C">
        <w:instrText>ADDIN CSL_CITATION {"citationItems":[{"id":"ITEM-1","itemData":{"DOI":"10.1002/eap.1489","ISSN":"19395582","abstract":"Coastal ecosystems produce and sequester significant amounts of carbon (\"blue carbon\"), which has been well documented in humid and semi-humid regions of temperate and tropical climates but less so in arid regions where mangroves, marshes, and seagrasses exist near the limit of their tolerance for extreme temperature and salinity. To better understand these unique systems, we measured whole-ecosystem carbon stocks in 58 sites across the United Arab Emirates (UAE) in natural and planted mangroves, salt marshes, seagrass beds, microbial mats, and coastal sabkha (inter- and supratidal unvegetated salt flats). Natural mangroves held significantly more carbon in above- and belowground biomass than other vegetated ecosystems. Planted mangrove carbon stocks increased with age, but there were large differences for sites of similar age. Soil carbon varied widely across sites (2-367 Mg C/ha), with ecosystem averages that ranged from 49 to 156 Mg C/ha. For the first time, microbial mats were documented to contain soil carbon pools comparable to vascular plant-dominated ecosystems, and could arguably be recognized as a unique blue carbon ecosystem. Total ecosystem carbon stocks ranged widely from 2 to 515 Mg C/ha (seagrass bed and mangrove, respectively). Seagrass beds had the lowest carbon stock per unit area, but the largest stock per total area due to their large spatial coverage. Compared to similar ecosystems globally, mangroves and marshes in the UAE have lower plant and soil carbon stocks; however, the difference in soil stocks is far larger than with plant stocks. This incongruent difference between stocks is likely due to poor carbon preservation under conditions of weakly reduced soils (200-350 mV), coarse-grained sediments, and active shoreline migration. This work represents the first attempt to produce a country-wide coastal ecosystem carbon accounting using a uniform sampling protocol, and was motivated by specific policy goals identified by the Abu Dhabi Global Environmental Data Initiative. These carbon stock data supported two objectives: to quantify carbon stocks and infer sequestration capacity in arid blue carbon ecosystems, and to explore the potential to incorporate blue carbon science into national reporting and planning documents. © 2016 by the Ecological Society of America.","author":[{"dropping-particle":"","family":"Schile","given":"Lisa M.","non-dropping-particle":"","parse-names":false,"suffix":""},{"dropping-particle":"","family":"Kauffman","given":"J. Boone","non-dropping-particle":"","parse-names":false,"suffix":""},{"dropping-particle":"","family":"Crooks","given":"Stephen","non-dropping-particle":"","parse-names":false,"suffix":""},{"dropping-particle":"","family":"Fourqurean","given":"James W.","non-dropping-particle":"","parse-names":false,"suffix":""},{"dropping-particle":"","family":"Glavan","given":"Jane","non-dropping-particle":"","parse-names":false,"suffix":""},{"dropping-particle":"","family":"Megonigal","given":"J. Patrick","non-dropping-particle":"","parse-names":false,"suffix":""}],"container-title":"Ecological Applications","id":"ITEM-1","issue":"3","issued":{"date-parts":[["2017"]]},"page":"859-874","title":"Limits on carbon sequestration in arid blue carbon ecosystems","type":"article-journal","volume":"27"},"uris":["http://www.mendeley.com/documents/?uuid=c37893be-f79d-4cb3-b5d3-f043469db703"]}],"mendeley":{"formattedCitation":"(Schile et al., 2017)","manualFormatting":"(2017)","plainTextFormattedCitation":"(Schile et al., 2017)","previouslyFormattedCitation":"(Schile et al., 2017)"},"properties":{"noteIndex":0},"schema":"https://github.com/citation-style-language/schema/raw/master/csl-citation.json"}</w:instrText>
      </w:r>
      <w:r w:rsidRPr="0067054C">
        <w:fldChar w:fldCharType="separate"/>
      </w:r>
      <w:r w:rsidRPr="0067054C">
        <w:rPr>
          <w:noProof/>
        </w:rPr>
        <w:t>(2017)</w:t>
      </w:r>
      <w:r w:rsidRPr="0067054C">
        <w:fldChar w:fldCharType="end"/>
      </w:r>
      <w:r w:rsidRPr="0067054C">
        <w:t xml:space="preserve"> found an inverse relationship in mangrove tree C stocks with distance from the mouth of the Gulf and attributed this effect to increases in salinity. In the UAE tree C stocks ranged from 147.50 Mg C ha</w:t>
      </w:r>
      <w:r w:rsidRPr="0067054C">
        <w:rPr>
          <w:vertAlign w:val="superscript"/>
        </w:rPr>
        <w:t>-1</w:t>
      </w:r>
      <w:r w:rsidRPr="0067054C">
        <w:t xml:space="preserve"> at the entrance of the Gulf to 29.46 Mg C ha</w:t>
      </w:r>
      <w:r w:rsidRPr="0067054C">
        <w:rPr>
          <w:vertAlign w:val="superscript"/>
        </w:rPr>
        <w:t>-1</w:t>
      </w:r>
      <w:r w:rsidRPr="0067054C">
        <w:t xml:space="preserve"> at their most western sampling location (</w:t>
      </w:r>
      <w:proofErr w:type="spellStart"/>
      <w:r w:rsidRPr="0067054C">
        <w:t>Schile</w:t>
      </w:r>
      <w:proofErr w:type="spellEnd"/>
      <w:r w:rsidRPr="0067054C">
        <w:t xml:space="preserve"> et al. 2017). These estimates are considerably lower than those reported from other tropical </w:t>
      </w:r>
      <w:r>
        <w:t xml:space="preserve">humid </w:t>
      </w:r>
      <w:r w:rsidRPr="0067054C">
        <w:t xml:space="preserve">regions where total tree C stocks have been reported up to 10 times greater </w:t>
      </w:r>
      <w:r w:rsidRPr="0067054C">
        <w:fldChar w:fldCharType="begin" w:fldLock="1"/>
      </w:r>
      <w:r w:rsidRPr="0067054C">
        <w:instrText>ADDIN CSL_CITATION {"citationItems":[{"id":"ITEM-1","itemData":{"DOI":"10.4155/cmt.12.20","ISBN":"1758-3004","ISSN":"1758-3004","abstract":"Mangrove forests are highly productive, with carbon production rates\\nequivalent to tropical humid forests. Mangroves allocate proportionally\\nmore carbon belowground, and have higher below- to above-ground carbon\\nmass ratios than terrestrial trees. Most mangrove carbon is stored as\\nlarge pools in soil and dead roots. Mangroves are among the most\\ncarbon-rich biomes, containing an average of 937 tC ha(-1), facilitating\\nthe accumulation of fine particles, and fostering rapid rates of\\nsediment accretion (similar to 5 mm year(-1)) and carbon burial (174 gC\\nm(-2) year(-1)). Mangroves account for only approximately 1% (13.5 Gt\\nyear(-1)) of carbon sequestration by the world's forests, but as coastal\\nhabitats they account for 14% of carbon sequestration by the global\\nocean. If mangrove carbon stocks are disturbed, resultant gas emissions\\nmay be very high. Irrespective of uncertainties and the unique nature of\\nimplementing REDD+ and Blue Carbon projects, mangroves are prime\\necosystems for reforestation and restoration.","author":[{"dropping-particle":"","family":"Alongi","given":"Daniel M","non-dropping-particle":"","parse-names":false,"suffix":""}],"container-title":"Carbon Management","id":"ITEM-1","issue":"3","issued":{"date-parts":[["2012"]]},"page":"313-322","title":"Carbon sequestration in mangrove forests","type":"article-journal","volume":"3"},"uris":["http://www.mendeley.com/documents/?uuid=3241c1b5-0ca9-3fd5-b2e4-34aa00c78452"]},{"id":"ITEM-2","itemData":{"DOI":"10.1007/s13157-011-0148-9","ISBN":"0277-5212","ISSN":"02775212","PMID":"24834737","abstract":"Among the least studied ecosystem services of mangroves is their value as global carbon (C) stocks. This is significant as mangroves are subject to rapid rates of deforestation and therefore could be significant sources of atmospheric emissions. Mangroves could be key ecosystems in strategies addressing the mitigation of climate change though reduced deforestation. We quantified ecosystem C stocks at the seaward, interior, and upland edges of mangroves in the Republic of Palau and Yap, Federated States of Micronesia. The relatively high aboveground biomass coupled with carbon-rich soils resulted in the presence of large ecosystem carbon stocks compared to other tropical forests. Ecosystem C storage at the Palau site ranged from 479Mg/ha in the seaward zone to 1,068Mg/ha in the landward zone; in the Yap site C storage ranged from 853 to 1,385 Mg/ha along this gradient. Soils contained ~70% of the ecosystem C stocks. The elevation range of mangroves was &lt;146 cm, suggesting that projected sea-level rise can influence a large portion of existing stands. Declines in ecosystem carbon stocks will be pronounced if mangroves are replaced by communities adapted to greater inundation such as seagrass communities, where C pools were =7% of that of mangroves (48 Mg C/ha).","author":[{"dropping-particle":"","family":"Kauffman","given":"J. Boone","non-dropping-particle":"","parse-names":false,"suffix":""},{"dropping-particle":"","family":"Heider","given":"Chris","non-dropping-particle":"","parse-names":false,"suffix":""},{"dropping-particle":"","family":"Cole","given":"Thomas G.","non-dropping-particle":"","parse-names":false,"suffix":""},{"dropping-particle":"","family":"Dwire","given":"Kathleen A.","non-dropping-particle":"","parse-names":false,"suffix":""},{"dropping-particle":"","family":"Donato","given":"Daniel C.","non-dropping-particle":"","parse-names":false,"suffix":""}],"container-title":"Wetlands","id":"ITEM-2","issue":"2","issued":{"date-parts":[["2011"]]},"page":"343-352","title":"Ecosystem carbon stocks of micronesian mangrove forests","type":"article-journal","volume":"31"},"uris":["http://www.mendeley.com/documents/?uuid=22ed9481-6a2e-3a46-bd1d-2bb5889bec94"]},{"id":"ITEM-3","itemData":{"DOI":"10.1016/j.jenvman.2011.12.004","ISBN":"0301-4797","ISSN":"03014797","PMID":"22325586","abstract":"Management of forest carbon (C) stocks is an increasingly prominent land-use issue. Knowledge of carbon storage in tropical forests is improving, but regional variations are still poorly understood, and this constrains forest management and conservation efforts associated with carbon valuation mechanisms (e.g., carbon markets). This deficiency is especially pronounced in tropical islands and low-lying coastal areas where climate change impacts are expected to be among the most severe. This study presents the first field estimate of island-wide carbon storage in ecosystems of Oceania, with special attention to the regional role of coastal mangroves, which occur on islands and coastal zones throughout the tropics. On two island groups of Micronesia (Yap and Palau), we sampled all above- and belowground C pools, including soil and vegetation, in 24 sites distributed evenly among the three major vegetation structural types: mangroves, upland forests, and open savannas (generally on degraded lands formerly forested). Total C stocks were estimated to be 3.9 and 15.2Tg C on Yap and Palau, respectively. Mangroves contained by far the largest per-hectare C pools (830-1218Mg Cha-1), with deep organic-rich soils alone storing more C (631-754Mg Cha-1) than all pools combined in upland systems. Despite coveringjust 12-13% of land area, mangroves accounted for 24-34% of total island C stocks. Savannas (156-203Mg Cha-1) contained significantly lower C stocks than upland forests (375-437Mg Cha-1), suggesting that reforesting savannas where appropriate has high potential for carbon-based funding to aid restoration objectives. For mangroves, these results demonstrate the key role of these systems within the broader context of C storage in island and coastal landscapes. Sustainable management of mangrove forests and their large C stocks is of high importance at the regional scale, and climate change mitigation programs such as REDD+ could play a large role in avoiding deforestation of mangroves where this is a management objective. © 2011 Elsevier Ltd.","author":[{"dropping-particle":"","family":"Donato","given":"D. C.","non-dropping-particle":"","parse-names":false,"suffix":""},{"dropping-particle":"","family":"Kauffman","given":"J. B.","non-dropping-particle":"","parse-names":false,"suffix":""},{"dropping-particle":"","family":"Mackenzie","given":"R. A.","non-dropping-particle":"","parse-names":false,"suffix":""},{"dropping-particle":"","family":"Ainsworth","given":"A.","non-dropping-particle":"","parse-names":false,"suffix":""},{"dropping-particle":"","family":"Pfleeger","given":"A. Z.","non-dropping-particle":"","parse-names":false,"suffix":""}],"container-title":"Journal of Environmental Management","id":"ITEM-3","issue":"1","issued":{"date-parts":[["2012"]]},"page":"89-96","title":"Whole-island carbon stocks in the tropical Pacific: Implications for mangrove conservation and upland restoration","type":"article-journal","volume":"97"},"uris":["http://www.mendeley.com/documents/?uuid=0db5e885-b534-3f5e-a17e-62ec83c380e2"]}],"mendeley":{"formattedCitation":"(Alongi, 2012; Donato et al., 2012; Kauffman et al., 2011)","plainTextFormattedCitation":"(Alongi, 2012; Donato et al., 2012; Kauffman et al., 2011)","previouslyFormattedCitation":"(Alongi, 2012; Donato et al., 2012; Kauffman et al., 2011)"},"properties":{"noteIndex":0},"schema":"https://github.com/citation-style-language/schema/raw/master/csl-citation.json"}</w:instrText>
      </w:r>
      <w:r w:rsidRPr="0067054C">
        <w:fldChar w:fldCharType="separate"/>
      </w:r>
      <w:r w:rsidRPr="0067054C">
        <w:rPr>
          <w:noProof/>
        </w:rPr>
        <w:t>(Alongi, 2012; Donato et al., 2012; Kauffman et al., 2011)</w:t>
      </w:r>
      <w:r w:rsidRPr="0067054C">
        <w:fldChar w:fldCharType="end"/>
      </w:r>
      <w:r>
        <w:t>.</w:t>
      </w:r>
      <w:r w:rsidRPr="0067054C">
        <w:t xml:space="preserve"> </w:t>
      </w:r>
      <w:r w:rsidRPr="0067054C">
        <w:rPr>
          <w:i/>
          <w:iCs/>
        </w:rPr>
        <w:t xml:space="preserve">A. marina </w:t>
      </w:r>
      <w:r w:rsidRPr="0067054C">
        <w:t xml:space="preserve">in Qatar were much smaller than 7 – 10 m height and 3 – 6 m CD of the same species in tropical locations </w:t>
      </w:r>
      <w:r w:rsidRPr="0067054C">
        <w:fldChar w:fldCharType="begin" w:fldLock="1"/>
      </w:r>
      <w:r w:rsidRPr="0067054C">
        <w:instrText>ADDIN CSL_CITATION {"citationItems":[{"id":"ITEM-1","itemData":{"DOI":"http://dx.doi.org/10.1016/j.aquabot.2007.12.006","ISBN":"0304-3770","abstract":"We review 72 published articles to elucidate characteristics of biomass allocation and productivity of mangrove forests and also introduce recent progress on the study of mangrove allometry to solve the site- and species-specific problems. This includes the testing of a common allometric equation, which may be applicable to mangroves worldwide. The biomass of mangrove forests varies with age, dominant species, and locality. In primary mangrove forests, the above-ground biomass tends to be relatively low near the sea and increases inland. On a global scale, mangrove forests in the tropics have much higher above-ground biomass than those in temperate areas. Mangroves often accumulate large amounts of biomass in their roots, and the above-ground biomass to below-ground biomass ratio of mangrove forests is significantly low compared to that of upland forests (ANCOVA, PP","author":[{"dropping-particle":"","family":"Komiyama","given":"A","non-dropping-particle":"","parse-names":false,"suffix":""},{"dropping-particle":"","family":"Ong","given":"JinEong","non-dropping-particle":"","parse-names":false,"suffix":""},{"dropping-particle":"","family":"Poungparn","given":"S","non-dropping-particle":"","parse-names":false,"suffix":""}],"container-title":"Aquatic Botany","id":"ITEM-1","issue":"2","issued":{"date-parts":[["2008"]]},"page":"128-137","title":"Allometry, biomass, and productivity of mangrove forests: a review. (Special Issue: Mangrove ecology - applications in forestry and coastal zone management.)","type":"article-journal","volume":"89"},"uris":["http://www.mendeley.com/documents/?uuid=54fb0cea-dac1-34bc-bc8a-04908838b429"]},{"id":"ITEM-2","itemData":{"DOI":"10.1016/j.proenv.2016.03.092","ISSN":"18780296","abstract":"Geostatistics was applied to estimate mean tree crown diameter using high spatial resolution aerial photo of three different mangrove forest structure in the Mahakam Delta, East Kalimantan, Indonesia. The variogram analysis of the aerial photo was succeeded to estimate mean tree crown diameter of mangrove forest of Mahakam Delta. The Range of variogram was used to predict mean tree crown diameter and came to result with the error about 6.19% or less than 0.5 m. Based on this study, green band looks promising but still need more exploration and further test especially for complex canopy structure such as lowland Dipterocarp forest which completely distinct to Mangrove forest. Despite of its successness, variogram was not succeed to estimate mean crown diameter of high density mangrove forest plantation sites. Close-spacing plantation suppressed tree crown growth and development. In the aerial photo, it produced smooth texture feature of tree crown with less edge of shadow. Consequently, tree crown became indistinguishable.","author":[{"dropping-particle":"","family":"Suhardiman","given":"Ali","non-dropping-particle":"","parse-names":false,"suffix":""},{"dropping-particle":"","family":"Tsuyuki","given":"Satoshi","non-dropping-particle":"","parse-names":false,"suffix":""},{"dropping-particle":"","family":"Setiawan","given":"Yunianto","non-dropping-particle":"","parse-names":false,"suffix":""}],"container-title":"Procedia Environmental Sciences","id":"ITEM-2","issued":{"date-parts":[["2016"]]},"page":"416-427","title":"Estimating Mean Tree Crown Diameter of Mangrove Stands Using Aerial Photo","type":"article-journal","volume":"33"},"uris":["http://www.mendeley.com/documents/?uuid=990c52a0-ad56-44ba-82ac-fb57b4533551","http://www.mendeley.com/documents/?uuid=990e1cc7-8ce9-49fa-bc71-7a199f4e74c4"]}],"mendeley":{"formattedCitation":"(Komiyama et al., 2008; Suhardiman et al., 2016)","plainTextFormattedCitation":"(Komiyama et al., 2008; Suhardiman et al., 2016)","previouslyFormattedCitation":"(Komiyama et al., 2008; Suhardiman et al., 2016)"},"properties":{"noteIndex":0},"schema":"https://github.com/citation-style-language/schema/raw/master/csl-citation.json"}</w:instrText>
      </w:r>
      <w:r w:rsidRPr="0067054C">
        <w:fldChar w:fldCharType="separate"/>
      </w:r>
      <w:r w:rsidRPr="0067054C">
        <w:rPr>
          <w:noProof/>
        </w:rPr>
        <w:t>(Komiyama et al., 2008; Suhardiman et al., 2016)</w:t>
      </w:r>
      <w:r w:rsidRPr="0067054C">
        <w:fldChar w:fldCharType="end"/>
      </w:r>
      <w:r w:rsidRPr="0067054C">
        <w:t xml:space="preserve">. Higher salinities in Qatar (34 – 67) </w:t>
      </w:r>
      <w:r w:rsidRPr="0067054C">
        <w:fldChar w:fldCharType="begin" w:fldLock="1"/>
      </w:r>
      <w:r w:rsidRPr="0067054C">
        <w:instrText>ADDIN CSL_CITATION {"citationItems":[{"id":"ITEM-1","itemData":{"DOI":"10.1016/j.ecss.2013.03.007","ISBN":"0272-7714","ISSN":"02727714","abstract":"The Arabian Gulf represents one of the more northerly extremes of mangrove distribution in the Indo-Pacific, and is populated only by Avicennia marina, due to its tolerance of high salinity and wide temperature extremes. Recent studies suggest that in the arid coastal environment of the western Arabian Gulf, export of carbon and nitrogen from mangroves to adjacent habitats may be limited, though it is not clear if this is due to low productivity or physical factors such as the lack of freshwater flow and the tidal regime. Although seagrass and macroalgal habitats are relatively much more dominant by area, with only small pockets of mangrove around the edges of embayments, it is not evident if inwelling from these habitats support mangrove fauna. Year-round sampling in mangroves at Al-Khor, Qatar, indicates that Palaemon khori, an endemic shrimp species, is strongly associated with mangroves throughout its post-settlement life cycle, from recruitment as small 9-10mm juveniles through to mating and egg production. Rapid post-recruitment growth (k=1.8, L∞=42mm for females, k=1.5, L∞=35mm for male) means that most individuals reached adult size in the first few months after settlement, with reproduction occurring in the following spring. As might be expected from year-round residence in the mangrove, dual 13C and 15N isotope analysis indicated a strong contribution of mangroves to shrimp tissue growth (Mean and 95% confidence range, 37% and 27-48%), but with a weaker significant contribution from particulate organic matter (20% and 1-37%), mangrove epiphytes (16% and 2-33%) and seagrasses (9% and 0.2-18%). Other primary producers contribute the remaining 18% to shrimp nutrition but the 95% confidence ranges include zero, suggesting possibly non-significant roles in supporting the shrimp population. This dietary information supports the view that fauna resident within arid mangrove systems are mainly dependent on localised retention and cycling of nutrients with a smaller contribution from inwelling. © 2013 Elsevier Ltd.","author":[{"dropping-particle":"","family":"Al-Maslamani","given":"I.","non-dropping-particle":"","parse-names":false,"suffix":""},{"dropping-particle":"","family":"Walton","given":"M. E.M.","non-dropping-particle":"","parse-names":false,"suffix":""},{"dropping-particle":"","family":"Kennedy","given":"H. A.","non-dropping-particle":"","parse-names":false,"suffix":""},{"dropping-particle":"","family":"Al-Mohannadi","given":"M.","non-dropping-particle":"","parse-names":false,"suffix":""},{"dropping-particle":"","family":"Vay","given":"L.","non-dropping-particle":"Le","parse-names":false,"suffix":""}],"container-title":"Estuarine, Coastal and Shelf Science","id":"ITEM-1","issued":{"date-parts":[["2013","6"]]},"page":"56-63","title":"Are mangroves in arid environments isolated systems? Life-history and evidence of dietary contribution from inwelling in a mangrove-resident shrimp species","type":"article-journal","volume":"124"},"uris":["http://www.mendeley.com/documents/?uuid=6b73bf2a-05d0-4a74-b04b-21d8f104c3c5"]},{"id":"ITEM-2","itemData":{"DOI":"10.1111/sed.12419","ISSN":"13653091","abstract":"In a modern peritidal microbial mat from Qatar, both biomediated carbonates and Mg-rich clay minerals (palygorskite) were identified. The mat, ca 5 cm thick, shows a clear lamination reflecting different microbial communities. The initial precipitates within the top millimetres of the mat are composed of Ca–Mg–Si–Al–S amorphous nanoparticles (few tens of nanometres) that replace the ultrastructure of extracellular polymeric substances. The extracellular polymeric substances are enriched in the same cations and act as a substrate for mineral nucleation. Successively, crystallites of palygorskite fibres associated with carbonate nanocrystals develop, commonly surrounding bacterial bodies. Micron-sized crystals of low-Mg calcite are the most common precipitates, together with subordinate aragonite, very high-Mg calcite/dolomite and ankerite. Pyrite nanocrystals and framboids are present in the deeper layers of the mat. Calcite crystallites form conical structures, circular to triangular/hexagonal in cross-section, evolving to crystals with rhombohedral terminations; some crystallite bundles develop into dumb-bell and stellate forms. Spheroidal organo-mineral structures are also common within the mat. Nanospheres, a few tens of nanometres in diameter, occur attached to coccoid bacteria and within their cells; these are interpreted as permineralized viruses and could be significant as nuclei for crystallite-crystal precipitation. Microspheres, 1 to 10 μm in diameter, result from intracellular permineralization within bacteria or the mineralization of the bacteria themselves. Carbonates and clay minerals are commonly aggregated to form peloids, tens of microns in size, surrounded by residual organic matter. Magnesium silicate and carbonate precipitation are likely to have been driven by pH – saturation index – redox changes within the mat, related to microenvironmental chemical changes induced by the microbes – extracellular polymeric substances – viruses and their degradation.","author":[{"dropping-particle":"","family":"Perri","given":"Edoardo","non-dropping-particle":"","parse-names":false,"suffix":""},{"dropping-particle":"","family":"Tucker","given":"Maurice E.","non-dropping-particle":"","parse-names":false,"suffix":""},{"dropping-particle":"","family":"Słowakiewicz","given":"Mirosław","non-dropping-particle":"","parse-names":false,"suffix":""},{"dropping-particle":"","family":"Whitaker","given":"Fiona","non-dropping-particle":"","parse-names":false,"suffix":""},{"dropping-particle":"","family":"Bowen","given":"Leon","non-dropping-particle":"","parse-names":false,"suffix":""},{"dropping-particle":"","family":"Perrotta","given":"Ida D.","non-dropping-particle":"","parse-names":false,"suffix":""}],"container-title":"Sedimentology","id":"ITEM-2","issue":"4","issued":{"date-parts":[["2018"]]},"page":"1213-1245","title":"Carbonate and silicate biomineralization in a hypersaline microbial mat (Mesaieed sabkha, Qatar): Roles of bacteria, extracellular polymeric substances and viruses","type":"article-journal","volume":"65"},"uris":["http://www.mendeley.com/documents/?uuid=8c9a25ab-583e-446d-9c46-e4c7158760dd"]}],"mendeley":{"formattedCitation":"(Al-Maslamani et al., 2013; Perri et al., 2018)","plainTextFormattedCitation":"(Al-Maslamani et al., 2013; Perri et al., 2018)","previouslyFormattedCitation":"(Al-Maslamani et al., 2013; Perri et al., 2018)"},"properties":{"noteIndex":0},"schema":"https://github.com/citation-style-language/schema/raw/master/csl-citation.json"}</w:instrText>
      </w:r>
      <w:r w:rsidRPr="0067054C">
        <w:fldChar w:fldCharType="separate"/>
      </w:r>
      <w:r w:rsidRPr="0067054C">
        <w:rPr>
          <w:noProof/>
        </w:rPr>
        <w:t>(Al-Maslamani et al., 2013; Perri et al., 2018)</w:t>
      </w:r>
      <w:r w:rsidRPr="0067054C">
        <w:fldChar w:fldCharType="end"/>
      </w:r>
      <w:r w:rsidRPr="0067054C">
        <w:t xml:space="preserve"> , compared to 4 - 36 in tropical locations </w:t>
      </w:r>
      <w:r w:rsidRPr="0067054C">
        <w:fldChar w:fldCharType="begin" w:fldLock="1"/>
      </w:r>
      <w:r w:rsidRPr="0067054C">
        <w:instrText>ADDIN CSL_CITATION {"citationItems":[{"id":"ITEM-1","itemData":{"DOI":"10.1007/s10750-019-04036-9","ISSN":"15735117","abstract":"Anthropogenic coastal activities and natural stressors aggravate degradation of small coastal patches of mangroves, which in turn destroy local resilience of mangrove forests in the Indian Sundarbans, the continuous mangrove habitat that spans between India and Bangladesh. We conducted an analytical survey across 19 shoreline mangrove fringes spanning the Sundarbans, including both healthy and disturbed forests, and evaluated ninety-five 60-cm composite sediment cores across a degradation and salinity gradient from ~ 4 to ~ 12 ppt. Increased salinity and anoxicity greatly inhibited nutrient cycling and release by microbial decomposers, subsequently resulting in nutrient-poor soil as a condition of degradation. Nutrient limitation, salinity rise, anoxicity increase, and sulfide build-up negatively controlled forest structure causing declines of forest coverage from ~ 98 to ~ 11%. In addition, the tide-dominated salinity gradient controlling species zonation was disrupted in disturbed forests with salinity-sensitive species gradually disappearing. An obvious change in species distribution is anticipated while salt-sensitive Heritiera fomes, Xylocarpus spp., and Phoenix paludosa failed to cope with increased salinity, evident by their absence from many forests. Excoecaria agallocha and Avicennia spp. acclimated well and expanded freely into degraded forests across the Sundarbans. Overall, our study strongly establishes salinity intrusion as primary mechanism for mangrove degradation.","author":[{"dropping-particle":"","family":"Chowdhury","given":"Rajojit","non-dropping-particle":"","parse-names":false,"suffix":""},{"dropping-particle":"","family":"Sutradhar","given":"Tapan","non-dropping-particle":"","parse-names":false,"suffix":""},{"dropping-particle":"","family":"Begam","given":"Mst Momtaj","non-dropping-particle":"","parse-names":false,"suffix":""},{"dropping-particle":"","family":"Mukherjee","given":"Chandan","non-dropping-particle":"","parse-names":false,"suffix":""},{"dropping-particle":"","family":"Chatterjee","given":"Kiranmoy","non-dropping-particle":"","parse-names":false,"suffix":""},{"dropping-particle":"","family":"Basak","given":"Sandip Kumar","non-dropping-particle":"","parse-names":false,"suffix":""},{"dropping-particle":"","family":"Ray","given":"Krishna","non-dropping-particle":"","parse-names":false,"suffix":""}],"container-title":"Hydrobiologia","id":"ITEM-1","issue":"1","issued":{"date-parts":[["2019"]]},"page":"191-217","title":"Effects of nutrient limitation, salinity increase, and associated stressors on mangrove forest cover, structure, and zonation across Indian Sundarbans","type":"article-journal","volume":"842"},"uris":["http://www.mendeley.com/documents/?uuid=944d9512-5896-45c1-9b0b-51ee2e3a376b","http://www.mendeley.com/documents/?uuid=60ca5d65-02ea-40ce-9d58-f8dd233b4e0e"]},{"id":"ITEM-2","itemData":{"DOI":"10.1007/s10750-017-3282-4","ISSN":"15735117","abstract":"Many ecological processes are influenced by salinity. Burrowing crabs, abundant fauna of mangrove forests around the world, can facilitate sediment water fluxes, which may decrease the salinity in mangrove sediments. We investigated whether and how crab burrow density and secondary fine root biomass interact to drive sediment salinity during the dry season in a northern Brazilian mangrove forest. Areas with high density of Rhizophora mangle prop roots and areas free of such roots were compared. We found no correlation between burrow density and sediment salinity in areas with dense prop and fine roots, while crab density correlated negatively with sediment salinity in areas without prop roots, where fine root density was low. Hence, the strength of sediment desalination effects of crabs seems to be context dependent, and high root density of a salt-excluding mangrove species (R. mangle) seems to counteract the crabs’ effect. Our results complement those of a former study conducted in the same area during the rainy season, highlighting that the findings are independent from seasonality and should be considered when evaluating the overall ecological effects of crabs in mangrove ecosystems.","author":[{"dropping-particle":"","family":"Pestana","given":"Debora Ferreira","non-dropping-particle":"","parse-names":false,"suffix":""},{"dropping-particle":"","family":"Pülmanns","given":"Nathalie","non-dropping-particle":"","parse-names":false,"suffix":""},{"dropping-particle":"","family":"Nordhaus","given":"Inga","non-dropping-particle":"","parse-names":false,"suffix":""},{"dropping-particle":"","family":"Diele","given":"Karen","non-dropping-particle":"","parse-names":false,"suffix":""},{"dropping-particle":"","family":"Zimmer","given":"Martin","non-dropping-particle":"","parse-names":false,"suffix":""}],"container-title":"Hydrobiologia","id":"ITEM-2","issue":"1","issued":{"date-parts":[["2017"]]},"page":"295-305","title":"The influence of crab burrows on sediment salinity in a Rhizophora-dominated mangrove forest in North Brazil during the dry season","type":"article-journal","volume":"803"},"uris":["http://www.mendeley.com/documents/?uuid=d5e11f03-fe0e-414e-ad6c-7c74d96cc962","http://www.mendeley.com/documents/?uuid=02e0974e-57af-4e8d-a9b5-988adc4e89e9"]}],"mendeley":{"formattedCitation":"(Chowdhury et al., 2019; Pestana et al., 2017)","plainTextFormattedCitation":"(Chowdhury et al., 2019; Pestana et al., 2017)","previouslyFormattedCitation":"(Chowdhury et al., 2019; Pestana et al., 2017)"},"properties":{"noteIndex":0},"schema":"https://github.com/citation-style-language/schema/raw/master/csl-citation.json"}</w:instrText>
      </w:r>
      <w:r w:rsidRPr="0067054C">
        <w:fldChar w:fldCharType="separate"/>
      </w:r>
      <w:r w:rsidRPr="0067054C">
        <w:rPr>
          <w:noProof/>
        </w:rPr>
        <w:t>(Chowdhury et al., 2019; Pestana et al., 2017)</w:t>
      </w:r>
      <w:r w:rsidRPr="0067054C">
        <w:fldChar w:fldCharType="end"/>
      </w:r>
      <w:r w:rsidRPr="0067054C">
        <w:t xml:space="preserve">, could be limiting tree biomass and productivity, subsequently reducing locally derived carbon inputs. In coastal wetlands, </w:t>
      </w:r>
      <w:proofErr w:type="spellStart"/>
      <w:r w:rsidRPr="0067054C">
        <w:t>Osland</w:t>
      </w:r>
      <w:proofErr w:type="spellEnd"/>
      <w:r w:rsidRPr="0067054C">
        <w:t xml:space="preserve"> et al. (2019) found strong associations between rainfall, </w:t>
      </w:r>
      <w:r w:rsidRPr="0067054C">
        <w:lastRenderedPageBreak/>
        <w:t>salinity</w:t>
      </w:r>
      <w:r>
        <w:t>,</w:t>
      </w:r>
      <w:r w:rsidRPr="0067054C">
        <w:t xml:space="preserve"> productivity and soil organic matter, where increased precipitation was linked to lower salinity, increased productivity and increased soil organic matter.</w:t>
      </w:r>
    </w:p>
    <w:p w14:paraId="12E8AE1C" w14:textId="77777777" w:rsidR="009C75D7" w:rsidRPr="0067054C" w:rsidRDefault="009C75D7" w:rsidP="009C75D7">
      <w:pPr>
        <w:spacing w:line="480" w:lineRule="auto"/>
      </w:pPr>
    </w:p>
    <w:p w14:paraId="036C2491" w14:textId="77777777" w:rsidR="009C75D7" w:rsidRPr="0067054C" w:rsidRDefault="009C75D7" w:rsidP="009C75D7">
      <w:pPr>
        <w:spacing w:line="480" w:lineRule="auto"/>
      </w:pPr>
      <w:r w:rsidRPr="0067054C">
        <w:t xml:space="preserve">The values reported by the current study further support the contention that mangroves in low-rainfall, hypersaline areas have a limited capacity for carbon storage, as recently suggested </w:t>
      </w:r>
      <w:r w:rsidRPr="0067054C">
        <w:fldChar w:fldCharType="begin" w:fldLock="1"/>
      </w:r>
      <w:r w:rsidRPr="0067054C">
        <w:instrText>ADDIN CSL_CITATION {"citationItems":[{"id":"ITEM-1","itemData":{"DOI":"10.1002/2016JG003510","ISBN":"2169-9291","ISSN":"21698961","PMID":"26213675","abstract":"Mangrove forests produce significant amounts of organic carbon and maintain large carbon stocks in tidally inundated, anoxic soils. This work analyses new and published data from 17 regions spanning a latitudinal gradient from 22°N to 38°S to assess some of the global drivers (temperature, tidal range, latitude and rainfall) of mangrove carbon stocks. Mangrove forests from the tropics have larger carbon stocks (895 ± 90 t C ha−1) than the subtropics and temperate regions (547 ± 66 t C ha−1). A multiple regression model showed that 86% of the observed variability is associated with annual rainfall, which is the best predictor of mangrove ecosystem carbon stocks. Therefore a predicted increase in rainfall along the tropical Indo-Pacific may increase mangrove forest carbon stocks. However, there are other potentially important factors that may regulate organic matter diagenesis, such as nutrient availability porewater salinity. Our predictive model shows that if mangrove deforestation is halted, global mangrove forest carbon stocks could increase by almost 10% by 2115 as a result of increased rain in the tropics.","author":[{"dropping-particle":"","family":"Sanders","given":"Christian J.","non-dropping-particle":"","parse-names":false,"suffix":""},{"dropping-particle":"","family":"Maher","given":"Damien T.","non-dropping-particle":"","parse-names":false,"suffix":""},{"dropping-particle":"","family":"Tait","given":"Douglas R.","non-dropping-particle":"","parse-names":false,"suffix":""},{"dropping-particle":"","family":"Williams","given":"Darren","non-dropping-particle":"","parse-names":false,"suffix":""},{"dropping-particle":"","family":"Holloway","given":"Ceylena","non-dropping-particle":"","parse-names":false,"suffix":""},{"dropping-particle":"","family":"Sippo","given":"James Z.","non-dropping-particle":"","parse-names":false,"suffix":""},{"dropping-particle":"","family":"Santos","given":"Isaac R.","non-dropping-particle":"","parse-names":false,"suffix":""}],"container-title":"Journal of Geophysical Research: Biogeosciences","id":"ITEM-1","issue":"10","issued":{"date-parts":[["2016"]]},"page":"2600-2609","title":"Are global mangrove carbon stocks driven by rainfall?","type":"article-journal","volume":"121"},"uris":["http://www.mendeley.com/documents/?uuid=a73b1913-9e67-3871-83dd-83b904763801"]},{"id":"ITEM-2","itemData":{"DOI":"10.1002/eap.1489","ISSN":"19395582","abstract":"Coastal ecosystems produce and sequester significant amounts of carbon (\"blue carbon\"), which has been well documented in humid and semi-humid regions of temperate and tropical climates but less so in arid regions where mangroves, marshes, and seagrasses exist near the limit of their tolerance for extreme temperature and salinity. To better understand these unique systems, we measured whole-ecosystem carbon stocks in 58 sites across the United Arab Emirates (UAE) in natural and planted mangroves, salt marshes, seagrass beds, microbial mats, and coastal sabkha (inter- and supratidal unvegetated salt flats). Natural mangroves held significantly more carbon in above- and belowground biomass than other vegetated ecosystems. Planted mangrove carbon stocks increased with age, but there were large differences for sites of similar age. Soil carbon varied widely across sites (2-367 Mg C/ha), with ecosystem averages that ranged from 49 to 156 Mg C/ha. For the first time, microbial mats were documented to contain soil carbon pools comparable to vascular plant-dominated ecosystems, and could arguably be recognized as a unique blue carbon ecosystem. Total ecosystem carbon stocks ranged widely from 2 to 515 Mg C/ha (seagrass bed and mangrove, respectively). Seagrass beds had the lowest carbon stock per unit area, but the largest stock per total area due to their large spatial coverage. Compared to similar ecosystems globally, mangroves and marshes in the UAE have lower plant and soil carbon stocks; however, the difference in soil stocks is far larger than with plant stocks. This incongruent difference between stocks is likely due to poor carbon preservation under conditions of weakly reduced soils (200-350 mV), coarse-grained sediments, and active shoreline migration. This work represents the first attempt to produce a country-wide coastal ecosystem carbon accounting using a uniform sampling protocol, and was motivated by specific policy goals identified by the Abu Dhabi Global Environmental Data Initiative. These carbon stock data supported two objectives: to quantify carbon stocks and infer sequestration capacity in arid blue carbon ecosystems, and to explore the potential to incorporate blue carbon science into national reporting and planning documents. © 2016 by the Ecological Society of America.","author":[{"dropping-particle":"","family":"Schile","given":"Lisa M.","non-dropping-particle":"","parse-names":false,"suffix":""},{"dropping-particle":"","family":"Kauffman","given":"J. Boone","non-dropping-particle":"","parse-names":false,"suffix":""},{"dropping-particle":"","family":"Crooks","given":"Stephen","non-dropping-particle":"","parse-names":false,"suffix":""},{"dropping-particle":"","family":"Fourqurean","given":"James W.","non-dropping-particle":"","parse-names":false,"suffix":""},{"dropping-particle":"","family":"Glavan","given":"Jane","non-dropping-particle":"","parse-names":false,"suffix":""},{"dropping-particle":"","family":"Megonigal","given":"J. Patrick","non-dropping-particle":"","parse-names":false,"suffix":""}],"container-title":"Ecological Applications","id":"ITEM-2","issue":"3","issued":{"date-parts":[["2017"]]},"page":"859-874","title":"Limits on carbon sequestration in arid blue carbon ecosystems","type":"article-journal","volume":"27"},"uris":["http://www.mendeley.com/documents/?uuid=c37893be-f79d-4cb3-b5d3-f043469db703"]},{"id":"ITEM-3","itemData":{"DOI":"10.1038/s41598-017-10424-9","ISSN":"2045-2322","author":[{"dropping-particle":"","family":"Almahasheer","given":"Hanan","non-dropping-particle":"","parse-names":false,"suffix":""},{"dropping-particle":"","family":"Serrano","given":"Oscar","non-dropping-particle":"","parse-names":false,"suffix":""},{"dropping-particle":"","family":"Duarte","given":"Carlos M.","non-dropping-particle":"","parse-names":false,"suffix":""},{"dropping-particle":"","family":"Arias-Ortiz","given":"Ariane","non-dropping-particle":"","parse-names":false,"suffix":""},{"dropping-particle":"","family":"Masque","given":"Pere","non-dropping-particle":"","parse-names":false,"suffix":""},{"dropping-particle":"","family":"Irigoien","given":"Xabier","non-dropping-particle":"","parse-names":false,"suffix":""}],"container-title":"Scientific Reports","id":"ITEM-3","issue":"1","issued":{"date-parts":[["2017"]]},"page":"9700","title":"Low Carbon sink capacity of Red Sea mangroves","type":"article-journal","volume":"7"},"uris":["http://www.mendeley.com/documents/?uuid=90af8c22-f462-3b43-9dc5-dcc30bc9100e"]}],"mendeley":{"formattedCitation":"(Almahasheer et al., 2017; Sanders et al., 2016; Schile et al., 2017)","plainTextFormattedCitation":"(Almahasheer et al., 2017; Sanders et al., 2016; Schile et al., 2017)","previouslyFormattedCitation":"(Almahasheer et al., 2017; Sanders et al., 2016; Schile et al., 2017)"},"properties":{"noteIndex":0},"schema":"https://github.com/citation-style-language/schema/raw/master/csl-citation.json"}</w:instrText>
      </w:r>
      <w:r w:rsidRPr="0067054C">
        <w:fldChar w:fldCharType="separate"/>
      </w:r>
      <w:r w:rsidRPr="0067054C">
        <w:rPr>
          <w:noProof/>
        </w:rPr>
        <w:t>(Almahasheer et al., 2017; Sanders et al., 2016; Schile et al., 2017)</w:t>
      </w:r>
      <w:r w:rsidRPr="0067054C">
        <w:fldChar w:fldCharType="end"/>
      </w:r>
      <w:r w:rsidRPr="0067054C">
        <w:t xml:space="preserve">. The current study found lower BD and %C than tropical </w:t>
      </w:r>
      <w:r>
        <w:t xml:space="preserve">humid </w:t>
      </w:r>
      <w:r w:rsidRPr="0067054C">
        <w:t>areas where BD and %C range from 0.19 to 0.92 g cm</w:t>
      </w:r>
      <w:r w:rsidRPr="0067054C">
        <w:rPr>
          <w:vertAlign w:val="superscript"/>
        </w:rPr>
        <w:t>-3</w:t>
      </w:r>
      <w:r w:rsidRPr="0067054C">
        <w:t xml:space="preserve"> and 1.74 to 26.3 % respectively,  as a result, soil C density in Qatar is up to a tenth of soil C densities reported in the tropics where they can reach 152 mg C cm</w:t>
      </w:r>
      <w:r w:rsidRPr="0067054C">
        <w:rPr>
          <w:vertAlign w:val="superscript"/>
        </w:rPr>
        <w:t>-3</w:t>
      </w:r>
      <w:r w:rsidRPr="0067054C">
        <w:t xml:space="preserve"> </w:t>
      </w:r>
      <w:r w:rsidRPr="0067054C">
        <w:fldChar w:fldCharType="begin" w:fldLock="1"/>
      </w:r>
      <w:r w:rsidRPr="0067054C">
        <w:instrText>ADDIN CSL_CITATION {"citationItems":[{"id":"ITEM-1","itemData":{"DOI":"10.1038/s41558-018-0162-5","ISBN":"4155801801625","ISSN":"17586798","abstract":"Global-scale variation in mangrove ecosystem properties has been explained using a conceptual framework linking geomorphological processes to distinct coastal environmental settings (CES) for nearly 50 years. However, these assumptions have not been empirically tested at the global scale. Here, we show that CES account for global variability in mangrove soil C:N:P stoichiometry and soil organic carbon (SOC) stocks. Using this ecogeomorphology framework, we developed a global model that captures variation in mangrove SOC stocks compatible with distinct CES. We show that mangrove SOC stocks have been underestimated by up to 50% (a difference of roughly 200 Mg ha−1) in carbonate settings and overestimated by up to 86% (around 400 Mg ha−1) in deltaic coastlines. Moreover, we provide information for 57 nations that currently lack SOC data, enabling these and other countries to develop or evaluate their blue carbon inventories.","author":[{"dropping-particle":"","family":"Rovai","given":"André S.","non-dropping-particle":"","parse-names":false,"suffix":""},{"dropping-particle":"","family":"Twilley","given":"Robert R.","non-dropping-particle":"","parse-names":false,"suffix":""},{"dropping-particle":"","family":"Castañeda-Moya","given":"Edward","non-dropping-particle":"","parse-names":false,"suffix":""},{"dropping-particle":"","family":"Riul","given":"Pablo","non-dropping-particle":"","parse-names":false,"suffix":""},{"dropping-particle":"","family":"Cifuentes-Jara","given":"Miguel","non-dropping-particle":"","parse-names":false,"suffix":""},{"dropping-particle":"","family":"Manrow-Villalobos","given":"Marilyn","non-dropping-particle":"","parse-names":false,"suffix":""},{"dropping-particle":"","family":"Horta","given":"Paulo A.","non-dropping-particle":"","parse-names":false,"suffix":""},{"dropping-particle":"","family":"Simonassi","given":"José C.","non-dropping-particle":"","parse-names":false,"suffix":""},{"dropping-particle":"","family":"Fonseca","given":"Alessandra L.","non-dropping-particle":"","parse-names":false,"suffix":""},{"dropping-particle":"","family":"Pagliosa","given":"Paulo R.","non-dropping-particle":"","parse-names":false,"suffix":""}],"container-title":"Nature Climate Change","id":"ITEM-1","issue":"6","issued":{"date-parts":[["2018","6","28"]]},"page":"534-538","publisher":"Nature Publishing Group","title":"Global controls on carbon storage in mangrove soils","type":"article-journal","volume":"8"},"uris":["http://www.mendeley.com/documents/?uuid=e218dcd6-b535-3f7d-a08f-4983ee271d59"]}],"mendeley":{"formattedCitation":"(Rovai et al., 2018)","plainTextFormattedCitation":"(Rovai et al., 2018)","previouslyFormattedCitation":"(Rovai et al., 2018)"},"properties":{"noteIndex":0},"schema":"https://github.com/citation-style-language/schema/raw/master/csl-citation.json"}</w:instrText>
      </w:r>
      <w:r w:rsidRPr="0067054C">
        <w:fldChar w:fldCharType="separate"/>
      </w:r>
      <w:r w:rsidRPr="0067054C">
        <w:rPr>
          <w:noProof/>
        </w:rPr>
        <w:t>(Rovai et al., 2018)</w:t>
      </w:r>
      <w:r w:rsidRPr="0067054C">
        <w:fldChar w:fldCharType="end"/>
      </w:r>
      <w:r w:rsidRPr="0067054C">
        <w:t xml:space="preserve">. Carbon stores in mangrove soils are largely attributed to autochthonous mangrove inputs, through tree biomass material being deposited in soils </w:t>
      </w:r>
      <w:r w:rsidRPr="0067054C">
        <w:fldChar w:fldCharType="begin" w:fldLock="1"/>
      </w:r>
      <w:r w:rsidRPr="0067054C">
        <w:instrText>ADDIN CSL_CITATION {"citationItems":[{"id":"ITEM-1","itemData":{"DOI":"10.1016/j.marpolbul.2018.04.043","ISSN":"18793363","abstract":"The role of soil carbon (C) in coastal wetlands as a net sink is related to the relative abundance of autochthonous versus allochthonous C. We aimed to investigate soil C sources and the pathways by which mangrove vegetation enhances soil C accumulation. We sampled soil to 1 m depth in seven oceanic mangrove forests and an adjacent un-vegetated mudflat at Dongzhai Bay, China. Stable C isotope technique was used to separate autochthonous and allochthonous C sources. Autochthonous C accounted for 27–97% of soil C stock in the top meter. Soil C density was 1.1–3.6 times higher in mangroves than in the mudflat. Among the increased soil C in mangroves relative to mudflat, autochthonous C accounted for 65–100% of the increments. The results suggest that mangrove vegetation enhances soil C storage primarily through in situ inputs, therefore the substantial soil C stocks commonly found in mangroves play an important role in sequestering atmospheric CO2.","author":[{"dropping-particle":"","family":"Xiong","given":"Yanmei","non-dropping-particle":"","parse-names":false,"suffix":""},{"dropping-particle":"","family":"Liao","given":"Baowen","non-dropping-particle":"","parse-names":false,"suffix":""},{"dropping-particle":"","family":"Wang","given":"Faming","non-dropping-particle":"","parse-names":false,"suffix":""}],"container-title":"Marine Pollution Bulletin","id":"ITEM-1","issued":{"date-parts":[["2018"]]},"page":"378-385","title":"Mangrove vegetation enhances soil carbon storage primarily through in situ inputs rather than increasing allochthonous sediments","type":"article-journal","volume":"131"},"uris":["http://www.mendeley.com/documents/?uuid=8382bbd6-f5cd-3eb5-9d74-c05432dad66d"]},{"id":"ITEM-2","itemData":{"DOI":"10.1016/j.ecss.2013.05.010","ISBN":"0272-7714","ISSN":"02727714","abstract":"Estimates of carbon store and carbon accumulation rate in mangrove and saltmarsh are beset by issues of scale and provenance. Estimates at a site do not allow scaling to regional estimates if the drivers of variability are not known. Also, carbon accumulation within soils provides a net offset only if carbon is derived in-situ, or would not otherwise be sequestered. We use a network of observation sites extending across 2000km of southeastern Australian coastline to determine the influence of geomorphic setting and coastal wetland vegetation type on rates of carbon accumulation, carbon store and probable sources. Carbon accumulation above feldspar marker horizons over a 10-year period was driven primarily by tidal range and position in the tidal frame, and was higher for mangrove and saltmarsh dominated by Juncus kraussii than for other saltmarsh communities. The rate of carbon loss with depth varied between geomorphic settings and was the primary determinant of carbon store. A down-core enrichment in δ13C was consistent with an increased relative contribution of mangrove root material to soil carbon, as mangrove roots were found to be consistently enriched compared to leaves. We conclude that while surface carbon accumulation is driven primarily by tidal transport of allocthonous sediment, in-situ carbon sequestration is the dominant source of recalcitrant carbon, and that mangrove and saltmarsh carbon accumulation and store is high in temperate settings, particularly in mesotidal and fluvial geomorphic settings. © 2013 Elsevier Ltd.","author":[{"dropping-particle":"","family":"Saintilan","given":"N.","non-dropping-particle":"","parse-names":false,"suffix":""},{"dropping-particle":"","family":"Rogers","given":"K.","non-dropping-particle":"","parse-names":false,"suffix":""},{"dropping-particle":"","family":"Mazumder","given":"D.","non-dropping-particle":"","parse-names":false,"suffix":""},{"dropping-particle":"","family":"Woodroffe","given":"C.","non-dropping-particle":"","parse-names":false,"suffix":""}],"container-title":"Estuarine, Coastal and Shelf Science","id":"ITEM-2","issued":{"date-parts":[["2013","8","10"]]},"page":"84-92","publisher":"Academic Press","title":"Allochthonous and autochthonous contributions to carbon accumulation and carbon store in southeastern Australian coastal wetlands","type":"article-journal","volume":"128"},"uris":["http://www.mendeley.com/documents/?uuid=9952abdd-7203-319d-9c4d-93b8f38a10d6"]},{"id":"ITEM-3","itemData":{"DOI":"10.1038/s41598-017-10424-9","ISSN":"2045-2322","author":[{"dropping-particle":"","family":"Almahasheer","given":"Hanan","non-dropping-particle":"","parse-names":false,"suffix":""},{"dropping-particle":"","family":"Serrano","given":"Oscar","non-dropping-particle":"","parse-names":false,"suffix":""},{"dropping-particle":"","family":"Duarte","given":"Carlos M.","non-dropping-particle":"","parse-names":false,"suffix":""},{"dropping-particle":"","family":"Arias-Ortiz","given":"Ariane","non-dropping-particle":"","parse-names":false,"suffix":""},{"dropping-particle":"","family":"Masque","given":"Pere","non-dropping-particle":"","parse-names":false,"suffix":""},{"dropping-particle":"","family":"Irigoien","given":"Xabier","non-dropping-particle":"","parse-names":false,"suffix":""}],"container-title":"Scientific Reports","id":"ITEM-3","issue":"1","issued":{"date-parts":[["2017"]]},"page":"9700","title":"Low Carbon sink capacity of Red Sea mangroves","type":"article-journal","volume":"7"},"uris":["http://www.mendeley.com/documents/?uuid=90af8c22-f462-3b43-9dc5-dcc30bc9100e"]}],"mendeley":{"formattedCitation":"(Almahasheer et al., 2017; Saintilan et al., 2013; Xiong et al., 2018)","plainTextFormattedCitation":"(Almahasheer et al., 2017; Saintilan et al., 2013; Xiong et al., 2018)","previouslyFormattedCitation":"(Almahasheer et al., 2017; Saintilan et al., 2013; Xiong et al., 2018)"},"properties":{"noteIndex":0},"schema":"https://github.com/citation-style-language/schema/raw/master/csl-citation.json"}</w:instrText>
      </w:r>
      <w:r w:rsidRPr="0067054C">
        <w:fldChar w:fldCharType="separate"/>
      </w:r>
      <w:r w:rsidRPr="0067054C">
        <w:rPr>
          <w:noProof/>
        </w:rPr>
        <w:t>(Almahasheer et al., 2017; Saintilan et al., 2013; Xiong et al., 2018)</w:t>
      </w:r>
      <w:r w:rsidRPr="0067054C">
        <w:fldChar w:fldCharType="end"/>
      </w:r>
      <w:r w:rsidRPr="0067054C">
        <w:t xml:space="preserve">. As mangrove productivity is reduced in arid settings </w:t>
      </w:r>
      <w:r w:rsidRPr="0067054C">
        <w:fldChar w:fldCharType="begin" w:fldLock="1"/>
      </w:r>
      <w:r w:rsidRPr="0067054C">
        <w:instrText>ADDIN CSL_CITATION {"citationItems":[{"id":"ITEM-1","itemData":{"DOI":"10.2307/2388013","ISBN":"00063606, 17447429","ISSN":"00063606","abstract":"The structure of mangrove vegetation, soil salinity, and topographic relief of the mangrove ecosystem were studied along the south coast of Puerto Rico, Culebra, and Mona Island. All systems, with the exception of the forest at Mona Island, were characterized by having a coastal fringe of live vegetation (usually dominated by the red mangrove), a zone of dead trees, and a hypersaline lagoon or dry salt flat on the landward side. Mean soil salinities were 44% for the zone of live trees, 72% for the zone of dead trees, and 87% for the salt flats. The Mona Island forest grew over a sandy hardpan that prevented mixing of sea water and the fresh water. Soil salinities were low in this forest, and trees reached a height of 15 m. Tree height was inversely proportional to soil salinity (r = 0.72) between 17 and 72%. When soil salinities exceeded 65%, dead tree basal area was higher than live tree basal area. It is suggested that mangrove growth is limited by soil salinities higher than 90%. Mangrove succession in offshore overwash islands and arid coastlines is described. It is proposed that cyclic rainfall patterns and hurricanes act as regulators of speed and direction of succession. Rainy periods are associated with lower soil salinities and expansion of the red mangrove zone. Droughty periods result in high soil salinities, mangrove mortality, and expansion of salt flats. Hurricanes set back succession and reverse successional trends that reduce mangrove areas. A model of mangrove ecosystem function and implications for management are also discussed.","author":[{"dropping-particle":"","family":"Cintron","given":"Gilberto","non-dropping-particle":"","parse-names":false,"suffix":""},{"dropping-particle":"","family":"Lugo","given":"Ariel E.","non-dropping-particle":"","parse-names":false,"suffix":""},{"dropping-particle":"","family":"Pool","given":"Douglas J.","non-dropping-particle":"","parse-names":false,"suffix":""},{"dropping-particle":"","family":"Morris","given":"Greg","non-dropping-particle":"","parse-names":false,"suffix":""}],"container-title":"Biotropica","id":"ITEM-1","issue":"2","issued":{"date-parts":[["1978"]]},"page":"110","title":"Mangroves of Arid Environments in Puerto Rico and Adjacent Islands","type":"article-journal","volume":"10"},"uris":["http://www.mendeley.com/documents/?uuid=7799bf7a-f49e-3c0c-a4c2-0d712d6987e0"]}],"mendeley":{"formattedCitation":"(Cintron et al., 1978)","plainTextFormattedCitation":"(Cintron et al., 1978)","previouslyFormattedCitation":"(Cintron et al., 1978)"},"properties":{"noteIndex":0},"schema":"https://github.com/citation-style-language/schema/raw/master/csl-citation.json"}</w:instrText>
      </w:r>
      <w:r w:rsidRPr="0067054C">
        <w:fldChar w:fldCharType="separate"/>
      </w:r>
      <w:r w:rsidRPr="0067054C">
        <w:rPr>
          <w:noProof/>
        </w:rPr>
        <w:t>(Cintron et al., 1978)</w:t>
      </w:r>
      <w:r w:rsidRPr="0067054C">
        <w:fldChar w:fldCharType="end"/>
      </w:r>
      <w:r w:rsidRPr="0067054C">
        <w:t xml:space="preserve">, the amount of locally derived mangrove material available for soils is also reduced </w:t>
      </w:r>
      <w:r w:rsidRPr="0067054C">
        <w:fldChar w:fldCharType="begin" w:fldLock="1"/>
      </w:r>
      <w:r w:rsidRPr="0067054C">
        <w:instrText>ADDIN CSL_CITATION {"citationItems":[{"id":"ITEM-1","itemData":{"DOI":"10.1016/j.ecss.2013.05.010","ISBN":"0272-7714","ISSN":"02727714","abstract":"Estimates of carbon store and carbon accumulation rate in mangrove and saltmarsh are beset by issues of scale and provenance. Estimates at a site do not allow scaling to regional estimates if the drivers of variability are not known. Also, carbon accumulation within soils provides a net offset only if carbon is derived in-situ, or would not otherwise be sequestered. We use a network of observation sites extending across 2000km of southeastern Australian coastline to determine the influence of geomorphic setting and coastal wetland vegetation type on rates of carbon accumulation, carbon store and probable sources. Carbon accumulation above feldspar marker horizons over a 10-year period was driven primarily by tidal range and position in the tidal frame, and was higher for mangrove and saltmarsh dominated by Juncus kraussii than for other saltmarsh communities. The rate of carbon loss with depth varied between geomorphic settings and was the primary determinant of carbon store. A down-core enrichment in δ13C was consistent with an increased relative contribution of mangrove root material to soil carbon, as mangrove roots were found to be consistently enriched compared to leaves. We conclude that while surface carbon accumulation is driven primarily by tidal transport of allocthonous sediment, in-situ carbon sequestration is the dominant source of recalcitrant carbon, and that mangrove and saltmarsh carbon accumulation and store is high in temperate settings, particularly in mesotidal and fluvial geomorphic settings. © 2013 Elsevier Ltd.","author":[{"dropping-particle":"","family":"Saintilan","given":"N.","non-dropping-particle":"","parse-names":false,"suffix":""},{"dropping-particle":"","family":"Rogers","given":"K.","non-dropping-particle":"","parse-names":false,"suffix":""},{"dropping-particle":"","family":"Mazumder","given":"D.","non-dropping-particle":"","parse-names":false,"suffix":""},{"dropping-particle":"","family":"Woodroffe","given":"C.","non-dropping-particle":"","parse-names":false,"suffix":""}],"container-title":"Estuarine, Coastal and Shelf Science","id":"ITEM-1","issued":{"date-parts":[["2013","8","10"]]},"page":"84-92","publisher":"Academic Press","title":"Allochthonous and autochthonous contributions to carbon accumulation and carbon store in southeastern Australian coastal wetlands","type":"article-journal","volume":"128"},"uris":["http://www.mendeley.com/documents/?uuid=9952abdd-7203-319d-9c4d-93b8f38a10d6"]}],"mendeley":{"formattedCitation":"(Saintilan et al., 2013)","plainTextFormattedCitation":"(Saintilan et al., 2013)","previouslyFormattedCitation":"(Saintilan et al., 2013)"},"properties":{"noteIndex":0},"schema":"https://github.com/citation-style-language/schema/raw/master/csl-citation.json"}</w:instrText>
      </w:r>
      <w:r w:rsidRPr="0067054C">
        <w:fldChar w:fldCharType="separate"/>
      </w:r>
      <w:r w:rsidRPr="0067054C">
        <w:rPr>
          <w:noProof/>
        </w:rPr>
        <w:t>(Saintilan et al., 2013)</w:t>
      </w:r>
      <w:r w:rsidRPr="0067054C">
        <w:fldChar w:fldCharType="end"/>
      </w:r>
      <w:r w:rsidRPr="0067054C">
        <w:t xml:space="preserve">. Low rainfall also restricts riverine and runoff input of allochthonous carbon to mangroves </w:t>
      </w:r>
      <w:r w:rsidRPr="0067054C">
        <w:fldChar w:fldCharType="begin" w:fldLock="1"/>
      </w:r>
      <w:r w:rsidRPr="0067054C">
        <w:instrText>ADDIN CSL_CITATION {"citationItems":[{"id":"ITEM-1","itemData":{"DOI":"10.1016/j.marpolbul.2018.04.043","ISSN":"18793363","abstract":"The role of soil carbon (C) in coastal wetlands as a net sink is related to the relative abundance of autochthonous versus allochthonous C. We aimed to investigate soil C sources and the pathways by which mangrove vegetation enhances soil C accumulation. We sampled soil to 1 m depth in seven oceanic mangrove forests and an adjacent un-vegetated mudflat at Dongzhai Bay, China. Stable C isotope technique was used to separate autochthonous and allochthonous C sources. Autochthonous C accounted for 27–97% of soil C stock in the top meter. Soil C density was 1.1–3.6 times higher in mangroves than in the mudflat. Among the increased soil C in mangroves relative to mudflat, autochthonous C accounted for 65–100% of the increments. The results suggest that mangrove vegetation enhances soil C storage primarily through in situ inputs, therefore the substantial soil C stocks commonly found in mangroves play an important role in sequestering atmospheric CO2.","author":[{"dropping-particle":"","family":"Xiong","given":"Yanmei","non-dropping-particle":"","parse-names":false,"suffix":""},{"dropping-particle":"","family":"Liao","given":"Baowen","non-dropping-particle":"","parse-names":false,"suffix":""},{"dropping-particle":"","family":"Wang","given":"Faming","non-dropping-particle":"","parse-names":false,"suffix":""}],"container-title":"Marine Pollution Bulletin","id":"ITEM-1","issued":{"date-parts":[["2018"]]},"page":"378-385","title":"Mangrove vegetation enhances soil carbon storage primarily through in situ inputs rather than increasing allochthonous sediments","type":"article-journal","volume":"131"},"uris":["http://www.mendeley.com/documents/?uuid=8382bbd6-f5cd-3eb5-9d74-c05432dad66d"]},{"id":"ITEM-2","itemData":{"DOI":"10.1016/j.ecss.2013.05.010","ISBN":"0272-7714","ISSN":"02727714","abstract":"Estimates of carbon store and carbon accumulation rate in mangrove and saltmarsh are beset by issues of scale and provenance. Estimates at a site do not allow scaling to regional estimates if the drivers of variability are not known. Also, carbon accumulation within soils provides a net offset only if carbon is derived in-situ, or would not otherwise be sequestered. We use a network of observation sites extending across 2000km of southeastern Australian coastline to determine the influence of geomorphic setting and coastal wetland vegetation type on rates of carbon accumulation, carbon store and probable sources. Carbon accumulation above feldspar marker horizons over a 10-year period was driven primarily by tidal range and position in the tidal frame, and was higher for mangrove and saltmarsh dominated by Juncus kraussii than for other saltmarsh communities. The rate of carbon loss with depth varied between geomorphic settings and was the primary determinant of carbon store. A down-core enrichment in δ13C was consistent with an increased relative contribution of mangrove root material to soil carbon, as mangrove roots were found to be consistently enriched compared to leaves. We conclude that while surface carbon accumulation is driven primarily by tidal transport of allocthonous sediment, in-situ carbon sequestration is the dominant source of recalcitrant carbon, and that mangrove and saltmarsh carbon accumulation and store is high in temperate settings, particularly in mesotidal and fluvial geomorphic settings. © 2013 Elsevier Ltd.","author":[{"dropping-particle":"","family":"Saintilan","given":"N.","non-dropping-particle":"","parse-names":false,"suffix":""},{"dropping-particle":"","family":"Rogers","given":"K.","non-dropping-particle":"","parse-names":false,"suffix":""},{"dropping-particle":"","family":"Mazumder","given":"D.","non-dropping-particle":"","parse-names":false,"suffix":""},{"dropping-particle":"","family":"Woodroffe","given":"C.","non-dropping-particle":"","parse-names":false,"suffix":""}],"container-title":"Estuarine, Coastal and Shelf Science","id":"ITEM-2","issued":{"date-parts":[["2013","8","10"]]},"page":"84-92","publisher":"Academic Press","title":"Allochthonous and autochthonous contributions to carbon accumulation and carbon store in southeastern Australian coastal wetlands","type":"article-journal","volume":"128"},"uris":["http://www.mendeley.com/documents/?uuid=9952abdd-7203-319d-9c4d-93b8f38a10d6"]}],"mendeley":{"formattedCitation":"(Saintilan et al., 2013; Xiong et al., 2018)","plainTextFormattedCitation":"(Saintilan et al., 2013; Xiong et al., 2018)","previouslyFormattedCitation":"(Saintilan et al., 2013; Xiong et al., 2018)"},"properties":{"noteIndex":0},"schema":"https://github.com/citation-style-language/schema/raw/master/csl-citation.json"}</w:instrText>
      </w:r>
      <w:r w:rsidRPr="0067054C">
        <w:fldChar w:fldCharType="separate"/>
      </w:r>
      <w:r w:rsidRPr="0067054C">
        <w:rPr>
          <w:noProof/>
        </w:rPr>
        <w:t>(Saintilan et al., 2013; Xiong et al., 2018)</w:t>
      </w:r>
      <w:r w:rsidRPr="0067054C">
        <w:fldChar w:fldCharType="end"/>
      </w:r>
      <w:r w:rsidRPr="0067054C">
        <w:t>. Walton et al (2014) estimated that 60-80 % of organic material in sediments at the sites investigated in this study (Al-Khor and Al-</w:t>
      </w:r>
      <w:proofErr w:type="spellStart"/>
      <w:r w:rsidRPr="0067054C">
        <w:t>Dhakira</w:t>
      </w:r>
      <w:proofErr w:type="spellEnd"/>
      <w:r w:rsidRPr="0067054C">
        <w:t xml:space="preserve">) originated from mangroves, with the balance accounted for by </w:t>
      </w:r>
      <w:proofErr w:type="spellStart"/>
      <w:r w:rsidRPr="0067054C">
        <w:t>inwelling</w:t>
      </w:r>
      <w:proofErr w:type="spellEnd"/>
      <w:r w:rsidRPr="0067054C">
        <w:t xml:space="preserve"> of allochthonous material from seagrass and coastal planktonic sources.</w:t>
      </w:r>
    </w:p>
    <w:p w14:paraId="66C39196" w14:textId="77777777" w:rsidR="009C75D7" w:rsidRPr="0067054C" w:rsidRDefault="009C75D7" w:rsidP="009C75D7">
      <w:pPr>
        <w:spacing w:line="480" w:lineRule="auto"/>
      </w:pPr>
    </w:p>
    <w:p w14:paraId="77B50932" w14:textId="4CD34233" w:rsidR="009C75D7" w:rsidRPr="0067054C" w:rsidRDefault="009C75D7" w:rsidP="009C75D7">
      <w:pPr>
        <w:spacing w:line="480" w:lineRule="auto"/>
      </w:pPr>
      <w:r w:rsidRPr="0067054C">
        <w:t xml:space="preserve">In Qatar, within stand tree distribution differed from tropical </w:t>
      </w:r>
      <w:r>
        <w:t xml:space="preserve">humid </w:t>
      </w:r>
      <w:r w:rsidRPr="0067054C">
        <w:t xml:space="preserve">areas, smaller trees were found on the landward edge than the rest of the stand </w:t>
      </w:r>
      <w:r w:rsidRPr="0067054C">
        <w:fldChar w:fldCharType="begin" w:fldLock="1"/>
      </w:r>
      <w:r w:rsidRPr="0067054C">
        <w:instrText>ADDIN CSL_CITATION {"citationItems":[{"id":"ITEM-1","itemData":{"DOI":"10.1007/s13157-011-0148-9","ISBN":"0277-5212","ISSN":"02775212","PMID":"24834737","abstract":"Among the least studied ecosystem services of mangroves is their value as global carbon (C) stocks. This is significant as mangroves are subject to rapid rates of deforestation and therefore could be significant sources of atmospheric emissions. Mangroves could be key ecosystems in strategies addressing the mitigation of climate change though reduced deforestation. We quantified ecosystem C stocks at the seaward, interior, and upland edges of mangroves in the Republic of Palau and Yap, Federated States of Micronesia. The relatively high aboveground biomass coupled with carbon-rich soils resulted in the presence of large ecosystem carbon stocks compared to other tropical forests. Ecosystem C storage at the Palau site ranged from 479Mg/ha in the seaward zone to 1,068Mg/ha in the landward zone; in the Yap site C storage ranged from 853 to 1,385 Mg/ha along this gradient. Soils contained ~70% of the ecosystem C stocks. The elevation range of mangroves was &lt;146 cm, suggesting that projected sea-level rise can influence a large portion of existing stands. Declines in ecosystem carbon stocks will be pronounced if mangroves are replaced by communities adapted to greater inundation such as seagrass communities, where C pools were =7% of that of mangroves (48 Mg C/ha).","author":[{"dropping-particle":"","family":"Kauffman","given":"J. Boone","non-dropping-particle":"","parse-names":false,"suffix":""},{"dropping-particle":"","family":"Heider","given":"Chris","non-dropping-particle":"","parse-names":false,"suffix":""},{"dropping-particle":"","family":"Cole","given":"Thomas G.","non-dropping-particle":"","parse-names":false,"suffix":""},{"dropping-particle":"","family":"Dwire","given":"Kathleen A.","non-dropping-particle":"","parse-names":false,"suffix":""},{"dropping-particle":"","family":"Donato","given":"Daniel C.","non-dropping-particle":"","parse-names":false,"suffix":""}],"container-title":"Wetlands","id":"ITEM-1","issue":"2","issued":{"date-parts":[["2011"]]},"page":"343-352","title":"Ecosystem carbon stocks of micronesian mangrove forests","type":"article-journal","volume":"31"},"uris":["http://www.mendeley.com/documents/?uuid=22ed9481-6a2e-3a46-bd1d-2bb5889bec94"]},{"id":"ITEM-2","itemData":{"DOI":"10.1038/ngeo1123","ISBN":"1752-0894","ISSN":"1752-0894","PMID":"17701399","abstract":"Mangrove forests occur along ocean coastlines throughout the tropics, and support numerous ecosystem services, including fisheries production and nutrient cycling. However, the areal extent of mangrove forests has declined by 30–50% over the past half century as a result of coastal development, aqua- culture expansion and over-harvesting1–4. Carbon emissions resulting from mangrove loss are uncertain, owing in part to a lack of broad-scale data on the amount of carbon stored in these ecosystems, particularly below ground5. Here, we quantified whole-ecosystem carbon storage by measuring tree and dead wood biomass, soil carbon content, and soil depth in 25 mangrove forests across a broad area of the Indo-Pacific region—spanning 30◦ of latitude and 73◦ of longitude—where mangrove area and diversity are greatest4,6. These data indi- cate that mangroves are among the most carbon-rich forests in the tropics, containing on average 1,023Mg carbon per hectare. Organic-rich soils ranged from 0.5mto more than 3m in depth and accounted for 49–98% of carbon storage in these systems. Combining our data with other published information, we estimate that mangrove deforestation generates emissions of 0.02–0.12Pg carbon per year—as much as around 10% of emissions from deforestation globally, despite accounting for just 0.7%of tropical forest area.","author":[{"dropping-particle":"","family":"Donato","given":"Daniel C.","non-dropping-particle":"","parse-names":false,"suffix":""},{"dropping-particle":"","family":"Kauffman","given":"J. Boone","non-dropping-particle":"","parse-names":false,"suffix":""},{"dropping-particle":"","family":"Murdiyarso","given":"Daniel","non-dropping-particle":"","parse-names":false,"suffix":""},{"dropping-particle":"","family":"Kurnianto","given":"Sofyan","non-dropping-particle":"","parse-names":false,"suffix":""},{"dropping-particle":"","family":"Stidham","given":"Melanie","non-dropping-particle":"","parse-names":false,"suffix":""},{"dropping-particle":"","family":"Kanninen","given":"Markku","non-dropping-particle":"","parse-names":false,"suffix":""}],"container-title":"Nature Geoscience","id":"ITEM-2","issue":"5","issued":{"date-parts":[["2011"]]},"page":"293-297","title":"Mangroves among the most carbon-rich forests in the tropics","type":"article-journal","volume":"4"},"uris":["http://www.mendeley.com/documents/?uuid=490346f7-5ac8-4ae2-8d0c-30ebcec82312"]}],"mendeley":{"formattedCitation":"(Donato et al., 2011; Kauffman et al., 2011)","plainTextFormattedCitation":"(Donato et al., 2011; Kauffman et al., 2011)","previouslyFormattedCitation":"(Donato et al., 2011; Kauffman et al., 2011)"},"properties":{"noteIndex":0},"schema":"https://github.com/citation-style-language/schema/raw/master/csl-citation.json"}</w:instrText>
      </w:r>
      <w:r w:rsidRPr="0067054C">
        <w:fldChar w:fldCharType="separate"/>
      </w:r>
      <w:r w:rsidRPr="0067054C">
        <w:rPr>
          <w:noProof/>
        </w:rPr>
        <w:t>(Donato et al., 2011; Kauffman et al., 2011)</w:t>
      </w:r>
      <w:r w:rsidRPr="0067054C">
        <w:fldChar w:fldCharType="end"/>
      </w:r>
      <w:r w:rsidRPr="0067054C">
        <w:t xml:space="preserve">, which may reflect the nutrient-poor </w:t>
      </w:r>
      <w:r w:rsidR="002A3700">
        <w:t xml:space="preserve">and/or hypersaline </w:t>
      </w:r>
      <w:r w:rsidRPr="0067054C">
        <w:t xml:space="preserve">habitat in which </w:t>
      </w:r>
      <w:r w:rsidRPr="0067054C">
        <w:rPr>
          <w:i/>
          <w:iCs/>
        </w:rPr>
        <w:t xml:space="preserve">A. marina </w:t>
      </w:r>
      <w:r w:rsidRPr="0067054C">
        <w:t>are found in the Gulf</w:t>
      </w:r>
      <w:r>
        <w:t xml:space="preserve">. These results provide insight into the nutrient dynamics of arid </w:t>
      </w:r>
      <w:r>
        <w:lastRenderedPageBreak/>
        <w:t xml:space="preserve">mangroves and are comparable to Western Australia where mangroves nitrogen decreases in a seaward to landward direction </w:t>
      </w:r>
      <w:r>
        <w:fldChar w:fldCharType="begin" w:fldLock="1"/>
      </w:r>
      <w:r>
        <w:instrText>ADDIN CSL_CITATION {"citationItems":[{"id":"ITEM-1","itemData":{"DOI":"10.1016/j.ecss.2020.106796","ISSN":"02727714","abstract":"Mangroves are one of the few woody ecosystems that grow in hot-arid climates. They can survive extreme conditions of low precipitation, high solar radiation, wide temperature fluctuations and hypersalinity. These unique mangroves have distinct geomorphology, hydrology, forest structure, tree physiology, and soil biogeochemistry. In this review, supported by field data from Australia and Mexico, we explore the characteristics of mangroves in arid climates of the world. These mangroves are mostly tide-dominated with freshwater flows restricted to groundwater and sporadic tropical storms. They form dense forests with stunted growth dominated mainly by trees of the genus Avicennia that co-occur with salt marshes in the high intertidal. Their soils have low nutrient and carbon concentrations, and high soil δ15 N and δ13C values compared to subhumid and humid mangroves. Mangroves in arid climates have relatively low human pressure due to sparse human settlements. Key threats to these mangroves, which often persist at the edge of their physiological tolerances, include extreme drought, reductions in groundwater inputs, altered hydrology, sea-level fluctuations and increases in nutrient loading. Restoration of mangroves in arid climates should focus on restoring their hydrology. Mangroves in arid zones are under-represented in global maps and assessment programs, as they may not be consistent with countries’ definition of “forests”. Improved global representation and understanding of the ecology of mangroves in arid climates could help sustain their valuable ecosystem services.","author":[{"dropping-particle":"","family":"Adame","given":"M. F.","non-dropping-particle":"","parse-names":false,"suffix":""},{"dropping-particle":"","family":"Reef","given":"R.","non-dropping-particle":"","parse-names":false,"suffix":""},{"dropping-particle":"","family":"Santini","given":"N. S.","non-dropping-particle":"","parse-names":false,"suffix":""},{"dropping-particle":"","family":"Najera","given":"E.","non-dropping-particle":"","parse-names":false,"suffix":""},{"dropping-particle":"","family":"Turschwell","given":"M. P.","non-dropping-particle":"","parse-names":false,"suffix":""},{"dropping-particle":"","family":"Hayes","given":"M. A.","non-dropping-particle":"","parse-names":false,"suffix":""},{"dropping-particle":"","family":"Masque","given":"P.","non-dropping-particle":"","parse-names":false,"suffix":""},{"dropping-particle":"","family":"Lovelock","given":"C. E.","non-dropping-particle":"","parse-names":false,"suffix":""}],"container-title":"Estuarine, Coastal and Shelf Science","id":"ITEM-1","issued":{"date-parts":[["2020"]]},"title":"Mangroves in arid regions: Ecology, threats, and opportunities","type":"article-journal"},"uris":["http://www.mendeley.com/documents/?uuid=f4566645-8993-4033-ab48-124854464c6a"]}],"mendeley":{"formattedCitation":"(Adame et al., 2020)","plainTextFormattedCitation":"(Adame et al., 2020)","previouslyFormattedCitation":"(Adame et al., 2020)"},"properties":{"noteIndex":0},"schema":"https://github.com/citation-style-language/schema/raw/master/csl-citation.json"}</w:instrText>
      </w:r>
      <w:r>
        <w:fldChar w:fldCharType="separate"/>
      </w:r>
      <w:r w:rsidRPr="00BB18FA">
        <w:rPr>
          <w:noProof/>
        </w:rPr>
        <w:t>(Adame et al., 2020)</w:t>
      </w:r>
      <w:r>
        <w:fldChar w:fldCharType="end"/>
      </w:r>
      <w:r>
        <w:t xml:space="preserve">. </w:t>
      </w:r>
      <w:r w:rsidRPr="0067054C">
        <w:t xml:space="preserve">Mangroves in humid conditions can be highly productive </w:t>
      </w:r>
      <w:proofErr w:type="spellStart"/>
      <w:r w:rsidRPr="0067054C">
        <w:t>outwelling</w:t>
      </w:r>
      <w:proofErr w:type="spellEnd"/>
      <w:r w:rsidRPr="0067054C">
        <w:t xml:space="preserve"> systems, dependant on their geomorphological setting </w:t>
      </w:r>
      <w:r w:rsidRPr="0067054C">
        <w:fldChar w:fldCharType="begin" w:fldLock="1"/>
      </w:r>
      <w:r w:rsidRPr="0067054C">
        <w:instrText>ADDIN CSL_CITATION {"citationItems":[{"id":"ITEM-1","itemData":{"DOI":"10.1007/BF00029127","ISBN":"0018-8158","ISSN":"0018-8158","PMID":"2563507","abstract":"The export of detritus and faunal biomass from mangroves has long been considered as an important support for offshore biological production and has been widely used as an argument for mangrove conservation. This functional role of the mangroves, like many other paradigms in mangrove ecology, has seldom been put to rigorous test since the hypothesis was postulated about 25 years ago. Past studies on which the hypothesis was based were mostly carried out in mangrove or other wetland environments, little is known about the fate and effects of outwelled detritus on oceanic, offshore, communities. Mass balance studies carried out in the last 15 years tend to suggest that export is common from tidal mangroves, the direction of flow depends, however, on the identity of the chemical species in question. Pore water and groundwater flow can affect tidal material exchange but are poorly studied. Generally, tracer methods using stable isotope ratios or other signatures have suggested that outwelling may be much less significant than expected. Further, most past studies have focussed on particulate matter while it is increasingly apparent that dissolved organics may play a more important role in matter exchange between offshore and mangrove communities. There is also evidence that benthic biomass and richness may not bear any positive or significant relationship with detritus availability.","author":[{"dropping-particle":"","family":"Lee","given":"S. Y.","non-dropping-particle":"","parse-names":false,"suffix":""}],"container-title":"Hydrobiologia","id":"ITEM-1","issue":"1-3","issued":{"date-parts":[["1995","1"]]},"page":"203-212","publisher":"Kluwer Academic Publishers","title":"Mangrove outwelling: a review","type":"article-journal","volume":"295"},"uris":["http://www.mendeley.com/documents/?uuid=af279fb2-f1ad-489f-a870-899457f4526c"]}],"mendeley":{"formattedCitation":"(Lee, 1995)","plainTextFormattedCitation":"(Lee, 1995)","previouslyFormattedCitation":"(Lee, 1995)"},"properties":{"noteIndex":0},"schema":"https://github.com/citation-style-language/schema/raw/master/csl-citation.json"}</w:instrText>
      </w:r>
      <w:r w:rsidRPr="0067054C">
        <w:fldChar w:fldCharType="separate"/>
      </w:r>
      <w:r w:rsidRPr="0067054C">
        <w:rPr>
          <w:noProof/>
        </w:rPr>
        <w:t>(Lee, 1995)</w:t>
      </w:r>
      <w:r w:rsidRPr="0067054C">
        <w:fldChar w:fldCharType="end"/>
      </w:r>
      <w:r w:rsidRPr="0067054C">
        <w:t xml:space="preserve"> but the relative importance of </w:t>
      </w:r>
      <w:proofErr w:type="spellStart"/>
      <w:r w:rsidRPr="0067054C">
        <w:t>outwelling</w:t>
      </w:r>
      <w:proofErr w:type="spellEnd"/>
      <w:r w:rsidRPr="0067054C">
        <w:t xml:space="preserve"> and </w:t>
      </w:r>
      <w:proofErr w:type="spellStart"/>
      <w:r w:rsidRPr="0067054C">
        <w:t>inwelling</w:t>
      </w:r>
      <w:proofErr w:type="spellEnd"/>
      <w:r w:rsidRPr="0067054C">
        <w:t xml:space="preserve"> processes are much less well understood in arid mangroves. Emerging research shows </w:t>
      </w:r>
      <w:proofErr w:type="spellStart"/>
      <w:r w:rsidRPr="0067054C">
        <w:t>inwelling</w:t>
      </w:r>
      <w:proofErr w:type="spellEnd"/>
      <w:r w:rsidRPr="0067054C">
        <w:t xml:space="preserve"> of material from the sea can be important in arid mangroves </w:t>
      </w:r>
      <w:r w:rsidRPr="0067054C">
        <w:fldChar w:fldCharType="begin" w:fldLock="1"/>
      </w:r>
      <w:r w:rsidRPr="0067054C">
        <w:instrText>ADDIN CSL_CITATION {"citationItems":[{"id":"ITEM-1","itemData":{"DOI":"10.1016/j.ecss.2013.03.007","ISBN":"0272-7714","ISSN":"02727714","abstract":"The Arabian Gulf represents one of the more northerly extremes of mangrove distribution in the Indo-Pacific, and is populated only by Avicennia marina, due to its tolerance of high salinity and wide temperature extremes. Recent studies suggest that in the arid coastal environment of the western Arabian Gulf, export of carbon and nitrogen from mangroves to adjacent habitats may be limited, though it is not clear if this is due to low productivity or physical factors such as the lack of freshwater flow and the tidal regime. Although seagrass and macroalgal habitats are relatively much more dominant by area, with only small pockets of mangrove around the edges of embayments, it is not evident if inwelling from these habitats support mangrove fauna. Year-round sampling in mangroves at Al-Khor, Qatar, indicates that Palaemon khori, an endemic shrimp species, is strongly associated with mangroves throughout its post-settlement life cycle, from recruitment as small 9-10mm juveniles through to mating and egg production. Rapid post-recruitment growth (k=1.8, L∞=42mm for females, k=1.5, L∞=35mm for male) means that most individuals reached adult size in the first few months after settlement, with reproduction occurring in the following spring. As might be expected from year-round residence in the mangrove, dual 13C and 15N isotope analysis indicated a strong contribution of mangroves to shrimp tissue growth (Mean and 95% confidence range, 37% and 27-48%), but with a weaker significant contribution from particulate organic matter (20% and 1-37%), mangrove epiphytes (16% and 2-33%) and seagrasses (9% and 0.2-18%). Other primary producers contribute the remaining 18% to shrimp nutrition but the 95% confidence ranges include zero, suggesting possibly non-significant roles in supporting the shrimp population. This dietary information supports the view that fauna resident within arid mangrove systems are mainly dependent on localised retention and cycling of nutrients with a smaller contribution from inwelling. © 2013 Elsevier Ltd.","author":[{"dropping-particle":"","family":"Al-Maslamani","given":"I.","non-dropping-particle":"","parse-names":false,"suffix":""},{"dropping-particle":"","family":"Walton","given":"M. E.M.","non-dropping-particle":"","parse-names":false,"suffix":""},{"dropping-particle":"","family":"Kennedy","given":"H. A.","non-dropping-particle":"","parse-names":false,"suffix":""},{"dropping-particle":"","family":"Al-Mohannadi","given":"M.","non-dropping-particle":"","parse-names":false,"suffix":""},{"dropping-particle":"","family":"Vay","given":"L.","non-dropping-particle":"Le","parse-names":false,"suffix":""}],"container-title":"Estuarine, Coastal and Shelf Science","id":"ITEM-1","issued":{"date-parts":[["2013","6"]]},"page":"56-63","title":"Are mangroves in arid environments isolated systems? Life-history and evidence of dietary contribution from inwelling in a mangrove-resident shrimp species","type":"article-journal","volume":"124"},"uris":["http://www.mendeley.com/documents/?uuid=6b73bf2a-05d0-4a74-b04b-21d8f104c3c5"]},{"id":"ITEM-2","itemData":{"DOI":"10.3354/meps10827","ISBN":"0171-8630","ISSN":"01718630","abstract":"Mangrove forest productivity is normally sustained by nutrients from terrestrial runoff, with freshwater inputs driving the resulting outwelling of production, but arid mangroves lack this input. The movement of material between seagrass beds and mangroves was examined using the stable C and N isotopic composition of organisms, sediments and suspended matter in 3 seagrass−mangrove transects in the Arabian Gulf. The isotopic signal of suspended particulate material indicated a mixed origin that did not differ over a spring tide. Filter feeders showed significant 13C enrichment along transects from mangrove forests into seagrass beds, indicating that location within a habitat had a significant effect on isotopic composition. Similarly, δ13C of both sediments and grazers increased sharply outside the mangrove forest, suggesting retention of mangrove carbon, although some outwelling was detected, the strength of which was site specific. The lack of freshwater-mediated nutrient inputs suggests any outwelling of mangrove ecosystem productivity must be balanced by inwelling, and isotopic signatures of both sediment grazers and filter feeders found within the mangrove forest confirmed the inwelling of seagrass production. Significant mangrove isotope signals in the tissue of juveniles of fishes commercially harvested offshore indicate ontogenetic movement of carbon. Additional biological movement of mangrove carbon through ontogenetic migration and ‘trophic relay’ is evidenced by the isotopic signature of juvenile and mature fish captured in waters exiting the mangrove forest, which indicated they fed on mangrove-sustained food webs. This study demonstrates tight coupling between arid man- groves and subtidal seagrass areas and implies that arid mangroves cannot be managed or replanted without consideration of connectivity to downstream systems such as seagrasses.","author":[{"dropping-particle":"","family":"Walton","given":"M. E M","non-dropping-particle":"","parse-names":false,"suffix":""},{"dropping-particle":"","family":"Al-Maslamani","given":"I.","non-dropping-particle":"","parse-names":false,"suffix":""},{"dropping-particle":"","family":"Skov","given":"M. W.","non-dropping-particle":"","parse-names":false,"suffix":""},{"dropping-particle":"","family":"Al-Shaikh","given":"I.","non-dropping-particle":"","parse-names":false,"suffix":""},{"dropping-particle":"","family":"Al-Ansari","given":"I. S.","non-dropping-particle":"","parse-names":false,"suffix":""},{"dropping-particle":"","family":"Kennedy","given":"H. A.","non-dropping-particle":"","parse-names":false,"suffix":""},{"dropping-particle":"","family":"Vay","given":"L.","non-dropping-particle":"Le","parse-names":false,"suffix":""}],"container-title":"Marine Ecology Progress Series","id":"ITEM-2","issued":{"date-parts":[["2014"]]},"note":"10.3354/meps10827","page":"125-137","title":"Outwelling from arid mangrove systems is sustained by inwelling of seagrass productivity","type":"article-journal","volume":"507"},"uris":["http://www.mendeley.com/documents/?uuid=1be237ee-c9f5-41ff-9a20-862c3afc4ba3"]}],"mendeley":{"formattedCitation":"(Al-Maslamani et al., 2013; Walton et al., 2014)","plainTextFormattedCitation":"(Al-Maslamani et al., 2013; Walton et al., 2014)","previouslyFormattedCitation":"(Al-Maslamani et al., 2013; Walton et al., 2014)"},"properties":{"noteIndex":0},"schema":"https://github.com/citation-style-language/schema/raw/master/csl-citation.json"}</w:instrText>
      </w:r>
      <w:r w:rsidRPr="0067054C">
        <w:fldChar w:fldCharType="separate"/>
      </w:r>
      <w:r w:rsidRPr="0067054C">
        <w:rPr>
          <w:noProof/>
        </w:rPr>
        <w:t>(Al-Maslamani et al., 2013; Walton et al., 2014)</w:t>
      </w:r>
      <w:r w:rsidRPr="0067054C">
        <w:fldChar w:fldCharType="end"/>
      </w:r>
      <w:r w:rsidRPr="0067054C">
        <w:t xml:space="preserve">. In Qatari mangroves seagrass production has been shown to be a contributor to both food webs supporting mangrove-resident fauna </w:t>
      </w:r>
      <w:r w:rsidRPr="0067054C">
        <w:fldChar w:fldCharType="begin" w:fldLock="1"/>
      </w:r>
      <w:r w:rsidRPr="0067054C">
        <w:instrText>ADDIN CSL_CITATION {"citationItems":[{"id":"ITEM-1","itemData":{"DOI":"10.1016/j.ecss.2013.03.007","ISBN":"0272-7714","ISSN":"02727714","abstract":"The Arabian Gulf represents one of the more northerly extremes of mangrove distribution in the Indo-Pacific, and is populated only by Avicennia marina, due to its tolerance of high salinity and wide temperature extremes. Recent studies suggest that in the arid coastal environment of the western Arabian Gulf, export of carbon and nitrogen from mangroves to adjacent habitats may be limited, though it is not clear if this is due to low productivity or physical factors such as the lack of freshwater flow and the tidal regime. Although seagrass and macroalgal habitats are relatively much more dominant by area, with only small pockets of mangrove around the edges of embayments, it is not evident if inwelling from these habitats support mangrove fauna. Year-round sampling in mangroves at Al-Khor, Qatar, indicates that Palaemon khori, an endemic shrimp species, is strongly associated with mangroves throughout its post-settlement life cycle, from recruitment as small 9-10mm juveniles through to mating and egg production. Rapid post-recruitment growth (k=1.8, L∞=42mm for females, k=1.5, L∞=35mm for male) means that most individuals reached adult size in the first few months after settlement, with reproduction occurring in the following spring. As might be expected from year-round residence in the mangrove, dual 13C and 15N isotope analysis indicated a strong contribution of mangroves to shrimp tissue growth (Mean and 95% confidence range, 37% and 27-48%), but with a weaker significant contribution from particulate organic matter (20% and 1-37%), mangrove epiphytes (16% and 2-33%) and seagrasses (9% and 0.2-18%). Other primary producers contribute the remaining 18% to shrimp nutrition but the 95% confidence ranges include zero, suggesting possibly non-significant roles in supporting the shrimp population. This dietary information supports the view that fauna resident within arid mangrove systems are mainly dependent on localised retention and cycling of nutrients with a smaller contribution from inwelling. © 2013 Elsevier Ltd.","author":[{"dropping-particle":"","family":"Al-Maslamani","given":"I.","non-dropping-particle":"","parse-names":false,"suffix":""},{"dropping-particle":"","family":"Walton","given":"M. E.M.","non-dropping-particle":"","parse-names":false,"suffix":""},{"dropping-particle":"","family":"Kennedy","given":"H. A.","non-dropping-particle":"","parse-names":false,"suffix":""},{"dropping-particle":"","family":"Al-Mohannadi","given":"M.","non-dropping-particle":"","parse-names":false,"suffix":""},{"dropping-particle":"","family":"Vay","given":"L.","non-dropping-particle":"Le","parse-names":false,"suffix":""}],"container-title":"Estuarine, Coastal and Shelf Science","id":"ITEM-1","issued":{"date-parts":[["2013","6"]]},"page":"56-63","title":"Are mangroves in arid environments isolated systems? Life-history and evidence of dietary contribution from inwelling in a mangrove-resident shrimp species","type":"article-journal","volume":"124"},"uris":["http://www.mendeley.com/documents/?uuid=6b73bf2a-05d0-4a74-b04b-21d8f104c3c5"]}],"mendeley":{"formattedCitation":"(Al-Maslamani et al., 2013)","plainTextFormattedCitation":"(Al-Maslamani et al., 2013)","previouslyFormattedCitation":"(Al-Maslamani et al., 2013)"},"properties":{"noteIndex":0},"schema":"https://github.com/citation-style-language/schema/raw/master/csl-citation.json"}</w:instrText>
      </w:r>
      <w:r w:rsidRPr="0067054C">
        <w:fldChar w:fldCharType="separate"/>
      </w:r>
      <w:r w:rsidRPr="0067054C">
        <w:rPr>
          <w:noProof/>
        </w:rPr>
        <w:t>(Al-Maslamani et al., 2013)</w:t>
      </w:r>
      <w:r w:rsidRPr="0067054C">
        <w:fldChar w:fldCharType="end"/>
      </w:r>
      <w:r w:rsidRPr="0067054C">
        <w:t xml:space="preserve"> </w:t>
      </w:r>
      <w:r w:rsidRPr="0067054C">
        <w:rPr>
          <w:noProof/>
        </w:rPr>
        <w:t xml:space="preserve">and soil within mangroves </w:t>
      </w:r>
      <w:r w:rsidRPr="0067054C">
        <w:fldChar w:fldCharType="begin" w:fldLock="1"/>
      </w:r>
      <w:r w:rsidRPr="0067054C">
        <w:instrText>ADDIN CSL_CITATION {"citationItems":[{"id":"ITEM-1","itemData":{"DOI":"10.1016/j.ecss.2013.03.007","ISBN":"0272-7714","ISSN":"02727714","abstract":"The Arabian Gulf represents one of the more northerly extremes of mangrove distribution in the Indo-Pacific, and is populated only by Avicennia marina, due to its tolerance of high salinity and wide temperature extremes. Recent studies suggest that in the arid coastal environment of the western Arabian Gulf, export of carbon and nitrogen from mangroves to adjacent habitats may be limited, though it is not clear if this is due to low productivity or physical factors such as the lack of freshwater flow and the tidal regime. Although seagrass and macroalgal habitats are relatively much more dominant by area, with only small pockets of mangrove around the edges of embayments, it is not evident if inwelling from these habitats support mangrove fauna. Year-round sampling in mangroves at Al-Khor, Qatar, indicates that Palaemon khori, an endemic shrimp species, is strongly associated with mangroves throughout its post-settlement life cycle, from recruitment as small 9-10mm juveniles through to mating and egg production. Rapid post-recruitment growth (k=1.8, L∞=42mm for females, k=1.5, L∞=35mm for male) means that most individuals reached adult size in the first few months after settlement, with reproduction occurring in the following spring. As might be expected from year-round residence in the mangrove, dual 13C and 15N isotope analysis indicated a strong contribution of mangroves to shrimp tissue growth (Mean and 95% confidence range, 37% and 27-48%), but with a weaker significant contribution from particulate organic matter (20% and 1-37%), mangrove epiphytes (16% and 2-33%) and seagrasses (9% and 0.2-18%). Other primary producers contribute the remaining 18% to shrimp nutrition but the 95% confidence ranges include zero, suggesting possibly non-significant roles in supporting the shrimp population. This dietary information supports the view that fauna resident within arid mangrove systems are mainly dependent on localised retention and cycling of nutrients with a smaller contribution from inwelling. © 2013 Elsevier Ltd.","author":[{"dropping-particle":"","family":"Al-Maslamani","given":"I.","non-dropping-particle":"","parse-names":false,"suffix":""},{"dropping-particle":"","family":"Walton","given":"M. E.M.","non-dropping-particle":"","parse-names":false,"suffix":""},{"dropping-particle":"","family":"Kennedy","given":"H. A.","non-dropping-particle":"","parse-names":false,"suffix":""},{"dropping-particle":"","family":"Al-Mohannadi","given":"M.","non-dropping-particle":"","parse-names":false,"suffix":""},{"dropping-particle":"","family":"Vay","given":"L.","non-dropping-particle":"Le","parse-names":false,"suffix":""}],"container-title":"Estuarine, Coastal and Shelf Science","id":"ITEM-1","issued":{"date-parts":[["2013","6"]]},"page":"56-63","title":"Are mangroves in arid environments isolated systems? Life-history and evidence of dietary contribution from inwelling in a mangrove-resident shrimp species","type":"article-journal","volume":"124"},"uris":["http://www.mendeley.com/documents/?uuid=6b73bf2a-05d0-4a74-b04b-21d8f104c3c5"]},{"id":"ITEM-2","itemData":{"DOI":"10.3354/meps10827","ISBN":"0171-8630","ISSN":"01718630","abstract":"Mangrove forest productivity is normally sustained by nutrients from terrestrial runoff, with freshwater inputs driving the resulting outwelling of production, but arid mangroves lack this input. The movement of material between seagrass beds and mangroves was examined using the stable C and N isotopic composition of organisms, sediments and suspended matter in 3 seagrass−mangrove transects in the Arabian Gulf. The isotopic signal of suspended particulate material indicated a mixed origin that did not differ over a spring tide. Filter feeders showed significant 13C enrichment along transects from mangrove forests into seagrass beds, indicating that location within a habitat had a significant effect on isotopic composition. Similarly, δ13C of both sediments and grazers increased sharply outside the mangrove forest, suggesting retention of mangrove carbon, although some outwelling was detected, the strength of which was site specific. The lack of freshwater-mediated nutrient inputs suggests any outwelling of mangrove ecosystem productivity must be balanced by inwelling, and isotopic signatures of both sediment grazers and filter feeders found within the mangrove forest confirmed the inwelling of seagrass production. Significant mangrove isotope signals in the tissue of juveniles of fishes commercially harvested offshore indicate ontogenetic movement of carbon. Additional biological movement of mangrove carbon through ontogenetic migration and ‘trophic relay’ is evidenced by the isotopic signature of juvenile and mature fish captured in waters exiting the mangrove forest, which indicated they fed on mangrove-sustained food webs. This study demonstrates tight coupling between arid man- groves and subtidal seagrass areas and implies that arid mangroves cannot be managed or replanted without consideration of connectivity to downstream systems such as seagrasses.","author":[{"dropping-particle":"","family":"Walton","given":"M. E M","non-dropping-particle":"","parse-names":false,"suffix":""},{"dropping-particle":"","family":"Al-Maslamani","given":"I.","non-dropping-particle":"","parse-names":false,"suffix":""},{"dropping-particle":"","family":"Skov","given":"M. W.","non-dropping-particle":"","parse-names":false,"suffix":""},{"dropping-particle":"","family":"Al-Shaikh","given":"I.","non-dropping-particle":"","parse-names":false,"suffix":""},{"dropping-particle":"","family":"Al-Ansari","given":"I. S.","non-dropping-particle":"","parse-names":false,"suffix":""},{"dropping-particle":"","family":"Kennedy","given":"H. A.","non-dropping-particle":"","parse-names":false,"suffix":""},{"dropping-particle":"","family":"Vay","given":"L.","non-dropping-particle":"Le","parse-names":false,"suffix":""}],"container-title":"Marine Ecology Progress Series","id":"ITEM-2","issued":{"date-parts":[["2014"]]},"note":"10.3354/meps10827","page":"125-137","title":"Outwelling from arid mangrove systems is sustained by inwelling of seagrass productivity","type":"article-journal","volume":"507"},"uris":["http://www.mendeley.com/documents/?uuid=1be237ee-c9f5-41ff-9a20-862c3afc4ba3"]}],"mendeley":{"formattedCitation":"(Al-Maslamani et al., 2013; Walton et al., 2014)","plainTextFormattedCitation":"(Al-Maslamani et al., 2013; Walton et al., 2014)","previouslyFormattedCitation":"(Al-Maslamani et al., 2013; Walton et al., 2014)"},"properties":{"noteIndex":0},"schema":"https://github.com/citation-style-language/schema/raw/master/csl-citation.json"}</w:instrText>
      </w:r>
      <w:r w:rsidRPr="0067054C">
        <w:fldChar w:fldCharType="separate"/>
      </w:r>
      <w:r w:rsidRPr="0067054C">
        <w:rPr>
          <w:noProof/>
        </w:rPr>
        <w:t>(Al-Maslamani et al., 2013; Walton et al., 2014)</w:t>
      </w:r>
      <w:r w:rsidRPr="0067054C">
        <w:fldChar w:fldCharType="end"/>
      </w:r>
      <w:r w:rsidRPr="0067054C">
        <w:t>, with the greatest input to soils at the mangrove fringe, indicating potential higher nutrient availability for seaward as opposed to landward trees.</w:t>
      </w:r>
    </w:p>
    <w:p w14:paraId="772EBDF8" w14:textId="77777777" w:rsidR="009C75D7" w:rsidRPr="0067054C" w:rsidRDefault="009C75D7" w:rsidP="009C75D7">
      <w:pPr>
        <w:spacing w:line="480" w:lineRule="auto"/>
      </w:pPr>
    </w:p>
    <w:p w14:paraId="573AC835" w14:textId="68EB8425" w:rsidR="009C75D7" w:rsidRPr="004D117C" w:rsidRDefault="009C75D7" w:rsidP="009C75D7">
      <w:pPr>
        <w:spacing w:line="480" w:lineRule="auto"/>
      </w:pPr>
      <w:r w:rsidRPr="0067054C">
        <w:t xml:space="preserve">Differences were found in allometric growth relationships developed by the present study and those developed in other areas. Below ground biomass of Qatari mangroves had a steeper biomass increase with increasing crown diameter (CD) when compared to </w:t>
      </w:r>
      <w:r w:rsidRPr="0067054C">
        <w:rPr>
          <w:i/>
          <w:iCs/>
        </w:rPr>
        <w:t>A. marina</w:t>
      </w:r>
      <w:r w:rsidRPr="0067054C">
        <w:t xml:space="preserve"> from a tropical </w:t>
      </w:r>
      <w:r>
        <w:t xml:space="preserve">humid </w:t>
      </w:r>
      <w:r w:rsidRPr="0067054C">
        <w:t xml:space="preserve">area of Australia </w:t>
      </w:r>
      <w:r w:rsidRPr="0067054C">
        <w:fldChar w:fldCharType="begin" w:fldLock="1"/>
      </w:r>
      <w:r w:rsidRPr="0067054C">
        <w:instrText>ADDIN CSL_CITATION {"citationItems":[{"id":"ITEM-1","itemData":{"DOI":"10.1071/BT04162","ISBN":"0067-1924","ISSN":"00671924","abstract":"Mangrove forests are an integral part of tropical coastal ecosystems, particularly in northern Australia. In the Northern Territory, studies have determined the extent and species diversity of these associations but little is known of biomass or productivity. We sampled the above- and below-ground biomass of the four most abundant species, Avicennia marina, Bruguiera exaristata, Ceriops australis and Rhizophora stylosa, developed allometric relationships and examined partitioning. Unlike many other studies, we sampled below-ground biomass, which constituted a substantial proportion (0.29–0.57) of the total dry weight. Our results should be valuable in modelling potential changes in carbon allocation resulting from small- and large-scale ecosystem changes.","author":[{"dropping-particle":"","family":"Comley","given":"B. W T","non-dropping-particle":"","parse-names":false,"suffix":""},{"dropping-particle":"","family":"McGuinness","given":"K. A.","non-dropping-particle":"","parse-names":false,"suffix":""}],"container-title":"Australian Journal of Botany","id":"ITEM-1","issue":"5","issued":{"date-parts":[["2005"]]},"page":"431-436","title":"Above- and below-ground biomass, and allometry, of four common northern Australian mangroves","type":"article-journal","volume":"53"},"uris":["http://www.mendeley.com/documents/?uuid=d9846ebf-2311-34c8-bdd3-4f6e17651f49"]}],"mendeley":{"formattedCitation":"(Comley and McGuinness, 2005)","plainTextFormattedCitation":"(Comley and McGuinness, 2005)","previouslyFormattedCitation":"(Comley and McGuinness, 2005)"},"properties":{"noteIndex":0},"schema":"https://github.com/citation-style-language/schema/raw/master/csl-citation.json"}</w:instrText>
      </w:r>
      <w:r w:rsidRPr="0067054C">
        <w:fldChar w:fldCharType="separate"/>
      </w:r>
      <w:r w:rsidRPr="0067054C">
        <w:rPr>
          <w:noProof/>
        </w:rPr>
        <w:t>(Comley and McGuinness, 2005)</w:t>
      </w:r>
      <w:r w:rsidRPr="0067054C">
        <w:fldChar w:fldCharType="end"/>
      </w:r>
      <w:r w:rsidRPr="0067054C">
        <w:t xml:space="preserve">. Additionally, the relationship between aboveground biomass and CD in </w:t>
      </w:r>
      <w:r w:rsidRPr="0067054C">
        <w:rPr>
          <w:i/>
          <w:iCs/>
        </w:rPr>
        <w:t xml:space="preserve">A. marina </w:t>
      </w:r>
      <w:r w:rsidRPr="0067054C">
        <w:t xml:space="preserve">derived from Iran was more like that of Australia. Interestingly, the study site used to develop an </w:t>
      </w:r>
      <w:r w:rsidRPr="0067054C">
        <w:rPr>
          <w:i/>
          <w:iCs/>
        </w:rPr>
        <w:t xml:space="preserve">A. marina </w:t>
      </w:r>
      <w:r w:rsidRPr="0067054C">
        <w:t xml:space="preserve">allometric equation in Iran was on the coast of the Oman Sea, and the location where mangroves were sampled receives freshwater runoff and is considered biologically separated from the Gulf </w:t>
      </w:r>
      <w:r w:rsidRPr="0067054C">
        <w:fldChar w:fldCharType="begin" w:fldLock="1"/>
      </w:r>
      <w:r w:rsidRPr="0067054C">
        <w:instrText>ADDIN CSL_CITATION {"citationItems":[{"id":"ITEM-1","itemData":{"DOI":"10.1016/0025-326X(93)90004-4","ISBN":"0025-326X","ISSN":"0025326X","abstract":"The Gulf's biological character is briefly reviewed to provide a background to the main habitats and their condition, for the papers in this Special Issue. The Gulf's marine resources are described in the context of possible environmental consequences of the 1991 Gulf War. While emphasis is given to living resources, in particular ecosystems and fisheries, non-living resources are also briefly considered (e.g. oil and gas), as is availability of clean seawater for production of fresh water. The focus is on the western and Arabian coasts; the eastern (Iranian) coast remains one of the least known in the world in biological terms. Of the subtidal ecosystems, coral reefs are the most diverse. They are highly productive, but cover only a small area and so are of relatively minor importance in a regional sense. Seagrasses are common in shallow areas (&lt;10 m), forming the basis of many food chains. At least four seagrass species are known for the region, but most communities are dominated by Halodule uninervis. Seagrasses are also an important habitat for commercial shrimp (e.g. Penaeus semisulcatus), pearl oysters and many other organisms. Mudflats occupy extensive areas of the intertidal zone. Their productivity is often enhanced by Cyanophya-dominated algal mats. Naturally occurring mangroves are found in association with tidal flats and are represented by a single species, Avicennia marina. Mangroves are much less extensive in the Gulf (125-130 km2) than the Red Sea (400-500 km2). Of major regional and global importance are the Gulf's fisheries, particularly for penaeid shrimp (e.g.P. semisulcatus), but also for groupers, jacks and spanish mackerel. Fauna important to conservation issues include sea birds, green and hawksbill turtles and dugongs. ?? 1993.","author":[{"dropping-particle":"","family":"Price","given":"A. R G","non-dropping-particle":"","parse-names":false,"suffix":""},{"dropping-particle":"","family":"Sheppard","given":"C. R C","non-dropping-particle":"","parse-names":false,"suffix":""},{"dropping-particle":"","family":"Roberts","given":"C. M.","non-dropping-particle":"","parse-names":false,"suffix":""}],"container-title":"Marine Pollution Bulletin","id":"ITEM-1","issue":"C","issued":{"date-parts":[["1993","1"]]},"page":"9-15","title":"The Gulf: Its biological setting","type":"article-journal","volume":"27"},"uris":["http://www.mendeley.com/documents/?uuid=55b3a3d4-8421-45fc-84fa-8de85e3c1b39"]}],"mendeley":{"formattedCitation":"(Price et al., 1993)","plainTextFormattedCitation":"(Price et al., 1993)","previouslyFormattedCitation":"(Price et al., 1993)"},"properties":{"noteIndex":0},"schema":"https://github.com/citation-style-language/schema/raw/master/csl-citation.json"}</w:instrText>
      </w:r>
      <w:r w:rsidRPr="0067054C">
        <w:fldChar w:fldCharType="separate"/>
      </w:r>
      <w:r w:rsidRPr="0067054C">
        <w:rPr>
          <w:noProof/>
        </w:rPr>
        <w:t>(Price et al., 1993)</w:t>
      </w:r>
      <w:r w:rsidRPr="0067054C">
        <w:fldChar w:fldCharType="end"/>
      </w:r>
      <w:r w:rsidRPr="0067054C">
        <w:t xml:space="preserve">. </w:t>
      </w:r>
      <w:r w:rsidR="005D2D77">
        <w:t xml:space="preserve">It is possible that the </w:t>
      </w:r>
      <w:r w:rsidRPr="0067054C">
        <w:t xml:space="preserve">environmental setting </w:t>
      </w:r>
      <w:r w:rsidR="005D2D77">
        <w:t xml:space="preserve">in Iran </w:t>
      </w:r>
      <w:r w:rsidRPr="0067054C">
        <w:t xml:space="preserve">may be why the relationship in Iran was more like tropical </w:t>
      </w:r>
      <w:r>
        <w:t xml:space="preserve">humid </w:t>
      </w:r>
      <w:r w:rsidRPr="0067054C">
        <w:t xml:space="preserve">Australian mangroves than of the geographically adjacent Qatari mangroves. The below ground biomass ratio recorded here (0.61) is higher than that reported anywhere else (0.1 - 0.55) for </w:t>
      </w:r>
      <w:proofErr w:type="spellStart"/>
      <w:r w:rsidRPr="0067054C">
        <w:rPr>
          <w:i/>
          <w:iCs/>
        </w:rPr>
        <w:t>Avicennia</w:t>
      </w:r>
      <w:proofErr w:type="spellEnd"/>
      <w:r w:rsidRPr="0067054C">
        <w:rPr>
          <w:i/>
          <w:iCs/>
        </w:rPr>
        <w:t xml:space="preserve"> </w:t>
      </w:r>
      <w:r w:rsidRPr="0067054C">
        <w:lastRenderedPageBreak/>
        <w:t xml:space="preserve">trees </w:t>
      </w:r>
      <w:r w:rsidRPr="0067054C">
        <w:fldChar w:fldCharType="begin" w:fldLock="1"/>
      </w:r>
      <w:r w:rsidRPr="0067054C">
        <w:instrText>ADDIN CSL_CITATION {"citationItems":[{"id":"ITEM-1","itemData":{"DOI":"10.1016/j.aquabot.2007.12.005","ISBN":"0304-3770","ISSN":"03043770","PMID":"961","abstract":"Our current knowledge on production, composition, transport, pathways and transformations of organic carbon in tropical mangrove environments is reviewed and discussed. Organic carbon entering mangrove foodwebs is either produced autochthonously or imported by tides and/or rivers. Mangrove litter and benthic microalgae are usually the most important autochthonous carbon sources. Depending on local conditions, phytoplankton and seagrass detritus imported with tides may represent a significant supplementary carbon input. Litter handling by the fauna not only affects microbial carbon transformations, but also the amount of organic carbon available for export. Most mangrove detritus that enters the sediment is degraded by microorganisms. Aerobic respiration and anaerobic sulfate reduction are usually considered the most important microbial respiration processes, but recent evidence suggests that iron respiration may be important in mangrove sediments as well. Organic carbon that escapes microbial degradation is stored in sediments and in some mangrove ecosystems, organic-rich sediments may extend to several meters depth. Many mangrove forests also lose a significant fraction of their net primary production to coastal waters. Large differences occur between mangrove forests with respect to litter production and export. Mangrove-derived DOC is also released into the water column and can add to the total organic carbon export. Numerous compounds have been characterized from mangrove tissues, including carbohydrates, amino acids, lignin-derived phenols, tannins, fatty acids, triterpenoids and n-alkanes. Many of these may, together with stable isotopes, exhibit a strong source signature and are potentially useful tracers of mangrove-derived organic matter. Our knowledge on mangrove carbon dynamics has improved considerably in recent years, but there are still significant gaps and shortcomings. These are emphasized and relevant research directions are suggested. ?? 2007 Elsevier B.V. All rights reserved.","author":[{"dropping-particle":"","family":"Kristensen","given":"Erik","non-dropping-particle":"","parse-names":false,"suffix":""},{"dropping-particle":"","family":"Bouillon","given":"Steven","non-dropping-particle":"","parse-names":false,"suffix":""},{"dropping-particle":"","family":"Dittmar","given":"Thorsten","non-dropping-particle":"","parse-names":false,"suffix":""},{"dropping-particle":"","family":"Marchand","given":"Cyril","non-dropping-particle":"","parse-names":false,"suffix":""}],"container-title":"Aquatic Botany","id":"ITEM-1","issue":"2","issued":{"date-parts":[["2008"]]},"page":"201-219","title":"Organic carbon dynamics in mangrove ecosystems: A review","type":"article-journal","volume":"89"},"uris":["http://www.mendeley.com/documents/?uuid=662a71f6-6086-3fc9-9108-b7a4c2a67500"]},{"id":"ITEM-2","itemData":{"author":[{"dropping-particle":"","family":"Alongi","given":"D.M","non-dropping-particle":"","parse-names":false,"suffix":""},{"dropping-particle":"","family":"Dixon","given":"P","non-dropping-particle":"","parse-names":false,"suffix":""}],"container-title":"Phuk","id":"ITEM-2","issue":"3","issued":{"date-parts":[["2000"]]},"page":"31-38","title":"Mangrove primary production and above-and belowground biomass in Sawi Bay, Southern Thailand","type":"article-journal","volume":"38"},"uris":["http://www.mendeley.com/documents/?uuid=37253b83-d098-4204-bc62-beb01776f23d"]},{"id":"ITEM-3","itemData":{"DOI":"10.1023/A:1009959909208","ISBN":"1386-3509, 1386-3509","ISSN":"13863509","abstract":"Above-ground and below-ground root biomasses (B(above) and B(root)) were measured for young, isolated Rhizophora stylosa on Iriomote Island, Japan. The relationship between these two parameters was significant and given as the equation, B(root) (g dry weight) = 0.394 x B(above) (g dry weight) - 485 (r = 0.986). Multiple regression analyses also revealed good correlation between diameter and biomass of prop roots (D(prop) and B(prop)) and between prop root and root biomasses. Consequently, root biomass could be estimated from the measurements of diameter and biomass of prop roots using the multiple regression equation, B(root) (g dry weight) = 80.0 x D(prop) (cm) + 0.86 x B(prop) (g dry weight) - 251. The relationship between DBH (diameter at breast height) and prop root biomass was also adequately described using an allometric equation. In Hinchinbrook Channel, Australia, redox potential (measured as Eh) and organic carbon stocks in the top 5 cm of mangrove sediments were measured along a 600 m transect from the frequently inundated, Rhizophora dominated zone on the creek edge, towards higher grounds, where Ceriops spp. became increasingly dominant. Eh values were about -60 mV near the creek edge and increased to 260 mV on higher grounds. Organic carbon stocks showed an opposite trend to Eh, with the values decreasing from about 360 t C ha-1 to 160 t C ha-1. At 18 sites, representing six different habitats, organic carbon stocks were also measured along with the DBH of mangrove trees. DBH was converted into above-ground biomass and then into root biomass using the equations obtained in the study on Iriomote Island. The average organic carbon stocks in the top 50 cm of sediments, above-ground biomass and root biomass were 296 t C ha-1, 123 t C ha-1 and 52 t C ha-1, respectively, and accounted for 64%, 25% and 11% of the total organic carbon stock.","author":[{"dropping-particle":"","family":"Matsui","given":"N.","non-dropping-particle":"","parse-names":false,"suffix":""}],"container-title":"Mangroves and Salt Marshes","id":"ITEM-3","issue":"4","issued":{"date-parts":[["1998"]]},"page":"199-204","title":"Estimated stocks of organic carbon in mangrove roots and sediments in Hinchinbrook Channel, Australia","type":"article-journal","volume":"2"},"uris":["http://www.mendeley.com/documents/?uuid=5cce22bb-355f-309f-b2da-246335a20a0e"]}],"mendeley":{"formattedCitation":"(Alongi and Dixon, 2000; Kristensen et al., 2008; Matsui, 1998)","plainTextFormattedCitation":"(Alongi and Dixon, 2000; Kristensen et al., 2008; Matsui, 1998)","previouslyFormattedCitation":"(Alongi and Dixon, 2000; Kristensen et al., 2008; Matsui, 1998)"},"properties":{"noteIndex":0},"schema":"https://github.com/citation-style-language/schema/raw/master/csl-citation.json"}</w:instrText>
      </w:r>
      <w:r w:rsidRPr="0067054C">
        <w:fldChar w:fldCharType="separate"/>
      </w:r>
      <w:r w:rsidRPr="0067054C">
        <w:rPr>
          <w:noProof/>
        </w:rPr>
        <w:t>(Alongi and Dixon, 2000; Kristensen et al., 2008; Matsui, 1998)</w:t>
      </w:r>
      <w:r w:rsidRPr="0067054C">
        <w:fldChar w:fldCharType="end"/>
      </w:r>
      <w:r w:rsidRPr="0067054C">
        <w:t xml:space="preserve"> and support the principle that mangrove trees boost energy allocation to below ground biomass when environmental conditions are stressful, for example under reduced rainfall or increased salinity </w:t>
      </w:r>
      <w:r w:rsidRPr="0067054C">
        <w:fldChar w:fldCharType="begin" w:fldLock="1"/>
      </w:r>
      <w:r w:rsidR="008A48C6">
        <w:instrText xml:space="preserve">ADDIN CSL_CITATION {"citationItems":[{"id":"ITEM-1","itemData":{"DOI":"10.1007/s10021-008-9125-4","ISBN":"1432-9840","ISSN":"14329840","PMID":"210419909","abstract":"Mangrove forests cover large areas of tropical and subtropical coastlines. They provide a wide range of ecosystem services that includes carbon storage in above- and below ground biomass and in soils. Carbon dioxide (CO2) emissions from soil, or soil respiration is important in the global carbon budget and is sensitive to increasing global temperature. To understand the magnitude of mangrove soil respi- ration and the influence of forest structure and temperature on the variation in mangrove soil respiration I assessed soil respiration at eleven mangrove sites, ranging from latitude 27?Nto 37?S. Mangrove soil respiration was similar to those ob- served for terrestrial forest soils. Soil respiration was correlated with leaf area index (LAI) and aboveground net primary production (litterfall), which should aid scaling up to regional and global estimates of soil respiration. Using a carbon balance model, total belowground carbon allocation (TBCA) per unit litterfall was similar in tall man- grove forests as observed in terrestrial forests, but in scrub mangrove forests TBCA per unit litter fall was greater than in terrestrial forests, suggesting man- groves allocate a large proportion of their fixed carbon below ground under unfavorable environ- mental conditions. The response of soil respiration to soil temperature was not a linear function of temperature. At temperatures below 26?C Q10 of mangrove soil respiration was 2.6, similar to that reported for terrestrial forest soils. However in scrub forests soil respiration declined with increasing soil temperature, largely because of reduced canopy cover and enhanced activity of photosynthetic benthic microbial communities.","author":[{"dropping-particle":"","family":"Lovelock","given":"Catherine E.","non-dropping-particle":"","parse-names":false,"suffix":""}],"container-title":"Ecosystems","id":"ITEM-1","issue":"2","issued":{"date-parts":[["2008"]]},"page":"342-354","title":"Soil respiration and belowground carbon allocation in mangrove forests","type":"article-journal","volume":"11"},"uris":["http://www.mendeley.com/documents/?uuid=d86c2059-d4c1-43e5-9afe-2eb68bf8ab4a"]},{"id":"ITEM-2","itemData":{"DOI":"10.1007/s13157-014-0514-5","ISBN":"1315701405","ISSN":"19436246","PMID":"25246403","abstract":"Root production influences a range of belowground processes, such as soil accretion, carbon sequestration and nutrient acquisition. Here, we measured biomass and root production of mangroves surrounding a karstic oligotrophic lagoon that spans a nutrient and salinity gradient. We also measured forest structure and soil physicochemical conditions (salinity, bulk density, carbon, nitrogen (N) and phosphorus (P)) in order to determine factors associated with root production. We tested the following hypotheses: 1) root biomass and production increase at low soil P and N in order to maximize resource utilization, and 2) root biomass and production increase with high interstitial salinity. Root biomass (947-3,040 g m(-2)) and production (0.46-1.85 g m(-2) day(-1)) increased where soil P and interstitial salinity were relatively high. Thus, we rejected the first hypothesis and confirmed the second. The larger root fraction (5-20 mm) was the major contributor to root biomass and production. Our findings suggest that root production and thus capacity for belowground carbon storage in karstic regions, where P is often limiting, is greater where interstitial salinity and P are higher. This contrasts with past assessments indicating that P-deficiency stimulates root growth, suggesting wide variation in belowground responses in mangroves.","author":[{"dropping-particle":"","family":"Adame","given":"Maria Fernanda","non-dropping-particle":"","parse-names":false,"suffix":""},{"dropping-particle":"","family":"Teutli","given":"Claudia","non-dropping-particle":"","parse-names":false,"suffix":""},{"dropping-particle":"","family":"Santini","given":"Nadia S.","non-dropping-particle":"","parse-names":false,"suffix":""},{"dropping-particle":"","family":"Caamal","given":"Juan P.","non-dropping-particle":"","parse-names":false,"suffix":""},{"dropping-particle":"","family":"Zaldívar-Jiménez","given":"Arturo","non-dropping-particle":"","parse-names":false,"suffix":""},{"dropping-particle":"","family":"Herńndez","given":"Raquel","non-dropping-particle":"","parse-names":false,"suffix":""},{"dropping-particle":"","family":"Herrera-Silveira","given":"Jorge A.","non-dropping-particle":"","parse-names":false,"suffix":""}],"container-title":"Wetlands","id":"ITEM-2","issue":"3","issued":{"date-parts":[["2014"]]},"page":"479-488","title":"Root biomass and production of mangroves surrounding a karstic oligotrophic coastal lagoon","type":"article-journal","volume":"34"},"uris":["http://www.mendeley.com/documents/?uuid=c7b053c9-03df-38c0-914f-8ed1c580b549"]},{"id":"ITEM-3","itemData":{"DOI":"10.1007/s40725-015-0018-4","ISSN":"21986436","abstract":"Over the past few decades, many of the world’s mangrove forests have experienced significant change, which can be attributed to human activities and also natural causes. However, a component may also be due to factors that are commonly associated with anthropogenic climate change including higher air temperatures, variations in rainfall, increases in storm frequencies and intensities, and rising sea levels. The expected responses of mangrove to these drivers include changes in extent (latitudinal, seaward and landward), growth rates and productivity, and species composition. This paper reviews such responses and then, using examples from Australia, illustrates how these might appear within and be detected using single-date or time-series of remote sensing data acquired in different modes (e.g., aerial photography, optical and radar). In doing so, it informs countries and organisations of the potential impacts of climate change on mangrove forests and how these may be monitored using remote sensing data.","author":[{"dropping-particle":"","family":"Asbridge","given":"Emma","non-dropping-particle":"","parse-names":false,"suffix":""},{"dropping-particle":"","family":"Lucas","given":"Richard","non-dropping-particle":"","parse-names":false,"suffix":""},{"dropping-particle":"","family":"Accad","given":"Arnon","non-dropping-particle":"","parse-names":false,"suffix":""},{"dropping-particle":"","family":"Dowling","given":"Ralph","non-dropping-particle":"","parse-names":false,"suffix":""}],"container-title":"Current Forestry Reports","id":"ITEM-3","issue":"3","issued":{"date-parts":[["2015"]]},"page":"178-194","title":"Mangrove response to environmental changes predicted under varying climates: Case studies from Australia","type":"article-journal","volume":"1"},"uris":["http://www.mendeley.com/documents/?uuid=ce00ca6b-be7e-4dc5-a386-f0b940a7293d","http://www.mendeley.com/documents/?uuid=ebad1c0c-2499-44a0-8c33-939d7f8d247b"]},{"id":"ITEM-4","itemData":{"DOI":"10.1007/978-3-319-27422-5_7","abstract":"Mangrove forests grow on saline, periodically flooded soils of the tropical and subtropical coasts. The tree species that comprise the mangrove are halophytes that have suites of traits that confer differing levels of tolerance of salinity, aridity, inundation and extremes of temperature. Here we review how climate change and elevated levels of atmospheric CO2 will influence mangrove forests. Tolerance of salinity and inundation in mangroves is associated with the efficient use of water for photosynthetic carbon gain which unpins anticipated gains in productivity with increasing levels of CO2. We review evidence of increases in productivity with increasing CO2, finding that enhancements in growth appear to be similar to trees in non-mangrove habitats and that gains in productivity with elevated CO2 are likely due to changes in biomass allocation. High levels of trait plasticity are observed in some mangrove species, which potentially facilitates their responses to climate change. Trait plasticity is associated with broad tolerance of salinity, aridity, low temperatures and nutrient availability. Because low temperatures and aridity place strong limits on mangrove growth at the edge of their current distribution, increasing temperatures over time and changing rainfall patterns are likely to have an important influence on the distribution of mangroves. We provide a global analysis based on plant traits and IPCC scenarios of changing temperature and aridity that indicates substantial global potential for mangrove expansion.","author":[{"dropping-particle":"","family":"Lovelock","given":"Catherine E.","non-dropping-particle":"","parse-names":false,"suffix":""},{"dropping-particle":"","family":"Krauss","given":"Ken W.","non-dropping-particle":"","parse-names":false,"suffix":""},{"dropping-particle":"","family":"Osland","given":"Michael J.","non-dropping-particle":"","parse-names":false,"suffix":""},{"dropping-particle":"","family":"Reef","given":"Ruth","non-dropping-particle":"","parse-names":false,"suffix":""},{"dropping-particle":"","family":"Ball","given":"Marilyn C.","non-dropping-particle":"","parse-names":false,"suffix":""}],"id":"ITEM-4","issued":{"date-parts":[["2016"]]},"page":"149-179","title":"The Physiology of Mangrove Trees with Changing Climate","type":"chapter"},"uris":["http://www.mendeley.com/documents/?uuid=358dd5b7-c001-45ec-b8e9-14b94a079076","http://www.mendeley.com/documents/?uuid=b31030ab-20c0-4ca0-9a55-bb5acec893c7"]},{"id":"ITEM-5","itemData":{"DOI":"10.1071/MF18321","ISSN":"13231650","abstract":"Mangrove-saltmarsh tidal wetlands are highly dynamic ecosystems, responding and adapting to climate and physical conditions at all spatial and temporal scales. Knowledge of the large-scale ecosystem processes involved and how they might be influenced by climate variables is highly relevant today. For tidal-wetland sites well within the latitudinal range of the mostly tropical mangrove communities, we confirm that average annual rainfall influences vegetative cover, as well as species composition and biomass of tidal wetlands. On the basis of 205 largely unmodified, tropical and subtropical estuaries of northern Australia, a sigmoidal relationship, with a centroid inflection point </w:instrText>
      </w:r>
      <w:r w:rsidR="008A48C6">
        <w:rPr>
          <w:rFonts w:ascii="Cambria Math" w:hAnsi="Cambria Math" w:cs="Cambria Math"/>
        </w:rPr>
        <w:instrText>∼</w:instrText>
      </w:r>
      <w:r w:rsidR="008A48C6">
        <w:instrText>1368 mm, was derived between rainfall and the relative amounts of high-biomass mangroves and low-biomass saltmarsh-saltpan vegetation. The presence and probability of observed combinations of these community types were quantified using the wetland cover index, which is the ratio of total mangrove area to that of mangroves plus intertidal saltmarsh and saltpans. Accordingly, periodic changes in rainfall trends are likely manifest as either encroachment or dieback of mangroves along the ecotones separating them from tidal saltmarsh-saltpans. Presented is a new conceptual framework and model that describes how such ecosystem-scale processes take place in tropical and subtropical tidal wetlands.","author":[{"dropping-particle":"","family":"Duke","given":"Norman C.","non-dropping-particle":"","parse-names":false,"suffix":""},{"dropping-particle":"","family":"Field","given":"Colin","non-dropping-particle":"","parse-names":false,"suffix":""},{"dropping-particle":"","family":"Mackenzie","given":"Jock R.","non-dropping-particle":"","parse-names":false,"suffix":""},{"dropping-particle":"","family":"Meynecke","given":"Jan Olaf","non-dropping-particle":"","parse-names":false,"suffix":""},{"dropping-particle":"","family":"Wood","given":"Apanie L.","non-dropping-particle":"","parse-names":false,"suffix":""}],"container-title":"Marine and Freshwater Research","id":"ITEM-5","issue":"8","issued":{"date-parts":[["2019"]]},"page":"1047-1055","title":"Rainfall and its possible hysteresis effect on the proportional cover of tropical tidal-wetland mangroves and saltmarsh-saltpans","type":"article-journal","volume":"70"},"uris":["http://www.mendeley.com/documents/?uuid=92a8f47e-64e2-44a0-b641-d618f18092dd","http://www.mendeley.com/documents/?uuid=c39113b7-67f9-4dce-a5cb-c86c3bdef961"]},{"id":"ITEM-6","itemData":{"DOI":"10.1016/j.ecss.2020.106796","ISSN":"02727714","abstract":"Mangroves are one of the few woody ecosystems that grow in hot-arid climates. They can survive extreme conditions of low precipitation, high solar radiation, wide temperature fluctuations and hypersalinity. These unique mangroves have distinct geomorphology, hydrology, forest structure, tree physiology, and soil biogeochemistry. In this review, supported by field data from Australia and Mexico, we explore the characteristics of mangroves in arid climates of the world. These mangroves are mostly tide-dominated with freshwater flows restricted to groundwater and sporadic tropical storms. They form dense forests with stunted growth dominated mainly by trees of the genus Avicennia that co-occur with salt marshes in the high intertidal. Their soils have low nutrient and carbon concentrations, and high soil δ15 N and δ13C values compared to subhumid and humid mangroves. Mangroves in arid climates have relatively low human pressure due to sparse human settlements. Key threats to these mangroves, which often persist at the edge of their physiological tolerances, include extreme drought, reductions in groundwater inputs, altered hydrology, sea-level fluctuations and increases in nutrient loading. Restoration of mangroves in arid climates should focus on restoring their hydrology. Mangroves in arid zones are under-represented in global maps and assessment programs, as they may not be consistent with countries’ definition of “forests”. Improved global representation and understanding of the ecology of mangroves in arid climates could help sustain their valuable ecosystem services.","author":[{"dropping-particle":"","family":"Adame","given":"M. F.","non-dropping-particle":"","parse-names":false,"suffix":""},{"dropping-particle":"","family":"Reef","given":"R.","non-dropping-particle":"","parse-names":false,"suffix":""},{"dropping-particle":"","family":"Santini","given":"N. S.","non-dropping-particle":"","parse-names":false,"suffix":""},{"dropping-particle":"","family":"Najera","given":"E.","non-dropping-particle":"","parse-names":false,"suffix":""},{"dropping-particle":"","family":"Turschwell","given":"M. P.","non-dropping-particle":"","parse-names":false,"suffix":""},{"dropping-particle":"","family":"Hayes","given":"M. A.","non-dropping-particle":"","parse-names":false,"suffix":""},{"dropping-particle":"","family":"Masque","given":"P.","non-dropping-particle":"","parse-names":false,"suffix":""},{"dropping-particle":"","family":"Lovelock","given":"C. E.","non-dropping-particle":"","parse-names":false,"suffix":""}],"container-title":"Estuarine, Coastal and Shelf Science","id":"ITEM-6","issued":{"date-parts":[["2020"]]},"title":"Mangroves in arid regions: Ecology, threats, and opportunities","type":"article-journal"},"uris":["http://www.mendeley.com/documents/?uuid=f4566645-8993-4033-ab48-124854464c6a"]}],"mendeley":{"formattedCitation":"(Adame et al., 2020, 2014; Asbridge et al., 2015; Duke et al., 2019; Lovelock, 2008; Lovelock et al., 2016)","plainTextFormattedCitation":"(Adame et al., 2020, 2014; Asbridge et al., 2015; Duke et al., 2019; Lovelock, 2008; Lovelock et al., 2016)","previouslyFormattedCitation":"(Adame et al., 2020, 2014; Asbridge et al., 2015; Duke et al., 2019; Lovelock, 2008; Lovelock et al., 2016)"},"properties":{"noteIndex":0},"schema":"https://github.com/citation-style-language/schema/raw/master/csl-citation.json"}</w:instrText>
      </w:r>
      <w:r w:rsidRPr="0067054C">
        <w:fldChar w:fldCharType="separate"/>
      </w:r>
      <w:r w:rsidRPr="00F63E65">
        <w:rPr>
          <w:noProof/>
        </w:rPr>
        <w:t>(Adame et al., 2020, 2014; Asbridge et al., 2015; Duke et al., 2019; Lovelock, 2008; Lovelock et al., 2016)</w:t>
      </w:r>
      <w:r w:rsidRPr="0067054C">
        <w:fldChar w:fldCharType="end"/>
      </w:r>
      <w:r w:rsidRPr="0067054C">
        <w:t xml:space="preserve">. Relatively high below ground biomass ratios of up to 0.67 and 0.77 have been recorded for </w:t>
      </w:r>
      <w:r w:rsidRPr="0067054C">
        <w:rPr>
          <w:i/>
          <w:iCs/>
        </w:rPr>
        <w:t xml:space="preserve">Rhizophora </w:t>
      </w:r>
      <w:r w:rsidRPr="0067054C">
        <w:t xml:space="preserve">spp. dominated stands, although these were estimated from allometric equations that were not species-specific </w:t>
      </w:r>
      <w:r w:rsidRPr="0067054C">
        <w:fldChar w:fldCharType="begin" w:fldLock="1"/>
      </w:r>
      <w:r w:rsidRPr="0067054C">
        <w:instrText>ADDIN CSL_CITATION {"citationItems":[{"id":"ITEM-1","itemData":{"DOI":"10.1007/s13157-011-0148-9","ISBN":"0277-5212","ISSN":"02775212","PMID":"24834737","abstract":"Among the least studied ecosystem services of mangroves is their value as global carbon (C) stocks. This is significant as mangroves are subject to rapid rates of deforestation and therefore could be significant sources of atmospheric emissions. Mangroves could be key ecosystems in strategies addressing the mitigation of climate change though reduced deforestation. We quantified ecosystem C stocks at the seaward, interior, and upland edges of mangroves in the Republic of Palau and Yap, Federated States of Micronesia. The relatively high aboveground biomass coupled with carbon-rich soils resulted in the presence of large ecosystem carbon stocks compared to other tropical forests. Ecosystem C storage at the Palau site ranged from 479Mg/ha in the seaward zone to 1,068Mg/ha in the landward zone; in the Yap site C storage ranged from 853 to 1,385 Mg/ha along this gradient. Soils contained ~70% of the ecosystem C stocks. The elevation range of mangroves was &lt;146 cm, suggesting that projected sea-level rise can influence a large portion of existing stands. Declines in ecosystem carbon stocks will be pronounced if mangroves are replaced by communities adapted to greater inundation such as seagrass communities, where C pools were =7% of that of mangroves (48 Mg C/ha).","author":[{"dropping-particle":"","family":"Kauffman","given":"J. Boone","non-dropping-particle":"","parse-names":false,"suffix":""},{"dropping-particle":"","family":"Heider","given":"Chris","non-dropping-particle":"","parse-names":false,"suffix":""},{"dropping-particle":"","family":"Cole","given":"Thomas G.","non-dropping-particle":"","parse-names":false,"suffix":""},{"dropping-particle":"","family":"Dwire","given":"Kathleen A.","non-dropping-particle":"","parse-names":false,"suffix":""},{"dropping-particle":"","family":"Donato","given":"Daniel C.","non-dropping-particle":"","parse-names":false,"suffix":""}],"container-title":"Wetlands","id":"ITEM-1","issue":"2","issued":{"date-parts":[["2011"]]},"page":"343-352","title":"Ecosystem carbon stocks of micronesian mangrove forests","type":"article-journal","volume":"31"},"uris":["http://www.mendeley.com/documents/?uuid=22ed9481-6a2e-3a46-bd1d-2bb5889bec94"]},{"id":"ITEM-2","itemData":{"DOI":"10.1017/S0266467405002476","ISBN":"1469-7831","ISSN":"0266-4674","abstract":"Inventory data on tree weights of 104 individual trees representing 10 mangrove species were collected from mangrove forests in South-East Asia to establish common allometric equations for the trunk, leaf, above-ground and root weight. We used the measurable tree dimensions, such as dbh (trunk diameter at breast height), DR0.3 (trunk diameter at 30 cm above the highest prop root of Rhizophora species), DB (trunk diameter at lowest living branch), and H (tree height) for the independent variable of equations. Among the mangrove species studied, the trunk shape was statistically identical regardless of site and species. However, ρ (wood density of tree trunk) differed significantly among the species. A common allometric equation for trunk weight was derived, when dbh2H or DR0.32H was selected as the independent variable and wood density was taken into account. The common allometric equations for the leaf and the above-ground weight were also derived according to Shinozaki&amp;apos;s pipe model and its extended theory. The common allometric relationships for these weights were attained with given ρ of each species, when DB2 or dbh2 or DR0.32 was selected as the independent variable. For the root weight, the common equation was derived from the allometric relationship between root weight and above-ground weight, since these two partial weights significantly correlated with each other. Based on these physical and biological parameters, we have proposed four common allometric equations for estimating the mangrove tree weight of trunk, leaf, above-ground part and root.","author":[{"dropping-particle":"","family":"Komiyama","given":"Akira","non-dropping-particle":"","parse-names":false,"suffix":""},{"dropping-particle":"","family":"Poungparn","given":"Sasitorn","non-dropping-particle":"","parse-names":false,"suffix":""},{"dropping-particle":"","family":"Kato","given":"Shogo","non-dropping-particle":"","parse-names":false,"suffix":""}],"container-title":"Journal of Tropical Ecology","id":"ITEM-2","issue":"04","issued":{"date-parts":[["2005"]]},"page":"471-477","title":"Common allometric equations for estimating the tree weight of mangroves","type":"article-journal","volume":"21"},"uris":["http://www.mendeley.com/documents/?uuid=8a8feb51-d5ac-4dd4-be4b-16cd692434c1"]}],"mendeley":{"formattedCitation":"(Kauffman et al., 2011; Komiyama et al., 2005)","plainTextFormattedCitation":"(Kauffman et al., 2011; Komiyama et al., 2005)","previouslyFormattedCitation":"(Kauffman et al., 2011; Komiyama et al., 2005)"},"properties":{"noteIndex":0},"schema":"https://github.com/citation-style-language/schema/raw/master/csl-citation.json"}</w:instrText>
      </w:r>
      <w:r w:rsidRPr="0067054C">
        <w:fldChar w:fldCharType="separate"/>
      </w:r>
      <w:r w:rsidRPr="0067054C">
        <w:rPr>
          <w:noProof/>
        </w:rPr>
        <w:t>(Kauffman et al., 2011; Komiyama et al., 2005)</w:t>
      </w:r>
      <w:r w:rsidRPr="0067054C">
        <w:fldChar w:fldCharType="end"/>
      </w:r>
      <w:r w:rsidRPr="0067054C">
        <w:t xml:space="preserve">. </w:t>
      </w:r>
      <w:proofErr w:type="spellStart"/>
      <w:r w:rsidRPr="0067054C">
        <w:rPr>
          <w:i/>
          <w:iCs/>
        </w:rPr>
        <w:t>Avicennia</w:t>
      </w:r>
      <w:proofErr w:type="spellEnd"/>
      <w:r w:rsidRPr="0067054C">
        <w:rPr>
          <w:i/>
          <w:iCs/>
        </w:rPr>
        <w:t xml:space="preserve"> </w:t>
      </w:r>
      <w:proofErr w:type="spellStart"/>
      <w:r w:rsidRPr="0067054C">
        <w:rPr>
          <w:i/>
          <w:iCs/>
        </w:rPr>
        <w:t>germinans</w:t>
      </w:r>
      <w:proofErr w:type="spellEnd"/>
      <w:r w:rsidRPr="0067054C">
        <w:t xml:space="preserve"> has shown a similar pattern of increasing below ground biomass from tropical to sub-tropical climates </w:t>
      </w:r>
      <w:r w:rsidRPr="0067054C">
        <w:fldChar w:fldCharType="begin" w:fldLock="1"/>
      </w:r>
      <w:r w:rsidR="008A48C6">
        <w:instrText>ADDIN CSL_CITATION {"citationItems":[{"id":"ITEM-1","itemData":{"DOI":"10.1016/0304-3770(87)90046-5","ISSN":"03043770","abstract":"The composition and productivity of two mangrove sites surrounding the Laguna de Términos, Mexico, were studied from March 1979 to January 1984. Measurements were made of the tree composition, above-ground woody biomass changes, and litterfall production at a high-salinity fringing site and a low-salinity riverine site. Rhizophora mangle L. was the dominant tree at the fringing site, but occurred only at the water's edge at the riverine site. Avicennia germinans L. dominated the inland area of the riverine site. Laguncularia racemosa Gaertn. f. had a more even distribution from shore to inland and from site to site. Average diameter at breast height (DBH) was greater at the riverine site for each of the three species; however, tree density (trees &gt; 2.5 cm DBH) was more than twice as high at the fringing site (7510 ha-1) than at the riverine site (3360 ha-1). Wood production (1206 g m-2 year-1 vs. 772 g m-2 year-1) and litterfall (1252 g m-2 year-1 vs. 835 g m-2) were higher at the riverine site than at the fringing site. Total estimated above-ground net production was 2458 g m-2 year-1 at the riverine site and 1607 g m-2 year-1 at the fringing site. © 1987.","author":[{"dropping-particle":"","family":"Day","given":"JW","non-dropping-particle":"","parse-names":false,"suffix":""},{"dropping-particle":"","family":"Conner","given":"WH","non-dropping-particle":"","parse-names":false,"suffix":""},{"dropping-particle":"","family":"Ley-Lou","given":"F","non-dropping-particle":"","parse-names":false,"suffix":""},{"dropping-particle":"","family":"Day","given":"Richard H","non-dropping-particle":"","parse-names":false,"suffix":""},{"dropping-particle":"","family":"Navarro","given":"AM","non-dropping-particle":"","parse-names":false,"suffix":""}],"container-title":"Aquatic Botany","id":"ITEM-1","issue":"3","issued":{"date-parts":[["1987"]]},"page":"267-284","title":"The productivity and composition of mangrove forests, Laguna de Términos, Mexico","type":"article-journal","volume":"27"},"uris":["http://www.mendeley.com/documents/?uuid=c52a1a43-8046-3eed-a0a9-4552b0a7a5b9"]},{"id":"ITEM-2","itemData":{"DOI":"10.1007/s004420050489","ISBN":"00298549","ISSN":"00298549","abstract":"The article presents new results on the structure and the above-ground biomass of the various population types of mangroves in French Guiana. Nine mangrove stands were studied, each composed of three to ten adjoining plots with areas that varied depending on the density of the populations. Structural parameters and indices were calculated. Individuals representative of the three groups of taxa present were felled: Avicennia germinans (L) Stearn, Rhizophora spp., and Laguncularia racemosa (L) Gaertn. The trunks, branches and leaves were sorted and weighed separately. The biomass was obtained by determining the allometric relationships, the general equation selected being of the type y = a(o)x(al), where the diameter (x) is the predictive variable. The total above-ground biomass varied from 31 t ha-1 for the pioneer stages to 315 t ha-1 for mature coastal mangroves, but with large variations depending on the structural characteristics at each site. The results place the Guianese mangroves among those with high biomass, although lower than those reported for Asia. Based on the relationships between structural parameters and standing biomass, in particular with the use of the 'self-thinning rule', population dynamics models are proposed.","author":[{"dropping-particle":"","family":"Fromard","given":"F.","non-dropping-particle":"","parse-names":false,"suffix":""},{"dropping-particle":"","family":"Puig","given":"H.","non-dropping-particle":"","parse-names":false,"suffix":""},{"dropping-particle":"","family":"Mougin","given":"E.","non-dropping-particle":"","parse-names":false,"suffix":""},{"dropping-particle":"","family":"Marty","given":"G.","non-dropping-particle":"","parse-names":false,"suffix":""},{"dropping-particle":"","family":"Betoulle","given":"J. L.","non-dropping-particle":"","parse-names":false,"suffix":""},{"dropping-particle":"","family":"Cadamuro","given":"L.","non-dropping-particle":"","parse-names":false,"suffix":""}],"container-title":"Oecologia","id":"ITEM-2","issue":"1-2","issued":{"date-parts":[["1998"]]},"page":"39-53","title":"Structure, above-ground biomass and dynamics of mangrove ecosystems: New data from French Guiana","type":"article-journal","volume":"115"},"uris":["http://www.mendeley.com/documents/?uuid=592483d4-23df-30eb-9735-144ee94be46c"]},{"id":"ITEM-3","itemData":{"DOI":"10.1007/s11273-005-6243-z","ISBN":"0923-4861","ISSN":"09234861","abstract":"Mathematical relations that use easily measured variables to predict difficult-to-measure variables are important to resource managers. In this paper we develop allometric relations to predict total aboveground biomass and individual components of biomass (e.g., leaves, stems, branches) for three species of mangroves for Everglades National Park, Florida, USA. The Greater Everglades Ecosystem is currently the subject of a 7.8-billion-dollar restoration program sponsored by federal, state, and local agencies. Biomass and production of mangroves are being used as a measure of restoration success. A technique for rapid determination of biomass over large areas is required. We felled 32 mangrove trees and separated each plant into leaves, stems, branches, and for Rhizophora mangle L., prop roots. Wet weights were measured in the field and subsamples returned to the laboratory for determination of wet-to-dry weight conversion factors. The diameter at breast height (DBH) and stem height were also measured. Allometric equations were developed for each species for total biomass and components of biomass. We compared our equations with those from the same, or similar, species from elsewhere in the world. Our equations explained Ž93% of the variance in total dry weight using DBH. DBH is a better predictor of dry weight than is stem height and DBH is much easier to measure. Furthermore, our results indicate that there are biogeographic differences in allometric relations between regions. For a given DBH, stems of all three species have less mass in Florida than stems from elsewhere in the world.","author":[{"dropping-particle":"","family":"Smith","given":"Thomas J.","non-dropping-particle":"","parse-names":false,"suffix":""},{"dropping-particle":"","family":"Whelan","given":"Kevin R T","non-dropping-particle":"","parse-names":false,"suffix":""}],"container-title":"Wetlands Ecology and Management","id":"ITEM-3","issue":"5","issued":{"date-parts":[["2006"]]},"page":"409-419","title":"Development of allometric relations for three mangrove species in South Florida for use in the Greater Everglades Ecosystem restoration","type":"article-journal","volume":"14"},"uris":["http://www.mendeley.com/documents/?uuid=db737246-7081-3ba7-ba52-b8408798a133"]}],"mendeley":{"formattedCitation":"(Day et al., 1987; Fromard et al., 1998; Smith and Whelan, 2006)","plainTextFormattedCitation":"(Day et al., 1987; Fromard et al., 1998; Smith and Whelan, 2006)","previouslyFormattedCitation":"(Day et al., 1987; Fromard et al., 1998; Smith and Whelan, 2006)"},"properties":{"noteIndex":0},"schema":"https://github.com/citation-style-language/schema/raw/master/csl-citation.json"}</w:instrText>
      </w:r>
      <w:r w:rsidRPr="0067054C">
        <w:fldChar w:fldCharType="separate"/>
      </w:r>
      <w:r w:rsidRPr="0067054C">
        <w:rPr>
          <w:noProof/>
        </w:rPr>
        <w:t>(Day et al., 1987; Fromard et al., 1998; Smith and Whelan, 2006)</w:t>
      </w:r>
      <w:r w:rsidRPr="0067054C">
        <w:fldChar w:fldCharType="end"/>
      </w:r>
      <w:r w:rsidRPr="0067054C">
        <w:t xml:space="preserve">. This previous work coupled with our present results indicate that previous predictive studies of above and below ground mangrove tree C stocks need to take into account regional differences in growth patterns to reduce uncertainty in their estimates. Our findings imply that previous studies may underestimate below ground mangrove tree C in arid or extreme environments by using equations developed in less harsh environments. For example, </w:t>
      </w:r>
      <w:proofErr w:type="spellStart"/>
      <w:r w:rsidRPr="0067054C">
        <w:t>Bhomia</w:t>
      </w:r>
      <w:proofErr w:type="spellEnd"/>
      <w:r w:rsidRPr="0067054C">
        <w:t xml:space="preserve"> and Kauffman </w:t>
      </w:r>
      <w:r w:rsidRPr="0067054C">
        <w:fldChar w:fldCharType="begin" w:fldLock="1"/>
      </w:r>
      <w:r w:rsidRPr="0067054C">
        <w:instrText>ADDIN CSL_CITATION {"citationItems":[{"id":"ITEM-1","itemData":{"DOI":"10.1371/journal.pone.0187749","ISBN":"1111111111","ISSN":"19326203","abstract":"Globally, it is recognized that blue carbon ecosystems, especially mangroves, often sequester large quantities of carbon and are of interest for inclusion in climate change mitigation strategies. While 19% of the world’s mangroves are in Africa, they are among the least investigated of all blue carbon ecosystems. We quantified total ecosystem carbon stocks in 33 different mangrove stands along the Atlantic coast of West-Central Africa from Senegal to Southern Gabon spanning large gradients of latitude, soil properties, porewater salinity, and precipitation. Mangrove structure ranged from low and dense stands that were &lt;1m in height and &gt;35,000 trees ha-1 to tall and open stands &gt;40m in height and &lt;100 ha-1. Tremendous variation in ecosystem carbon (C) stocks was measured ranging from 154 to 1,484 Mg C ha-1. The mean total ecosystem carbon stock for all mangroves of West-Central Africa was 799 Mg C ha-1. Soils comprised an average of 86% of the total carbon stock. The greatest carbon stocks were found in the tall mangroves of Liberia and Gabon North with a mean &gt;1,000 Mg C ha-1. The lowest carbon stocks were found in the low mangroves of the semiarid region of Senegal (463 Mg C ha-1) and in mangroves on coarse-textured soils in Gabon South (541 Mg C ha-1). At the scale of the entirety of West-Central Africa, total ecosystem carbon stocks were poorly correlated to aboveground ecosystem carbon pools, precipitation, latitude and soil salinity (r2 = ≤0.07 for all parameters). Based upon a sample of 158 sites from Africa, Asia and Latin America that were sampled in a similar manner to this study, the global mean of carbon stocks for mangroves is 885 Mg C ha-1. The ecosystem carbon stocks of mangroves for West-Central Africa are slightly lower than those of Latin America (940 Mg C ha-1) and Asia (1049 Mg C ha-1) but substantially higher than the default Intergovernmental Panel on Climate Change (IPCC) values for mangroves (511 Mg C ha-1). This study provides an improved estimation of default estimates (Tier 1 values) of mangroves for Asia, Latin America, and West Central Africa.","author":[{"dropping-particle":"","family":"Kauffman","given":"J. B.","non-dropping-particle":"","parse-names":false,"suffix":""},{"dropping-particle":"","family":"Bhomia","given":"Rupesh K.","non-dropping-particle":"","parse-names":false,"suffix":""}],"container-title":"PLoS ONE","editor":[{"dropping-particle":"","family":"Cebrian","given":"Just","non-dropping-particle":"","parse-names":false,"suffix":""}],"id":"ITEM-1","issue":"11","issued":{"date-parts":[["2017","11","13"]]},"page":"e0187749","publisher":"Public Library of Science","title":"Ecosystem carbon stocks of mangroves across broad environmental gradients in West-Central Africa: Global and regional comparisons","type":"article-journal","volume":"12"},"uris":["http://www.mendeley.com/documents/?uuid=0dda3e35-6690-3ef2-afb9-36bcc53c835b"]}],"mendeley":{"formattedCitation":"(Kauffman and Bhomia, 2017)","plainTextFormattedCitation":"(Kauffman and Bhomia, 2017)","previouslyFormattedCitation":"(Kauffman and Bhomia, 2017)"},"properties":{"noteIndex":0},"schema":"https://github.com/citation-style-language/schema/raw/master/csl-citation.json"}</w:instrText>
      </w:r>
      <w:r w:rsidRPr="0067054C">
        <w:fldChar w:fldCharType="separate"/>
      </w:r>
      <w:r w:rsidRPr="0067054C">
        <w:rPr>
          <w:noProof/>
        </w:rPr>
        <w:t>(Kauffman and Bhomia, 2017)</w:t>
      </w:r>
      <w:r w:rsidRPr="0067054C">
        <w:fldChar w:fldCharType="end"/>
      </w:r>
      <w:r w:rsidRPr="0067054C">
        <w:t xml:space="preserve"> and Banerjee et al. </w:t>
      </w:r>
      <w:r w:rsidRPr="0067054C">
        <w:fldChar w:fldCharType="begin" w:fldLock="1"/>
      </w:r>
      <w:r w:rsidRPr="0067054C">
        <w:instrText>ADDIN CSL_CITATION {"citationItems":[{"id":"ITEM-1","itemData":{"DOI":"10.1016/j.biombioe.2013.05.010","ISSN":"09619534","abstract":"Biomass estimation was carried out for three even-aged dominant mangrove species (Avicennia alba, Excoecaria agallocha and Sonneratia apetala) in two regions of Indian Sundarbans with two distinct salinity regimes for three consecutive years (2008-2010) and the results were expressed in tons per hectare (tha -1 ). In the western region, the total mean biomass of the mangrove species varied as per the order A. alba (41.65tha -1 in 2008, 55.79tha -1 in 2009, 60.86tha -1 in 2010)&gt;S. apetala (31.76tha -1 in 2008, 32.81tha -1 in 2009, 39.10tha -1 in 2010)&gt;E. agallocha (13.89tha -1 in 2008, 15.54tha -1 in 2009, 18.28tha -1 in 2010). In the central region, the order was A. alba (42.06tha -1 in 2008, 57.09tha -1 in 2009, 64.57tha -1 in 2010)&gt;E. agallocha (15.30tha -1 in 2008, 20.02tha -1 in 2009, 24.24tha -1 in 2010)&gt;S. apetala (6.77tha -1 in 2008, 9.46tha -1 in 2009, 11.42tha -1 in 2010). Significant negative correlation was observed between biomass of S. apetala and salinity (p&lt;0.01), whereas in case of A. alba and E. agallocha positive correlations were observed (p&lt;0.01). Species-wise linear allometric regression equations for biomass prediction were developed for each salinity zone as a function of diameter at breast height (DBH) based on high coefficient of determination (R 2 value). The allometric models are species-specific, but not site-specific. © 2013 Elsevier Ltd.","author":[{"dropping-particle":"","family":"Banerjee","given":"Kakoli","non-dropping-particle":"","parse-names":false,"suffix":""},{"dropping-particle":"","family":"Sengupta","given":"Kasturi","non-dropping-particle":"","parse-names":false,"suffix":""},{"dropping-particle":"","family":"Raha","given":"Atanu","non-dropping-particle":"","parse-names":false,"suffix":""},{"dropping-particle":"","family":"Mitra","given":"Abhijit","non-dropping-particle":"","parse-names":false,"suffix":""}],"container-title":"Biomass and Bioenergy","id":"ITEM-1","issued":{"date-parts":[["2013"]]},"page":"382-391","title":"Salinity based allometric equations for biomass estimation of Sundarban mangroves","type":"article-journal","volume":"56"},"uris":["http://www.mendeley.com/documents/?uuid=5310fbe2-b31f-42b9-91af-099e27cedc92","http://www.mendeley.com/documents/?uuid=91123d1a-0c76-486f-8c78-155a69a11780"]}],"mendeley":{"formattedCitation":"(Banerjee et al., 2013)","plainTextFormattedCitation":"(Banerjee et al., 2013)","previouslyFormattedCitation":"(Banerjee et al., 2013)"},"properties":{"noteIndex":0},"schema":"https://github.com/citation-style-language/schema/raw/master/csl-citation.json"}</w:instrText>
      </w:r>
      <w:r w:rsidRPr="0067054C">
        <w:fldChar w:fldCharType="separate"/>
      </w:r>
      <w:r w:rsidRPr="0067054C">
        <w:rPr>
          <w:noProof/>
        </w:rPr>
        <w:t>(Banerjee et al., 2013)</w:t>
      </w:r>
      <w:r w:rsidRPr="0067054C">
        <w:fldChar w:fldCharType="end"/>
      </w:r>
      <w:r w:rsidRPr="0067054C">
        <w:t xml:space="preserve"> found an inverse relationship of biomass with soil salinity and developed different allometric equations based on salinity zones in Bangladesh.</w:t>
      </w:r>
      <w:r w:rsidR="001121A8">
        <w:t xml:space="preserve"> However, it is difficult to </w:t>
      </w:r>
      <w:r w:rsidR="00CF3AE7">
        <w:t xml:space="preserve">confirm these findings with the data provided in the present study as </w:t>
      </w:r>
      <w:r w:rsidR="00FF3CFA">
        <w:t xml:space="preserve">there was little overlap in the size data of </w:t>
      </w:r>
      <w:r w:rsidR="00FF3CFA" w:rsidRPr="00906EF9">
        <w:rPr>
          <w:i/>
          <w:iCs/>
        </w:rPr>
        <w:t>A. marina</w:t>
      </w:r>
      <w:r w:rsidR="00FF3CFA">
        <w:t xml:space="preserve"> trees in Qatar compared to those in Australia. </w:t>
      </w:r>
      <w:r w:rsidR="004D117C" w:rsidRPr="003C2FCC">
        <w:rPr>
          <w:i/>
          <w:iCs/>
        </w:rPr>
        <w:t>A. marina</w:t>
      </w:r>
      <w:r w:rsidR="004D117C">
        <w:rPr>
          <w:i/>
          <w:iCs/>
        </w:rPr>
        <w:t xml:space="preserve"> </w:t>
      </w:r>
      <w:r w:rsidR="004D117C">
        <w:t xml:space="preserve">trees in Qatar do not grow to the same sizes as those in Australia and Iran where previous below ground biomass allometry work has been done. </w:t>
      </w:r>
    </w:p>
    <w:p w14:paraId="051F6F80" w14:textId="77777777" w:rsidR="009C75D7" w:rsidRPr="0067054C" w:rsidRDefault="009C75D7" w:rsidP="009C75D7">
      <w:pPr>
        <w:spacing w:line="480" w:lineRule="auto"/>
      </w:pPr>
    </w:p>
    <w:p w14:paraId="2205379A" w14:textId="6ACFB49A" w:rsidR="009C75D7" w:rsidRPr="0067054C" w:rsidRDefault="009C75D7" w:rsidP="009C75D7">
      <w:pPr>
        <w:spacing w:line="480" w:lineRule="auto"/>
      </w:pPr>
      <w:r w:rsidRPr="0067054C">
        <w:t xml:space="preserve">The current study further supports the previous indications that mangroves in low-rainfall, hypersaline areas have a limited capacity for carbon storage </w:t>
      </w:r>
      <w:r w:rsidRPr="0067054C">
        <w:fldChar w:fldCharType="begin" w:fldLock="1"/>
      </w:r>
      <w:r w:rsidRPr="0067054C">
        <w:instrText>ADDIN CSL_CITATION {"citationItems":[{"id":"ITEM-1","itemData":{"DOI":"10.1002/2016JG003510","ISBN":"2169-9291","ISSN":"21698961","PMID":"26213675","abstract":"Mangrove forests produce significant amounts of organic carbon and maintain large carbon stocks in tidally inundated, anoxic soils. This work analyses new and published data from 17 regions spanning a latitudinal gradient from 22°N to 38°S to assess some of the global drivers (temperature, tidal range, latitude and rainfall) of mangrove carbon stocks. Mangrove forests from the tropics have larger carbon stocks (895 ± 90 t C ha−1) than the subtropics and temperate regions (547 ± 66 t C ha−1). A multiple regression model showed that 86% of the observed variability is associated with annual rainfall, which is the best predictor of mangrove ecosystem carbon stocks. Therefore a predicted increase in rainfall along the tropical Indo-Pacific may increase mangrove forest carbon stocks. However, there are other potentially important factors that may regulate organic matter diagenesis, such as nutrient availability porewater salinity. Our predictive model shows that if mangrove deforestation is halted, global mangrove forest carbon stocks could increase by almost 10% by 2115 as a result of increased rain in the tropics.","author":[{"dropping-particle":"","family":"Sanders","given":"Christian J.","non-dropping-particle":"","parse-names":false,"suffix":""},{"dropping-particle":"","family":"Maher","given":"Damien T.","non-dropping-particle":"","parse-names":false,"suffix":""},{"dropping-particle":"","family":"Tait","given":"Douglas R.","non-dropping-particle":"","parse-names":false,"suffix":""},{"dropping-particle":"","family":"Williams","given":"Darren","non-dropping-particle":"","parse-names":false,"suffix":""},{"dropping-particle":"","family":"Holloway","given":"Ceylena","non-dropping-particle":"","parse-names":false,"suffix":""},{"dropping-particle":"","family":"Sippo","given":"James Z.","non-dropping-particle":"","parse-names":false,"suffix":""},{"dropping-particle":"","family":"Santos","given":"Isaac R.","non-dropping-particle":"","parse-names":false,"suffix":""}],"container-title":"Journal of Geophysical Research: Biogeosciences","id":"ITEM-1","issue":"10","issued":{"date-parts":[["2016"]]},"page":"2600-2609","title":"Are global mangrove carbon stocks driven by rainfall?","type":"article-journal","volume":"121"},"uris":["http://www.mendeley.com/documents/?uuid=a73b1913-9e67-3871-83dd-83b904763801"]},{"id":"ITEM-2","itemData":{"DOI":"10.1002/eap.1489","ISSN":"19395582","abstract":"Coastal ecosystems produce and sequester significant amounts of carbon (\"blue carbon\"), which has been well documented in humid and semi-humid regions of temperate and tropical climates but less so in arid regions where mangroves, marshes, and seagrasses exist near the limit of their tolerance for extreme temperature and salinity. To better understand these unique systems, we measured whole-ecosystem carbon stocks in 58 sites across the United Arab Emirates (UAE) in natural and planted mangroves, salt marshes, seagrass beds, microbial mats, and coastal sabkha (inter- and supratidal unvegetated salt flats). Natural mangroves held significantly more carbon in above- and belowground biomass than other vegetated ecosystems. Planted mangrove carbon stocks increased with age, but there were large differences for sites of similar age. Soil carbon varied widely across sites (2-367 Mg C/ha), with ecosystem averages that ranged from 49 to 156 Mg C/ha. For the first time, microbial mats were documented to contain soil carbon pools comparable to vascular plant-dominated ecosystems, and could arguably be recognized as a unique blue carbon ecosystem. Total ecosystem carbon stocks ranged widely from 2 to 515 Mg C/ha (seagrass bed and mangrove, respectively). Seagrass beds had the lowest carbon stock per unit area, but the largest stock per total area due to their large spatial coverage. Compared to similar ecosystems globally, mangroves and marshes in the UAE have lower plant and soil carbon stocks; however, the difference in soil stocks is far larger than with plant stocks. This incongruent difference between stocks is likely due to poor carbon preservation under conditions of weakly reduced soils (200-350 mV), coarse-grained sediments, and active shoreline migration. This work represents the first attempt to produce a country-wide coastal ecosystem carbon accounting using a uniform sampling protocol, and was motivated by specific policy goals identified by the Abu Dhabi Global Environmental Data Initiative. These carbon stock data supported two objectives: to quantify carbon stocks and infer sequestration capacity in arid blue carbon ecosystems, and to explore the potential to incorporate blue carbon science into national reporting and planning documents. © 2016 by the Ecological Society of America.","author":[{"dropping-particle":"","family":"Schile","given":"Lisa M.","non-dropping-particle":"","parse-names":false,"suffix":""},{"dropping-particle":"","family":"Kauffman","given":"J. Boone","non-dropping-particle":"","parse-names":false,"suffix":""},{"dropping-particle":"","family":"Crooks","given":"Stephen","non-dropping-particle":"","parse-names":false,"suffix":""},{"dropping-particle":"","family":"Fourqurean","given":"James W.","non-dropping-particle":"","parse-names":false,"suffix":""},{"dropping-particle":"","family":"Glavan","given":"Jane","non-dropping-particle":"","parse-names":false,"suffix":""},{"dropping-particle":"","family":"Megonigal","given":"J. Patrick","non-dropping-particle":"","parse-names":false,"suffix":""}],"container-title":"Ecological Applications","id":"ITEM-2","issue":"3","issued":{"date-parts":[["2017"]]},"page":"859-874","title":"Limits on carbon sequestration in arid blue carbon ecosystems","type":"article-journal","volume":"27"},"uris":["http://www.mendeley.com/documents/?uuid=c37893be-f79d-4cb3-b5d3-f043469db703"]},{"id":"ITEM-3","itemData":{"DOI":"10.1038/s41598-017-10424-9","ISSN":"2045-2322","author":[{"dropping-particle":"","family":"Almahasheer","given":"Hanan","non-dropping-particle":"","parse-names":false,"suffix":""},{"dropping-particle":"","family":"Serrano","given":"Oscar","non-dropping-particle":"","parse-names":false,"suffix":""},{"dropping-particle":"","family":"Duarte","given":"Carlos M.","non-dropping-particle":"","parse-names":false,"suffix":""},{"dropping-particle":"","family":"Arias-Ortiz","given":"Ariane","non-dropping-particle":"","parse-names":false,"suffix":""},{"dropping-particle":"","family":"Masque","given":"Pere","non-dropping-particle":"","parse-names":false,"suffix":""},{"dropping-particle":"","family":"Irigoien","given":"Xabier","non-dropping-particle":"","parse-names":false,"suffix":""}],"container-title":"Scientific Reports","id":"ITEM-3","issue":"1","issued":{"date-parts":[["2017"]]},"page":"9700","title":"Low Carbon sink capacity of Red Sea mangroves","type":"article-journal","volume":"7"},"uris":["http://www.mendeley.com/documents/?uuid=90af8c22-f462-3b43-9dc5-dcc30bc9100e"]}],"mendeley":{"formattedCitation":"(Almahasheer et al., 2017; Sanders et al., 2016; Schile et al., 2017)","plainTextFormattedCitation":"(Almahasheer et al., 2017; Sanders et al., 2016; Schile et al., 2017)","previouslyFormattedCitation":"(Almahasheer et al., 2017; Sanders et al., 2016; Schile et al., 2017)"},"properties":{"noteIndex":0},"schema":"https://github.com/citation-style-language/schema/raw/master/csl-citation.json"}</w:instrText>
      </w:r>
      <w:r w:rsidRPr="0067054C">
        <w:fldChar w:fldCharType="separate"/>
      </w:r>
      <w:r w:rsidRPr="0067054C">
        <w:rPr>
          <w:noProof/>
        </w:rPr>
        <w:t xml:space="preserve">(Almahasheer et al., 2017; </w:t>
      </w:r>
      <w:r w:rsidRPr="0067054C">
        <w:rPr>
          <w:noProof/>
        </w:rPr>
        <w:lastRenderedPageBreak/>
        <w:t>Sanders et al., 2016; Schile et al., 2017)</w:t>
      </w:r>
      <w:r w:rsidRPr="0067054C">
        <w:fldChar w:fldCharType="end"/>
      </w:r>
      <w:r w:rsidRPr="0067054C">
        <w:t xml:space="preserve">. The allometric equations developed here show that mangroves in Qatar have a greater increase in below ground biomass relative to tree size than other less extreme environments. The study also found mangrove height was lower and crown diameter smaller in Qatar than other regions, which accounts for the comparatively low aboveground tree C stocks. Within-stand mangrove distribution showed an inverse relationship between density and distance to the seaward fringe, which contrasts with other regions and suggests differing nutrient dynamics in arid mangrove systems. Allometric equations presented here can reduce uncertainty in below ground biomass and C estimates for mangroves in arid regions and also implies that previous work from these locations may have underestimated below ground mangrove C stocks, an important component of carbon storage in mangroves. These results have implications for mangroves in the face of climate change: as mangroves are expanding their distribution pole-ward into temperate and sub-tropical regions </w:t>
      </w:r>
      <w:r w:rsidRPr="0067054C">
        <w:fldChar w:fldCharType="begin" w:fldLock="1"/>
      </w:r>
      <w:r w:rsidRPr="0067054C">
        <w:instrText>ADDIN CSL_CITATION {"citationItems":[{"id":"ITEM-1","itemData":{"DOI":"10.1111/gcb.12341","ISBN":"1354-1013","ISSN":"13541013","PMID":"23907934","abstract":"Mangroves are species of halophytic intertidal trees and shrubs derived from tropical genera and are likely delimited in latitudinal range by varying sensitivity to cold. There is now sufficient evidence that mangrove species have proliferated at or near their poleward limits on at least five continents over the past half century, at the expense of salt marsh. Avicennia is the most cold-tolerant genus worldwide, and is the subject of most of the observed changes. Avicennia germinans has extended in range along the USA Atlantic coast and expanded into salt marsh as a consequence of lower frost frequency and intensity in the southern USA. The genus has also expanded into salt marsh at its southern limit in Peru, and on the Pacific coast of Mexico. Mangroves of several species have expanded in extent and replaced salt marsh where protected within mangrove reserves in Guangdong Province, China. In south-eastern Australia, the expansion of Avicennia marina into salt marshes is now well documented, and Rhizophora stylosa has extended its range southward, while showing strong population growth within estuaries along its southern limits in northern New South Wales. Avicennia marina has extended its range southwards in South Africa. The changes are consistent with the poleward extension of temperature thresholds coincident with sea-level rise, although the specific mechanism of range extension might be complicated by limitations on dispersal or other factors. The shift from salt marsh to mangrove dominance on subtropical and temperate shorelines has important implications for ecological structure, function, and global change adaptation.","author":[{"dropping-particle":"","family":"Saintilan","given":"Neil","non-dropping-particle":"","parse-names":false,"suffix":""},{"dropping-particle":"","family":"Wilson","given":"Nicholas C.","non-dropping-particle":"","parse-names":false,"suffix":""},{"dropping-particle":"","family":"Rogers","given":"Kerrylee","non-dropping-particle":"","parse-names":false,"suffix":""},{"dropping-particle":"","family":"Rajkaran","given":"Anusha","non-dropping-particle":"","parse-names":false,"suffix":""},{"dropping-particle":"","family":"Krauss","given":"Ken W.","non-dropping-particle":"","parse-names":false,"suffix":""}],"container-title":"Global Change Biology","id":"ITEM-1","issue":"1","issued":{"date-parts":[["2014"]]},"page":"147-157","title":"Mangrove expansion and salt marsh decline at mangrove poleward limits","type":"article-journal","volume":"20"},"uris":["http://www.mendeley.com/documents/?uuid=77fc4f27-ec75-3c0f-b64e-363a965f95c1"]},{"id":"ITEM-2","itemData":{"DOI":"10.1002/ecm.1248","ISSN":"15577015","abstract":"Mangrove forests are highly productive tidal saline wetland ecosystems found along sheltered tropical and subtropical coasts. Ecologists have long assumed that climatic drivers (i.e., temperature and rainfall regimes) govern the global distribution, structure, and function of mangrove forests. However, data constraints have hindered the quantification of direct climate–mangrove linkages in many parts of the world. Recently, the quality and availability of global-scale climate and mangrove data have been improving. Here, we used these data to better understand the influence of air temperature and rainfall regimes upon the distribution, abundance, and species richness of mangrove forests. Although our analyses identify global-scale relationships and thresholds, we show that the influence of climatic drivers is best characterized via regional range-limit-specific analyses. We quantified climatic controls across targeted gradients in temperature and/or rainfall within 14 mangrove distributional range limits. Climatic thresholds for mangrove presence, abundance, and species richness differed among the 14 studied range limits. We identified minimum temperature-based thresholds for range limits in eastern North America, eastern Australia, New Zealand, eastern Asia, eastern South America, and southeast Africa. We identified rainfall-based thresholds for range limits in western North America, western Gulf of Mexico, western South America, western Australia, Middle East, northwest Africa, east central Africa, and west-central Africa. Our results show that in certain range limits (e.g., eastern North America, western Gulf of Mexico, eastern Asia), winter air temperature extremes play an especially important role. We conclude that rainfall and temperature regimes are both important in western North America, western Gulf of Mexico, and western Australia. With climate change, alterations in temperature and rainfall regimes will affect the global distribution, abundance, and diversity of mangrove forests. In general, warmer winter temperatures are expected to allow mangroves to expand poleward at the expense of salt marshes. However, dispersal and habitat availability constraints may hinder expansion near certain range limits. Along arid and semiarid coasts, decreases or increases in rainfall are expected to lead to mangrove contraction or expansion, respectively. Collectively, our analyses quantify climate–mangrove linkages and improve our understanding of the expect…","author":[{"dropping-particle":"","family":"Osland","given":"Michael J.","non-dropping-particle":"","parse-names":false,"suffix":""},{"dropping-particle":"","family":"Feher","given":"Laura C.","non-dropping-particle":"","parse-names":false,"suffix":""},{"dropping-particle":"","family":"Griffith","given":"Kereen T.","non-dropping-particle":"","parse-names":false,"suffix":""},{"dropping-particle":"","family":"Cavanaugh","given":"Kyle C.","non-dropping-particle":"","parse-names":false,"suffix":""},{"dropping-particle":"","family":"Enwright","given":"Nicholas M.","non-dropping-particle":"","parse-names":false,"suffix":""},{"dropping-particle":"","family":"Day","given":"Richard H.","non-dropping-particle":"","parse-names":false,"suffix":""},{"dropping-particle":"","family":"Stagg","given":"Camille L.","non-dropping-particle":"","parse-names":false,"suffix":""},{"dropping-particle":"","family":"Krauss","given":"Ken W.","non-dropping-particle":"","parse-names":false,"suffix":""},{"dropping-particle":"","family":"Howard","given":"Rebecca J.","non-dropping-particle":"","parse-names":false,"suffix":""},{"dropping-particle":"","family":"Grace","given":"James B.","non-dropping-particle":"","parse-names":false,"suffix":""},{"dropping-particle":"","family":"Rogers","given":"Kerrylee","non-dropping-particle":"","parse-names":false,"suffix":""}],"container-title":"Ecological Monographs","id":"ITEM-2","issue":"2","issued":{"date-parts":[["2017"]]},"page":"341-359","title":"Climatic controls on the global distribution, abundance, and species richness of mangrove forests","type":"article-journal","volume":"87"},"uris":["http://www.mendeley.com/documents/?uuid=550b02d8-1b48-4bbc-8d4f-87ef91a23f84"]}],"mendeley":{"formattedCitation":"(Osland et al., 2017; Saintilan et al., 2014)","plainTextFormattedCitation":"(Osland et al., 2017; Saintilan et al., 2014)","previouslyFormattedCitation":"(Osland et al., 2017; Saintilan et al., 2014)"},"properties":{"noteIndex":0},"schema":"https://github.com/citation-style-language/schema/raw/master/csl-citation.json"}</w:instrText>
      </w:r>
      <w:r w:rsidRPr="0067054C">
        <w:fldChar w:fldCharType="separate"/>
      </w:r>
      <w:r w:rsidRPr="0067054C">
        <w:rPr>
          <w:noProof/>
        </w:rPr>
        <w:t>(Osland et al., 2017; Saintilan et al., 2014)</w:t>
      </w:r>
      <w:r w:rsidRPr="0067054C">
        <w:fldChar w:fldCharType="end"/>
      </w:r>
      <w:r w:rsidRPr="0067054C">
        <w:t xml:space="preserve">, mangrove ecosystems on the edge of their global distribution are likely to become more expansive and widespread. Precipitation regimes across the sub-tropics are projected to increase and decrease </w:t>
      </w:r>
      <w:r w:rsidRPr="0067054C">
        <w:fldChar w:fldCharType="begin" w:fldLock="1"/>
      </w:r>
      <w:r w:rsidR="008A48C6">
        <w:instrText>ADDIN CSL_CITATION {"citationItems":[{"id":"ITEM-1","itemData":{"DOI":"10.1002/jgrd.50188","ISSN":"2169897X","author":[{"dropping-particle":"","family":"Sillmann","given":"J","non-dropping-particle":"","parse-names":false,"suffix":""},{"dropping-particle":"V","family":"Kharin","given":"V","non-dropping-particle":"","parse-names":false,"suffix":""},{"dropping-particle":"","family":"Zwiers","given":"F W","non-dropping-particle":"","parse-names":false,"suffix":""},{"dropping-particle":"","family":"Zhang","given":"X","non-dropping-particle":"","parse-names":false,"suffix":""},{"dropping-particle":"","family":"Bronaugh","given":"D","non-dropping-particle":"","parse-names":false,"suffix":""}],"container-title":"Journal of Geophysical Research: Atmospheres","id":"ITEM-1","issue":"6","issued":{"date-parts":[["2013"]]},"page":"2473-2493","title":"Climate extremes indices in the CMIP5 multimodel ensemble: Part 2. Future climate projections","type":"article-journal","volume":"118"},"uris":["http://www.mendeley.com/documents/?uuid=651422ba-4604-4897-9c98-350a2a1cfd9b"]}],"mendeley":{"formattedCitation":"(J Sillmann et al., 2013)","plainTextFormattedCitation":"(J Sillmann et al., 2013)","previouslyFormattedCitation":"(J Sillmann et al., 2013)"},"properties":{"noteIndex":0},"schema":"https://github.com/citation-style-language/schema/raw/master/csl-citation.json"}</w:instrText>
      </w:r>
      <w:r w:rsidRPr="0067054C">
        <w:fldChar w:fldCharType="separate"/>
      </w:r>
      <w:r w:rsidR="008A48C6" w:rsidRPr="008A48C6">
        <w:rPr>
          <w:noProof/>
        </w:rPr>
        <w:t>(J Sillmann et al., 2013)</w:t>
      </w:r>
      <w:r w:rsidRPr="0067054C">
        <w:fldChar w:fldCharType="end"/>
      </w:r>
      <w:r w:rsidRPr="0067054C">
        <w:t>. In areas where precipitation declines, carbon storage may be significantly reduced. As a result of reduced and less frequent precipitation, carbon impoverished arid mangroves are likely to become more common in the sub-tropics in the 21</w:t>
      </w:r>
      <w:r w:rsidRPr="0067054C">
        <w:rPr>
          <w:vertAlign w:val="superscript"/>
        </w:rPr>
        <w:t>st</w:t>
      </w:r>
      <w:r w:rsidRPr="0067054C">
        <w:t xml:space="preserve"> century.</w:t>
      </w:r>
    </w:p>
    <w:p w14:paraId="3CEBA898" w14:textId="77777777" w:rsidR="00E87E44" w:rsidRDefault="00E87E44" w:rsidP="00FA0744">
      <w:pPr>
        <w:widowControl w:val="0"/>
        <w:autoSpaceDE w:val="0"/>
        <w:autoSpaceDN w:val="0"/>
        <w:adjustRightInd w:val="0"/>
        <w:spacing w:line="480" w:lineRule="auto"/>
        <w:sectPr w:rsidR="00E87E44" w:rsidSect="00995D14">
          <w:pgSz w:w="11906" w:h="16838"/>
          <w:pgMar w:top="1440" w:right="1440" w:bottom="1440" w:left="1440" w:header="720" w:footer="720" w:gutter="0"/>
          <w:cols w:space="720"/>
          <w:docGrid w:linePitch="360"/>
        </w:sectPr>
      </w:pPr>
    </w:p>
    <w:p w14:paraId="37AFB5CC" w14:textId="77777777" w:rsidR="00E87E44" w:rsidRDefault="00E87E44" w:rsidP="00FA0744">
      <w:pPr>
        <w:widowControl w:val="0"/>
        <w:autoSpaceDE w:val="0"/>
        <w:autoSpaceDN w:val="0"/>
        <w:adjustRightInd w:val="0"/>
        <w:spacing w:line="480" w:lineRule="auto"/>
        <w:sectPr w:rsidR="00E87E44" w:rsidSect="00995D14">
          <w:pgSz w:w="11906" w:h="16838"/>
          <w:pgMar w:top="1440" w:right="1440" w:bottom="1440" w:left="1440" w:header="720" w:footer="720" w:gutter="0"/>
          <w:cols w:space="720"/>
          <w:docGrid w:linePitch="360"/>
        </w:sectPr>
      </w:pPr>
    </w:p>
    <w:p w14:paraId="5D3E89BC" w14:textId="5F5D2BB5" w:rsidR="00344027" w:rsidRPr="00344027" w:rsidRDefault="00344027" w:rsidP="002934A0">
      <w:pPr>
        <w:pStyle w:val="Heading1"/>
        <w:ind w:left="1134" w:hanging="567"/>
        <w:rPr>
          <w:rFonts w:asciiTheme="minorHAnsi" w:hAnsiTheme="minorHAnsi" w:cstheme="minorHAnsi"/>
          <w:b/>
          <w:bCs/>
          <w:color w:val="000000" w:themeColor="text1"/>
          <w:sz w:val="36"/>
          <w:szCs w:val="36"/>
        </w:rPr>
      </w:pPr>
      <w:bookmarkStart w:id="52" w:name="_Toc120622141"/>
      <w:r w:rsidRPr="00344027">
        <w:rPr>
          <w:rFonts w:asciiTheme="minorHAnsi" w:hAnsiTheme="minorHAnsi" w:cstheme="minorHAnsi"/>
          <w:b/>
          <w:bCs/>
          <w:color w:val="000000" w:themeColor="text1"/>
          <w:sz w:val="36"/>
          <w:szCs w:val="36"/>
        </w:rPr>
        <w:lastRenderedPageBreak/>
        <w:t>5.</w:t>
      </w:r>
      <w:r w:rsidRPr="00344027">
        <w:rPr>
          <w:rFonts w:asciiTheme="minorHAnsi" w:hAnsiTheme="minorHAnsi" w:cstheme="minorHAnsi"/>
          <w:b/>
          <w:bCs/>
          <w:color w:val="000000" w:themeColor="text1"/>
          <w:sz w:val="36"/>
          <w:szCs w:val="36"/>
        </w:rPr>
        <w:tab/>
        <w:t>Future mangrove carbon storage under climate change and deforestation</w:t>
      </w:r>
      <w:bookmarkEnd w:id="52"/>
    </w:p>
    <w:p w14:paraId="4336CA29" w14:textId="77777777" w:rsidR="00344027" w:rsidRPr="00CE074C" w:rsidRDefault="00344027" w:rsidP="002934A0"/>
    <w:p w14:paraId="27F67112" w14:textId="1C65607B" w:rsidR="00344027" w:rsidRDefault="00344027" w:rsidP="002934A0">
      <w:pPr>
        <w:pStyle w:val="AuthorList"/>
        <w:rPr>
          <w:rFonts w:asciiTheme="minorHAnsi" w:hAnsiTheme="minorHAnsi" w:cstheme="minorHAnsi"/>
          <w:b w:val="0"/>
          <w:bCs/>
          <w:sz w:val="22"/>
          <w:szCs w:val="22"/>
          <w:vertAlign w:val="superscript"/>
        </w:rPr>
      </w:pPr>
      <w:r w:rsidRPr="00392131">
        <w:rPr>
          <w:rFonts w:asciiTheme="minorHAnsi" w:hAnsiTheme="minorHAnsi" w:cstheme="minorHAnsi"/>
          <w:b w:val="0"/>
          <w:bCs/>
          <w:sz w:val="22"/>
          <w:szCs w:val="22"/>
        </w:rPr>
        <w:t xml:space="preserve">Mark </w:t>
      </w:r>
      <w:proofErr w:type="spellStart"/>
      <w:proofErr w:type="gramStart"/>
      <w:r w:rsidRPr="00392131">
        <w:rPr>
          <w:rFonts w:asciiTheme="minorHAnsi" w:hAnsiTheme="minorHAnsi" w:cstheme="minorHAnsi"/>
          <w:b w:val="0"/>
          <w:bCs/>
          <w:sz w:val="22"/>
          <w:szCs w:val="22"/>
        </w:rPr>
        <w:t>Chatting</w:t>
      </w:r>
      <w:r>
        <w:rPr>
          <w:rFonts w:asciiTheme="minorHAnsi" w:hAnsiTheme="minorHAnsi" w:cstheme="minorHAnsi"/>
          <w:b w:val="0"/>
          <w:bCs/>
          <w:sz w:val="22"/>
          <w:szCs w:val="22"/>
          <w:vertAlign w:val="superscript"/>
        </w:rPr>
        <w:t>a</w:t>
      </w:r>
      <w:r w:rsidRPr="00392131">
        <w:rPr>
          <w:rFonts w:asciiTheme="minorHAnsi" w:hAnsiTheme="minorHAnsi" w:cstheme="minorHAnsi"/>
          <w:b w:val="0"/>
          <w:bCs/>
          <w:sz w:val="22"/>
          <w:szCs w:val="22"/>
          <w:vertAlign w:val="superscript"/>
        </w:rPr>
        <w:t>,</w:t>
      </w:r>
      <w:r>
        <w:rPr>
          <w:rFonts w:asciiTheme="minorHAnsi" w:hAnsiTheme="minorHAnsi" w:cstheme="minorHAnsi"/>
          <w:b w:val="0"/>
          <w:bCs/>
          <w:sz w:val="22"/>
          <w:szCs w:val="22"/>
          <w:vertAlign w:val="superscript"/>
        </w:rPr>
        <w:t>d</w:t>
      </w:r>
      <w:proofErr w:type="spellEnd"/>
      <w:proofErr w:type="gramEnd"/>
      <w:r w:rsidRPr="00392131">
        <w:rPr>
          <w:rFonts w:asciiTheme="minorHAnsi" w:hAnsiTheme="minorHAnsi" w:cstheme="minorHAnsi"/>
          <w:b w:val="0"/>
          <w:bCs/>
          <w:sz w:val="22"/>
          <w:szCs w:val="22"/>
        </w:rPr>
        <w:t>, Ibrahim Al-</w:t>
      </w:r>
      <w:proofErr w:type="spellStart"/>
      <w:r w:rsidRPr="00392131">
        <w:rPr>
          <w:rFonts w:asciiTheme="minorHAnsi" w:hAnsiTheme="minorHAnsi" w:cstheme="minorHAnsi"/>
          <w:b w:val="0"/>
          <w:bCs/>
          <w:sz w:val="22"/>
          <w:szCs w:val="22"/>
        </w:rPr>
        <w:t>Maslamani</w:t>
      </w:r>
      <w:r>
        <w:rPr>
          <w:rFonts w:asciiTheme="minorHAnsi" w:hAnsiTheme="minorHAnsi" w:cstheme="minorHAnsi"/>
          <w:b w:val="0"/>
          <w:bCs/>
          <w:sz w:val="22"/>
          <w:szCs w:val="22"/>
          <w:vertAlign w:val="superscript"/>
        </w:rPr>
        <w:t>b</w:t>
      </w:r>
      <w:proofErr w:type="spellEnd"/>
      <w:r w:rsidRPr="00392131">
        <w:rPr>
          <w:rFonts w:asciiTheme="minorHAnsi" w:hAnsiTheme="minorHAnsi" w:cstheme="minorHAnsi"/>
          <w:b w:val="0"/>
          <w:bCs/>
          <w:sz w:val="22"/>
          <w:szCs w:val="22"/>
        </w:rPr>
        <w:t xml:space="preserve">, Mark </w:t>
      </w:r>
      <w:proofErr w:type="spellStart"/>
      <w:r w:rsidRPr="00392131">
        <w:rPr>
          <w:rFonts w:asciiTheme="minorHAnsi" w:hAnsiTheme="minorHAnsi" w:cstheme="minorHAnsi"/>
          <w:b w:val="0"/>
          <w:bCs/>
          <w:sz w:val="22"/>
          <w:szCs w:val="22"/>
        </w:rPr>
        <w:t>Walton</w:t>
      </w:r>
      <w:r>
        <w:rPr>
          <w:rFonts w:asciiTheme="minorHAnsi" w:hAnsiTheme="minorHAnsi" w:cstheme="minorHAnsi"/>
          <w:b w:val="0"/>
          <w:bCs/>
          <w:sz w:val="22"/>
          <w:szCs w:val="22"/>
          <w:vertAlign w:val="superscript"/>
        </w:rPr>
        <w:t>c</w:t>
      </w:r>
      <w:proofErr w:type="spellEnd"/>
      <w:r w:rsidRPr="00392131">
        <w:rPr>
          <w:rFonts w:asciiTheme="minorHAnsi" w:hAnsiTheme="minorHAnsi" w:cstheme="minorHAnsi"/>
          <w:b w:val="0"/>
          <w:bCs/>
          <w:sz w:val="22"/>
          <w:szCs w:val="22"/>
        </w:rPr>
        <w:t xml:space="preserve">, Martin W. </w:t>
      </w:r>
      <w:proofErr w:type="spellStart"/>
      <w:r w:rsidRPr="00392131">
        <w:rPr>
          <w:rFonts w:asciiTheme="minorHAnsi" w:hAnsiTheme="minorHAnsi" w:cstheme="minorHAnsi"/>
          <w:b w:val="0"/>
          <w:bCs/>
          <w:sz w:val="22"/>
          <w:szCs w:val="22"/>
        </w:rPr>
        <w:t>Skov</w:t>
      </w:r>
      <w:r>
        <w:rPr>
          <w:rFonts w:asciiTheme="minorHAnsi" w:hAnsiTheme="minorHAnsi" w:cstheme="minorHAnsi"/>
          <w:b w:val="0"/>
          <w:bCs/>
          <w:sz w:val="22"/>
          <w:szCs w:val="22"/>
          <w:vertAlign w:val="superscript"/>
        </w:rPr>
        <w:t>d</w:t>
      </w:r>
      <w:proofErr w:type="spellEnd"/>
      <w:r w:rsidRPr="00392131">
        <w:rPr>
          <w:rFonts w:asciiTheme="minorHAnsi" w:hAnsiTheme="minorHAnsi" w:cstheme="minorHAnsi"/>
          <w:b w:val="0"/>
          <w:bCs/>
          <w:sz w:val="22"/>
          <w:szCs w:val="22"/>
        </w:rPr>
        <w:t xml:space="preserve">, Hilary </w:t>
      </w:r>
      <w:proofErr w:type="spellStart"/>
      <w:r w:rsidRPr="00392131">
        <w:rPr>
          <w:rFonts w:asciiTheme="minorHAnsi" w:hAnsiTheme="minorHAnsi" w:cstheme="minorHAnsi"/>
          <w:b w:val="0"/>
          <w:bCs/>
          <w:sz w:val="22"/>
          <w:szCs w:val="22"/>
        </w:rPr>
        <w:t>Kennedy</w:t>
      </w:r>
      <w:r>
        <w:rPr>
          <w:rFonts w:asciiTheme="minorHAnsi" w:hAnsiTheme="minorHAnsi" w:cstheme="minorHAnsi"/>
          <w:b w:val="0"/>
          <w:bCs/>
          <w:sz w:val="22"/>
          <w:szCs w:val="22"/>
          <w:vertAlign w:val="superscript"/>
        </w:rPr>
        <w:t>d</w:t>
      </w:r>
      <w:proofErr w:type="spellEnd"/>
      <w:r w:rsidRPr="00392131">
        <w:rPr>
          <w:rFonts w:asciiTheme="minorHAnsi" w:hAnsiTheme="minorHAnsi" w:cstheme="minorHAnsi"/>
          <w:b w:val="0"/>
          <w:bCs/>
          <w:sz w:val="22"/>
          <w:szCs w:val="22"/>
        </w:rPr>
        <w:t xml:space="preserve">, Sinan </w:t>
      </w:r>
      <w:proofErr w:type="spellStart"/>
      <w:r w:rsidRPr="00392131">
        <w:rPr>
          <w:rFonts w:asciiTheme="minorHAnsi" w:hAnsiTheme="minorHAnsi" w:cstheme="minorHAnsi"/>
          <w:b w:val="0"/>
          <w:bCs/>
          <w:sz w:val="22"/>
          <w:szCs w:val="22"/>
        </w:rPr>
        <w:t>Husrevoglu</w:t>
      </w:r>
      <w:r>
        <w:rPr>
          <w:rFonts w:asciiTheme="minorHAnsi" w:hAnsiTheme="minorHAnsi" w:cstheme="minorHAnsi"/>
          <w:b w:val="0"/>
          <w:bCs/>
          <w:sz w:val="22"/>
          <w:szCs w:val="22"/>
          <w:vertAlign w:val="superscript"/>
        </w:rPr>
        <w:t>e</w:t>
      </w:r>
      <w:proofErr w:type="spellEnd"/>
      <w:r w:rsidRPr="00392131">
        <w:rPr>
          <w:rFonts w:asciiTheme="minorHAnsi" w:hAnsiTheme="minorHAnsi" w:cstheme="minorHAnsi"/>
          <w:b w:val="0"/>
          <w:bCs/>
          <w:sz w:val="22"/>
          <w:szCs w:val="22"/>
        </w:rPr>
        <w:t xml:space="preserve"> and Lewis </w:t>
      </w:r>
      <w:proofErr w:type="spellStart"/>
      <w:r w:rsidRPr="00392131">
        <w:rPr>
          <w:rFonts w:asciiTheme="minorHAnsi" w:hAnsiTheme="minorHAnsi" w:cstheme="minorHAnsi"/>
          <w:b w:val="0"/>
          <w:bCs/>
          <w:sz w:val="22"/>
          <w:szCs w:val="22"/>
        </w:rPr>
        <w:t>LeVay</w:t>
      </w:r>
      <w:r>
        <w:rPr>
          <w:rFonts w:asciiTheme="minorHAnsi" w:hAnsiTheme="minorHAnsi" w:cstheme="minorHAnsi"/>
          <w:b w:val="0"/>
          <w:bCs/>
          <w:sz w:val="22"/>
          <w:szCs w:val="22"/>
          <w:vertAlign w:val="superscript"/>
        </w:rPr>
        <w:t>c</w:t>
      </w:r>
      <w:proofErr w:type="spellEnd"/>
    </w:p>
    <w:p w14:paraId="783317F6" w14:textId="77777777" w:rsidR="002934A0" w:rsidRPr="002934A0" w:rsidRDefault="002934A0" w:rsidP="002934A0"/>
    <w:p w14:paraId="345C81C7" w14:textId="77777777" w:rsidR="00344027" w:rsidRPr="00392131" w:rsidRDefault="00344027" w:rsidP="00344027">
      <w:pPr>
        <w:spacing w:line="276" w:lineRule="auto"/>
        <w:rPr>
          <w:rFonts w:cstheme="minorHAnsi"/>
          <w:b/>
          <w:sz w:val="18"/>
          <w:szCs w:val="18"/>
          <w:lang w:val="es-ES"/>
        </w:rPr>
      </w:pPr>
      <w:proofErr w:type="spellStart"/>
      <w:r w:rsidRPr="00392131">
        <w:rPr>
          <w:rFonts w:cstheme="minorHAnsi"/>
          <w:sz w:val="18"/>
          <w:szCs w:val="18"/>
          <w:vertAlign w:val="superscript"/>
          <w:lang w:val="es-ES"/>
        </w:rPr>
        <w:t>a</w:t>
      </w:r>
      <w:r w:rsidRPr="00392131">
        <w:rPr>
          <w:rFonts w:cstheme="minorHAnsi"/>
          <w:sz w:val="18"/>
          <w:szCs w:val="18"/>
          <w:lang w:val="es-ES"/>
        </w:rPr>
        <w:t>Environmental</w:t>
      </w:r>
      <w:proofErr w:type="spellEnd"/>
      <w:r w:rsidRPr="00392131">
        <w:rPr>
          <w:rFonts w:cstheme="minorHAnsi"/>
          <w:sz w:val="18"/>
          <w:szCs w:val="18"/>
          <w:lang w:val="es-ES"/>
        </w:rPr>
        <w:t xml:space="preserve"> </w:t>
      </w:r>
      <w:proofErr w:type="spellStart"/>
      <w:r w:rsidRPr="00392131">
        <w:rPr>
          <w:rFonts w:cstheme="minorHAnsi"/>
          <w:sz w:val="18"/>
          <w:szCs w:val="18"/>
          <w:lang w:val="es-ES"/>
        </w:rPr>
        <w:t>Science</w:t>
      </w:r>
      <w:proofErr w:type="spellEnd"/>
      <w:r w:rsidRPr="00392131">
        <w:rPr>
          <w:rFonts w:cstheme="minorHAnsi"/>
          <w:sz w:val="18"/>
          <w:szCs w:val="18"/>
          <w:lang w:val="es-ES"/>
        </w:rPr>
        <w:t xml:space="preserve"> Centre, Qatar </w:t>
      </w:r>
      <w:proofErr w:type="spellStart"/>
      <w:r w:rsidRPr="00392131">
        <w:rPr>
          <w:rFonts w:cstheme="minorHAnsi"/>
          <w:sz w:val="18"/>
          <w:szCs w:val="18"/>
          <w:lang w:val="es-ES"/>
        </w:rPr>
        <w:t>University</w:t>
      </w:r>
      <w:proofErr w:type="spellEnd"/>
      <w:r w:rsidRPr="00392131">
        <w:rPr>
          <w:rFonts w:cstheme="minorHAnsi"/>
          <w:sz w:val="18"/>
          <w:szCs w:val="18"/>
          <w:lang w:val="es-ES"/>
        </w:rPr>
        <w:t>, Doha, Qatar</w:t>
      </w:r>
    </w:p>
    <w:p w14:paraId="5BEB78A5" w14:textId="77777777" w:rsidR="00344027" w:rsidRPr="00392131" w:rsidRDefault="00344027" w:rsidP="00344027">
      <w:pPr>
        <w:spacing w:line="276" w:lineRule="auto"/>
        <w:rPr>
          <w:rFonts w:cstheme="minorHAnsi"/>
          <w:sz w:val="18"/>
          <w:szCs w:val="18"/>
        </w:rPr>
      </w:pPr>
      <w:proofErr w:type="spellStart"/>
      <w:r w:rsidRPr="00392131">
        <w:rPr>
          <w:rFonts w:cstheme="minorHAnsi"/>
          <w:sz w:val="18"/>
          <w:szCs w:val="18"/>
          <w:vertAlign w:val="superscript"/>
        </w:rPr>
        <w:t>b</w:t>
      </w:r>
      <w:r w:rsidRPr="00392131">
        <w:rPr>
          <w:rFonts w:cstheme="minorHAnsi"/>
          <w:sz w:val="18"/>
          <w:szCs w:val="18"/>
        </w:rPr>
        <w:t>Office</w:t>
      </w:r>
      <w:proofErr w:type="spellEnd"/>
      <w:r w:rsidRPr="00392131">
        <w:rPr>
          <w:rFonts w:cstheme="minorHAnsi"/>
          <w:sz w:val="18"/>
          <w:szCs w:val="18"/>
        </w:rPr>
        <w:t xml:space="preserve"> for Research and Graduate Studies, Qatar University, Doha, Qatar</w:t>
      </w:r>
    </w:p>
    <w:p w14:paraId="73804B79" w14:textId="77777777" w:rsidR="00344027" w:rsidRPr="00392131" w:rsidRDefault="00344027" w:rsidP="00344027">
      <w:pPr>
        <w:spacing w:line="276" w:lineRule="auto"/>
        <w:rPr>
          <w:rFonts w:cstheme="minorHAnsi"/>
          <w:b/>
          <w:sz w:val="18"/>
          <w:szCs w:val="18"/>
        </w:rPr>
      </w:pPr>
      <w:proofErr w:type="spellStart"/>
      <w:r w:rsidRPr="00392131">
        <w:rPr>
          <w:rFonts w:cstheme="minorHAnsi"/>
          <w:sz w:val="18"/>
          <w:szCs w:val="18"/>
          <w:vertAlign w:val="superscript"/>
        </w:rPr>
        <w:t>c</w:t>
      </w:r>
      <w:r w:rsidRPr="00392131">
        <w:rPr>
          <w:rFonts w:cstheme="minorHAnsi"/>
          <w:sz w:val="18"/>
          <w:szCs w:val="18"/>
        </w:rPr>
        <w:t>Centre</w:t>
      </w:r>
      <w:proofErr w:type="spellEnd"/>
      <w:r w:rsidRPr="00392131">
        <w:rPr>
          <w:rFonts w:cstheme="minorHAnsi"/>
          <w:sz w:val="18"/>
          <w:szCs w:val="18"/>
        </w:rPr>
        <w:t xml:space="preserve"> for Applied Marine Science, Bangor University, Menai Bridge, Anglesey, UK</w:t>
      </w:r>
    </w:p>
    <w:p w14:paraId="1BDC52A0" w14:textId="77777777" w:rsidR="00344027" w:rsidRPr="00392131" w:rsidRDefault="00344027" w:rsidP="00344027">
      <w:pPr>
        <w:spacing w:line="276" w:lineRule="auto"/>
        <w:rPr>
          <w:rFonts w:cstheme="minorHAnsi"/>
          <w:b/>
          <w:sz w:val="18"/>
          <w:szCs w:val="18"/>
        </w:rPr>
      </w:pPr>
      <w:proofErr w:type="spellStart"/>
      <w:r w:rsidRPr="00392131">
        <w:rPr>
          <w:rFonts w:cstheme="minorHAnsi"/>
          <w:sz w:val="18"/>
          <w:szCs w:val="18"/>
          <w:vertAlign w:val="superscript"/>
        </w:rPr>
        <w:t>d</w:t>
      </w:r>
      <w:r w:rsidRPr="00392131">
        <w:rPr>
          <w:rFonts w:cstheme="minorHAnsi"/>
          <w:sz w:val="18"/>
          <w:szCs w:val="18"/>
        </w:rPr>
        <w:t>School</w:t>
      </w:r>
      <w:proofErr w:type="spellEnd"/>
      <w:r w:rsidRPr="00392131">
        <w:rPr>
          <w:rFonts w:cstheme="minorHAnsi"/>
          <w:sz w:val="18"/>
          <w:szCs w:val="18"/>
        </w:rPr>
        <w:t xml:space="preserve"> of Ocean Sciences, Bangor University, Menai Bridge, Anglesey, UK</w:t>
      </w:r>
    </w:p>
    <w:p w14:paraId="6E5A8CBA" w14:textId="77777777" w:rsidR="00344027" w:rsidRPr="00392131" w:rsidRDefault="00344027" w:rsidP="00344027">
      <w:pPr>
        <w:spacing w:line="276" w:lineRule="auto"/>
        <w:rPr>
          <w:rFonts w:cstheme="minorHAnsi"/>
          <w:b/>
          <w:sz w:val="18"/>
          <w:szCs w:val="18"/>
        </w:rPr>
      </w:pPr>
      <w:proofErr w:type="spellStart"/>
      <w:r w:rsidRPr="00392131">
        <w:rPr>
          <w:rFonts w:cstheme="minorHAnsi"/>
          <w:sz w:val="18"/>
          <w:szCs w:val="18"/>
          <w:vertAlign w:val="superscript"/>
        </w:rPr>
        <w:t>e</w:t>
      </w:r>
      <w:r w:rsidRPr="00392131">
        <w:rPr>
          <w:rFonts w:cstheme="minorHAnsi"/>
          <w:sz w:val="18"/>
          <w:szCs w:val="18"/>
        </w:rPr>
        <w:t>Institute</w:t>
      </w:r>
      <w:proofErr w:type="spellEnd"/>
      <w:r w:rsidRPr="00392131">
        <w:rPr>
          <w:rFonts w:cstheme="minorHAnsi"/>
          <w:sz w:val="18"/>
          <w:szCs w:val="18"/>
        </w:rPr>
        <w:t xml:space="preserve"> of Marine Sciences, Middle East Technical University, </w:t>
      </w:r>
      <w:proofErr w:type="spellStart"/>
      <w:r w:rsidRPr="00392131">
        <w:rPr>
          <w:rFonts w:cstheme="minorHAnsi"/>
          <w:sz w:val="18"/>
          <w:szCs w:val="18"/>
        </w:rPr>
        <w:t>Erdemli</w:t>
      </w:r>
      <w:proofErr w:type="spellEnd"/>
      <w:r w:rsidRPr="00392131">
        <w:rPr>
          <w:rFonts w:cstheme="minorHAnsi"/>
          <w:sz w:val="18"/>
          <w:szCs w:val="18"/>
        </w:rPr>
        <w:t>, Mersin, Turkey</w:t>
      </w:r>
    </w:p>
    <w:p w14:paraId="22D5BC26" w14:textId="77777777" w:rsidR="00344027" w:rsidRDefault="00344027" w:rsidP="00344027">
      <w:pPr>
        <w:spacing w:line="360" w:lineRule="auto"/>
        <w:rPr>
          <w:rFonts w:cstheme="minorHAnsi"/>
          <w:b/>
          <w:sz w:val="22"/>
        </w:rPr>
      </w:pPr>
    </w:p>
    <w:p w14:paraId="7C9FCBF4" w14:textId="77777777" w:rsidR="00344027" w:rsidRPr="00392131" w:rsidRDefault="00344027" w:rsidP="00344027">
      <w:pPr>
        <w:widowControl w:val="0"/>
        <w:autoSpaceDE w:val="0"/>
        <w:autoSpaceDN w:val="0"/>
        <w:adjustRightInd w:val="0"/>
        <w:spacing w:line="360" w:lineRule="auto"/>
        <w:rPr>
          <w:rFonts w:cstheme="minorHAnsi"/>
          <w:sz w:val="22"/>
        </w:rPr>
      </w:pPr>
      <w:r w:rsidRPr="0077659D">
        <w:rPr>
          <w:rFonts w:cstheme="minorHAnsi"/>
          <w:bCs/>
          <w:sz w:val="22"/>
        </w:rPr>
        <w:t xml:space="preserve">Published in </w:t>
      </w:r>
      <w:r w:rsidRPr="00392131">
        <w:rPr>
          <w:rFonts w:cstheme="minorHAnsi"/>
          <w:bCs/>
          <w:i/>
          <w:iCs/>
          <w:sz w:val="22"/>
        </w:rPr>
        <w:t>Frontiers in Marine Science</w:t>
      </w:r>
      <w:r w:rsidRPr="0077659D">
        <w:rPr>
          <w:rFonts w:cstheme="minorHAnsi"/>
          <w:bCs/>
          <w:sz w:val="22"/>
        </w:rPr>
        <w:t xml:space="preserve">: </w:t>
      </w:r>
      <w:hyperlink r:id="rId50" w:history="1">
        <w:r w:rsidRPr="00DB2AD1">
          <w:rPr>
            <w:rStyle w:val="Hyperlink"/>
            <w:rFonts w:cstheme="minorHAnsi"/>
            <w:bCs/>
            <w:sz w:val="22"/>
          </w:rPr>
          <w:t>https://doi.org/10.3389/fmars.2022.781876</w:t>
        </w:r>
      </w:hyperlink>
      <w:r>
        <w:rPr>
          <w:rFonts w:cstheme="minorHAnsi"/>
          <w:bCs/>
          <w:sz w:val="22"/>
        </w:rPr>
        <w:t xml:space="preserve"> </w:t>
      </w:r>
    </w:p>
    <w:p w14:paraId="19603ACA" w14:textId="77777777" w:rsidR="00344027" w:rsidRDefault="00344027" w:rsidP="00344027">
      <w:pPr>
        <w:widowControl w:val="0"/>
        <w:autoSpaceDE w:val="0"/>
        <w:autoSpaceDN w:val="0"/>
        <w:adjustRightInd w:val="0"/>
        <w:spacing w:line="360" w:lineRule="auto"/>
        <w:rPr>
          <w:rFonts w:cstheme="minorHAnsi"/>
          <w:b/>
          <w:bCs/>
          <w:sz w:val="22"/>
        </w:rPr>
      </w:pPr>
    </w:p>
    <w:p w14:paraId="1BBC27A2" w14:textId="77777777" w:rsidR="00344027" w:rsidRPr="00392131" w:rsidRDefault="00344027" w:rsidP="00344027">
      <w:pPr>
        <w:widowControl w:val="0"/>
        <w:autoSpaceDE w:val="0"/>
        <w:autoSpaceDN w:val="0"/>
        <w:adjustRightInd w:val="0"/>
        <w:spacing w:line="360" w:lineRule="auto"/>
        <w:rPr>
          <w:rFonts w:cstheme="minorHAnsi"/>
          <w:b/>
          <w:bCs/>
          <w:sz w:val="22"/>
        </w:rPr>
      </w:pPr>
      <w:r w:rsidRPr="00392131">
        <w:rPr>
          <w:rFonts w:cstheme="minorHAnsi"/>
          <w:b/>
          <w:bCs/>
          <w:sz w:val="22"/>
        </w:rPr>
        <w:t>Author Contributions:</w:t>
      </w:r>
    </w:p>
    <w:p w14:paraId="1C4939EF" w14:textId="77777777" w:rsidR="00344027" w:rsidRPr="00260745" w:rsidRDefault="00344027" w:rsidP="00344027">
      <w:pPr>
        <w:widowControl w:val="0"/>
        <w:autoSpaceDE w:val="0"/>
        <w:autoSpaceDN w:val="0"/>
        <w:adjustRightInd w:val="0"/>
        <w:spacing w:line="360" w:lineRule="auto"/>
        <w:rPr>
          <w:rFonts w:cstheme="minorHAnsi"/>
        </w:rPr>
      </w:pPr>
      <w:r w:rsidRPr="00260745">
        <w:rPr>
          <w:rFonts w:cstheme="minorHAnsi"/>
        </w:rPr>
        <w:t>MC, LL, MW, MS and IM conceived the study. MC and SH performed all the modelling and statistical analyses. MC wrote the manuscript draft with editorial support from LL, MW, MS, HK and IM. LL, MW, MS, HK and IM contributed to design of the work and critical evaluation of the manuscript during the extensive drafting process. All authors helped write and edit the final version of the paper.</w:t>
      </w:r>
    </w:p>
    <w:p w14:paraId="404055A0" w14:textId="77777777" w:rsidR="00344027" w:rsidRDefault="00344027" w:rsidP="00344027">
      <w:pPr>
        <w:pStyle w:val="Heading2"/>
        <w:ind w:left="567" w:hanging="567"/>
        <w:rPr>
          <w:rFonts w:asciiTheme="minorHAnsi" w:hAnsiTheme="minorHAnsi" w:cstheme="minorHAnsi"/>
        </w:rPr>
        <w:sectPr w:rsidR="00344027" w:rsidSect="007667E1">
          <w:footerReference w:type="default" r:id="rId51"/>
          <w:pgSz w:w="11900" w:h="16840"/>
          <w:pgMar w:top="1440" w:right="1440" w:bottom="1440" w:left="1440" w:header="720" w:footer="720" w:gutter="0"/>
          <w:cols w:space="720"/>
          <w:docGrid w:linePitch="326"/>
        </w:sectPr>
      </w:pPr>
    </w:p>
    <w:p w14:paraId="7F219FC1" w14:textId="40DF6458" w:rsidR="00344027" w:rsidRPr="00344027" w:rsidRDefault="00344027" w:rsidP="00344027">
      <w:pPr>
        <w:pStyle w:val="Heading2"/>
        <w:ind w:left="567" w:hanging="567"/>
        <w:rPr>
          <w:rFonts w:asciiTheme="minorHAnsi" w:hAnsiTheme="minorHAnsi" w:cstheme="minorHAnsi"/>
          <w:b/>
          <w:bCs/>
          <w:color w:val="000000" w:themeColor="text1"/>
        </w:rPr>
      </w:pPr>
      <w:bookmarkStart w:id="53" w:name="_Toc120622142"/>
      <w:r w:rsidRPr="00344027">
        <w:rPr>
          <w:rFonts w:asciiTheme="minorHAnsi" w:hAnsiTheme="minorHAnsi" w:cstheme="minorHAnsi"/>
          <w:b/>
          <w:bCs/>
          <w:color w:val="000000" w:themeColor="text1"/>
        </w:rPr>
        <w:lastRenderedPageBreak/>
        <w:t>5.1</w:t>
      </w:r>
      <w:r w:rsidRPr="00344027">
        <w:rPr>
          <w:rFonts w:asciiTheme="minorHAnsi" w:hAnsiTheme="minorHAnsi" w:cstheme="minorHAnsi"/>
          <w:b/>
          <w:bCs/>
          <w:color w:val="000000" w:themeColor="text1"/>
        </w:rPr>
        <w:tab/>
        <w:t>Abstract</w:t>
      </w:r>
      <w:bookmarkEnd w:id="53"/>
    </w:p>
    <w:p w14:paraId="47FABE00" w14:textId="2E396712" w:rsidR="00344027" w:rsidRPr="00260745" w:rsidRDefault="00344027" w:rsidP="00344027">
      <w:pPr>
        <w:spacing w:line="480" w:lineRule="auto"/>
        <w:rPr>
          <w:rFonts w:cstheme="minorHAnsi"/>
        </w:rPr>
      </w:pPr>
      <w:r w:rsidRPr="00260745">
        <w:rPr>
          <w:rFonts w:cstheme="minorHAnsi"/>
        </w:rPr>
        <w:t xml:space="preserve">Mangroves are important sinks of organic carbon (C) and there is significant interest in their use for greenhouse gas emissions mitigation. Adverse impacts on carbon storage potential from future climate change and deforestation would devalue such ambitions, thus global projections of future change </w:t>
      </w:r>
      <w:proofErr w:type="gramStart"/>
      <w:r w:rsidRPr="00260745">
        <w:rPr>
          <w:rFonts w:cstheme="minorHAnsi"/>
        </w:rPr>
        <w:t>remains</w:t>
      </w:r>
      <w:proofErr w:type="gramEnd"/>
      <w:r w:rsidRPr="00260745">
        <w:rPr>
          <w:rFonts w:cstheme="minorHAnsi"/>
        </w:rPr>
        <w:t xml:space="preserve"> a priority research area. We modelled the effects of climate change on future C stocks and soil sequestration rates (CSR) under two climate scenarios (‘business as usual’: SSP245 and high-emissions: SSP585). Model results were contrasted with CO</w:t>
      </w:r>
      <w:r w:rsidRPr="00260745">
        <w:rPr>
          <w:rFonts w:cstheme="minorHAnsi"/>
          <w:vertAlign w:val="subscript"/>
        </w:rPr>
        <w:t>2</w:t>
      </w:r>
      <w:r w:rsidRPr="00260745">
        <w:rPr>
          <w:rFonts w:cstheme="minorHAnsi"/>
        </w:rPr>
        <w:t xml:space="preserve"> equivalents (CO</w:t>
      </w:r>
      <w:r w:rsidRPr="00260745">
        <w:rPr>
          <w:rFonts w:cstheme="minorHAnsi"/>
          <w:vertAlign w:val="subscript"/>
        </w:rPr>
        <w:t>2</w:t>
      </w:r>
      <w:r w:rsidRPr="00260745">
        <w:rPr>
          <w:rFonts w:cstheme="minorHAnsi"/>
        </w:rPr>
        <w:t xml:space="preserve">e) emissions from past, present and future rates of deforestation on a country specific scale. For C stocks, we found climate change will increase global stocks by ~7% under both climate scenarios and that this gain will exceed losses from deforestation by the end of the 21st century, largely due to shifts in rainfall. Major mangrove-holding countries Indonesia, Malaysia, Cuba and Nigeria will increase national C stocks by &gt;10%. Under the high-end scenario, while a net global increase is still expected, elevated temperatures and wider temperature ranges </w:t>
      </w:r>
      <w:r w:rsidR="00DA0B1A">
        <w:rPr>
          <w:rFonts w:cstheme="minorHAnsi"/>
        </w:rPr>
        <w:t>will</w:t>
      </w:r>
      <w:r w:rsidR="00DA0B1A" w:rsidRPr="00260745">
        <w:rPr>
          <w:rFonts w:cstheme="minorHAnsi"/>
        </w:rPr>
        <w:t xml:space="preserve"> </w:t>
      </w:r>
      <w:r w:rsidRPr="00260745">
        <w:rPr>
          <w:rFonts w:cstheme="minorHAnsi"/>
        </w:rPr>
        <w:t xml:space="preserve">likely increase the risk of countries’ C stocks diminishing. For CSR, there will likely be a global reduction under both climate change scenarios: 12 of the top 20 mangrove-rich countries will see a drop in CSR. Modelling of published country level mangrove deforestation rates showed emissions have decreased from 141.4% to 6.4% of annual CSR since the 1980’s. Projecting current mangrove deforestation rates into the future resulted in a total of 678.50 ±151.32 </w:t>
      </w:r>
      <w:proofErr w:type="spellStart"/>
      <w:r w:rsidRPr="00260745">
        <w:rPr>
          <w:rFonts w:cstheme="minorHAnsi"/>
        </w:rPr>
        <w:t>Tg</w:t>
      </w:r>
      <w:proofErr w:type="spellEnd"/>
      <w:r w:rsidRPr="00260745">
        <w:rPr>
          <w:rFonts w:cstheme="minorHAnsi"/>
        </w:rPr>
        <w:t xml:space="preserve"> CO</w:t>
      </w:r>
      <w:r w:rsidRPr="00260745">
        <w:rPr>
          <w:rFonts w:cstheme="minorHAnsi"/>
          <w:vertAlign w:val="subscript"/>
        </w:rPr>
        <w:t>2</w:t>
      </w:r>
      <w:r w:rsidRPr="00260745">
        <w:rPr>
          <w:rFonts w:cstheme="minorHAnsi"/>
        </w:rPr>
        <w:t xml:space="preserve">e emitted from 2012 to 2095. Reducing mangrove deforestation rates further would elevate the carbon benefit from climate change by 55-61%, to make the proposition of offsetting emissions through mangrove protection and restoration more attractive. These results demonstrate the positive benefits of mangrove conservation on national carbon budgets, and we identify the nations where incorporating mangrove conservation into their </w:t>
      </w:r>
      <w:r w:rsidRPr="00260745">
        <w:rPr>
          <w:rFonts w:cstheme="minorHAnsi"/>
        </w:rPr>
        <w:lastRenderedPageBreak/>
        <w:t>Nationally Defined Contributions offers a particularly rewarding route towards meeting their Glasgow Agreement commitments.</w:t>
      </w:r>
    </w:p>
    <w:p w14:paraId="7957EED2" w14:textId="77777777" w:rsidR="00344027" w:rsidRPr="00392131" w:rsidRDefault="00344027" w:rsidP="00344027">
      <w:pPr>
        <w:pStyle w:val="Heading1"/>
        <w:spacing w:line="480" w:lineRule="auto"/>
        <w:ind w:left="567" w:hanging="567"/>
        <w:rPr>
          <w:rFonts w:asciiTheme="minorHAnsi" w:hAnsiTheme="minorHAnsi" w:cstheme="minorHAnsi"/>
          <w:sz w:val="22"/>
          <w:szCs w:val="22"/>
        </w:rPr>
      </w:pPr>
    </w:p>
    <w:p w14:paraId="3D71F2EA" w14:textId="438A426E" w:rsidR="00344027" w:rsidRPr="00344027" w:rsidRDefault="00344027" w:rsidP="00344027">
      <w:pPr>
        <w:pStyle w:val="Heading2"/>
        <w:ind w:left="567" w:hanging="567"/>
        <w:rPr>
          <w:rFonts w:asciiTheme="minorHAnsi" w:hAnsiTheme="minorHAnsi" w:cstheme="minorHAnsi"/>
          <w:b/>
          <w:bCs/>
          <w:color w:val="000000" w:themeColor="text1"/>
        </w:rPr>
      </w:pPr>
      <w:bookmarkStart w:id="54" w:name="_Toc120622143"/>
      <w:r w:rsidRPr="00344027">
        <w:rPr>
          <w:rFonts w:asciiTheme="minorHAnsi" w:hAnsiTheme="minorHAnsi" w:cstheme="minorHAnsi"/>
          <w:b/>
          <w:bCs/>
          <w:color w:val="000000" w:themeColor="text1"/>
        </w:rPr>
        <w:t>5.2</w:t>
      </w:r>
      <w:r w:rsidRPr="00344027">
        <w:rPr>
          <w:rFonts w:asciiTheme="minorHAnsi" w:hAnsiTheme="minorHAnsi" w:cstheme="minorHAnsi"/>
          <w:b/>
          <w:bCs/>
          <w:color w:val="000000" w:themeColor="text1"/>
        </w:rPr>
        <w:tab/>
        <w:t>Introduction</w:t>
      </w:r>
      <w:bookmarkEnd w:id="54"/>
    </w:p>
    <w:p w14:paraId="5780C1F7" w14:textId="55966784" w:rsidR="00344027" w:rsidRPr="00260745" w:rsidRDefault="00344027" w:rsidP="00344027">
      <w:pPr>
        <w:spacing w:line="480" w:lineRule="auto"/>
        <w:rPr>
          <w:rFonts w:cstheme="minorHAnsi"/>
        </w:rPr>
      </w:pPr>
      <w:r w:rsidRPr="00260745">
        <w:rPr>
          <w:rFonts w:cstheme="minorHAnsi"/>
        </w:rPr>
        <w:t xml:space="preserve">Mangroves, tidal marshes and seagrass meadows accumulate organic rich soils that can often extend to many meters depth and provide long-term storage of organic carbon (C). Termed ‘blue carbon’ ecosystems (BCE), these habitats occupy a relatively small area of the global ocean (~0.2%), but are major contributors to marine sediment carbon burial </w:t>
      </w:r>
      <w:r w:rsidRPr="00260745">
        <w:rPr>
          <w:rFonts w:cstheme="minorHAnsi"/>
        </w:rPr>
        <w:fldChar w:fldCharType="begin" w:fldLock="1"/>
      </w:r>
      <w:r w:rsidRPr="00260745">
        <w:rPr>
          <w:rFonts w:cstheme="minorHAnsi"/>
        </w:rPr>
        <w:instrText>ADDIN CSL_CITATION {"citationItems":[{"id":"ITEM-1","itemData":{"DOI":"10.1038/nclimate1970","ISBN":"1758-678X","ISSN":"1758-678X","abstract":"Nature Climate Change 3, 961 (2013). doi:10.1038/nclimate1970","author":[{"dropping-particle":"","family":"Duarte","given":"Carlos M","non-dropping-particle":"","parse-names":false,"suffix":""},{"dropping-particle":"","family":"Losada","given":"Iñigo J","non-dropping-particle":"","parse-names":false,"suffix":""},{"dropping-particle":"","family":"Hendriks","given":"Iris E","non-dropping-particle":"","parse-names":false,"suffix":""},{"dropping-particle":"","family":"Mazarrasa","given":"Inés","non-dropping-particle":"","parse-names":false,"suffix":""},{"dropping-particle":"","family":"Marbà","given":"Núria","non-dropping-particle":"","parse-names":false,"suffix":""}],"container-title":"Nature Climate Change","id":"ITEM-1","issue":"11","issued":{"date-parts":[["2013"]]},"page":"961-968","title":"The role of coastal plant communities for climate change mitigation and adaptation","type":"article-journal","volume":"3"},"uris":["http://www.mendeley.com/documents/?uuid=0731b3f4-e7f8-3fd1-9883-d8d98f4adc5a"]}],"mendeley":{"formattedCitation":"(Duarte et al., 2013)","plainTextFormattedCitation":"(Duarte et al., 2013)","previouslyFormattedCitation":"(Duarte et al., 2013)"},"properties":{"noteIndex":0},"schema":"https://github.com/citation-style-language/schema/raw/master/csl-citation.json"}</w:instrText>
      </w:r>
      <w:r w:rsidRPr="00260745">
        <w:rPr>
          <w:rFonts w:cstheme="minorHAnsi"/>
        </w:rPr>
        <w:fldChar w:fldCharType="separate"/>
      </w:r>
      <w:r w:rsidRPr="00260745">
        <w:rPr>
          <w:rFonts w:cstheme="minorHAnsi"/>
          <w:noProof/>
        </w:rPr>
        <w:t>(Duarte et al., 2013)</w:t>
      </w:r>
      <w:r w:rsidRPr="00260745">
        <w:rPr>
          <w:rFonts w:cstheme="minorHAnsi"/>
        </w:rPr>
        <w:fldChar w:fldCharType="end"/>
      </w:r>
      <w:r w:rsidRPr="00260745">
        <w:rPr>
          <w:rFonts w:cstheme="minorHAnsi"/>
        </w:rPr>
        <w:t xml:space="preserve">. Mangroves are of particular interest as they store and sequester comparatively high amounts of C in both biomass and soils </w:t>
      </w:r>
      <w:r w:rsidRPr="00260745">
        <w:rPr>
          <w:rFonts w:cstheme="minorHAnsi"/>
        </w:rPr>
        <w:fldChar w:fldCharType="begin" w:fldLock="1"/>
      </w:r>
      <w:r w:rsidR="008A48C6" w:rsidRPr="00260745">
        <w:rPr>
          <w:rFonts w:cstheme="minorHAnsi"/>
        </w:rPr>
        <w:instrText>ADDIN CSL_CITATION {"citationItems":[{"id":"ITEM-1","itemData":{"DOI":"10.1073/pnas.1519774113","ISBN":"0027-8424","ISSN":"0027-8424","PMID":"27035950","abstract":"Given their relatively small area, mangroves and their organic sediments are of disproportionate importance to global carbon sequestration and carbon storage. Peat deposition and preservation allows some mangroves to accrete vertically and keep pace with sea-level rise by growing on their own root remains. In this study we show that mangroves in desert inlets in the coasts of the Baja California have been accumulating root peat for nearly 2,000 y and harbor a belowground carbon content of 900-34,00 Mg C/ha, with an average value of 1,130 (± 128) Mg C/ha, and a belowground carbon accumulation similar to that found under some of the tallest tropical mangroves in the Mexican Pacific coast. The depth-age curve for the mangrove sediments of Baja California indicates that sea level in the peninsula has been rising at a mean rate of 0.70 mm/y (± 0.07) during the last 17 centuries, a value similar to the rates of sea-level rise estimated for the Caribbean during a comparable period. By accreting on their own accumulated peat, these desert mangroves store large amounts of carbon in their sediments. We estimate that mangroves and halophyte scrubs in Mexico's arid northwest, with less than 1% of the terrestrial area, store in their belowground sediments around 28% of the total belowground carbon pool of the whole region.","author":[{"dropping-particle":"","family":"Ezcurra","given":"Paula","non-dropping-particle":"","parse-names":false,"suffix":""},{"dropping-particle":"","family":"Ezcurra","given":"Exequiel","non-dropping-particle":"","parse-names":false,"suffix":""},{"dropping-particle":"","family":"Garcillán","given":"Pedro P","non-dropping-particle":"","parse-names":false,"suffix":""},{"dropping-particle":"","family":"Costa","given":"Matthew T","non-dropping-particle":"","parse-names":false,"suffix":""},{"dropping-particle":"","family":"Aburto-Oropeza","given":"Octavio","non-dropping-particle":"","parse-names":false,"suffix":""}],"container-title":"Proceedings of the National Academy of Sciences","id":"ITEM-1","issue":"16","issued":{"date-parts":[["2016","4","19"]]},"page":"4404-4409","publisher":"National Academy of Sciences","title":"Coastal landforms and accumulation of mangrove peat increase carbon sequestration and storage","type":"article-journal","volume":"113"},"uris":["http://www.mendeley.com/documents/?uuid=9c7cf961-d14c-37bd-be1d-ac6c656367ca"]},{"id":"ITEM-2","itemData":{"DOI":"10.1038/s41598-017-10424-9","ISSN":"2045-2322","author":[{"dropping-particle":"","family":"Almahasheer","given":"Hanan","non-dropping-particle":"","parse-names":false,"suffix":""},{"dropping-particle":"","family":"Serrano","given":"Oscar","non-dropping-particle":"","parse-names":false,"suffix":""},{"dropping-particle":"","family":"Duarte","given":"Carlos M.","non-dropping-particle":"","parse-names":false,"suffix":""},{"dropping-particle":"","family":"Arias-Ortiz","given":"Ariane","non-dropping-particle":"","parse-names":false,"suffix":""},{"dropping-particle":"","family":"Masque","given":"Pere","non-dropping-particle":"","parse-names":false,"suffix":""},{"dropping-particle":"","family":"Irigoien","given":"Xabier","non-dropping-particle":"","parse-names":false,"suffix":""}],"container-title":"Scientific Reports","id":"ITEM-2","issue":"1","issued":{"date-parts":[["2017"]]},"page":"9700","title":"Low Carbon sink capacity of Red Sea mangroves","type":"article-journal","volume":"7"},"uris":["http://www.mendeley.com/documents/?uuid=90af8c22-f462-3b43-9dc5-dcc30bc9100e"]},{"id":"ITEM-3","itemData":{"DOI":"10.1038/ngeo1123","ISBN":"1752-0894","ISSN":"1752-0894","PMID":"17701399","abstract":"Mangrove forests occur along ocean coastlines throughout the tropics, and support numerous ecosystem services, including fisheries production and nutrient cycling. However, the areal extent of mangrove forests has declined by 30–50% over the past half century as a result of coastal development, aqua- culture expansion and over-harvesting1–4. Carbon emissions resulting from mangrove loss are uncertain, owing in part to a lack of broad-scale data on the amount of carbon stored in these ecosystems, particularly below ground5. Here, we quantified whole-ecosystem carbon storage by measuring tree and dead wood biomass, soil carbon content, and soil depth in 25 mangrove forests across a broad area of the Indo-Pacific region—spanning 30◦ of latitude and 73◦ of longitude—where mangrove area and diversity are greatest4,6. These data indi- cate that mangroves are among the most carbon-rich forests in the tropics, containing on average 1,023Mg carbon per hectare. Organic-rich soils ranged from 0.5mto more than 3m in depth and accounted for 49–98% of carbon storage in these systems. Combining our data with other published information, we estimate that mangrove deforestation generates emissions of 0.02–0.12Pg carbon per year—as much as around 10% of emissions from deforestation globally, despite accounting for just 0.7%of tropical forest area.","author":[{"dropping-particle":"","family":"Donato","given":"Daniel C.","non-dropping-particle":"","parse-names":false,"suffix":""},{"dropping-particle":"","family":"Kauffman","given":"J. Boone","non-dropping-particle":"","parse-names":false,"suffix":""},{"dropping-particle":"","family":"Murdiyarso","given":"Daniel","non-dropping-particle":"","parse-names":false,"suffix":""},{"dropping-particle":"","family":"Kurnianto","given":"Sofyan","non-dropping-particle":"","parse-names":false,"suffix":""},{"dropping-particle":"","family":"Stidham","given":"Melanie","non-dropping-particle":"","parse-names":false,"suffix":""},{"dropping-particle":"","family":"Kanninen","given":"Markku","non-dropping-particle":"","parse-names":false,"suffix":""}],"container-title":"Nature Geoscience","id":"ITEM-3","issue":"5","issued":{"date-parts":[["2011"]]},"page":"293-297","title":"Mangroves among the most carbon-rich forests in the tropics","type":"article-journal","volume":"4"},"uris":["http://www.mendeley.com/documents/?uuid=490346f7-5ac8-4ae2-8d0c-30ebcec82312"]},{"id":"ITEM-4","itemData":{"DOI":"10.1002/fee.1482","ISBN":"7034894671","ISSN":"15409309","abstract":"Despite slow nutrient supply to the subtropical surface ocean, the rates of annual inorganic carbon uptake and net oxygen production are similar to those of nutrient-rich high-latitude waters. This surprisingly high subtropical carbon uptake cannot be fully accounted for by sediment trap-collected sinking particles and the downward mixing of suspended and dissolved organic carbon. We propose an explanation for these paradoxical observations: gel-like organic matter rich in carbon but poor in nutrients, akin to transparent exopolymer particles, is produced by phytoplankton under nutrient limitation, and a portion sinks into the shallow subsurface, where it is respired by heterotrophic bacteria. This organic matter would evade detection by sediment traps, effectively representing an additional (sinking-driven) source of dissolved organic carbon to the subsurface. Building on existing evidence for the production of such nutrient-poor organic matter in surface waters, we describe evidence for its decomposition in the shallow subsurface of the Sargasso Sea. First, oxygen at these depths is consumed over the summer without comparable production of nitrate. Second, a seasonal change in the","author":[{"dropping-particle":"","family":"Kauffman","given":"Boone J.","non-dropping-particle":"","parse-names":false,"suffix":""},{"dropping-particle":"","family":"Arifanti","given":"Virni B.","non-dropping-particle":"","parse-names":false,"suffix":""},{"dropping-particle":"","family":"Hernández Trejo","given":"Humberto","non-dropping-particle":"","parse-names":false,"suffix":""},{"dropping-particle":"","family":"Carmen Jesús García","given":"Maria","non-dropping-particle":"del","parse-names":false,"suffix":""},{"dropping-particle":"","family":"Norfolk","given":"Jennifer","non-dropping-particle":"","parse-names":false,"suffix":""},{"dropping-particle":"","family":"Cifuentes","given":"Miguel","non-dropping-particle":"","parse-names":false,"suffix":""},{"dropping-particle":"","family":"Hadriyanto","given":"Deddy","non-dropping-particle":"","parse-names":false,"suffix":""},{"dropping-particle":"","family":"Murdiyarso","given":"Daniel","non-dropping-particle":"","parse-names":false,"suffix":""}],"container-title":"Frontiers in Ecology and the Environment","id":"ITEM-4","issue":"4","issued":{"date-parts":[["2017"]]},"page":"183-188","title":"The jumbo carbon footprint of a shrimp: carbon losses from mangrove deforestation","type":"article-journal","volume":"15"},"uris":["http://www.mendeley.com/documents/?uuid=5e8dd8ea-1522-3882-82d0-fc93482e88b8"]}],"mendeley":{"formattedCitation":"(Almahasheer et al., 2017; Donato et al., 2011; Ezcurra et al., 2016; Kauffman et al., 2017)","plainTextFormattedCitation":"(Almahasheer et al., 2017; Donato et al., 2011; Ezcurra et al., 2016; Kauffman et al., 2017)","previouslyFormattedCitation":"(Almahasheer et al., 2017; Donato et al., 2011; Ezcurra et al., 2016; Kauffman et al., 2017)"},"properties":{"noteIndex":0},"schema":"https://github.com/citation-style-language/schema/raw/master/csl-citation.json"}</w:instrText>
      </w:r>
      <w:r w:rsidRPr="00260745">
        <w:rPr>
          <w:rFonts w:cstheme="minorHAnsi"/>
        </w:rPr>
        <w:fldChar w:fldCharType="separate"/>
      </w:r>
      <w:r w:rsidR="008A48C6" w:rsidRPr="00260745">
        <w:rPr>
          <w:rFonts w:cstheme="minorHAnsi"/>
          <w:noProof/>
          <w:lang w:val="es-ES"/>
        </w:rPr>
        <w:t>(Almahasheer et al., 2017; Donato et al., 2011; Ezcurra et al., 2016; Kauffman et al., 2017)</w:t>
      </w:r>
      <w:r w:rsidRPr="00260745">
        <w:rPr>
          <w:rFonts w:cstheme="minorHAnsi"/>
        </w:rPr>
        <w:fldChar w:fldCharType="end"/>
      </w:r>
      <w:r w:rsidRPr="00260745">
        <w:rPr>
          <w:rFonts w:cstheme="minorHAnsi"/>
          <w:lang w:val="es-ES"/>
        </w:rPr>
        <w:t xml:space="preserve">. </w:t>
      </w:r>
      <w:r w:rsidRPr="00260745">
        <w:rPr>
          <w:rFonts w:cstheme="minorHAnsi"/>
        </w:rPr>
        <w:t xml:space="preserve">Mangroves store up to five times as much carbon as tropical upland forests </w:t>
      </w:r>
      <w:r w:rsidRPr="00260745">
        <w:rPr>
          <w:rFonts w:cstheme="minorHAnsi"/>
        </w:rPr>
        <w:fldChar w:fldCharType="begin" w:fldLock="1"/>
      </w:r>
      <w:r w:rsidRPr="00260745">
        <w:rPr>
          <w:rFonts w:cstheme="minorHAnsi"/>
        </w:rPr>
        <w:instrText>ADDIN CSL_CITATION {"citationItems":[{"id":"ITEM-1","itemData":{"DOI":"10.1038/ngeo1123","ISBN":"1752-0894","ISSN":"1752-0894","PMID":"17701399","abstract":"Mangrove forests occur along ocean coastlines throughout the tropics, and support numerous ecosystem services, including fisheries production and nutrient cycling. However, the areal extent of mangrove forests has declined by 30–50% over the past half century as a result of coastal development, aqua- culture expansion and over-harvesting1–4. Carbon emissions resulting from mangrove loss are uncertain, owing in part to a lack of broad-scale data on the amount of carbon stored in these ecosystems, particularly below ground5. Here, we quantified whole-ecosystem carbon storage by measuring tree and dead wood biomass, soil carbon content, and soil depth in 25 mangrove forests across a broad area of the Indo-Pacific region—spanning 30◦ of latitude and 73◦ of longitude—where mangrove area and diversity are greatest4,6. These data indi- cate that mangroves are among the most carbon-rich forests in the tropics, containing on average 1,023Mg carbon per hectare. Organic-rich soils ranged from 0.5mto more than 3m in depth and accounted for 49–98% of carbon storage in these systems. Combining our data with other published information, we estimate that mangrove deforestation generates emissions of 0.02–0.12Pg carbon per year—as much as around 10% of emissions from deforestation globally, despite accounting for just 0.7%of tropical forest area.","author":[{"dropping-particle":"","family":"Donato","given":"Daniel C.","non-dropping-particle":"","parse-names":false,"suffix":""},{"dropping-particle":"","family":"Kauffman","given":"J. Boone","non-dropping-particle":"","parse-names":false,"suffix":""},{"dropping-particle":"","family":"Murdiyarso","given":"Daniel","non-dropping-particle":"","parse-names":false,"suffix":""},{"dropping-particle":"","family":"Kurnianto","given":"Sofyan","non-dropping-particle":"","parse-names":false,"suffix":""},{"dropping-particle":"","family":"Stidham","given":"Melanie","non-dropping-particle":"","parse-names":false,"suffix":""},{"dropping-particle":"","family":"Kanninen","given":"Markku","non-dropping-particle":"","parse-names":false,"suffix":""}],"container-title":"Nature Geoscience","id":"ITEM-1","issue":"5","issued":{"date-parts":[["2011"]]},"page":"293-297","title":"Mangroves among the most carbon-rich forests in the tropics","type":"article-journal","volume":"4"},"uris":["http://www.mendeley.com/documents/?uuid=490346f7-5ac8-4ae2-8d0c-30ebcec82312"]}],"mendeley":{"formattedCitation":"(Donato et al., 2011)","plainTextFormattedCitation":"(Donato et al., 2011)","previouslyFormattedCitation":"(Donato et al., 2011)"},"properties":{"noteIndex":0},"schema":"https://github.com/citation-style-language/schema/raw/master/csl-citation.json"}</w:instrText>
      </w:r>
      <w:r w:rsidRPr="00260745">
        <w:rPr>
          <w:rFonts w:cstheme="minorHAnsi"/>
        </w:rPr>
        <w:fldChar w:fldCharType="separate"/>
      </w:r>
      <w:r w:rsidRPr="00260745">
        <w:rPr>
          <w:rFonts w:cstheme="minorHAnsi"/>
          <w:noProof/>
        </w:rPr>
        <w:t>(Donato et al., 2011)</w:t>
      </w:r>
      <w:r w:rsidRPr="00260745">
        <w:rPr>
          <w:rFonts w:cstheme="minorHAnsi"/>
        </w:rPr>
        <w:fldChar w:fldCharType="end"/>
      </w:r>
      <w:r w:rsidRPr="00260745">
        <w:rPr>
          <w:rFonts w:cstheme="minorHAnsi"/>
        </w:rPr>
        <w:t xml:space="preserve">. A combination of high productivity and slow soil decomposition rates significantly increases mangroves’ ability to capture and store carbon, particularly in their soils </w:t>
      </w:r>
      <w:r w:rsidRPr="00260745">
        <w:rPr>
          <w:rFonts w:cstheme="minorHAnsi"/>
        </w:rPr>
        <w:fldChar w:fldCharType="begin" w:fldLock="1"/>
      </w:r>
      <w:r w:rsidRPr="00260745">
        <w:rPr>
          <w:rFonts w:cstheme="minorHAnsi"/>
        </w:rPr>
        <w:instrText>ADDIN CSL_CITATION {"citationItems":[{"id":"ITEM-1","itemData":{"DOI":"10.4155/cmt.12.20","ISBN":"1758-3004","ISSN":"1758-3004","abstract":"Mangrove forests are highly productive, with carbon production rates\\nequivalent to tropical humid forests. Mangroves allocate proportionally\\nmore carbon belowground, and have higher below- to above-ground carbon\\nmass ratios than terrestrial trees. Most mangrove carbon is stored as\\nlarge pools in soil and dead roots. Mangroves are among the most\\ncarbon-rich biomes, containing an average of 937 tC ha(-1), facilitating\\nthe accumulation of fine particles, and fostering rapid rates of\\nsediment accretion (similar to 5 mm year(-1)) and carbon burial (174 gC\\nm(-2) year(-1)). Mangroves account for only approximately 1% (13.5 Gt\\nyear(-1)) of carbon sequestration by the world's forests, but as coastal\\nhabitats they account for 14% of carbon sequestration by the global\\nocean. If mangrove carbon stocks are disturbed, resultant gas emissions\\nmay be very high. Irrespective of uncertainties and the unique nature of\\nimplementing REDD+ and Blue Carbon projects, mangroves are prime\\necosystems for reforestation and restoration.","author":[{"dropping-particle":"","family":"Alongi","given":"Daniel M","non-dropping-particle":"","parse-names":false,"suffix":""}],"container-title":"Carbon Management","id":"ITEM-1","issue":"3","issued":{"date-parts":[["2012"]]},"page":"313-322","title":"Carbon sequestration in mangrove forests","type":"article-journal","volume":"3"},"uris":["http://www.mendeley.com/documents/?uuid=3241c1b5-0ca9-3fd5-b2e4-34aa00c78452"]}],"mendeley":{"formattedCitation":"(Alongi, 2012)","plainTextFormattedCitation":"(Alongi, 2012)","previouslyFormattedCitation":"(Alongi, 2012)"},"properties":{"noteIndex":0},"schema":"https://github.com/citation-style-language/schema/raw/master/csl-citation.json"}</w:instrText>
      </w:r>
      <w:r w:rsidRPr="00260745">
        <w:rPr>
          <w:rFonts w:cstheme="minorHAnsi"/>
        </w:rPr>
        <w:fldChar w:fldCharType="separate"/>
      </w:r>
      <w:r w:rsidRPr="00260745">
        <w:rPr>
          <w:rFonts w:cstheme="minorHAnsi"/>
          <w:noProof/>
        </w:rPr>
        <w:t>(Alongi, 2012)</w:t>
      </w:r>
      <w:r w:rsidRPr="00260745">
        <w:rPr>
          <w:rFonts w:cstheme="minorHAnsi"/>
        </w:rPr>
        <w:fldChar w:fldCharType="end"/>
      </w:r>
      <w:r w:rsidRPr="00260745">
        <w:rPr>
          <w:rFonts w:cstheme="minorHAnsi"/>
        </w:rPr>
        <w:t>. Aboveground net primary productivity (NPP) rates in mangroves (8.1 t DW ha</w:t>
      </w:r>
      <w:r w:rsidRPr="00260745">
        <w:rPr>
          <w:rFonts w:cstheme="minorHAnsi"/>
          <w:vertAlign w:val="superscript"/>
        </w:rPr>
        <w:t>-1</w:t>
      </w:r>
      <w:r w:rsidRPr="00260745">
        <w:rPr>
          <w:rFonts w:cstheme="minorHAnsi"/>
        </w:rPr>
        <w:t xml:space="preserve"> yr</w:t>
      </w:r>
      <w:r w:rsidRPr="00260745">
        <w:rPr>
          <w:rFonts w:cstheme="minorHAnsi"/>
          <w:vertAlign w:val="superscript"/>
        </w:rPr>
        <w:t>-1</w:t>
      </w:r>
      <w:r w:rsidRPr="00260745">
        <w:rPr>
          <w:rFonts w:cstheme="minorHAnsi"/>
        </w:rPr>
        <w:t>) rival those of highly productive tropical terrestrial forests (11.1 t DW ha</w:t>
      </w:r>
      <w:r w:rsidRPr="00260745">
        <w:rPr>
          <w:rFonts w:cstheme="minorHAnsi"/>
          <w:vertAlign w:val="superscript"/>
        </w:rPr>
        <w:t>-1</w:t>
      </w:r>
      <w:r w:rsidRPr="00260745">
        <w:rPr>
          <w:rFonts w:cstheme="minorHAnsi"/>
        </w:rPr>
        <w:t xml:space="preserve"> yr</w:t>
      </w:r>
      <w:r w:rsidRPr="00260745">
        <w:rPr>
          <w:rFonts w:cstheme="minorHAnsi"/>
          <w:vertAlign w:val="superscript"/>
        </w:rPr>
        <w:t>-1</w:t>
      </w:r>
      <w:r w:rsidRPr="00260745">
        <w:rPr>
          <w:rFonts w:cstheme="minorHAnsi"/>
        </w:rPr>
        <w:t xml:space="preserve">) </w:t>
      </w:r>
      <w:r w:rsidRPr="00260745">
        <w:rPr>
          <w:rFonts w:cstheme="minorHAnsi"/>
        </w:rPr>
        <w:fldChar w:fldCharType="begin" w:fldLock="1"/>
      </w:r>
      <w:r w:rsidRPr="00260745">
        <w:rPr>
          <w:rFonts w:cstheme="minorHAnsi"/>
        </w:rPr>
        <w:instrText>ADDIN CSL_CITATION {"citationItems":[{"id":"ITEM-1","itemData":{"DOI":"10.4155/cmt.12.20","ISBN":"1758-3004","ISSN":"1758-3004","abstract":"Mangrove forests are highly productive, with carbon production rates\\nequivalent to tropical humid forests. Mangroves allocate proportionally\\nmore carbon belowground, and have higher below- to above-ground carbon\\nmass ratios than terrestrial trees. Most mangrove carbon is stored as\\nlarge pools in soil and dead roots. Mangroves are among the most\\ncarbon-rich biomes, containing an average of 937 tC ha(-1), facilitating\\nthe accumulation of fine particles, and fostering rapid rates of\\nsediment accretion (similar to 5 mm year(-1)) and carbon burial (174 gC\\nm(-2) year(-1)). Mangroves account for only approximately 1% (13.5 Gt\\nyear(-1)) of carbon sequestration by the world's forests, but as coastal\\nhabitats they account for 14% of carbon sequestration by the global\\nocean. If mangrove carbon stocks are disturbed, resultant gas emissions\\nmay be very high. Irrespective of uncertainties and the unique nature of\\nimplementing REDD+ and Blue Carbon projects, mangroves are prime\\necosystems for reforestation and restoration.","author":[{"dropping-particle":"","family":"Alongi","given":"Daniel M","non-dropping-particle":"","parse-names":false,"suffix":""}],"container-title":"Carbon Management","id":"ITEM-1","issue":"3","issued":{"date-parts":[["2012"]]},"page":"313-322","title":"Carbon sequestration in mangrove forests","type":"article-journal","volume":"3"},"uris":["http://www.mendeley.com/documents/?uuid=3241c1b5-0ca9-3fd5-b2e4-34aa00c78452"]}],"mendeley":{"formattedCitation":"(Alongi, 2012)","plainTextFormattedCitation":"(Alongi, 2012)","previouslyFormattedCitation":"(Alongi, 2012)"},"properties":{"noteIndex":0},"schema":"https://github.com/citation-style-language/schema/raw/master/csl-citation.json"}</w:instrText>
      </w:r>
      <w:r w:rsidRPr="00260745">
        <w:rPr>
          <w:rFonts w:cstheme="minorHAnsi"/>
        </w:rPr>
        <w:fldChar w:fldCharType="separate"/>
      </w:r>
      <w:r w:rsidRPr="00260745">
        <w:rPr>
          <w:rFonts w:cstheme="minorHAnsi"/>
          <w:noProof/>
        </w:rPr>
        <w:t>(Alongi, 2012)</w:t>
      </w:r>
      <w:r w:rsidRPr="00260745">
        <w:rPr>
          <w:rFonts w:cstheme="minorHAnsi"/>
        </w:rPr>
        <w:fldChar w:fldCharType="end"/>
      </w:r>
      <w:r w:rsidRPr="00260745">
        <w:rPr>
          <w:rFonts w:cstheme="minorHAnsi"/>
        </w:rPr>
        <w:t xml:space="preserve">. In addition, complex mangrove root structures and waterlogged soils trap allochthonous organic material on top of deep carbon rich peat composed mainly of dead root material, sometimes extending up to 10 m depth </w:t>
      </w:r>
      <w:r w:rsidRPr="00260745">
        <w:rPr>
          <w:rFonts w:cstheme="minorHAnsi"/>
        </w:rPr>
        <w:fldChar w:fldCharType="begin" w:fldLock="1"/>
      </w:r>
      <w:r w:rsidRPr="00260745">
        <w:rPr>
          <w:rFonts w:cstheme="minorHAnsi"/>
        </w:rPr>
        <w:instrText>ADDIN CSL_CITATION {"citationItems":[{"id":"ITEM-1","itemData":{"DOI":"10.1111/j.1466-8238.2007.00317.x","ISSN":"1466822X","abstract":"Aim: The long-term stability of coastal ecosystems such as mangroves and salt marshes depends upon the maintenance of soil elevations within the intertidal habitat as sea level changes. We examined the rates and processes of peat formation by mangroves of the Caribbean Region to better understand biological controls on habitat stability. Location: Mangrove-dominated islands on the Caribbean coasts of Belize, Honduras and Panama were selected as study sites. Methods: Biological processes controlling mangrove peat formation were manipulated (in Belize) by the addition of nutrients (nitrogen or phosphorus) to Rhizophora mangle (red mangrove), and the effects on the dynamics of soil elevation were determined over a 3-year period using rod surface elevation tables (RSET) and marker horizons. Peat composition and geological accretion rates were determined at all sites using radiocarbon-dated cores. Results: The addition of nutrients to mangroves caused significant changes in rates of mangrove root accumulation, which influenced both the rate and direction of change in elevation. Areas with low root input lost elevation and those with high rates gained elevation. These findings were consistent with peat analyses at multiple Caribbean sites showing that deposits (up to 10 m in depth) were composed primarily of mangrove root matter. Comparison of radiocarbon-dated cores at the study sites with a sea-level curve for the western Atlantic indicated a tight coupling between peat building in Caribbean mangroves and sea-level rise over the Holocene. Main conclusions: Mangroves common to the Caribbean region have adjusted to changing sea level mainly through subsurface accumulation of refractory mangrove roots. Without root and other organic inputs, submergence of these tidal forests is inevitable due to peat decomposition, physical compaction and eustatic sea-level rise. These findings have relevance for predicting the effects of sea-level rise and biophysical processes on tropical mangrove ecosystems. © 2007 The AuthorsJournal compilation © 2007 Blackwell Publishing Ltd.","author":[{"dropping-particle":"","family":"McKee","given":"Karen L.","non-dropping-particle":"","parse-names":false,"suffix":""},{"dropping-particle":"","family":"Cahoon","given":"Donald R.","non-dropping-particle":"","parse-names":false,"suffix":""},{"dropping-particle":"","family":"Feller","given":"Ilka C.","non-dropping-particle":"","parse-names":false,"suffix":""}],"container-title":"Global Ecology and Biogeography","id":"ITEM-1","issue":"5","issued":{"date-parts":[["2007"]]},"page":"545-556","title":"Caribbean mangroves adjust to rising sea level through biotic controls on change in soil elevation","type":"article-journal","volume":"16"},"uris":["http://www.mendeley.com/documents/?uuid=7562476d-5b53-4775-956f-205d4ce65347"]}],"mendeley":{"formattedCitation":"(McKee et al., 2007)","plainTextFormattedCitation":"(McKee et al., 2007)","previouslyFormattedCitation":"(McKee et al., 2007)"},"properties":{"noteIndex":0},"schema":"https://github.com/citation-style-language/schema/raw/master/csl-citation.json"}</w:instrText>
      </w:r>
      <w:r w:rsidRPr="00260745">
        <w:rPr>
          <w:rFonts w:cstheme="minorHAnsi"/>
        </w:rPr>
        <w:fldChar w:fldCharType="separate"/>
      </w:r>
      <w:r w:rsidRPr="00260745">
        <w:rPr>
          <w:rFonts w:cstheme="minorHAnsi"/>
          <w:noProof/>
        </w:rPr>
        <w:t>(McKee et al., 2007)</w:t>
      </w:r>
      <w:r w:rsidRPr="00260745">
        <w:rPr>
          <w:rFonts w:cstheme="minorHAnsi"/>
        </w:rPr>
        <w:fldChar w:fldCharType="end"/>
      </w:r>
      <w:r w:rsidRPr="00260745">
        <w:rPr>
          <w:rFonts w:cstheme="minorHAnsi"/>
        </w:rPr>
        <w:t xml:space="preserve">; soil carbon can comprise up to 90% of mangrove carbon stocks </w:t>
      </w:r>
      <w:r w:rsidRPr="00260745">
        <w:rPr>
          <w:rFonts w:cstheme="minorHAnsi"/>
        </w:rPr>
        <w:fldChar w:fldCharType="begin" w:fldLock="1"/>
      </w:r>
      <w:r w:rsidRPr="00260745">
        <w:rPr>
          <w:rFonts w:cstheme="minorHAnsi"/>
        </w:rPr>
        <w:instrText>ADDIN CSL_CITATION {"citationItems":[{"id":"ITEM-1","itemData":{"ISSN":"0016-7061","author":[{"dropping-particle":"","family":"Cooray","given":"Pestheruwe Liyanaralalage Iroshaka Gregory Marcelus","non-dropping-particle":"","parse-names":false,"suffix":""},{"dropping-particle":"","family":"Kodikara","given":"Kodikara Arachchilage Sunanda","non-dropping-particle":"","parse-names":false,"suffix":""},{"dropping-particle":"","family":"Kumara","given":"Marappulige Priyantha","non-dropping-particle":"","parse-names":false,"suffix":""},{"dropping-particle":"","family":"Jayasinghe","given":"Uthpala Indeewari","non-dropping-particle":"","parse-names":false,"suffix":""},{"dropping-particle":"","family":"Madarasinghe","given":"Sanduni Kanishka","non-dropping-particle":"","parse-names":false,"suffix":""},{"dropping-particle":"","family":"Dahdouh-Guebas","given":"Faird","non-dropping-particle":"","parse-names":false,"suffix":""},{"dropping-particle":"","family":"Gorman","given":"Daniel","non-dropping-particle":"","parse-names":false,"suffix":""},{"dropping-particle":"","family":"Huxham","given":"Mark","non-dropping-particle":"","parse-names":false,"suffix":""},{"dropping-particle":"","family":"Jayatissa","given":"Loku Pulukkuttige","non-dropping-particle":"","parse-names":false,"suffix":""}],"container-title":"Geoderma","id":"ITEM-1","issued":{"date-parts":[["2021"]]},"page":"114929","title":"Climate and intertidal zonation drive variability in the carbon stocks of Sri Lankan mangrove forests","type":"article-journal","volume":"389"},"uris":["http://www.mendeley.com/documents/?uuid=fcb59c17-edfa-4bd0-96bd-6bbb648c727d","http://www.mendeley.com/documents/?uuid=a9637f5d-fd00-434b-a827-8be64184fd64"]}],"mendeley":{"formattedCitation":"(Cooray et al., 2021)","plainTextFormattedCitation":"(Cooray et al., 2021)","previouslyFormattedCitation":"(Cooray et al., 2021)"},"properties":{"noteIndex":0},"schema":"https://github.com/citation-style-language/schema/raw/master/csl-citation.json"}</w:instrText>
      </w:r>
      <w:r w:rsidRPr="00260745">
        <w:rPr>
          <w:rFonts w:cstheme="minorHAnsi"/>
        </w:rPr>
        <w:fldChar w:fldCharType="separate"/>
      </w:r>
      <w:r w:rsidRPr="00260745">
        <w:rPr>
          <w:rFonts w:cstheme="minorHAnsi"/>
          <w:noProof/>
        </w:rPr>
        <w:t>(Cooray et al., 2021)</w:t>
      </w:r>
      <w:r w:rsidRPr="00260745">
        <w:rPr>
          <w:rFonts w:cstheme="minorHAnsi"/>
        </w:rPr>
        <w:fldChar w:fldCharType="end"/>
      </w:r>
      <w:r w:rsidRPr="00260745">
        <w:rPr>
          <w:rFonts w:cstheme="minorHAnsi"/>
        </w:rPr>
        <w:t xml:space="preserve">. As a result, mangroves have received a great deal of scientific interest as natural systems for offsetting greenhouse gas (GHG) emissions </w:t>
      </w:r>
      <w:r w:rsidRPr="00260745">
        <w:rPr>
          <w:rFonts w:cstheme="minorHAnsi"/>
        </w:rPr>
        <w:fldChar w:fldCharType="begin" w:fldLock="1"/>
      </w:r>
      <w:r w:rsidRPr="00260745">
        <w:rPr>
          <w:rFonts w:cstheme="minorHAnsi"/>
        </w:rPr>
        <w:instrText>ADDIN CSL_CITATION {"citationItems":[{"id":"ITEM-1","itemData":{"DOI":"10.1038/ngeo1477","ISBN":"1752-0894","ISSN":"1752-0894","PMID":"9374660","abstract":"The protection of organic carbon stored in forests is considered as an important method for mitigating climate change. Like terrestrial ecosystems, coastal ecosystems store large amounts of carbon, and there are initiatives to protect these 'blue carbon' stores. Organic carbon stocks in tidal salt marshes and mangroves have been estimated, but uncertainties in the stores of seagrass meadows-some of the most productive ecosystems on Earth-hinder the application of marine carbon conservation schemes. Here, we compile published and unpublished measurements of the organic carbon content of living seagrass biomass and underlying soils in 946 distinct seagrass meadows across the globe. Using only data from sites for which full inventories exist, we estimate that, globally, seagrass ecosystems could store as much as 19.9 Pg organic carbon; according to a more conservative approach, in which we incorporate more data from surface soils and depth-dependent declines in soil carbon stocks, we estimate that the seagrass carbon pool lies between 4.2 and 8.4 Pg carbon. We estimate that present rates of seagrass loss could result in the release of up to 299 Tg carbon per year, assuming that all of the organic carbon in seagrass biomass and the top metre of soils is remineralized.","author":[{"dropping-particle":"","family":"Fourqurean","given":"James W.","non-dropping-particle":"","parse-names":false,"suffix":""},{"dropping-particle":"","family":"Duarte","given":"Carlos M.","non-dropping-particle":"","parse-names":false,"suffix":""},{"dropping-particle":"","family":"Kennedy","given":"Hilary","non-dropping-particle":"","parse-names":false,"suffix":""},{"dropping-particle":"","family":"Marbà","given":"Núria","non-dropping-particle":"","parse-names":false,"suffix":""},{"dropping-particle":"","family":"Holmer","given":"Marianne","non-dropping-particle":"","parse-names":false,"suffix":""},{"dropping-particle":"","family":"Mateo","given":"Miguel Angel","non-dropping-particle":"","parse-names":false,"suffix":""},{"dropping-particle":"","family":"Apostolaki","given":"Eugenia T.","non-dropping-particle":"","parse-names":false,"suffix":""},{"dropping-particle":"","family":"Kendrick","given":"Gary A.","non-dropping-particle":"","parse-names":false,"suffix":""},{"dropping-particle":"","family":"Krause-Jensen","given":"Dorte","non-dropping-particle":"","parse-names":false,"suffix":""},{"dropping-particle":"","family":"McGlathery","given":"Karen J.","non-dropping-particle":"","parse-names":false,"suffix":""},{"dropping-particle":"","family":"Serrano","given":"Oscar","non-dropping-particle":"","parse-names":false,"suffix":""}],"container-title":"Nature Geoscience","id":"ITEM-1","issue":"7","issued":{"date-parts":[["2012"]]},"page":"505-509","title":"Seagrass ecosystems as a globally significant carbon stock","type":"article-journal","volume":"5"},"uris":["http://www.mendeley.com/documents/?uuid=3b738b98-6323-3a88-af9b-79dedcd8f103"]},{"id":"ITEM-2","itemData":{"DOI":"10.1038/ngeo1123","ISBN":"1752-0894","ISSN":"1752-0894","PMID":"17701399","abstract":"Mangrove forests occur along ocean coastlines throughout the tropics, and support numerous ecosystem services, including fisheries production and nutrient cycling. However, the areal extent of mangrove forests has declined by 30–50% over the past half century as a result of coastal development, aqua- culture expansion and over-harvesting1–4. Carbon emissions resulting from mangrove loss are uncertain, owing in part to a lack of broad-scale data on the amount of carbon stored in these ecosystems, particularly below ground5. Here, we quantified whole-ecosystem carbon storage by measuring tree and dead wood biomass, soil carbon content, and soil depth in 25 mangrove forests across a broad area of the Indo-Pacific region—spanning 30◦ of latitude and 73◦ of longitude—where mangrove area and diversity are greatest4,6. These data indi- cate that mangroves are among the most carbon-rich forests in the tropics, containing on average 1,023Mg carbon per hectare. Organic-rich soils ranged from 0.5mto more than 3m in depth and accounted for 49–98% of carbon storage in these systems. Combining our data with other published information, we estimate that mangrove deforestation generates emissions of 0.02–0.12Pg carbon per year—as much as around 10% of emissions from deforestation globally, despite accounting for just 0.7%of tropical forest area.","author":[{"dropping-particle":"","family":"Donato","given":"Daniel C.","non-dropping-particle":"","parse-names":false,"suffix":""},{"dropping-particle":"","family":"Kauffman","given":"J. Boone","non-dropping-particle":"","parse-names":false,"suffix":""},{"dropping-particle":"","family":"Murdiyarso","given":"Daniel","non-dropping-particle":"","parse-names":false,"suffix":""},{"dropping-particle":"","family":"Kurnianto","given":"Sofyan","non-dropping-particle":"","parse-names":false,"suffix":""},{"dropping-particle":"","family":"Stidham","given":"Melanie","non-dropping-particle":"","parse-names":false,"suffix":""},{"dropping-particle":"","family":"Kanninen","given":"Markku","non-dropping-particle":"","parse-names":false,"suffix":""}],"container-title":"Nature Geoscience","id":"ITEM-2","issue":"5","issued":{"date-parts":[["2011"]]},"page":"293-297","title":"Mangroves among the most carbon-rich forests in the tropics","type":"article-journal","volume":"4"},"uris":["http://www.mendeley.com/documents/?uuid=490346f7-5ac8-4ae2-8d0c-30ebcec82312"]}],"mendeley":{"formattedCitation":"(Donato et al., 2011; Fourqurean et al., 2012)","plainTextFormattedCitation":"(Donato et al., 2011; Fourqurean et al., 2012)","previouslyFormattedCitation":"(Donato et al., 2011; Fourqurean et al., 2012)"},"properties":{"noteIndex":0},"schema":"https://github.com/citation-style-language/schema/raw/master/csl-citation.json"}</w:instrText>
      </w:r>
      <w:r w:rsidRPr="00260745">
        <w:rPr>
          <w:rFonts w:cstheme="minorHAnsi"/>
        </w:rPr>
        <w:fldChar w:fldCharType="separate"/>
      </w:r>
      <w:r w:rsidRPr="00260745">
        <w:rPr>
          <w:rFonts w:cstheme="minorHAnsi"/>
          <w:noProof/>
        </w:rPr>
        <w:t>(Donato et al., 2011; Fourqurean et al., 2012)</w:t>
      </w:r>
      <w:r w:rsidRPr="00260745">
        <w:rPr>
          <w:rFonts w:cstheme="minorHAnsi"/>
        </w:rPr>
        <w:fldChar w:fldCharType="end"/>
      </w:r>
      <w:r w:rsidRPr="00260745">
        <w:rPr>
          <w:rFonts w:cstheme="minorHAnsi"/>
        </w:rPr>
        <w:t xml:space="preserve">. </w:t>
      </w:r>
    </w:p>
    <w:p w14:paraId="019DFB19" w14:textId="77777777" w:rsidR="00344027" w:rsidRPr="00392131" w:rsidRDefault="00344027" w:rsidP="00344027">
      <w:pPr>
        <w:spacing w:line="480" w:lineRule="auto"/>
        <w:rPr>
          <w:rFonts w:cstheme="minorHAnsi"/>
          <w:sz w:val="22"/>
        </w:rPr>
      </w:pPr>
    </w:p>
    <w:p w14:paraId="24B6A3CF" w14:textId="787C9B25" w:rsidR="00344027" w:rsidRPr="00260745" w:rsidRDefault="00344027" w:rsidP="00344027">
      <w:pPr>
        <w:spacing w:line="480" w:lineRule="auto"/>
        <w:rPr>
          <w:rFonts w:cstheme="minorHAnsi"/>
        </w:rPr>
      </w:pPr>
      <w:r w:rsidRPr="00260745">
        <w:rPr>
          <w:rFonts w:cstheme="minorHAnsi"/>
        </w:rPr>
        <w:lastRenderedPageBreak/>
        <w:t xml:space="preserve">Historic rates of mangrove deforestation posed a serious risk of significant GHG emissions; since the 1950’s it has been estimated that up to 50% of the world’s mangroves have been deforested, largely due to land-use change </w:t>
      </w:r>
      <w:r w:rsidRPr="00260745">
        <w:rPr>
          <w:rFonts w:cstheme="minorHAnsi"/>
        </w:rPr>
        <w:fldChar w:fldCharType="begin" w:fldLock="1"/>
      </w:r>
      <w:r w:rsidRPr="00260745">
        <w:rPr>
          <w:rFonts w:cstheme="minorHAnsi"/>
        </w:rPr>
        <w:instrText>ADDIN CSL_CITATION {"citationItems":[{"id":"ITEM-1","itemData":{"DOI":"10.1017/S0376892902000231","ISSN":"03768929","abstract":"Mangroves, the only woody halophytes living at the confluence of land and sea, have been heavily used traditionally for food, timber, fuel and medicine, and presently occupy about 181 000 km(2) of tropical and subtropical coastline. Over the past 50 years, approximately one-third of the world's mangrove forests have been lost, but most data show very variable loss rates and there is considerable margin of error in most estimates. Mangroves are a valuable ecological and economic resource, being important nursery grounds and breeding sites for birds, fish, crustaceans, shellfish, reptiles and mammals; a renewable source of wood; accumulation sites for sediment, contaminants, carbon and nutrients; and offer protection against coastal erosion. The destruction of mangroves is usually positively related to human population density. Major reasons for destruction are urban development, aquaculture, mining and overexploitation for timber, fish, crustaceans and shellfish. Over the next 25 years, unrestricted clear felling, aquaculture, and overexploitation of fisheries will be the greatest threats, with lesser problems being alteration of hydrology, pollution and global warming. Loss of biodiversity is, and will continue to be, a severe problem as even pristine mangroves are species-poor compared with other tropical ecosystems. The future is not entirely bleak. The number of rehabilitation and restoration projects is increasing worldwide with some countries showing increases in mangrove area. The intensity of coastal aquaculture appears to have levelled off in some parts of the world. Some commercial projects and. economic models indicate that mangroves can be used as a sustainable resource, especially for wood. The brightest note is that the rate of population growth is projected to slow during the next 50 years, with a gradual decline thereafter to the end of the century. Mangrove forests will continue to be exploited at current rates to 2025, unless they are seen as a valuable resource to be managed on a sustainable basis. After 2025, the future of mangroves will depend on technological and ecological advances in multi-species silviculture, genetics, and forestry modelling, but the greatest hope for their future is for a reduction in human population growth","author":[{"dropping-particle":"","family":"Alongi","given":"Daniel M.","non-dropping-particle":"","parse-names":false,"suffix":""}],"container-title":"Environmental Conservation","id":"ITEM-1","issue":"3","issued":{"date-parts":[["2002","9","13"]]},"page":"331-349","publisher":"Cambridge University Press","title":"Present state and future of the world's mangrove forests","type":"article","volume":"29"},"uris":["http://www.mendeley.com/documents/?uuid=9a46e976-54cb-3da4-afd2-dcaed6bffd61"]}],"mendeley":{"formattedCitation":"(Alongi, 2002)","plainTextFormattedCitation":"(Alongi, 2002)","previouslyFormattedCitation":"(Alongi, 2002)"},"properties":{"noteIndex":0},"schema":"https://github.com/citation-style-language/schema/raw/master/csl-citation.json"}</w:instrText>
      </w:r>
      <w:r w:rsidRPr="00260745">
        <w:rPr>
          <w:rFonts w:cstheme="minorHAnsi"/>
        </w:rPr>
        <w:fldChar w:fldCharType="separate"/>
      </w:r>
      <w:r w:rsidRPr="00260745">
        <w:rPr>
          <w:rFonts w:cstheme="minorHAnsi"/>
          <w:noProof/>
        </w:rPr>
        <w:t>(Alongi, 2002)</w:t>
      </w:r>
      <w:r w:rsidRPr="00260745">
        <w:rPr>
          <w:rFonts w:cstheme="minorHAnsi"/>
        </w:rPr>
        <w:fldChar w:fldCharType="end"/>
      </w:r>
      <w:r w:rsidRPr="00260745">
        <w:rPr>
          <w:rFonts w:cstheme="minorHAnsi"/>
        </w:rPr>
        <w:t xml:space="preserve">. Despite estimates of recent global mangrove loss slowing to 4.0% of global coverage between 1996 and 2016 </w:t>
      </w:r>
      <w:r w:rsidRPr="00260745">
        <w:rPr>
          <w:rFonts w:cstheme="minorHAnsi"/>
        </w:rPr>
        <w:fldChar w:fldCharType="begin" w:fldLock="1"/>
      </w:r>
      <w:r w:rsidRPr="00260745">
        <w:rPr>
          <w:rFonts w:cstheme="minorHAnsi"/>
        </w:rPr>
        <w:instrText>ADDIN CSL_CITATION {"citationItems":[{"id":"ITEM-1","itemData":{"DOI":"10.1038/s41467-020-18118-z","ISSN":"20411723","PMID":"32848150","abstract":"Mangrove forests hold some of the highest densities of carbon recorded in any ecosystem, but have experienced widespread deforestation through conversion to aquaculture and agriculture. Alongside deforestation, mangroves have shown simultaneous natural expansion in some parts of the world, and considerable investments have been made into restoration programmes. Here we estimate net changes in the global mangrove carbon stock due to land cover change between 1996 and 2016, using data on mangrove deforestation and forestation, and proportional changes in carbon stock during processes of mangrove loss and gain. The global mangrove carbon stock declined by 158.4 Mt (95% CI = −156.8–525.9 Mt); a reduction of 1.8% of the stock present in 1996. Efforts to conserve and restore mangroves appear to have had some success, and - along with natural forestation - have contributed to relatively low net losses of mangrove carbon stocks over two decades.","author":[{"dropping-particle":"","family":"Richards","given":"Daniel R.","non-dropping-particle":"","parse-names":false,"suffix":""},{"dropping-particle":"","family":"Thompson","given":"Benjamin S.","non-dropping-particle":"","parse-names":false,"suffix":""},{"dropping-particle":"","family":"Wijedasa","given":"Lahiru","non-dropping-particle":"","parse-names":false,"suffix":""}],"container-title":"Nature Communications","id":"ITEM-1","issue":"1","issued":{"date-parts":[["2020"]]},"title":"Quantifying net loss of global mangrove carbon stocks from 20 years of land cover change","type":"article-journal","volume":"11"},"uris":["http://www.mendeley.com/documents/?uuid=b8645dc7-9cfd-48ec-b8f5-a8edff499f80"]}],"mendeley":{"formattedCitation":"(Richards et al., 2020)","plainTextFormattedCitation":"(Richards et al., 2020)","previouslyFormattedCitation":"(Richards et al., 2020)"},"properties":{"noteIndex":0},"schema":"https://github.com/citation-style-language/schema/raw/master/csl-citation.json"}</w:instrText>
      </w:r>
      <w:r w:rsidRPr="00260745">
        <w:rPr>
          <w:rFonts w:cstheme="minorHAnsi"/>
        </w:rPr>
        <w:fldChar w:fldCharType="separate"/>
      </w:r>
      <w:r w:rsidRPr="00260745">
        <w:rPr>
          <w:rFonts w:cstheme="minorHAnsi"/>
          <w:noProof/>
        </w:rPr>
        <w:t>(Richards et al., 2020)</w:t>
      </w:r>
      <w:r w:rsidRPr="00260745">
        <w:rPr>
          <w:rFonts w:cstheme="minorHAnsi"/>
        </w:rPr>
        <w:fldChar w:fldCharType="end"/>
      </w:r>
      <w:r w:rsidRPr="00260745">
        <w:rPr>
          <w:rFonts w:cstheme="minorHAnsi"/>
        </w:rPr>
        <w:t>, it has been estimated that &gt;300 million Mg of CO</w:t>
      </w:r>
      <w:r w:rsidRPr="00260745">
        <w:rPr>
          <w:rFonts w:cstheme="minorHAnsi"/>
          <w:vertAlign w:val="subscript"/>
        </w:rPr>
        <w:t>2</w:t>
      </w:r>
      <w:r w:rsidRPr="00260745">
        <w:rPr>
          <w:rFonts w:cstheme="minorHAnsi"/>
        </w:rPr>
        <w:t xml:space="preserve">e were emitted as a result of mangrove deforestation between 2000 and 2012 </w:t>
      </w:r>
      <w:r w:rsidRPr="00260745">
        <w:rPr>
          <w:rFonts w:cstheme="minorHAnsi"/>
        </w:rPr>
        <w:fldChar w:fldCharType="begin" w:fldLock="1"/>
      </w:r>
      <w:r w:rsidRPr="00260745">
        <w:rPr>
          <w:rFonts w:cstheme="minorHAnsi"/>
        </w:rPr>
        <w:instrText>ADDIN CSL_CITATION {"citationItems":[{"id":"ITEM-1","itemData":{"DOI":"10.1038/s41558-018-0090-4","ISSN":"17586798","abstract":"Mangrove forests store high densitie of organic carbon, which, when coupled with high rates of deforestation, means that mangroves have the potential to contribute substantially to carbon emissions. Consequently, mangroves are strong candidates for inclusion in nationally determined contributions (NDCs) to the United Nations Framework Convention on Climate Change (UNFCCC), and payments for ecosystem services (PES) programmes that financially incentivize the conservation of forested carbon stocks. This study quantifies annual mangrove carbon stocks from 2000 to 2012 at the global, national and sub-national levels, and global carbon emissions resulting from deforestation over the same time period. Globally, mangroves stored 4.19 Pg of carbon in 2012, with Indonesia, Brazil, Malaysia and Papua New Guinea accounting for more than 50% of the global stock. 2.96 Pg of the global carbon stock is contained within the soil and 1.23 Pg in the living biomass. Two percent of global mangrove carbon was lost between 2000 and 2012, equivalent to a maximum potential of 316,996,250 t of CO2 emissions.","author":[{"dropping-particle":"","family":"Hamilton","given":"Stuart E.","non-dropping-particle":"","parse-names":false,"suffix":""},{"dropping-particle":"","family":"Friess","given":"Daniel A.","non-dropping-particle":"","parse-names":false,"suffix":""}],"container-title":"Nature Climate Change","id":"ITEM-1","issue":"3","issued":{"date-parts":[["2018"]]},"page":"240-244","title":"Global carbon stocks and potential emissions due to mangrove deforestation from 2000 to 2012","type":"article-journal","volume":"8"},"uris":["http://www.mendeley.com/documents/?uuid=8f9f1530-8aac-3063-b6ac-d0e087d212e4"]}],"mendeley":{"formattedCitation":"(Hamilton and Friess, 2018)","plainTextFormattedCitation":"(Hamilton and Friess, 2018)","previouslyFormattedCitation":"(Hamilton and Friess, 2018)"},"properties":{"noteIndex":0},"schema":"https://github.com/citation-style-language/schema/raw/master/csl-citation.json"}</w:instrText>
      </w:r>
      <w:r w:rsidRPr="00260745">
        <w:rPr>
          <w:rFonts w:cstheme="minorHAnsi"/>
        </w:rPr>
        <w:fldChar w:fldCharType="separate"/>
      </w:r>
      <w:r w:rsidRPr="00260745">
        <w:rPr>
          <w:rFonts w:cstheme="minorHAnsi"/>
          <w:noProof/>
        </w:rPr>
        <w:t>(Hamilton and Friess, 2018)</w:t>
      </w:r>
      <w:r w:rsidRPr="00260745">
        <w:rPr>
          <w:rFonts w:cstheme="minorHAnsi"/>
        </w:rPr>
        <w:fldChar w:fldCharType="end"/>
      </w:r>
      <w:r w:rsidRPr="00260745">
        <w:rPr>
          <w:rFonts w:cstheme="minorHAnsi"/>
        </w:rPr>
        <w:t xml:space="preserve">. Between 2000 and 2016, 87% of mangrove loss in the West Coral triangle, where the vast majority of the world’s mangroves carbon is stored, was due to mangrove to </w:t>
      </w:r>
      <w:proofErr w:type="spellStart"/>
      <w:r w:rsidRPr="00260745">
        <w:rPr>
          <w:rFonts w:cstheme="minorHAnsi"/>
        </w:rPr>
        <w:t>agri</w:t>
      </w:r>
      <w:proofErr w:type="spellEnd"/>
      <w:r w:rsidRPr="00260745">
        <w:rPr>
          <w:rFonts w:cstheme="minorHAnsi"/>
        </w:rPr>
        <w:t xml:space="preserve">/aquaculture land-use conversion </w:t>
      </w:r>
      <w:r w:rsidRPr="00260745">
        <w:rPr>
          <w:rFonts w:cstheme="minorHAnsi"/>
        </w:rPr>
        <w:fldChar w:fldCharType="begin" w:fldLock="1"/>
      </w:r>
      <w:r w:rsidRPr="00260745">
        <w:rPr>
          <w:rFonts w:cstheme="minorHAnsi"/>
        </w:rPr>
        <w:instrText>ADDIN CSL_CITATION {"citationItems":[{"id":"ITEM-1","itemData":{"DOI":"10.1111/gcb.15571","ISSN":"13652486","PMID":"33644947","abstract":"Mangroves have among the highest carbon densities of any tropical forest. These ‘blue carbon’ ecosystems can store large amounts of carbon for long periods, and their protection reduces greenhouse gas emissions and supports climate change mitigation. Incorporating mangroves into Nationally Determined Contributions to the Paris Agreement and their valuation on carbon markets requires predicting how the management of different land-uses can prevent future greenhouse gas emissions and increase CO2 sequestration. We integrated comprehensive global datasets for carbon stocks, mangrove distribution, deforestation rates, and land-use change drivers into a predictive model of mangrove carbon emissions. We project emissions and foregone soil carbon sequestration potential under ‘business as usual’ rates of mangrove loss. Emissions from mangrove loss could reach 2391 Tg CO2 eq by the end of the century, or 3392 Tg CO2 eq when considering foregone soil carbon sequestration. The highest emissions were predicted in southeast and south Asia (West Coral Triangle, Sunda Shelf, and the Bay of Bengal) due to conversion to aquaculture or agriculture, followed by the Caribbean (Tropical Northwest Atlantic) due to clearing and erosion, and the Andaman coast (West Myanmar) and north Brazil due to erosion. Together, these six regions accounted for 90% of the total potential CO2 eq future emissions. Mangrove loss has been slowing, and global emissions could be more than halved if reduced loss rates remain in the future. Notably, the location of global emission hotspots was consistent with every dataset used to calculate deforestation rates or with alternative assumptions about carbon storage and emissions. Our results indicate the regions in need of policy actions to address emissions arising from mangrove loss and the drivers that could be managed to prevent them.","author":[{"dropping-particle":"","family":"Adame","given":"Maria F.","non-dropping-particle":"","parse-names":false,"suffix":""},{"dropping-particle":"","family":"Connolly","given":"Rod M.","non-dropping-particle":"","parse-names":false,"suffix":""},{"dropping-particle":"","family":"Turschwell","given":"Mischa P.","non-dropping-particle":"","parse-names":false,"suffix":""},{"dropping-particle":"","family":"Lovelock","given":"Catherine E.","non-dropping-particle":"","parse-names":false,"suffix":""},{"dropping-particle":"","family":"Fatoyinbo","given":"Temilola","non-dropping-particle":"","parse-names":false,"suffix":""},{"dropping-particle":"","family":"Lagomasino","given":"David","non-dropping-particle":"","parse-names":false,"suffix":""},{"dropping-particle":"","family":"Goldberg","given":"Liza A.","non-dropping-particle":"","parse-names":false,"suffix":""},{"dropping-particle":"","family":"Holdorf","given":"Jordan","non-dropping-particle":"","parse-names":false,"suffix":""},{"dropping-particle":"","family":"Friess","given":"Daniel A.","non-dropping-particle":"","parse-names":false,"suffix":""},{"dropping-particle":"","family":"Sasmito","given":"Sigit D.","non-dropping-particle":"","parse-names":false,"suffix":""},{"dropping-particle":"","family":"Sanderman","given":"Jonathan","non-dropping-particle":"","parse-names":false,"suffix":""},{"dropping-particle":"","family":"Sievers","given":"Michael","non-dropping-particle":"","parse-names":false,"suffix":""},{"dropping-particle":"","family":"Buelow","given":"Christina","non-dropping-particle":"","parse-names":false,"suffix":""},{"dropping-particle":"","family":"Kauffman","given":"J. Boone","non-dropping-particle":"","parse-names":false,"suffix":""},{"dropping-particle":"","family":"Bryan-Brown","given":"Dale","non-dropping-particle":"","parse-names":false,"suffix":""},{"dropping-particle":"","family":"Brown","given":"Christopher J.","non-dropping-particle":"","parse-names":false,"suffix":""}],"container-title":"Global Change Biology","id":"ITEM-1","issue":"12","issued":{"date-parts":[["2021"]]},"page":"2856-2866","title":"Future carbon emissions from global mangrove forest loss","type":"article-journal","volume":"27"},"uris":["http://www.mendeley.com/documents/?uuid=fd089088-e9d1-4660-adcf-746aa4a7298e"]}],"mendeley":{"formattedCitation":"(Adame et al., 2021)","plainTextFormattedCitation":"(Adame et al., 2021)","previouslyFormattedCitation":"(Adame et al., 2021)"},"properties":{"noteIndex":0},"schema":"https://github.com/citation-style-language/schema/raw/master/csl-citation.json"}</w:instrText>
      </w:r>
      <w:r w:rsidRPr="00260745">
        <w:rPr>
          <w:rFonts w:cstheme="minorHAnsi"/>
        </w:rPr>
        <w:fldChar w:fldCharType="separate"/>
      </w:r>
      <w:r w:rsidRPr="00260745">
        <w:rPr>
          <w:rFonts w:cstheme="minorHAnsi"/>
          <w:noProof/>
        </w:rPr>
        <w:t>(Adame et al., 2021)</w:t>
      </w:r>
      <w:r w:rsidRPr="00260745">
        <w:rPr>
          <w:rFonts w:cstheme="minorHAnsi"/>
        </w:rPr>
        <w:fldChar w:fldCharType="end"/>
      </w:r>
      <w:r w:rsidRPr="00260745">
        <w:rPr>
          <w:rFonts w:cstheme="minorHAnsi"/>
        </w:rPr>
        <w:t xml:space="preserve">. Mangrove conservation and restoration programs on a national scale have been identified as an efficient means of offsetting GHG emissions </w:t>
      </w:r>
      <w:r w:rsidRPr="00260745">
        <w:rPr>
          <w:rFonts w:cstheme="minorHAnsi"/>
        </w:rPr>
        <w:fldChar w:fldCharType="begin" w:fldLock="1"/>
      </w:r>
      <w:r w:rsidR="008A48C6" w:rsidRPr="00260745">
        <w:rPr>
          <w:rFonts w:cstheme="minorHAnsi"/>
        </w:rPr>
        <w:instrText xml:space="preserve">ADDIN CSL_CITATION {"citationItems":[{"id":"ITEM-1","itemData":{"DOI":"10.1038/nclimate2734","ISBN":"1758-678X","ISSN":"1758-678X","abstract":"Mangroves provide a wide range of ecosystem services, including nutrient cycling, soil formation, wood production, fish spawning grounds, ecotourism and carbon (C) storage 1 . High rates of tree and plant growth, coupled with anaerobic, water-logged soils that slow decomposition, result in large long-term C storage. Given their global significance as large sinks of C, preventing mangrove loss would be an eeective climate change adaptation and mitigation strategy. It has been reported that C stocks in the Indo-Pacific region contain on average 1,023 MgC ha −1 (ref. 2). Here, we estimate that In-donesian mangrove C stocks are 1,083 ± 378 MgC ha −1 . Scaled up to the country-level mangrove extent of 2.9 Mha (ref. 3), Indonesia's mangroves contained on average 3.14 PgC. In three decades Indonesia has lost 40% of its mangroves 4 , mainly as a result of aquaculture development 5 . This has resulted in annual emissions of 0.07–0.21 Pg CO 2 e. Annual mangrove deforesta-tion in Indonesia is only 6% of its total forest loss 6 ; however, if this were halted, total emissions would be reduced by an amount equal to 10–31% of estimated annual emissions from land-use sectors at present. Conservation of carbon-rich man-groves in the Indonesian archipelago should be a high-priority component of strategies to mitigate climate change. Globally, deforestation and conversion of mangroves has been shown to contribute 0.08–0.48 Pg CO 2 e yr −1 , or 10% of the total global emissions from tropical deforestation, even though man-groves account for only about 0.7% of the world's tropical forest area 2 . C losses from mangrove conversion can be high not only because of losses from aboveground C pools but also belowground pools. Potential C losses from mangroves converted to shrimp ponds in the Dominican Republic were 661–1,135 MgC ha −1 (ref. 7). In 1980, there were 4.2 Mha of mangrove forests along Indonesia's 95,000 km of coastline 3 . Over just 20 years mangrove forest cover had declined about 26%, to an estimated 3.1 Mha (ref. 8). In 2005, mangrove forest cover had further decreased to 2.9 Mha (ref. 3). On the basis of FAO data, cumulatively Indonesia has lost 30% of its mangrove forests between 1980 and 2005; this is equivalent to an annual deforestation rate of 1.24%. Recent estimates of Indonesia's mangrove cover suggest a total loss of 40% in the past three decades 4 . Aquaculture development was the main cause 5 , after it expanded rapidly in 1997–2005 and resulted in an o…","author":[{"dropping-particle":"","family":"Murdiyarso","given":"Daniel","non-dropping-particle":"","parse-names":false,"suffix":""},{"dropping-particle":"","family":"Purbopuspito","given":"Joko","non-dropping-particle":"","parse-names":false,"suffix":""},{"dropping-particle":"","family":"Kauffman","given":"J. Boone","non-dropping-particle":"","parse-names":false,"suffix":""},{"dropping-particle":"","family":"Warren","given":"Matthew W.","non-dropping-particle":"","parse-names":false,"suffix":""},{"dropping-particle":"","family":"Sasmito","given":"Sigit D.","non-dropping-particle":"","parse-names":false,"suffix":""},{"dropping-particle":"","family":"Donato","given":"Daniel C.","non-dropping-particle":"","parse-names":false,"suffix":""},{"dropping-particle":"","family":"Manuri","given":"Solichin","non-dropping-particle":"","parse-names":false,"suffix":""},{"dropping-particle":"","family":"Krisnawati","given":"Haruni","non-dropping-particle":"","parse-names":false,"suffix":""},{"dropping-particle":"","family":"Taberima","given":"Sartji","non-dropping-particle":"","parse-names":false,"suffix":""},{"dropping-particle":"","family":"Kurnianto","given":"Sofyan","non-dropping-particle":"","parse-names":false,"suffix":""}],"container-title":"Nature Climate Change","id":"ITEM-1","issue":"12","issued":{"date-parts":[["2015","7","27"]]},"page":"1089-1092","publisher":"Nature Research","title":"The potential of Indonesian mangrove forests for global climate change mitigation","type":"article-journal","volume":"5"},"uris":["http://www.mendeley.com/documents/?uuid=417e17a9-a027-38cc-a856-d90c8fb50285"]},{"id":"ITEM-2","itemData":{"DOI":"10.1016/j.ecoser.2019.101035","ISSN":"22120416","abstract":"Mangroves have generated considerable interest in forest carbon discourse given their disproportionately high carbon storage and sequestration potential compared to terrestrial habitats. Capitalising on this potential, however, remains largely unrealised due in part to an incomplete understanding of the full greenhouse gas mitigation benefits provided, particularly through changes in landuse where aquaculture ponds are converted back to mangroves. Here we address such uncertainties by estimating the overall net greenhouse offset potential from rehabilitating mangroves in Tiwoho, North Sulawesi (Indonesia). Estimates of both baseline emissions and sequestration as mangrove forests regrow after rehabilitation were assessed, with results contrasted against published data on established mangroves and terrestrial forest carbon projects registered with the Verified Carbon Standard. Additionally, net emissions removals and reductions from Tiwoho is scaled-up to the national level in order to estimate the contribution rehabilitation of disused ponds can make to climate change mitigation. We also monetarise potential returns generated to date and frame this against project implementation and opportunity costs. Our data indicates that, on average, Tiwoho's rehabilitating sites could potentially mitigate upwards of −27.6 ± 1.7 Mg CO2-e per hectare per year. This is upwards of 3 times that of other terrestrial forestry carbon projects and, assuming a voluntary carbon market price of USD $8.1 per Mg CO2-e per hectare for afforestation/reforestation projects, equates to recuperation of 76.2% of initial project implementation costs over approximately 10 years with an annual return of 7.6%. This return rate rivals that of most asset classes targeted by private sector investors. Scaling results to encompass the net emissions removals and reduction potential from rehabilitating the </w:instrText>
      </w:r>
      <w:r w:rsidR="008A48C6" w:rsidRPr="00260745">
        <w:rPr>
          <w:rFonts w:ascii="Cambria Math" w:hAnsi="Cambria Math" w:cs="Cambria Math"/>
        </w:rPr>
        <w:instrText>∼</w:instrText>
      </w:r>
      <w:r w:rsidR="008A48C6" w:rsidRPr="00260745">
        <w:rPr>
          <w:rFonts w:cstheme="minorHAnsi"/>
        </w:rPr>
        <w:instrText>600, 000 hectares of disused ponds in Indonesia may offset upwards of −16.56 ± 1.02 million Mg CO2-e per hectare per year. Additionally, mitigation benefits from rehabilitation may equate to 6 times that of terrestrial projects if situated in ponds displaying both high baseline emissions and high rates of re-growth whilst accounting for sequestration from benthic algae and the oceanic burial of dissolved inorganic carbon. These findings strengthen the evidence base needed for public and private sector support for mangrove rehabilitation within the forest carbon sector.","author":[{"dropping-particle":"","family":"Cameron","given":"Clint","non-dropping-particle":"","parse-names":false,"suffix":""},{"dropping-particle":"","family":"Hutley","given":"Lindsay B.","non-dropping-particle":"","parse-names":false,"suffix":""},{"dropping-particle":"","family":"Friess","given":"Daniel A.","non-dropping-particle":"","parse-names":false,"suffix":""},{"dropping-particle":"","family":"Brown","given":"Ben","non-dropping-particle":"","parse-names":false,"suffix":""}],"container-title":"Ecosystem Services","id":"ITEM-2","issued":{"date-parts":[["2019"]]},"title":"High greenhouse gas emissions mitigation benefits from mangrove rehabilitation in Sulawesi, Indonesia","type":"article-journal","volume":"40"},"uris":["http://www.mendeley.com/documents/?uuid=37df7189-2c91-473f-9386-68fa3bfc0954"]},{"id":"ITEM-3","itemData":{"DOI":"10.1098/rsbl.2018.0251","ISSN":"1744957X","PMID":"30355678","abstract":"Carbon fixed by vegetated coastal ecosystems (blue carbon) can mitigate anthropogenic CO2 emissions, though its effectiveness differs with the spatial scale of interest. A literature review compiling carbon sequestration rates within key ecosystems confirms that blue carbon ecosystems are the most efficient natural carbon sinks at the plot scale, though some overlooked biogeochemical processes may lead to overestimation. Moreover, the limited spatial extent of coastal habitats minimizes their potential at the global scale, only buffering 0.42% of the global fossil fuel carbon emissions in 2014. Still, blue carbon plays a role for countries with moderate fossil fuel emissions and extensive coastlines. In 2014, mangroves mitigated greater than 1% of national fossil fuel emissions for countries such as Bangladesh, Colombia and Nigeria. Considering that the Paris Agreement is based on nationally determined contributions, we propose that mangrove blue carbon may contribute to climate change mitigation at this scale in some instances alongside other blue carbon ecosystems.","author":[{"dropping-particle":"","family":"Taillardat","given":"Pierre","non-dropping-particle":"","parse-names":false,"suffix":""},{"dropping-particle":"","family":"Friess","given":"Daniel A.","non-dropping-particle":"","parse-names":false,"suffix":""},{"dropping-particle":"","family":"Lupascu","given":"Massimo","non-dropping-particle":"","parse-names":false,"suffix":""}],"container-title":"Biology Letters","id":"ITEM-3","issue":"10","issued":{"date-parts":[["2018"]]},"title":"Mangrove blue carbon strategies for climate change mitigation are most effective at the national scale","type":"article-journal","volume":"14"},"uris":["http://www.mendeley.com/documents/?uuid=1a0d52a3-04c6-444a-87aa-0a3393ae00b5"]}],"mendeley":{"formattedCitation":"(Cameron et al., 2019; Murdiyarso et al., 2015; Taillardat et al., 2018)","plainTextFormattedCitation":"(Cameron et al., 2019; Murdiyarso et al., 2015; Taillardat et al., 2018)","previouslyFormattedCitation":"(Cameron et al., 2019; Murdiyarso et al., 2015; Taillardat et al., 2018)"},"properties":{"noteIndex":0},"schema":"https://github.com/citation-style-language/schema/raw/master/csl-citation.json"}</w:instrText>
      </w:r>
      <w:r w:rsidRPr="00260745">
        <w:rPr>
          <w:rFonts w:cstheme="minorHAnsi"/>
        </w:rPr>
        <w:fldChar w:fldCharType="separate"/>
      </w:r>
      <w:r w:rsidR="008A48C6" w:rsidRPr="00260745">
        <w:rPr>
          <w:rFonts w:cstheme="minorHAnsi"/>
          <w:noProof/>
        </w:rPr>
        <w:t>(Cameron et al., 2019; Murdiyarso et al., 2015; Taillardat et al., 2018)</w:t>
      </w:r>
      <w:r w:rsidRPr="00260745">
        <w:rPr>
          <w:rFonts w:cstheme="minorHAnsi"/>
        </w:rPr>
        <w:fldChar w:fldCharType="end"/>
      </w:r>
      <w:r w:rsidRPr="00260745">
        <w:rPr>
          <w:rFonts w:cstheme="minorHAnsi"/>
        </w:rPr>
        <w:t xml:space="preserve">, although the prevention of further forest loss, by far, outweighs gains from restoration </w:t>
      </w:r>
      <w:r w:rsidRPr="00260745">
        <w:rPr>
          <w:rFonts w:cstheme="minorHAnsi"/>
        </w:rPr>
        <w:fldChar w:fldCharType="begin" w:fldLock="1"/>
      </w:r>
      <w:r w:rsidRPr="00260745">
        <w:rPr>
          <w:rFonts w:cstheme="minorHAnsi"/>
        </w:rPr>
        <w:instrText>ADDIN CSL_CITATION {"citationItems":[{"id":"ITEM-1","itemData":{"DOI":"10.1002/fee.1482","ISBN":"7034894671","ISSN":"15409309","abstract":"Despite slow nutrient supply to the subtropical surface ocean, the rates of annual inorganic carbon uptake and net oxygen production are similar to those of nutrient-rich high-latitude waters. This surprisingly high subtropical carbon uptake cannot be fully accounted for by sediment trap-collected sinking particles and the downward mixing of suspended and dissolved organic carbon. We propose an explanation for these paradoxical observations: gel-like organic matter rich in carbon but poor in nutrients, akin to transparent exopolymer particles, is produced by phytoplankton under nutrient limitation, and a portion sinks into the shallow subsurface, where it is respired by heterotrophic bacteria. This organic matter would evade detection by sediment traps, effectively representing an additional (sinking-driven) source of dissolved organic carbon to the subsurface. Building on existing evidence for the production of such nutrient-poor organic matter in surface waters, we describe evidence for its decomposition in the shallow subsurface of the Sargasso Sea. First, oxygen at these depths is consumed over the summer without comparable production of nitrate. Second, a seasonal change in the","author":[{"dropping-particle":"","family":"Kauffman","given":"Boone J.","non-dropping-particle":"","parse-names":false,"suffix":""},{"dropping-particle":"","family":"Arifanti","given":"Virni B.","non-dropping-particle":"","parse-names":false,"suffix":""},{"dropping-particle":"","family":"Hernández Trejo","given":"Humberto","non-dropping-particle":"","parse-names":false,"suffix":""},{"dropping-particle":"","family":"Carmen Jesús García","given":"Maria","non-dropping-particle":"del","parse-names":false,"suffix":""},{"dropping-particle":"","family":"Norfolk","given":"Jennifer","non-dropping-particle":"","parse-names":false,"suffix":""},{"dropping-particle":"","family":"Cifuentes","given":"Miguel","non-dropping-particle":"","parse-names":false,"suffix":""},{"dropping-particle":"","family":"Hadriyanto","given":"Deddy","non-dropping-particle":"","parse-names":false,"suffix":""},{"dropping-particle":"","family":"Murdiyarso","given":"Daniel","non-dropping-particle":"","parse-names":false,"suffix":""}],"container-title":"Frontiers in Ecology and the Environment","id":"ITEM-1","issue":"4","issued":{"date-parts":[["2017"]]},"page":"183-188","title":"The jumbo carbon footprint of a shrimp: carbon losses from mangrove deforestation","type":"article-journal","volume":"15"},"uris":["http://www.mendeley.com/documents/?uuid=5e8dd8ea-1522-3882-82d0-fc93482e88b8"]}],"mendeley":{"formattedCitation":"(Kauffman et al., 2017)","plainTextFormattedCitation":"(Kauffman et al., 2017)","previouslyFormattedCitation":"(Kauffman et al., 2017)"},"properties":{"noteIndex":0},"schema":"https://github.com/citation-style-language/schema/raw/master/csl-citation.json"}</w:instrText>
      </w:r>
      <w:r w:rsidRPr="00260745">
        <w:rPr>
          <w:rFonts w:cstheme="minorHAnsi"/>
        </w:rPr>
        <w:fldChar w:fldCharType="separate"/>
      </w:r>
      <w:r w:rsidRPr="00260745">
        <w:rPr>
          <w:rFonts w:cstheme="minorHAnsi"/>
          <w:noProof/>
        </w:rPr>
        <w:t>(Kauffman et al., 2017)</w:t>
      </w:r>
      <w:r w:rsidRPr="00260745">
        <w:rPr>
          <w:rFonts w:cstheme="minorHAnsi"/>
        </w:rPr>
        <w:fldChar w:fldCharType="end"/>
      </w:r>
      <w:r w:rsidRPr="00260745">
        <w:rPr>
          <w:rFonts w:cstheme="minorHAnsi"/>
        </w:rPr>
        <w:t xml:space="preserve">. </w:t>
      </w:r>
    </w:p>
    <w:p w14:paraId="0DB6F8BF" w14:textId="77777777" w:rsidR="00344027" w:rsidRPr="00260745" w:rsidRDefault="00344027" w:rsidP="00344027">
      <w:pPr>
        <w:spacing w:line="480" w:lineRule="auto"/>
        <w:rPr>
          <w:rFonts w:cstheme="minorHAnsi"/>
        </w:rPr>
      </w:pPr>
    </w:p>
    <w:p w14:paraId="3F716D5F" w14:textId="2A480898" w:rsidR="00344027" w:rsidRPr="00260745" w:rsidRDefault="00344027" w:rsidP="00344027">
      <w:pPr>
        <w:spacing w:line="480" w:lineRule="auto"/>
        <w:rPr>
          <w:rFonts w:cstheme="minorHAnsi"/>
        </w:rPr>
      </w:pPr>
      <w:r w:rsidRPr="00260745">
        <w:rPr>
          <w:rFonts w:cstheme="minorHAnsi"/>
        </w:rPr>
        <w:t xml:space="preserve">While the potential for GHG emissions from mangrove deforestation are well documented </w:t>
      </w:r>
      <w:r w:rsidRPr="00260745">
        <w:rPr>
          <w:rFonts w:cstheme="minorHAnsi"/>
        </w:rPr>
        <w:fldChar w:fldCharType="begin" w:fldLock="1"/>
      </w:r>
      <w:r w:rsidR="008A48C6" w:rsidRPr="00260745">
        <w:rPr>
          <w:rFonts w:cstheme="minorHAnsi"/>
        </w:rPr>
        <w:instrText xml:space="preserve">ADDIN CSL_CITATION {"citationItems":[{"id":"ITEM-1","itemData":{"DOI":"10.1038/nclimate3326","ISBN":"1758-678X","ISSN":"17586798","abstract":"Mangrove soils represent a large sink for otherwise rapidly recycled carbon (C). However, widespread deforestation threatens the preservation of this important C stock. It is therefore imperative that global patterns in mangrove soil C stocks and their susceptibility to remineralization are understood. Here, we present patterns in mangrove soil C stocks across hemispheres, latitudes, countries and mangrove community compositions, and estimate potential annual CO2 emissions for countries where mangroves occur. Global potential CO2 emissions from soils as a result of mangrove loss were estimated to be ~7.0 Tg CO2e yr−1. Countries with the highest potential CO2 emissions from soils are Indonesia (3,410 Gg CO2e yr−1) and Malaysia (1,288 Gg CO2e yr−1). The patterns described serve as a baseline by which countries can assess their mangrove soil C stocks and potential emissions from mangrove deforestation.","author":[{"dropping-particle":"","family":"Atwood","given":"Trisha B.","non-dropping-particle":"","parse-names":false,"suffix":""},{"dropping-particle":"","family":"Connolly","given":"Rod M.","non-dropping-particle":"","parse-names":false,"suffix":""},{"dropping-particle":"","family":"Almahasheer","given":"Hanan","non-dropping-particle":"","parse-names":false,"suffix":""},{"dropping-particle":"","family":"Carnell","given":"Paul E.","non-dropping-particle":"","parse-names":false,"suffix":""},{"dropping-particle":"","family":"Duarte","given":"Carlos M.","non-dropping-particle":"","parse-names":false,"suffix":""},{"dropping-particle":"","family":"Lewis","given":"Carolyn J.Ewers","non-dropping-particle":"","parse-names":false,"suffix":""},{"dropping-particle":"","family":"Irigoien","given":"Xabier","non-dropping-particle":"","parse-names":false,"suffix":""},{"dropping-particle":"","family":"Kelleway","given":"Jeffrey J.","non-dropping-particle":"","parse-names":false,"suffix":""},{"dropping-particle":"","family":"Lavery","given":"Paul S.","non-dropping-particle":"","parse-names":false,"suffix":""},{"dropping-particle":"","family":"Macreadie","given":"Peter I.","non-dropping-particle":"","parse-names":false,"suffix":""},{"dropping-particle":"","family":"Serrano","given":"Oscar","non-dropping-particle":"","parse-names":false,"suffix":""},{"dropping-particle":"","family":"Sanders","given":"Christian J.","non-dropping-particle":"","parse-names":false,"suffix":""},{"dropping-particle":"","family":"Santos","given":"Isaac","non-dropping-particle":"","parse-names":false,"suffix":""},{"dropping-particle":"","family":"Steven","given":"Andrew D.L.","non-dropping-particle":"","parse-names":false,"suffix":""},{"dropping-particle":"","family":"Lovelock","given":"Catherine E.","non-dropping-particle":"","parse-names":false,"suffix":""}],"container-title":"Nature Climate Change","id":"ITEM-1","issue":"7","issued":{"date-parts":[["2017"]]},"page":"523-528","title":"Global patterns in mangrove soil carbon stocks and losses","type":"article-journal","volume":"7"},"uris":["http://www.mendeley.com/documents/?uuid=ec2f1859-5881-35e2-929f-6d1201ba942b"]},{"id":"ITEM-2","itemData":{"DOI":"10.1038/s41558-018-0090-4","ISSN":"17586798","abstract":"Mangrove forests store high densitie of organic carbon, which, when coupled with high rates of deforestation, means that mangroves have the potential to contribute substantially to carbon emissions. Consequently, mangroves are strong candidates for inclusion in nationally determined contributions (NDCs) to the United Nations Framework Convention on Climate Change (UNFCCC), and payments for ecosystem services (PES) programmes that financially incentivize the conservation of forested carbon stocks. This study quantifies annual mangrove carbon stocks from 2000 to 2012 at the global, national and sub-national levels, and global carbon emissions resulting from deforestation over the same time period. Globally, mangroves stored 4.19 Pg of carbon in 2012, with Indonesia, Brazil, Malaysia and Papua New Guinea accounting for more than 50% of the global stock. 2.96 Pg of the global carbon stock is contained within the soil and 1.23 Pg in the living biomass. Two percent of global mangrove carbon was lost between 2000 and 2012, equivalent to a maximum potential of 316,996,250 t of CO2 emissions.","author":[{"dropping-particle":"","family":"Hamilton","given":"Stuart E.","non-dropping-particle":"","parse-names":false,"suffix":""},{"dropping-particle":"","family":"Friess","given":"Daniel A.","non-dropping-particle":"","parse-names":false,"suffix":""}],"container-title":"Nature Climate Change","id":"ITEM-2","issue":"3","issued":{"date-parts":[["2018"]]},"page":"240-244","title":"Global carbon stocks and potential emissions due to mangrove deforestation from 2000 to 2012","type":"article-journal","volume":"8"},"uris":["http://www.mendeley.com/documents/?uuid=8f9f1530-8aac-3063-b6ac-d0e087d212e4"]},{"id":"ITEM-3","itemData":{"DOI":"10.1890/13-0640.1","ISBN":"1051-0761","ISSN":"10510761","PMID":"24834737","abstract":"Mangroves are recognized to possess a variety of ecosystem services including high rates of carbon sequestration and storage. Deforestation and conversion of these ecosystems continue to be high and have been predicted to result in significant carbon emissions to the atmosphere. Yet few studies have quantified the carbon stocks or losses associated with conversion of these ecosystems. In this study we quantified the ecosystem carbon stocks of three common mangrove types of the Caribbean as well as those of abandoned shrimp ponds in areas formerly occupied by mangrove-a common land-use conversion of mangroves throughout the world. In the mangroves of the Montecristi Province in Northwest Dominican Republic we found C stocks ranged from 706 to 1131 Mg/ha. The medium-statured mangroves (3-10 m in height) had the highest C stocks while the tall (&gt; 10 m) mangroves had the lowest ecosystem carbon storage. Carbon stocks of the low mangrove (shrub) type (&lt; 3 m) were relatively high due to the presence of carbon-rich soils as deep as 2 m. Carbon stocks of abandoned shrimp ponds were 95 Mg/ha or approximately 11% that of the mangroves. Using a stock-change approach, the potential emissions from the conversion of mangroves to shrimp ponds ranged from 2244 to 3799 Mg CO2e/ha (CO2 equivalents). This is among the largest measured C emissions from land use in the tropics. The 6260 ha of mangroves and converted mangroves in the Montecristi Province are estimated to contain 3,841,490 Mg of C. Mangroves represented 76% of this area but currently store 97% of the carbon in this coastal wetland (3,696,722 Mg C). Converted lands store only 4% of the total ecosystem C (144,778 Mg C) while they comprised 24% of the area. By these metrics the replacement of mangroves with shrimp and salt ponds has resulted in estimated emissions from this region totaling 3.8 million Mg CO2e or approximately 21% of the total C prior to conversion. Given the high C stocks of mangroves, the high emissions from their conversion, and the other important functions and services they provide, their inclusion in climate-change mitigation strategies is warranted.","author":[{"dropping-particle":"","family":"Kauffman","given":"J. Boone","non-dropping-particle":"","parse-names":false,"suffix":""},{"dropping-particle":"","family":"Heider","given":"Chris","non-dropping-particle":"","parse-names":false,"suffix":""},{"dropping-particle":"","family":"Norfolk","given":"Jennifer","non-dropping-particle":"","parse-names":false,"suffix":""},{"dropping-particle":"","family":"Payton","given":"Frederick","non-dropping-particle":"","parse-names":false,"suffix":""}],"container-title":"Ecological Applications","id":"ITEM-3","issue":"3","issued":{"date-parts":[["2014"]]},"page":"518-527","title":"Carbon stocks of intact mangroves and carbon emissions arising from their conversion in the Dominican Republic","type":"article-journal","volume":"24"},"uris":["http://www.mendeley.com/documents/?uuid=a08097ca-bc70-3df8-9544-107c37cecc9e"]},{"id":"ITEM-4","itemData":{"DOI":"10.1371/journal.pone.0021279","ISBN":"1932-6203","ISSN":"19326203","PMID":"21738628","abstract":"BACKGROUND: CO(2) emissions from cleared mangrove areas may be substantial, increasing the costs of continued losses of these ecosystems, particularly in mangroves that have highly organic soils.\\n\\nMETHODOLOGY/PRINCIPAL FINDINGS: We measured CO(2) efflux from mangrove soils that had been cleared for up to 20 years on the islands of Twin Cays, Belize. We also disturbed these cleared peat soils to assess what disturbance of soils after clearing may have on CO(2) efflux. CO(2) efflux from soils declines from time of clearing from </w:instrText>
      </w:r>
      <w:r w:rsidR="008A48C6" w:rsidRPr="00260745">
        <w:rPr>
          <w:rFonts w:ascii="Cambria Math" w:hAnsi="Cambria Math" w:cs="Cambria Math"/>
        </w:rPr>
        <w:instrText>∼</w:instrText>
      </w:r>
      <w:r w:rsidR="008A48C6" w:rsidRPr="00260745">
        <w:rPr>
          <w:rFonts w:cstheme="minorHAnsi"/>
        </w:rPr>
        <w:instrText>10,600 tonnes km(-2) year(-1) in the first year to 3000 tonnes km(2) year(-1) after 20 years since clearing. Disturbing peat leads to short term increases in CO(2) efflux (27 umol m(-2) s(-1)), but this had returned to baseline levels within 2 days.\\n\\nCONCLUSIONS/SIGNIFICANCE: Deforesting mangroves that grow on peat soils results in CO(2) emissions that are comparable to rates estimated for peat collapse in other tropical ecosystems. Preventing deforestation presents an opportunity for countries to benefit from carbon payments for preservation of threatened carbon stocks.","author":[{"dropping-particle":"","family":"Lovelock","given":"Catherine E.","non-dropping-particle":"","parse-names":false,"suffix":""},{"dropping-particle":"","family":"Ruess","given":"Roger W.","non-dropping-particle":"","parse-names":false,"suffix":""},{"dropping-particle":"","family":"Feller","given":"Ilka C.","non-dropping-particle":"","parse-names":false,"suffix":""}],"container-title":"PLoS ONE","id":"ITEM-4","issue":"6","issued":{"date-parts":[["2011"]]},"title":"Co2 efflux from cleared mangrove peat","type":"article-journal","volume":"6"},"uris":["http://www.mendeley.com/documents/?uuid=b3b1ec1a-7276-3df1-bb0c-19d432e32cf4"]},{"id":"ITEM-5","itemData":{"DOI":"10.1371/journal.pone.0107868","ISSN":"19326203","PMID":"25244646","abstract":"The importance of mangrove forests in carbon sequestration and coastal protection has been widely acknowledged. Large-scale damage of these forests, caused by hurricanes or clear felling, can enhance vulnerability to erosion, subsidence and rapid carbon losses. However, it is unclear how small-scale logging might impact on mangrove functions and services. We experimentally investigated the impact of small-scale tree removal on surface elevation and carbon dynamics in a mangrove forest at Gazi bay, Kenya. The trees in five plots of a Rhizophora mucronata (Lam.) forest were first girdled and then cut. Another set of five plots at the same site served as controls. Treatment induced significant, rapid subsidence (2 32.1±8.4 mm yr-1 compared with surface elevation changes of +4.2±1.4 mm yr-1 in controls). Subsidence in treated plots was likely due to collapse and decomposition of dying roots and sediment compaction as evidenced from increased sediment bulk density. Sediment effluxes of CO2 and CH4 increased significantly, especially their heterotrophic component, suggesting enhanced organic matter decomposition. Estimates of total excess fluxes from treated compared with control plots were 25.3±7.4 tCO2 ha-1yr-1(using surface carbon efflux) and 35.6±76.9 tCO2 ha-1yr-1(using surface elevation losses and sediment properties). Whilst such losses might not be permanent (provided cut areas recover), observed rapid subsidence and enhanced decomposition of soil sediment organic matter caused by small-scale harvesting offers important lessons for mangrove management. In particular mangrove managers need to carefully consider the trade-offs between extracting mangrove wood and losing other mangrove services, particularly shoreline stabilization, coastal protection and carbon storage.","author":[{"dropping-particle":"","family":"Lang'at","given":"Joseph Kipkorir Sigi","non-dropping-particle":"","parse-names":false,"suffix":""},{"dropping-particle":"","family":"Kairo","given":"James G.","non-dropping-particle":"","parse-names":false,"suffix":""},{"dropping-particle":"","family":"Mencuccini","given":"Maurizio","non-dropping-particle":"","parse-names":false,"suffix":""},{"dropping-particle":"","family":"Bouillon","given":"Steven","non-dropping-particle":"","parse-names":false,"suffix":""},{"dropping-particle":"","family":"Skov","given":"Martin W.","non-dropping-particle":"","parse-names":false,"suffix":""},{"dropping-particle":"","family":"Waldron","given":"Susan","non-dropping-particle":"","parse-names":false,"suffix":""},{"dropping-particle":"","family":"Huxham","given":"Mark","non-dropping-particle":"","parse-names":false,"suffix":""}],"container-title":"PLoS ONE","id":"ITEM-5","issue":"9","issued":{"date-parts":[["2014"]]},"title":"Rapid losses of surface elevation following tree girdling and cutting in tropical mangroves","type":"article-journal","volume":"9"},"uris":["http://www.mendeley.com/documents/?uuid=a279b4e6-b51c-4872-9336-bf8d8d4b82ee","http://www.mendeley.com/documents/?uuid=dcd8231f-16ce-4795-9e68-27feea1271d3"]}],"mendeley":{"formattedCitation":"(Atwood et al., 2017; Hamilton and Friess, 2018; Kauffman et al., 2014; Lang’at et al., 2014; Lovelock et al., 2011)","plainTextFormattedCitation":"(Atwood et al., 2017; Hamilton and Friess, 2018; Kauffman et al., 2014; Lang’at et al., 2014; Lovelock et al., 2011)","previouslyFormattedCitation":"(Atwood et al., 2017; Hamilton and Friess, 2018; Kauffman et al., 2014; Lang’at et al., 2014; Lovelock et al., 2011)"},"properties":{"noteIndex":0},"schema":"https://github.com/citation-style-language/schema/raw/master/csl-citation.json"}</w:instrText>
      </w:r>
      <w:r w:rsidRPr="00260745">
        <w:rPr>
          <w:rFonts w:cstheme="minorHAnsi"/>
        </w:rPr>
        <w:fldChar w:fldCharType="separate"/>
      </w:r>
      <w:r w:rsidR="008A48C6" w:rsidRPr="00260745">
        <w:rPr>
          <w:rFonts w:cstheme="minorHAnsi"/>
          <w:noProof/>
        </w:rPr>
        <w:t>(Atwood et al., 2017; Hamilton and Friess, 2018; Kauffman et al., 2014; Lang’at et al., 2014; Lovelock et al., 2011)</w:t>
      </w:r>
      <w:r w:rsidRPr="00260745">
        <w:rPr>
          <w:rFonts w:cstheme="minorHAnsi"/>
        </w:rPr>
        <w:fldChar w:fldCharType="end"/>
      </w:r>
      <w:r w:rsidRPr="00260745">
        <w:rPr>
          <w:rFonts w:cstheme="minorHAnsi"/>
        </w:rPr>
        <w:t xml:space="preserve">, the effects of climate change on global mangrove C stocks are less frequently addressed </w:t>
      </w:r>
      <w:r w:rsidRPr="00260745">
        <w:rPr>
          <w:rFonts w:cstheme="minorHAnsi"/>
        </w:rPr>
        <w:fldChar w:fldCharType="begin" w:fldLock="1"/>
      </w:r>
      <w:r w:rsidRPr="00260745">
        <w:rPr>
          <w:rFonts w:cstheme="minorHAnsi"/>
        </w:rPr>
        <w:instrText>ADDIN CSL_CITATION {"citationItems":[{"id":"ITEM-1","itemData":{"DOI":"10.1111/gcb.15571","ISSN":"13652486","PMID":"33644947","abstract":"Mangroves have among the highest carbon densities of any tropical forest. These ‘blue carbon’ ecosystems can store large amounts of carbon for long periods, and their protection reduces greenhouse gas emissions and supports climate change mitigation. Incorporating mangroves into Nationally Determined Contributions to the Paris Agreement and their valuation on carbon markets requires predicting how the management of different land-uses can prevent future greenhouse gas emissions and increase CO2 sequestration. We integrated comprehensive global datasets for carbon stocks, mangrove distribution, deforestation rates, and land-use change drivers into a predictive model of mangrove carbon emissions. We project emissions and foregone soil carbon sequestration potential under ‘business as usual’ rates of mangrove loss. Emissions from mangrove loss could reach 2391 Tg CO2 eq by the end of the century, or 3392 Tg CO2 eq when considering foregone soil carbon sequestration. The highest emissions were predicted in southeast and south Asia (West Coral Triangle, Sunda Shelf, and the Bay of Bengal) due to conversion to aquaculture or agriculture, followed by the Caribbean (Tropical Northwest Atlantic) due to clearing and erosion, and the Andaman coast (West Myanmar) and north Brazil due to erosion. Together, these six regions accounted for 90% of the total potential CO2 eq future emissions. Mangrove loss has been slowing, and global emissions could be more than halved if reduced loss rates remain in the future. Notably, the location of global emission hotspots was consistent with every dataset used to calculate deforestation rates or with alternative assumptions about carbon storage and emissions. Our results indicate the regions in need of policy actions to address emissions arising from mangrove loss and the drivers that could be managed to prevent them.","author":[{"dropping-particle":"","family":"Adame","given":"Maria F.","non-dropping-particle":"","parse-names":false,"suffix":""},{"dropping-particle":"","family":"Connolly","given":"Rod M.","non-dropping-particle":"","parse-names":false,"suffix":""},{"dropping-particle":"","family":"Turschwell","given":"Mischa P.","non-dropping-particle":"","parse-names":false,"suffix":""},{"dropping-particle":"","family":"Lovelock","given":"Catherine E.","non-dropping-particle":"","parse-names":false,"suffix":""},{"dropping-particle":"","family":"Fatoyinbo","given":"Temilola","non-dropping-particle":"","parse-names":false,"suffix":""},{"dropping-particle":"","family":"Lagomasino","given":"David","non-dropping-particle":"","parse-names":false,"suffix":""},{"dropping-particle":"","family":"Goldberg","given":"Liza A.","non-dropping-particle":"","parse-names":false,"suffix":""},{"dropping-particle":"","family":"Holdorf","given":"Jordan","non-dropping-particle":"","parse-names":false,"suffix":""},{"dropping-particle":"","family":"Friess","given":"Daniel A.","non-dropping-particle":"","parse-names":false,"suffix":""},{"dropping-particle":"","family":"Sasmito","given":"Sigit D.","non-dropping-particle":"","parse-names":false,"suffix":""},{"dropping-particle":"","family":"Sanderman","given":"Jonathan","non-dropping-particle":"","parse-names":false,"suffix":""},{"dropping-particle":"","family":"Sievers","given":"Michael","non-dropping-particle":"","parse-names":false,"suffix":""},{"dropping-particle":"","family":"Buelow","given":"Christina","non-dropping-particle":"","parse-names":false,"suffix":""},{"dropping-particle":"","family":"Kauffman","given":"J. Boone","non-dropping-particle":"","parse-names":false,"suffix":""},{"dropping-particle":"","family":"Bryan-Brown","given":"Dale","non-dropping-particle":"","parse-names":false,"suffix":""},{"dropping-particle":"","family":"Brown","given":"Christopher J.","non-dropping-particle":"","parse-names":false,"suffix":""}],"container-title":"Global Change Biology","id":"ITEM-1","issue":"12","issued":{"date-parts":[["2021"]]},"page":"2856-2866","title":"Future carbon emissions from global mangrove forest loss","type":"article-journal","volume":"27"},"uris":["http://www.mendeley.com/documents/?uuid=fd089088-e9d1-4660-adcf-746aa4a7298e"]}],"mendeley":{"formattedCitation":"(Adame et al., 2021)","plainTextFormattedCitation":"(Adame et al., 2021)","previouslyFormattedCitation":"(Adame et al., 2021)"},"properties":{"noteIndex":0},"schema":"https://github.com/citation-style-language/schema/raw/master/csl-citation.json"}</w:instrText>
      </w:r>
      <w:r w:rsidRPr="00260745">
        <w:rPr>
          <w:rFonts w:cstheme="minorHAnsi"/>
        </w:rPr>
        <w:fldChar w:fldCharType="separate"/>
      </w:r>
      <w:r w:rsidRPr="00260745">
        <w:rPr>
          <w:rFonts w:cstheme="minorHAnsi"/>
          <w:noProof/>
        </w:rPr>
        <w:t>(Adame et al., 2021)</w:t>
      </w:r>
      <w:r w:rsidRPr="00260745">
        <w:rPr>
          <w:rFonts w:cstheme="minorHAnsi"/>
        </w:rPr>
        <w:fldChar w:fldCharType="end"/>
      </w:r>
      <w:r w:rsidRPr="00260745">
        <w:rPr>
          <w:rFonts w:cstheme="minorHAnsi"/>
        </w:rPr>
        <w:t xml:space="preserve"> and are therefore a priority research area for blue carbon science </w:t>
      </w:r>
      <w:r w:rsidRPr="00260745">
        <w:rPr>
          <w:rFonts w:cstheme="minorHAnsi"/>
        </w:rPr>
        <w:fldChar w:fldCharType="begin" w:fldLock="1"/>
      </w:r>
      <w:r w:rsidRPr="00260745">
        <w:rPr>
          <w:rFonts w:cstheme="minorHAnsi"/>
        </w:rPr>
        <w:instrText>ADDIN CSL_CITATION {"citationItems":[{"id":"ITEM-1","itemData":{"DOI":"10.1038/s41467-019-11693-w","ISSN":"20411723","abstract":"The term Blue Carbon (BC) was first coined a decade ago to describe the disproportionately large contribution of coastal vegetated ecosystems to global carbon sequestration. The role of BC in climate change mitigation and adaptation has now reached international prominence. To help prioritise future research, we assembled leading experts in the field to agree upon the top-ten pending questions in BC science. Understanding how climate change affects carbon accumulation in mature BC ecosystems and during their restoration was a high priority. Controversial questions included the role of carbonate and macroalgae in BC cycling, and the degree to which greenhouse gases are released following disturbance of BC ecosystems. Scientists seek improved precision of the extent of BC ecosystems; techniques to determine BC provenance; understanding of the factors that influence sequestration in BC ecosystems, with the corresponding value of BC; and the management actions that are effective in enhancing this value. Overall this overview provides a comprehensive road map for the coming decades on future research in BC science.","author":[{"dropping-particle":"","family":"Macreadie","given":"Peter I.","non-dropping-particle":"","parse-names":false,"suffix":""},{"dropping-particle":"","family":"Anton","given":"Andrea","non-dropping-particle":"","parse-names":false,"suffix":""},{"dropping-particle":"","family":"Raven","given":"John A.","non-dropping-particle":"","parse-names":false,"suffix":""},{"dropping-particle":"","family":"Beaumont","given":"Nicola","non-dropping-particle":"","parse-names":false,"suffix":""},{"dropping-particle":"","family":"Connolly","given":"Rod M.","non-dropping-particle":"","parse-names":false,"suffix":""},{"dropping-particle":"","family":"Friess","given":"Daniel A.","non-dropping-particle":"","parse-names":false,"suffix":""},{"dropping-particle":"","family":"Kelleway","given":"Jeffrey J.","non-dropping-particle":"","parse-names":false,"suffix":""},{"dropping-particle":"","family":"Kennedy","given":"Hilary","non-dropping-particle":"","parse-names":false,"suffix":""},{"dropping-particle":"","family":"Kuwae","given":"Tomohiro","non-dropping-particle":"","parse-names":false,"suffix":""},{"dropping-particle":"","family":"Lavery","given":"Paul S.","non-dropping-particle":"","parse-names":false,"suffix":""},{"dropping-particle":"","family":"Lovelock","given":"Catherine E.","non-dropping-particle":"","parse-names":false,"suffix":""},{"dropping-particle":"","family":"Smale","given":"Dan A.","non-dropping-particle":"","parse-names":false,"suffix":""},{"dropping-particle":"","family":"Apostolaki","given":"Eugenia T.","non-dropping-particle":"","parse-names":false,"suffix":""},{"dropping-particle":"","family":"Atwood","given":"Trisha B.","non-dropping-particle":"","parse-names":false,"suffix":""},{"dropping-particle":"","family":"Baldock","given":"Jeff","non-dropping-particle":"","parse-names":false,"suffix":""},{"dropping-particle":"","family":"Bianchi","given":"Thomas S.","non-dropping-particle":"","parse-names":false,"suffix":""},{"dropping-particle":"","family":"Chmura","given":"Gail L.","non-dropping-particle":"","parse-names":false,"suffix":""},{"dropping-particle":"","family":"Eyre","given":"Bradley D.","non-dropping-particle":"","parse-names":false,"suffix":""},{"dropping-particle":"","family":"Fourqurean","given":"James W.","non-dropping-particle":"","parse-names":false,"suffix":""},{"dropping-particle":"","family":"Hall-Spencer","given":"Jason M.","non-dropping-particle":"","parse-names":false,"suffix":""},{"dropping-particle":"","family":"Huxham","given":"Mark","non-dropping-particle":"","parse-names":false,"suffix":""},{"dropping-particle":"","family":"Hendriks","given":"Iris E.","non-dropping-particle":"","parse-names":false,"suffix":""},{"dropping-particle":"","family":"Krause-Jensen","given":"Dorte","non-dropping-particle":"","parse-names":false,"suffix":""},{"dropping-particle":"","family":"Laffoley","given":"Dan","non-dropping-particle":"","parse-names":false,"suffix":""},{"dropping-particle":"","family":"Luisetti","given":"Tiziana","non-dropping-particle":"","parse-names":false,"suffix":""},{"dropping-particle":"","family":"Marbà","given":"Núria","non-dropping-particle":"","parse-names":false,"suffix":""},{"dropping-particle":"","family":"Masque","given":"Pere","non-dropping-particle":"","parse-names":false,"suffix":""},{"dropping-particle":"","family":"McGlathery","given":"Karen J.","non-dropping-particle":"","parse-names":false,"suffix":""},{"dropping-particle":"","family":"Megonigal","given":"J. Patrick","non-dropping-particle":"","parse-names":false,"suffix":""},{"dropping-particle":"","family":"Murdiyarso","given":"Daniel","non-dropping-particle":"","parse-names":false,"suffix":""},{"dropping-particle":"","family":"Russell","given":"Bayden D.","non-dropping-particle":"","parse-names":false,"suffix":""},{"dropping-particle":"","family":"Santos","given":"Rui","non-dropping-particle":"","parse-names":false,"suffix":""},{"dropping-particle":"","family":"Serrano","given":"Oscar","non-dropping-particle":"","parse-names":false,"suffix":""},{"dropping-particle":"","family":"Silliman","given":"Brian R.","non-dropping-particle":"","parse-names":false,"suffix":""},{"dropping-particle":"","family":"Watanabe","given":"Kenta","non-dropping-particle":"","parse-names":false,"suffix":""},{"dropping-particle":"","family":"Duarte","given":"Carlos M.","non-dropping-particle":"","parse-names":false,"suffix":""}],"container-title":"Nature Communications","id":"ITEM-1","issue":"1","issued":{"date-parts":[["2019"]]},"title":"The future of Blue Carbon science","type":"article-journal","volume":"10"},"uris":["http://www.mendeley.com/documents/?uuid=224fee77-5ae2-467a-957b-9f226c5539d6"]}],"mendeley":{"formattedCitation":"(Macreadie et al., 2019)","plainTextFormattedCitation":"(Macreadie et al., 2019)","previouslyFormattedCitation":"(Macreadie et al., 2019)"},"properties":{"noteIndex":0},"schema":"https://github.com/citation-style-language/schema/raw/master/csl-citation.json"}</w:instrText>
      </w:r>
      <w:r w:rsidRPr="00260745">
        <w:rPr>
          <w:rFonts w:cstheme="minorHAnsi"/>
        </w:rPr>
        <w:fldChar w:fldCharType="separate"/>
      </w:r>
      <w:r w:rsidRPr="00260745">
        <w:rPr>
          <w:rFonts w:cstheme="minorHAnsi"/>
          <w:noProof/>
        </w:rPr>
        <w:t>(Macreadie et al., 2019)</w:t>
      </w:r>
      <w:r w:rsidRPr="00260745">
        <w:rPr>
          <w:rFonts w:cstheme="minorHAnsi"/>
        </w:rPr>
        <w:fldChar w:fldCharType="end"/>
      </w:r>
      <w:r w:rsidRPr="00260745">
        <w:rPr>
          <w:rFonts w:cstheme="minorHAnsi"/>
        </w:rPr>
        <w:t xml:space="preserve">. Sea level rise has been identified as potentially the most significant climate change factor affecting mangrove distribution and C stocks </w:t>
      </w:r>
      <w:r w:rsidRPr="00260745">
        <w:rPr>
          <w:rFonts w:cstheme="minorHAnsi"/>
        </w:rPr>
        <w:fldChar w:fldCharType="begin" w:fldLock="1"/>
      </w:r>
      <w:r w:rsidR="008A48C6" w:rsidRPr="00260745">
        <w:rPr>
          <w:rFonts w:cstheme="minorHAnsi"/>
        </w:rPr>
        <w:instrText>ADDIN CSL_CITATION {"citationItems":[{"id":"ITEM-1","itemData":{"DOI":"10.1038/s41467-019-11693-w","ISSN":"20411723","abstract":"The term Blue Carbon (BC) was first coined a decade ago to describe the disproportionately large contribution of coastal vegetated ecosystems to global carbon sequestration. The role of BC in climate change mitigation and adaptation has now reached international prominence. To help prioritise future research, we assembled leading experts in the field to agree upon the top-ten pending questions in BC science. Understanding how climate change affects carbon accumulation in mature BC ecosystems and during their restoration was a high priority. Controversial questions included the role of carbonate and macroalgae in BC cycling, and the degree to which greenhouse gases are released following disturbance of BC ecosystems. Scientists seek improved precision of the extent of BC ecosystems; techniques to determine BC provenance; understanding of the factors that influence sequestration in BC ecosystems, with the corresponding value of BC; and the management actions that are effective in enhancing this value. Overall this overview provides a comprehensive road map for the coming decades on future research in BC science.","author":[{"dropping-particle":"","family":"Macreadie","given":"Peter I.","non-dropping-particle":"","parse-names":false,"suffix":""},{"dropping-particle":"","family":"Anton","given":"Andrea","non-dropping-particle":"","parse-names":false,"suffix":""},{"dropping-particle":"","family":"Raven","given":"John A.","non-dropping-particle":"","parse-names":false,"suffix":""},{"dropping-particle":"","family":"Beaumont","given":"Nicola","non-dropping-particle":"","parse-names":false,"suffix":""},{"dropping-particle":"","family":"Connolly","given":"Rod M.","non-dropping-particle":"","parse-names":false,"suffix":""},{"dropping-particle":"","family":"Friess","given":"Daniel A.","non-dropping-particle":"","parse-names":false,"suffix":""},{"dropping-particle":"","family":"Kelleway","given":"Jeffrey J.","non-dropping-particle":"","parse-names":false,"suffix":""},{"dropping-particle":"","family":"Kennedy","given":"Hilary","non-dropping-particle":"","parse-names":false,"suffix":""},{"dropping-particle":"","family":"Kuwae","given":"Tomohiro","non-dropping-particle":"","parse-names":false,"suffix":""},{"dropping-particle":"","family":"Lavery","given":"Paul S.","non-dropping-particle":"","parse-names":false,"suffix":""},{"dropping-particle":"","family":"Lovelock","given":"Catherine E.","non-dropping-particle":"","parse-names":false,"suffix":""},{"dropping-particle":"","family":"Smale","given":"Dan A.","non-dropping-particle":"","parse-names":false,"suffix":""},{"dropping-particle":"","family":"Apostolaki","given":"Eugenia T.","non-dropping-particle":"","parse-names":false,"suffix":""},{"dropping-particle":"","family":"Atwood","given":"Trisha B.","non-dropping-particle":"","parse-names":false,"suffix":""},{"dropping-particle":"","family":"Baldock","given":"Jeff","non-dropping-particle":"","parse-names":false,"suffix":""},{"dropping-particle":"","family":"Bianchi","given":"Thomas S.","non-dropping-particle":"","parse-names":false,"suffix":""},{"dropping-particle":"","family":"Chmura","given":"Gail L.","non-dropping-particle":"","parse-names":false,"suffix":""},{"dropping-particle":"","family":"Eyre","given":"Bradley D.","non-dropping-particle":"","parse-names":false,"suffix":""},{"dropping-particle":"","family":"Fourqurean","given":"James W.","non-dropping-particle":"","parse-names":false,"suffix":""},{"dropping-particle":"","family":"Hall-Spencer","given":"Jason M.","non-dropping-particle":"","parse-names":false,"suffix":""},{"dropping-particle":"","family":"Huxham","given":"Mark","non-dropping-particle":"","parse-names":false,"suffix":""},{"dropping-particle":"","family":"Hendriks","given":"Iris E.","non-dropping-particle":"","parse-names":false,"suffix":""},{"dropping-particle":"","family":"Krause-Jensen","given":"Dorte","non-dropping-particle":"","parse-names":false,"suffix":""},{"dropping-particle":"","family":"Laffoley","given":"Dan","non-dropping-particle":"","parse-names":false,"suffix":""},{"dropping-particle":"","family":"Luisetti","given":"Tiziana","non-dropping-particle":"","parse-names":false,"suffix":""},{"dropping-particle":"","family":"Marbà","given":"Núria","non-dropping-particle":"","parse-names":false,"suffix":""},{"dropping-particle":"","family":"Masque","given":"Pere","non-dropping-particle":"","parse-names":false,"suffix":""},{"dropping-particle":"","family":"McGlathery","given":"Karen J.","non-dropping-particle":"","parse-names":false,"suffix":""},{"dropping-particle":"","family":"Megonigal","given":"J. Patrick","non-dropping-particle":"","parse-names":false,"suffix":""},{"dropping-particle":"","family":"Murdiyarso","given":"Daniel","non-dropping-particle":"","parse-names":false,"suffix":""},{"dropping-particle":"","family":"Russell","given":"Bayden D.","non-dropping-particle":"","parse-names":false,"suffix":""},{"dropping-particle":"","family":"Santos","given":"Rui","non-dropping-particle":"","parse-names":false,"suffix":""},{"dropping-particle":"","family":"Serrano","given":"Oscar","non-dropping-particle":"","parse-names":false,"suffix":""},{"dropping-particle":"","family":"Silliman","given":"Brian R.","non-dropping-particle":"","parse-names":false,"suffix":""},{"dropping-particle":"","family":"Watanabe","given":"Kenta","non-dropping-particle":"","parse-names":false,"suffix":""},{"dropping-particle":"","family":"Duarte","given":"Carlos M.","non-dropping-particle":"","parse-names":false,"suffix":""}],"container-title":"Nature Communications","id":"ITEM-1","issue":"1","issued":{"date-parts":[["2019"]]},"title":"The future of Blue Carbon science","type":"article-journal","volume":"10"},"uris":["http://www.mendeley.com/documents/?uuid=224fee77-5ae2-467a-957b-9f226c5539d6"]},{"id":"ITEM-2","itemData":{"DOI":"10.1016/j.oneear.2020.07.010","ISSN":"25903322","abstract":"Blue carbon provides opportunities to mitigate climate change while increasing ecosystem services for coastal communities, including climate change adaptation; however, blue carbon ecosystems are vulnerable to climate change, leading to uncertainties in the future efficacy of these ecosystems. In this review, we assess the potential impacts of climate change on blue carbon. Despite uncertainties, carbon sequestration in coastal ecosystems is enhanced by landward migration of blue carbon habitats, maintenance of sediment supply, restoration, and improved water quality. As an example, landward migration of mangroves could result in carbon sequestration of 1.5 Pg by 2100. Mudflats, seaweed beds, and coastal swamp forests could also contribute to climate change mitigation, although there are large data gaps. Achieving the full potential of blue carbon requires protection and restoration of ecosystems and facilitation of changes in ecosystem dis- tributions with climate change, actions that will also deliver adaptation benefits. Conversely, in the worst- case coastal squeeze scenario, losses of 3.4 Pg of sequestered carbon by 2100 could occur.","author":[{"dropping-particle":"","family":"Lovelock","given":"Catherine E.","non-dropping-particle":"","parse-names":false,"suffix":""},{"dropping-particle":"","family":"Reef","given":"Ruth","non-dropping-particle":"","parse-names":false,"suffix":""}],"container-title":"One Earth","id":"ITEM-2","issue":"2","issued":{"date-parts":[["2020"]]},"page":"195-211","title":"Variable Impacts of Climate Change on Blue Carbon","type":"article-journal","volume":"3"},"uris":["http://www.mendeley.com/documents/?uuid=9197c631-f9b8-4e86-b5fa-923eba689607"]}],"mendeley":{"formattedCitation":"(Lovelock and Reef, 2020; Macreadie et al., 2019)","plainTextFormattedCitation":"(Lovelock and Reef, 2020; Macreadie et al., 2019)","previouslyFormattedCitation":"(Lovelock and Reef, 2020; Macreadie et al., 2019)"},"properties":{"noteIndex":0},"schema":"https://github.com/citation-style-language/schema/raw/master/csl-citation.json"}</w:instrText>
      </w:r>
      <w:r w:rsidRPr="00260745">
        <w:rPr>
          <w:rFonts w:cstheme="minorHAnsi"/>
        </w:rPr>
        <w:fldChar w:fldCharType="separate"/>
      </w:r>
      <w:r w:rsidR="008A48C6" w:rsidRPr="00260745">
        <w:rPr>
          <w:rFonts w:cstheme="minorHAnsi"/>
          <w:noProof/>
        </w:rPr>
        <w:t>(Lovelock and Reef, 2020; Macreadie et al., 2019)</w:t>
      </w:r>
      <w:r w:rsidRPr="00260745">
        <w:rPr>
          <w:rFonts w:cstheme="minorHAnsi"/>
        </w:rPr>
        <w:fldChar w:fldCharType="end"/>
      </w:r>
      <w:r w:rsidRPr="00260745">
        <w:rPr>
          <w:rFonts w:cstheme="minorHAnsi"/>
        </w:rPr>
        <w:t xml:space="preserve">. Sea level rise would cause changes to inundation periods and durations, potentially increasing tree mortality </w:t>
      </w:r>
      <w:r w:rsidRPr="00260745">
        <w:rPr>
          <w:rFonts w:cstheme="minorHAnsi"/>
        </w:rPr>
        <w:fldChar w:fldCharType="begin" w:fldLock="1"/>
      </w:r>
      <w:r w:rsidRPr="00260745">
        <w:rPr>
          <w:rFonts w:cstheme="minorHAnsi"/>
        </w:rPr>
        <w:instrText>ADDIN CSL_CITATION {"citationItems":[{"id":"ITEM-1","itemData":{"DOI":"10.1002/ehs2.1211","ISSN":"23328878","abstract":"Inter-related and spatially variable climate change factors including sea level rise, increased storminess, altered precipitation regime and increasing temperature are impacting mangroves at regional scales. This review highlights extreme regional variation in climate change threats and impacts, and how these factors impact the structure of mangrove communities, their biodiversity and geomorphological setting. All these factors interplay to determine spatially variable resiliency to climate change impacts, and because mangroves are varied in type and geographical location, these systems are good models for understanding such interactions at different scales. Sea level rise is likely to influence mangroves in all regions although local impacts are likely to be more varied. Changes in the frequency and intensity of storminess are likely to have a greater impact on N and Central America, Asia, Australia, and East Africa than West Africa and S. America. This review also highlights the numerous geographical knowledge gaps of climate change impacts, with some regions particularly understudied (e.g., Africa and the Middle East). While there has been a recent drive to address these knowledge gaps especially in South America and Asia, further research is required to allow researchers to tease apart the processes that influence both vulnerability and resilience to climate change. A more globally representative view of mangroves would allow us to better understand the importance of mangrove type and landscape setting in determining system resiliency to future climate change.","author":[{"dropping-particle":"","family":"Ward","given":"Raymond D.","non-dropping-particle":"","parse-names":false,"suffix":""},{"dropping-particle":"","family":"Friess","given":"Daniel A.","non-dropping-particle":"","parse-names":false,"suffix":""},{"dropping-particle":"","family":"Day","given":"Richard H.","non-dropping-particle":"","parse-names":false,"suffix":""},{"dropping-particle":"","family":"Mackenzie","given":"Richard A.","non-dropping-particle":"","parse-names":false,"suffix":""}],"container-title":"Ecosystem Health and Sustainability","id":"ITEM-1","issue":"4","issued":{"date-parts":[["2016"]]},"title":"Impacts of climate change on mangrove ecosystems: a region by region overview","type":"article-journal","volume":"2"},"uris":["http://www.mendeley.com/documents/?uuid=df205f83-cd11-4191-93c3-607c98d809f7"]}],"mendeley":{"formattedCitation":"(Ward et al., 2016)","plainTextFormattedCitation":"(Ward et al., 2016)","previouslyFormattedCitation":"(Ward et al., 2016)"},"properties":{"noteIndex":0},"schema":"https://github.com/citation-style-language/schema/raw/master/csl-citation.json"}</w:instrText>
      </w:r>
      <w:r w:rsidRPr="00260745">
        <w:rPr>
          <w:rFonts w:cstheme="minorHAnsi"/>
        </w:rPr>
        <w:fldChar w:fldCharType="separate"/>
      </w:r>
      <w:r w:rsidRPr="00260745">
        <w:rPr>
          <w:rFonts w:cstheme="minorHAnsi"/>
          <w:noProof/>
        </w:rPr>
        <w:t>(Ward et al., 2016)</w:t>
      </w:r>
      <w:r w:rsidRPr="00260745">
        <w:rPr>
          <w:rFonts w:cstheme="minorHAnsi"/>
        </w:rPr>
        <w:fldChar w:fldCharType="end"/>
      </w:r>
      <w:r w:rsidRPr="00260745">
        <w:rPr>
          <w:rFonts w:cstheme="minorHAnsi"/>
        </w:rPr>
        <w:t xml:space="preserve">. It has been estimated that 96% of coastal wetlands, which includes mangroves, could be lost in the Middle East this century due to sea level rise </w:t>
      </w:r>
      <w:r w:rsidRPr="00260745">
        <w:rPr>
          <w:rFonts w:cstheme="minorHAnsi"/>
        </w:rPr>
        <w:fldChar w:fldCharType="begin" w:fldLock="1"/>
      </w:r>
      <w:r w:rsidRPr="00260745">
        <w:rPr>
          <w:rFonts w:cstheme="minorHAnsi"/>
        </w:rPr>
        <w:instrText>ADDIN CSL_CITATION {"citationItems":[{"id":"ITEM-1","itemData":{"DOI":"10.17226/10590","author":[{"dropping-particle":"","family":"Blankespoor","given":"B","non-dropping-particle":"","parse-names":false,"suffix":""},{"dropping-particle":"","family":"Dasgupta","given":"S","non-dropping-particle":"","parse-names":false,"suffix":""},{"dropping-particle":"","family":"Laplante","given":"B","non-dropping-particle":"","parse-names":false,"suffix":""}],"container-title":"Ambio","id":"ITEM-1","issue":"43","issued":{"date-parts":[["2014"]]},"page":"996-1005","title":"Sea level rise and coastal wetlands","type":"article-journal"},"uris":["http://www.mendeley.com/documents/?uuid=39a52d8a-2fcf-4242-80d0-b33d8a4836e5"]}],"mendeley":{"formattedCitation":"(Blankespoor et al., 2014)","plainTextFormattedCitation":"(Blankespoor et al., 2014)","previouslyFormattedCitation":"(Blankespoor et al., 2014)"},"properties":{"noteIndex":0},"schema":"https://github.com/citation-style-language/schema/raw/master/csl-citation.json"}</w:instrText>
      </w:r>
      <w:r w:rsidRPr="00260745">
        <w:rPr>
          <w:rFonts w:cstheme="minorHAnsi"/>
        </w:rPr>
        <w:fldChar w:fldCharType="separate"/>
      </w:r>
      <w:r w:rsidRPr="00260745">
        <w:rPr>
          <w:rFonts w:cstheme="minorHAnsi"/>
          <w:noProof/>
        </w:rPr>
        <w:t>(Blankespoor et al., 2014)</w:t>
      </w:r>
      <w:r w:rsidRPr="00260745">
        <w:rPr>
          <w:rFonts w:cstheme="minorHAnsi"/>
        </w:rPr>
        <w:fldChar w:fldCharType="end"/>
      </w:r>
      <w:r w:rsidRPr="00260745">
        <w:rPr>
          <w:rFonts w:cstheme="minorHAnsi"/>
        </w:rPr>
        <w:t xml:space="preserve">. Where </w:t>
      </w:r>
      <w:r w:rsidRPr="00260745">
        <w:rPr>
          <w:rFonts w:cstheme="minorHAnsi"/>
        </w:rPr>
        <w:lastRenderedPageBreak/>
        <w:t xml:space="preserve">mangroves occur adjacent to human settlements, coastal ‘squeeze’ may occur, between rising sea level and expanding human settlements/agriculture behind the mangrove </w:t>
      </w:r>
      <w:r w:rsidRPr="00260745">
        <w:rPr>
          <w:rFonts w:cstheme="minorHAnsi"/>
        </w:rPr>
        <w:fldChar w:fldCharType="begin" w:fldLock="1"/>
      </w:r>
      <w:r w:rsidRPr="00260745">
        <w:rPr>
          <w:rFonts w:cstheme="minorHAnsi"/>
        </w:rPr>
        <w:instrText>ADDIN CSL_CITATION {"citationItems":[{"id":"ITEM-1","itemData":{"DOI":"10.1016/j.oneear.2020.07.010","ISSN":"25903322","abstract":"Blue carbon provides opportunities to mitigate climate change while increasing ecosystem services for coastal communities, including climate change adaptation; however, blue carbon ecosystems are vulnerable to climate change, leading to uncertainties in the future efficacy of these ecosystems. In this review, we assess the potential impacts of climate change on blue carbon. Despite uncertainties, carbon sequestration in coastal ecosystems is enhanced by landward migration of blue carbon habitats, maintenance of sediment supply, restoration, and improved water quality. As an example, landward migration of mangroves could result in carbon sequestration of 1.5 Pg by 2100. Mudflats, seaweed beds, and coastal swamp forests could also contribute to climate change mitigation, although there are large data gaps. Achieving the full potential of blue carbon requires protection and restoration of ecosystems and facilitation of changes in ecosystem dis- tributions with climate change, actions that will also deliver adaptation benefits. Conversely, in the worst- case coastal squeeze scenario, losses of 3.4 Pg of sequestered carbon by 2100 could occur.","author":[{"dropping-particle":"","family":"Lovelock","given":"Catherine E.","non-dropping-particle":"","parse-names":false,"suffix":""},{"dropping-particle":"","family":"Reef","given":"Ruth","non-dropping-particle":"","parse-names":false,"suffix":""}],"container-title":"One Earth","id":"ITEM-1","issue":"2","issued":{"date-parts":[["2020"]]},"page":"195-211","title":"Variable Impacts of Climate Change on Blue Carbon","type":"article-journal","volume":"3"},"uris":["http://www.mendeley.com/documents/?uuid=9197c631-f9b8-4e86-b5fa-923eba689607"]}],"mendeley":{"formattedCitation":"(Lovelock and Reef, 2020)","plainTextFormattedCitation":"(Lovelock and Reef, 2020)","previouslyFormattedCitation":"(Lovelock and Reef, 2020)"},"properties":{"noteIndex":0},"schema":"https://github.com/citation-style-language/schema/raw/master/csl-citation.json"}</w:instrText>
      </w:r>
      <w:r w:rsidRPr="00260745">
        <w:rPr>
          <w:rFonts w:cstheme="minorHAnsi"/>
        </w:rPr>
        <w:fldChar w:fldCharType="separate"/>
      </w:r>
      <w:r w:rsidRPr="00260745">
        <w:rPr>
          <w:rFonts w:cstheme="minorHAnsi"/>
          <w:noProof/>
        </w:rPr>
        <w:t>(Lovelock and Reef, 2020)</w:t>
      </w:r>
      <w:r w:rsidRPr="00260745">
        <w:rPr>
          <w:rFonts w:cstheme="minorHAnsi"/>
        </w:rPr>
        <w:fldChar w:fldCharType="end"/>
      </w:r>
      <w:r w:rsidRPr="00260745">
        <w:rPr>
          <w:rFonts w:cstheme="minorHAnsi"/>
        </w:rPr>
        <w:t xml:space="preserve">. Worst case estimates have projected lost C sequestration of 3.4 Pg by 2100 due to coastal ‘squeeze’ </w:t>
      </w:r>
      <w:r w:rsidRPr="00260745">
        <w:rPr>
          <w:rFonts w:cstheme="minorHAnsi"/>
        </w:rPr>
        <w:fldChar w:fldCharType="begin" w:fldLock="1"/>
      </w:r>
      <w:r w:rsidRPr="00260745">
        <w:rPr>
          <w:rFonts w:cstheme="minorHAnsi"/>
        </w:rPr>
        <w:instrText>ADDIN CSL_CITATION {"citationItems":[{"id":"ITEM-1","itemData":{"DOI":"10.1016/j.oneear.2020.07.010","ISSN":"25903322","abstract":"Blue carbon provides opportunities to mitigate climate change while increasing ecosystem services for coastal communities, including climate change adaptation; however, blue carbon ecosystems are vulnerable to climate change, leading to uncertainties in the future efficacy of these ecosystems. In this review, we assess the potential impacts of climate change on blue carbon. Despite uncertainties, carbon sequestration in coastal ecosystems is enhanced by landward migration of blue carbon habitats, maintenance of sediment supply, restoration, and improved water quality. As an example, landward migration of mangroves could result in carbon sequestration of 1.5 Pg by 2100. Mudflats, seaweed beds, and coastal swamp forests could also contribute to climate change mitigation, although there are large data gaps. Achieving the full potential of blue carbon requires protection and restoration of ecosystems and facilitation of changes in ecosystem dis- tributions with climate change, actions that will also deliver adaptation benefits. Conversely, in the worst- case coastal squeeze scenario, losses of 3.4 Pg of sequestered carbon by 2100 could occur.","author":[{"dropping-particle":"","family":"Lovelock","given":"Catherine E.","non-dropping-particle":"","parse-names":false,"suffix":""},{"dropping-particle":"","family":"Reef","given":"Ruth","non-dropping-particle":"","parse-names":false,"suffix":""}],"container-title":"One Earth","id":"ITEM-1","issue":"2","issued":{"date-parts":[["2020"]]},"page":"195-211","title":"Variable Impacts of Climate Change on Blue Carbon","type":"article-journal","volume":"3"},"uris":["http://www.mendeley.com/documents/?uuid=9197c631-f9b8-4e86-b5fa-923eba689607"]}],"mendeley":{"formattedCitation":"(Lovelock and Reef, 2020)","plainTextFormattedCitation":"(Lovelock and Reef, 2020)","previouslyFormattedCitation":"(Lovelock and Reef, 2020)"},"properties":{"noteIndex":0},"schema":"https://github.com/citation-style-language/schema/raw/master/csl-citation.json"}</w:instrText>
      </w:r>
      <w:r w:rsidRPr="00260745">
        <w:rPr>
          <w:rFonts w:cstheme="minorHAnsi"/>
        </w:rPr>
        <w:fldChar w:fldCharType="separate"/>
      </w:r>
      <w:r w:rsidRPr="00260745">
        <w:rPr>
          <w:rFonts w:cstheme="minorHAnsi"/>
          <w:noProof/>
        </w:rPr>
        <w:t>(Lovelock and Reef, 2020)</w:t>
      </w:r>
      <w:r w:rsidRPr="00260745">
        <w:rPr>
          <w:rFonts w:cstheme="minorHAnsi"/>
        </w:rPr>
        <w:fldChar w:fldCharType="end"/>
      </w:r>
      <w:r w:rsidRPr="00260745">
        <w:rPr>
          <w:rFonts w:cstheme="minorHAnsi"/>
        </w:rPr>
        <w:t xml:space="preserve">. Change in climatic regimes could also prove a significant factor in changing overall stocks in mangroves through altering forest biomass and productivity and its subsequent contribution to soil C stocks and soil sequestration rates (CSR). Recent evidence from extreme climatic regions of global mangrove distribution </w:t>
      </w:r>
      <w:r w:rsidRPr="00260745">
        <w:rPr>
          <w:rFonts w:cstheme="minorHAnsi"/>
        </w:rPr>
        <w:fldChar w:fldCharType="begin" w:fldLock="1"/>
      </w:r>
      <w:r w:rsidR="008A48C6" w:rsidRPr="00260745">
        <w:rPr>
          <w:rFonts w:cstheme="minorHAnsi"/>
        </w:rPr>
        <w:instrText>ADDIN CSL_CITATION {"citationItems":[{"id":"ITEM-1","itemData":{"DOI":"10.1002/eap.1489","ISSN":"19395582","abstract":"Coastal ecosystems produce and sequester significant amounts of carbon (\"blue carbon\"), which has been well documented in humid and semi-humid regions of temperate and tropical climates but less so in arid regions where mangroves, marshes, and seagrasses exist near the limit of their tolerance for extreme temperature and salinity. To better understand these unique systems, we measured whole-ecosystem carbon stocks in 58 sites across the United Arab Emirates (UAE) in natural and planted mangroves, salt marshes, seagrass beds, microbial mats, and coastal sabkha (inter- and supratidal unvegetated salt flats). Natural mangroves held significantly more carbon in above- and belowground biomass than other vegetated ecosystems. Planted mangrove carbon stocks increased with age, but there were large differences for sites of similar age. Soil carbon varied widely across sites (2-367 Mg C/ha), with ecosystem averages that ranged from 49 to 156 Mg C/ha. For the first time, microbial mats were documented to contain soil carbon pools comparable to vascular plant-dominated ecosystems, and could arguably be recognized as a unique blue carbon ecosystem. Total ecosystem carbon stocks ranged widely from 2 to 515 Mg C/ha (seagrass bed and mangrove, respectively). Seagrass beds had the lowest carbon stock per unit area, but the largest stock per total area due to their large spatial coverage. Compared to similar ecosystems globally, mangroves and marshes in the UAE have lower plant and soil carbon stocks; however, the difference in soil stocks is far larger than with plant stocks. This incongruent difference between stocks is likely due to poor carbon preservation under conditions of weakly reduced soils (200-350 mV), coarse-grained sediments, and active shoreline migration. This work represents the first attempt to produce a country-wide coastal ecosystem carbon accounting using a uniform sampling protocol, and was motivated by specific policy goals identified by the Abu Dhabi Global Environmental Data Initiative. These carbon stock data supported two objectives: to quantify carbon stocks and infer sequestration capacity in arid blue carbon ecosystems, and to explore the potential to incorporate blue carbon science into national reporting and planning documents. © 2016 by the Ecological Society of America.","author":[{"dropping-particle":"","family":"Schile","given":"Lisa M.","non-dropping-particle":"","parse-names":false,"suffix":""},{"dropping-particle":"","family":"Kauffman","given":"J. Boone","non-dropping-particle":"","parse-names":false,"suffix":""},{"dropping-particle":"","family":"Crooks","given":"Stephen","non-dropping-particle":"","parse-names":false,"suffix":""},{"dropping-particle":"","family":"Fourqurean","given":"James W.","non-dropping-particle":"","parse-names":false,"suffix":""},{"dropping-particle":"","family":"Glavan","given":"Jane","non-dropping-particle":"","parse-names":false,"suffix":""},{"dropping-particle":"","family":"Megonigal","given":"J. Patrick","non-dropping-particle":"","parse-names":false,"suffix":""}],"container-title":"Ecological Applications","id":"ITEM-1","issue":"3","issued":{"date-parts":[["2017"]]},"page":"859-874","title":"Limits on carbon sequestration in arid blue carbon ecosystems","type":"article-journal","volume":"27"},"uris":["http://www.mendeley.com/documents/?uuid=c37893be-f79d-4cb3-b5d3-f043469db703"]},{"id":"ITEM-2","itemData":{"DOI":"10.1038/s41598-017-10424-9","ISSN":"2045-2322","author":[{"dropping-particle":"","family":"Almahasheer","given":"Hanan","non-dropping-particle":"","parse-names":false,"suffix":""},{"dropping-particle":"","family":"Serrano","given":"Oscar","non-dropping-particle":"","parse-names":false,"suffix":""},{"dropping-particle":"","family":"Duarte","given":"Carlos M.","non-dropping-particle":"","parse-names":false,"suffix":""},{"dropping-particle":"","family":"Arias-Ortiz","given":"Ariane","non-dropping-particle":"","parse-names":false,"suffix":""},{"dropping-particle":"","family":"Masque","given":"Pere","non-dropping-particle":"","parse-names":false,"suffix":""},{"dropping-particle":"","family":"Irigoien","given":"Xabier","non-dropping-particle":"","parse-names":false,"suffix":""}],"container-title":"Scientific Reports","id":"ITEM-2","issue":"1","issued":{"date-parts":[["2017"]]},"page":"9700","title":"Low Carbon sink capacity of Red Sea mangroves","type":"article-journal","volume":"7"},"uris":["http://www.mendeley.com/documents/?uuid=90af8c22-f462-3b43-9dc5-dcc30bc9100e"]},{"id":"ITEM-3","itemData":{"DOI":"10.1371/journal.pone.0187749","ISBN":"1111111111","ISSN":"19326203","abstract":"Globally, it is recognized that blue carbon ecosystems, especially mangroves, often sequester large quantities of carbon and are of interest for inclusion in climate change mitigation strategies. While 19% of the world’s mangroves are in Africa, they are among the least investigated of all blue carbon ecosystems. We quantified total ecosystem carbon stocks in 33 different mangrove stands along the Atlantic coast of West-Central Africa from Senegal to Southern Gabon spanning large gradients of latitude, soil properties, porewater salinity, and precipitation. Mangrove structure ranged from low and dense stands that were &lt;1m in height and &gt;35,000 trees ha-1 to tall and open stands &gt;40m in height and &lt;100 ha-1. Tremendous variation in ecosystem carbon (C) stocks was measured ranging from 154 to 1,484 Mg C ha-1. The mean total ecosystem carbon stock for all mangroves of West-Central Africa was 799 Mg C ha-1. Soils comprised an average of 86% of the total carbon stock. The greatest carbon stocks were found in the tall mangroves of Liberia and Gabon North with a mean &gt;1,000 Mg C ha-1. The lowest carbon stocks were found in the low mangroves of the semiarid region of Senegal (463 Mg C ha-1) and in mangroves on coarse-textured soils in Gabon South (541 Mg C ha-1). At the scale of the entirety of West-Central Africa, total ecosystem carbon stocks were poorly correlated to aboveground ecosystem carbon pools, precipitation, latitude and soil salinity (r2 = ≤0.07 for all parameters). Based upon a sample of 158 sites from Africa, Asia and Latin America that were sampled in a similar manner to this study, the global mean of carbon stocks for mangroves is 885 Mg C ha-1. The ecosystem carbon stocks of mangroves for West-Central Africa are slightly lower than those of Latin America (940 Mg C ha-1) and Asia (1049 Mg C ha-1) but substantially higher than the default Intergovernmental Panel on Climate Change (IPCC) values for mangroves (511 Mg C ha-1). This study provides an improved estimation of default estimates (Tier 1 values) of mangroves for Asia, Latin America, and West Central Africa.","author":[{"dropping-particle":"","family":"Kauffman","given":"J. B.","non-dropping-particle":"","parse-names":false,"suffix":""},{"dropping-particle":"","family":"Bhomia","given":"Rupesh K.","non-dropping-particle":"","parse-names":false,"suffix":""}],"container-title":"PLoS ONE","editor":[{"dropping-particle":"","family":"Cebrian","given":"Just","non-dropping-particle":"","parse-names":false,"suffix":""}],"id":"ITEM-3","issue":"11","issued":{"date-parts":[["2017","11","13"]]},"page":"e0187749","publisher":"Public Library of Science","title":"Ecosystem carbon stocks of mangroves across broad environmental gradients in West-Central Africa: Global and regional comparisons","type":"article-journal","volume":"12"},"uris":["http://www.mendeley.com/documents/?uuid=0dda3e35-6690-3ef2-afb9-36bcc53c835b"]},{"id":"ITEM-4","itemData":{"DOI":"10.1016/j.ecss.2020.106940","ISSN":"02727714","abstract":"Global inventories that show mangrove forests have rich carbon stores currently lack data from arid areas where carbon stocks may be functionally impoverished relative to humid regions. We quantified total carbon stocks (C) of three arid Avicennia marina stands in Qatar and report an aboveground biomass allometric equation and the first below ground biomass allometric equation in the region. The allometric relationships indicate that below ground mangrove C stocks in arid locations are more important than previously reported. Comparison of previously published and our locally developed allometric equations show that A. marina in Qatar allocate comparatively more biomass to below ground components than the same species in tropical humid settings, which is consistent with plant adaptations to living in stressed conditions. Total C stocks were 45.70 ± 3.70 Mg C ha−1, of which tree and soil C stocks to 50 cm depth represented 10.18 ± 0.82 Mg C ha−1 and 35.52 ± 2.88 Mg ha−1 respectively. Soil C stocks to 1 m depth were 50.17 ± 6.27 Mg C ha−1. Overall, mangroves sustain relatively small C stocks in the arid, hypersaline environment of Qatar, which may be due to both relatively low tree productivity and growth, as well as limited rainfall-driven transport of terrigenous sediment inputs. By providing further estimates of mangrove carbon at their climatic extremes, these results can contribute to a better quantification of global mangrove carbon, reduce uncertainty in below ground tree C estimates from arid mangroves and have implications for mangrove carbon stocks in the face of climate change.","author":[{"dropping-particle":"","family":"Chatting","given":"Mark","non-dropping-particle":"","parse-names":false,"suffix":""},{"dropping-particle":"","family":"LeVay","given":"Lewis","non-dropping-particle":"","parse-names":false,"suffix":""},{"dropping-particle":"","family":"Walton","given":"Mark","non-dropping-particle":"","parse-names":false,"suffix":""},{"dropping-particle":"","family":"Skov","given":"Martin W.","non-dropping-particle":"","parse-names":false,"suffix":""},{"dropping-particle":"","family":"Kennedy","given":"Hilary","non-dropping-particle":"","parse-names":false,"suffix":""},{"dropping-particle":"","family":"Wilson","given":"Simon","non-dropping-particle":"","parse-names":false,"suffix":""},{"dropping-particle":"","family":"Al-Maslamani","given":"Ibrahim","non-dropping-particle":"","parse-names":false,"suffix":""}],"container-title":"Estuarine, Coastal and Shelf Science","id":"ITEM-4","issued":{"date-parts":[["2020"]]},"title":"Mangrove carbon stocks and biomass partitioning in an extreme environment","type":"article-journal","volume":"244"},"uris":["http://www.mendeley.com/documents/?uuid=45ec4b47-2362-48bc-8966-b39957af5dc1"]}],"mendeley":{"formattedCitation":"(Almahasheer et al., 2017; Chatting et al., 2020; Kauffman and Bhomia, 2017; Schile et al., 2017)","plainTextFormattedCitation":"(Almahasheer et al., 2017; Chatting et al., 2020; Kauffman and Bhomia, 2017; Schile et al., 2017)","previouslyFormattedCitation":"(Almahasheer et al., 2017; Chatting et al., 2020; Kauffman and Bhomia, 2017; Schile et al., 2017)"},"properties":{"noteIndex":0},"schema":"https://github.com/citation-style-language/schema/raw/master/csl-citation.json"}</w:instrText>
      </w:r>
      <w:r w:rsidRPr="00260745">
        <w:rPr>
          <w:rFonts w:cstheme="minorHAnsi"/>
        </w:rPr>
        <w:fldChar w:fldCharType="separate"/>
      </w:r>
      <w:r w:rsidR="008A48C6" w:rsidRPr="00260745">
        <w:rPr>
          <w:rFonts w:cstheme="minorHAnsi"/>
          <w:noProof/>
        </w:rPr>
        <w:t>(Almahasheer et al., 2017; Chatting et al., 2020; Kauffman and Bhomia, 2017; Schile et al., 2017)</w:t>
      </w:r>
      <w:r w:rsidRPr="00260745">
        <w:rPr>
          <w:rFonts w:cstheme="minorHAnsi"/>
        </w:rPr>
        <w:fldChar w:fldCharType="end"/>
      </w:r>
      <w:r w:rsidRPr="00260745">
        <w:rPr>
          <w:rFonts w:cstheme="minorHAnsi"/>
        </w:rPr>
        <w:t xml:space="preserve"> shows that under extreme salinity, heat and reduced rainfall total C stocks and CSR may be reduced when compared to tropical humid mangroves </w:t>
      </w:r>
      <w:r w:rsidRPr="00260745">
        <w:rPr>
          <w:rFonts w:cstheme="minorHAnsi"/>
        </w:rPr>
        <w:fldChar w:fldCharType="begin" w:fldLock="1"/>
      </w:r>
      <w:r w:rsidRPr="00260745">
        <w:rPr>
          <w:rFonts w:cstheme="minorHAnsi"/>
        </w:rPr>
        <w:instrText>ADDIN CSL_CITATION {"citationItems":[{"id":"ITEM-1","itemData":{"DOI":"10.1016/j.marpolbul.2009.10.017","ISBN":"0025-326X","ISSN":"0025326X","PMID":"20005533","abstract":"This review examines the substantial changes that have taken place in marine habitats and resources of the Gulf over the past decade. The habitats are especially interesting because of the naturally high levels of temperature and salinity stress they experience, which is important in a changing world climate. However, the extent of all natural habitats is changing and their condition deteriorating because of the rapid development of the region and, in some cases from severe, episodic warming episodes. Major impacts come from numerous industrial, infrastructure-based, and residential and tourism development activities, which together combine, synergistically in some cases, to cause the observed deterioration in most benthic habitats. Substantial sea bottom dredging for material and its deposition in shallow water to extend land or to form a basis for huge developments, directly removes large areas of shallow, productive habitat, though in some cases the most important effect is the accompanying sedimentation or changes to water flows and conditions. The large scale of the activities compared to the relatively shallow and small size of the water body is a particularly important issue. Important from the perspective of controlling damaging effects is the limited cross-border collaboration and even intra-country collaboration among government agencies and large projects. Along with the accumulative nature of impacts that occur, even where each project receives environmental assessment or attention, each is treated more or less alone, rarely in combination. However, their combination in such a small, biologically interacting sea exacerbates the overall deterioration. Very few similar areas exist which face such a high concentration of disturbance, and the prognosis for the Gulf continuing to provide abundant natural resources is poor. © 2009.","author":[{"dropping-particle":"","family":"Sheppard","given":"Charles","non-dropping-particle":"","parse-names":false,"suffix":""},{"dropping-particle":"","family":"Al-Husiani","given":"Mohsen","non-dropping-particle":"","parse-names":false,"suffix":""},{"dropping-particle":"","family":"Al-Jamali","given":"F.","non-dropping-particle":"","parse-names":false,"suffix":""},{"dropping-particle":"","family":"Al-Yamani","given":"Faiza","non-dropping-particle":"","parse-names":false,"suffix":""},{"dropping-particle":"","family":"Baldwin","given":"Rob","non-dropping-particle":"","parse-names":false,"suffix":""},{"dropping-particle":"","family":"Bishop","given":"James","non-dropping-particle":"","parse-names":false,"suffix":""},{"dropping-particle":"","family":"Benzoni","given":"Francesca","non-dropping-particle":"","parse-names":false,"suffix":""},{"dropping-particle":"","family":"Dutrieux","given":"Eric","non-dropping-particle":"","parse-names":false,"suffix":""},{"dropping-particle":"","family":"Dulvy","given":"Nicholas K.","non-dropping-particle":"","parse-names":false,"suffix":""},{"dropping-particle":"V.","family":"Durvasula","given":"Subba Rao","non-dropping-particle":"","parse-names":false,"suffix":""},{"dropping-particle":"","family":"Jones","given":"David A.","non-dropping-particle":"","parse-names":false,"suffix":""},{"dropping-particle":"","family":"Loughland","given":"Ron","non-dropping-particle":"","parse-names":false,"suffix":""},{"dropping-particle":"","family":"Medio","given":"David","non-dropping-particle":"","parse-names":false,"suffix":""},{"dropping-particle":"","family":"Nithyanandan","given":"M.","non-dropping-particle":"","parse-names":false,"suffix":""},{"dropping-particle":"","family":"Pilling","given":"Graham M.","non-dropping-particle":"","parse-names":false,"suffix":""},{"dropping-particle":"","family":"Polikarpov","given":"Igor","non-dropping-particle":"","parse-names":false,"suffix":""},{"dropping-particle":"","family":"Price","given":"Andrew R.G.","non-dropping-particle":"","parse-names":false,"suffix":""},{"dropping-particle":"","family":"Purkis","given":"Sam","non-dropping-particle":"","parse-names":false,"suffix":""},{"dropping-particle":"","family":"Riegl","given":"Bernhard","non-dropping-particle":"","parse-names":false,"suffix":""},{"dropping-particle":"","family":"Saburova","given":"Maria","non-dropping-particle":"","parse-names":false,"suffix":""},{"dropping-particle":"","family":"Namin","given":"Kaveh Samimi","non-dropping-particle":"","parse-names":false,"suffix":""},{"dropping-particle":"","family":"Taylor","given":"Oliver","non-dropping-particle":"","parse-names":false,"suffix":""},{"dropping-particle":"","family":"Wilson","given":"Simon","non-dropping-particle":"","parse-names":false,"suffix":""},{"dropping-particle":"","family":"Zainal","given":"Khadija","non-dropping-particle":"","parse-names":false,"suffix":""}],"container-title":"Marine Pollution Bulletin","id":"ITEM-1","issue":"1","issued":{"date-parts":[["2010"]]},"page":"13-38","publisher":"Elsevier Ltd","title":"The Gulf: A young sea in decline","type":"article-journal","volume":"60"},"uris":["http://www.mendeley.com/documents/?uuid=1647bbab-52e7-4753-8ec7-22fb5f58df7f"]}],"mendeley":{"formattedCitation":"(Sheppard et al., 2010)","plainTextFormattedCitation":"(Sheppard et al., 2010)","previouslyFormattedCitation":"(Sheppard et al., 2010)"},"properties":{"noteIndex":0},"schema":"https://github.com/citation-style-language/schema/raw/master/csl-citation.json"}</w:instrText>
      </w:r>
      <w:r w:rsidRPr="00260745">
        <w:rPr>
          <w:rFonts w:cstheme="minorHAnsi"/>
        </w:rPr>
        <w:fldChar w:fldCharType="separate"/>
      </w:r>
      <w:r w:rsidRPr="00260745">
        <w:rPr>
          <w:rFonts w:cstheme="minorHAnsi"/>
          <w:noProof/>
        </w:rPr>
        <w:t>(Sheppard et al., 2010)</w:t>
      </w:r>
      <w:r w:rsidRPr="00260745">
        <w:rPr>
          <w:rFonts w:cstheme="minorHAnsi"/>
        </w:rPr>
        <w:fldChar w:fldCharType="end"/>
      </w:r>
      <w:r w:rsidRPr="00260745">
        <w:rPr>
          <w:rFonts w:cstheme="minorHAnsi"/>
        </w:rPr>
        <w:t xml:space="preserve">. In addition, it is well established that climate change will not have spatially uniform impacts around the world </w:t>
      </w:r>
      <w:r w:rsidRPr="00260745">
        <w:rPr>
          <w:rFonts w:cstheme="minorHAnsi"/>
        </w:rPr>
        <w:fldChar w:fldCharType="begin" w:fldLock="1"/>
      </w:r>
      <w:r w:rsidRPr="00260745">
        <w:rPr>
          <w:rFonts w:cstheme="minorHAnsi"/>
        </w:rPr>
        <w:instrText>ADDIN CSL_CITATION {"citationItems":[{"id":"ITEM-1","itemData":{"DOI":"10.5194/esd-10-73-2019","ISSN":"21904987","abstract":"We revisit the issue of the response of precipitation characteristics to global warming based on analyses of global and regional climate model projections for the 21st century. The prevailing response we identify can be summarized as follows: increase in the intensity of precipitation events and extremes, with the occurrence of events of \"unprecedented\" magnitude, i.e., a magnitude not found in the present-day climate; decrease in the number of light precipitation events and in wet spell lengths; and increase in the number of dry days and dry spell lengths. This response, which is mostly consistent across the models we analyzed, is tied to the difference between precipitation intensity responding to increases in local humidity conditions and circulations, especially for heavy and extreme events, and mean precipitation responding to slower increases in global evaporation. These changes in hydroclimatic characteristics have multiple and important impacts on the Earth's hydrologic cycle and on a variety of sectors. As examples we investigate effects on potential stress due to increases in dry and wet extremes, changes in precipitation interannual variability, and changes in the potential predictability of precipitation events. We also stress how the understanding of the hydroclimatic response to global warming can provide important insights into the fundamental behavior of precipitation processes, most noticeably tropical convection.","author":[{"dropping-particle":"","family":"Giorgi","given":"Filippo","non-dropping-particle":"","parse-names":false,"suffix":""},{"dropping-particle":"","family":"Raffaele","given":"Francesca","non-dropping-particle":"","parse-names":false,"suffix":""},{"dropping-particle":"","family":"Coppola","given":"Erika","non-dropping-particle":"","parse-names":false,"suffix":""}],"container-title":"Earth System Dynamics","id":"ITEM-1","issue":"1","issued":{"date-parts":[["2019"]]},"page":"73-89","title":"The response of precipitation characteristics to global warming from climate projections","type":"article-journal","volume":"10"},"uris":["http://www.mendeley.com/documents/?uuid=988a7d47-ac98-4d8c-b240-6a203fdde08a"]},{"id":"ITEM-2","itemData":{"DOI":"10.1029/2018JD029473","ISSN":"21698996","abstract":"Land-atmosphere coupling plays a crucial role in determining the evolution of weather and climate. In the current study, the full ensemble of CORDEX-Africa climate change simulations is used to understand how strong and weak coupling regions in Africa will evolve in the future. The ability of the regional climate models to capture the coupling signal relies on a reasonable representation of near surface air temperature, precipitation, surface fluxes, and soil moisture. A thorough model evaluation reveals typical shortcomings in the representation of the African climate, in particular seasonal precipitation. The multimodel ensemble mean outperforms the individual models and is therefore used for the investigation of the land-atmosphere coupling. This ensemble mean shows a widespread warming in Africa and changes in precipitation, such as a decrease in the Sahel during summer and an increase in western Africa during summer and autumn. The coupling analysis relies on surface fluxes, the related evaporative fraction and their correlations as well as the correlation between evaporative fraction and soil moisture. Overall, water-limited regions that exhibit a strong land-atmosphere coupling are projected to expand further southward in West Africa and further northward in southern Africa. This is particularly true over the Sahel during spring and summer, when the strong coupling region shifts southward, indicating a potential expansion of the semiarid and arid regions. A transition of energy limited regimes, with weak coupling, to water-limited regimes where soil moisture plays a more important role, is projected for the end of the 21st century as drying continues.","author":[{"dropping-particle":"","family":"Soares","given":"Pedro M.M.","non-dropping-particle":"","parse-names":false,"suffix":""},{"dropping-particle":"","family":"Careto","given":"João A.M.","non-dropping-particle":"","parse-names":false,"suffix":""},{"dropping-particle":"","family":"Cardoso","given":"Rita M.","non-dropping-particle":"","parse-names":false,"suffix":""},{"dropping-particle":"","family":"Goergen","given":"Klaus","non-dropping-particle":"","parse-names":false,"suffix":""},{"dropping-particle":"","family":"Trigo","given":"Ricardo M.","non-dropping-particle":"","parse-names":false,"suffix":""}],"container-title":"Journal of Geophysical Research: Atmospheres","id":"ITEM-2","issue":"21","issued":{"date-parts":[["2019"]]},"page":"11118-11142","title":"Land-Atmosphere Coupling Regimes in a Future Climate in Africa: From Model Evaluation to Projections Based on CORDEX-Africa","type":"article-journal","volume":"124"},"uris":["http://www.mendeley.com/documents/?uuid=b79dfd5b-96c1-4837-86d0-49c63a95a4fa"]}],"mendeley":{"formattedCitation":"(Giorgi et al., 2019; Soares et al., 2019)","plainTextFormattedCitation":"(Giorgi et al., 2019; Soares et al., 2019)","previouslyFormattedCitation":"(Giorgi et al., 2019; Soares et al., 2019)"},"properties":{"noteIndex":0},"schema":"https://github.com/citation-style-language/schema/raw/master/csl-citation.json"}</w:instrText>
      </w:r>
      <w:r w:rsidRPr="00260745">
        <w:rPr>
          <w:rFonts w:cstheme="minorHAnsi"/>
        </w:rPr>
        <w:fldChar w:fldCharType="separate"/>
      </w:r>
      <w:r w:rsidRPr="00260745">
        <w:rPr>
          <w:rFonts w:cstheme="minorHAnsi"/>
          <w:noProof/>
        </w:rPr>
        <w:t>(Giorgi et al., 2019; Soares et al., 2019)</w:t>
      </w:r>
      <w:r w:rsidRPr="00260745">
        <w:rPr>
          <w:rFonts w:cstheme="minorHAnsi"/>
        </w:rPr>
        <w:fldChar w:fldCharType="end"/>
      </w:r>
      <w:r w:rsidRPr="00260745">
        <w:rPr>
          <w:rFonts w:cstheme="minorHAnsi"/>
        </w:rPr>
        <w:t xml:space="preserve">. The Asian and American tropics are forecast to experience an increase in the frequency of extreme precipitation events </w:t>
      </w:r>
      <w:r w:rsidRPr="00260745">
        <w:rPr>
          <w:rFonts w:cstheme="minorHAnsi"/>
        </w:rPr>
        <w:fldChar w:fldCharType="begin" w:fldLock="1"/>
      </w:r>
      <w:r w:rsidRPr="00260745">
        <w:rPr>
          <w:rFonts w:cstheme="minorHAnsi"/>
        </w:rPr>
        <w:instrText>ADDIN CSL_CITATION {"citationItems":[{"id":"ITEM-1","itemData":{"DOI":"10.5194/esd-10-73-2019","ISSN":"21904987","abstract":"We revisit the issue of the response of precipitation characteristics to global warming based on analyses of global and regional climate model projections for the 21st century. The prevailing response we identify can be summarized as follows: increase in the intensity of precipitation events and extremes, with the occurrence of events of \"unprecedented\" magnitude, i.e., a magnitude not found in the present-day climate; decrease in the number of light precipitation events and in wet spell lengths; and increase in the number of dry days and dry spell lengths. This response, which is mostly consistent across the models we analyzed, is tied to the difference between precipitation intensity responding to increases in local humidity conditions and circulations, especially for heavy and extreme events, and mean precipitation responding to slower increases in global evaporation. These changes in hydroclimatic characteristics have multiple and important impacts on the Earth's hydrologic cycle and on a variety of sectors. As examples we investigate effects on potential stress due to increases in dry and wet extremes, changes in precipitation interannual variability, and changes in the potential predictability of precipitation events. We also stress how the understanding of the hydroclimatic response to global warming can provide important insights into the fundamental behavior of precipitation processes, most noticeably tropical convection.","author":[{"dropping-particle":"","family":"Giorgi","given":"Filippo","non-dropping-particle":"","parse-names":false,"suffix":""},{"dropping-particle":"","family":"Raffaele","given":"Francesca","non-dropping-particle":"","parse-names":false,"suffix":""},{"dropping-particle":"","family":"Coppola","given":"Erika","non-dropping-particle":"","parse-names":false,"suffix":""}],"container-title":"Earth System Dynamics","id":"ITEM-1","issue":"1","issued":{"date-parts":[["2019"]]},"page":"73-89","title":"The response of precipitation characteristics to global warming from climate projections","type":"article-journal","volume":"10"},"uris":["http://www.mendeley.com/documents/?uuid=988a7d47-ac98-4d8c-b240-6a203fdde08a"]}],"mendeley":{"formattedCitation":"(Giorgi et al., 2019)","plainTextFormattedCitation":"(Giorgi et al., 2019)","previouslyFormattedCitation":"(Giorgi et al., 2019)"},"properties":{"noteIndex":0},"schema":"https://github.com/citation-style-language/schema/raw/master/csl-citation.json"}</w:instrText>
      </w:r>
      <w:r w:rsidRPr="00260745">
        <w:rPr>
          <w:rFonts w:cstheme="minorHAnsi"/>
        </w:rPr>
        <w:fldChar w:fldCharType="separate"/>
      </w:r>
      <w:r w:rsidRPr="00260745">
        <w:rPr>
          <w:rFonts w:cstheme="minorHAnsi"/>
          <w:noProof/>
        </w:rPr>
        <w:t>(Giorgi et al., 2019)</w:t>
      </w:r>
      <w:r w:rsidRPr="00260745">
        <w:rPr>
          <w:rFonts w:cstheme="minorHAnsi"/>
        </w:rPr>
        <w:fldChar w:fldCharType="end"/>
      </w:r>
      <w:r w:rsidRPr="00260745">
        <w:rPr>
          <w:rFonts w:cstheme="minorHAnsi"/>
        </w:rPr>
        <w:t xml:space="preserve">, while reductions in precipitation in northern areas of African tropics suggest that expansion of semi-arid conditions is possible </w:t>
      </w:r>
      <w:r w:rsidRPr="00260745">
        <w:rPr>
          <w:rFonts w:cstheme="minorHAnsi"/>
        </w:rPr>
        <w:fldChar w:fldCharType="begin" w:fldLock="1"/>
      </w:r>
      <w:r w:rsidRPr="00260745">
        <w:rPr>
          <w:rFonts w:cstheme="minorHAnsi"/>
        </w:rPr>
        <w:instrText>ADDIN CSL_CITATION {"citationItems":[{"id":"ITEM-1","itemData":{"DOI":"10.1029/2018JD029473","ISSN":"21698996","abstract":"Land-atmosphere coupling plays a crucial role in determining the evolution of weather and climate. In the current study, the full ensemble of CORDEX-Africa climate change simulations is used to understand how strong and weak coupling regions in Africa will evolve in the future. The ability of the regional climate models to capture the coupling signal relies on a reasonable representation of near surface air temperature, precipitation, surface fluxes, and soil moisture. A thorough model evaluation reveals typical shortcomings in the representation of the African climate, in particular seasonal precipitation. The multimodel ensemble mean outperforms the individual models and is therefore used for the investigation of the land-atmosphere coupling. This ensemble mean shows a widespread warming in Africa and changes in precipitation, such as a decrease in the Sahel during summer and an increase in western Africa during summer and autumn. The coupling analysis relies on surface fluxes, the related evaporative fraction and their correlations as well as the correlation between evaporative fraction and soil moisture. Overall, water-limited regions that exhibit a strong land-atmosphere coupling are projected to expand further southward in West Africa and further northward in southern Africa. This is particularly true over the Sahel during spring and summer, when the strong coupling region shifts southward, indicating a potential expansion of the semiarid and arid regions. A transition of energy limited regimes, with weak coupling, to water-limited regimes where soil moisture plays a more important role, is projected for the end of the 21st century as drying continues.","author":[{"dropping-particle":"","family":"Soares","given":"Pedro M.M.","non-dropping-particle":"","parse-names":false,"suffix":""},{"dropping-particle":"","family":"Careto","given":"João A.M.","non-dropping-particle":"","parse-names":false,"suffix":""},{"dropping-particle":"","family":"Cardoso","given":"Rita M.","non-dropping-particle":"","parse-names":false,"suffix":""},{"dropping-particle":"","family":"Goergen","given":"Klaus","non-dropping-particle":"","parse-names":false,"suffix":""},{"dropping-particle":"","family":"Trigo","given":"Ricardo M.","non-dropping-particle":"","parse-names":false,"suffix":""}],"container-title":"Journal of Geophysical Research: Atmospheres","id":"ITEM-1","issue":"21","issued":{"date-parts":[["2019"]]},"page":"11118-11142","title":"Land-Atmosphere Coupling Regimes in a Future Climate in Africa: From Model Evaluation to Projections Based on CORDEX-Africa","type":"article-journal","volume":"124"},"uris":["http://www.mendeley.com/documents/?uuid=b79dfd5b-96c1-4837-86d0-49c63a95a4fa"]}],"mendeley":{"formattedCitation":"(Soares et al., 2019)","plainTextFormattedCitation":"(Soares et al., 2019)","previouslyFormattedCitation":"(Soares et al., 2019)"},"properties":{"noteIndex":0},"schema":"https://github.com/citation-style-language/schema/raw/master/csl-citation.json"}</w:instrText>
      </w:r>
      <w:r w:rsidRPr="00260745">
        <w:rPr>
          <w:rFonts w:cstheme="minorHAnsi"/>
        </w:rPr>
        <w:fldChar w:fldCharType="separate"/>
      </w:r>
      <w:r w:rsidRPr="00260745">
        <w:rPr>
          <w:rFonts w:cstheme="minorHAnsi"/>
          <w:noProof/>
        </w:rPr>
        <w:t>(Soares et al., 2019)</w:t>
      </w:r>
      <w:r w:rsidRPr="00260745">
        <w:rPr>
          <w:rFonts w:cstheme="minorHAnsi"/>
        </w:rPr>
        <w:fldChar w:fldCharType="end"/>
      </w:r>
      <w:r w:rsidRPr="00260745">
        <w:rPr>
          <w:rFonts w:cstheme="minorHAnsi"/>
        </w:rPr>
        <w:t xml:space="preserve">. Little is known about what the sum effect of these regional changes in temperature and precipitation regimes could be on regional mangrove C stocks or CSR  </w:t>
      </w:r>
      <w:r w:rsidRPr="00260745">
        <w:rPr>
          <w:rFonts w:cstheme="minorHAnsi"/>
        </w:rPr>
        <w:fldChar w:fldCharType="begin" w:fldLock="1"/>
      </w:r>
      <w:r w:rsidRPr="00260745">
        <w:rPr>
          <w:rFonts w:cstheme="minorHAnsi"/>
        </w:rPr>
        <w:instrText xml:space="preserve">ADDIN CSL_CITATION {"citationItems":[{"id":"ITEM-1","itemData":{"DOI":"10.1093/nsr/nwaa296","ISSN":"2095-5138","abstract":"Coastal tidal wetlands produce and accumulate significant amounts of organic carbon (C) that help to mitigate climate change. However, previous data limitations have prevented a robust evaluation of the global rates and mechanisms driving C accumulation. Here, we go beyond recent soil C stock estimates to reveal global tidal wetland C accumulation and predict changes under relative sea level rise, temperature and precipitation. We use data from literature study sites and our new observations spanning wide latitudinal gradients and 20 countries. Globally, tidal wetlands accumulate 53.65 (95%CI: 48.52–59.01) Tg C yr−1, which is </w:instrText>
      </w:r>
      <w:r w:rsidRPr="00260745">
        <w:rPr>
          <w:rFonts w:ascii="Cambria Math" w:hAnsi="Cambria Math" w:cs="Cambria Math"/>
        </w:rPr>
        <w:instrText>∼</w:instrText>
      </w:r>
      <w:r w:rsidRPr="00260745">
        <w:rPr>
          <w:rFonts w:cstheme="minorHAnsi"/>
        </w:rPr>
        <w:instrText>30% of the organic C buried on the ocean floor. Modeling based on current climatic drivers and under projected emissions scenarios revealed a net increase in the global C accumulation by 2100. This rapid increase is driven by sea level rise in tidal marshes, and higher temperature and precipitation in mangroves. Countries with large areas of coastal wetlands, like Indonesia and Mexico, are more susceptible to tidal wetland C losses under climate change, while regions such as Australia, Brazil, the USA and China will experience a significant C accumulation increase under all projected scenarios.","author":[{"dropping-particle":"","family":"Wang","given":"Faming","non-dropping-particle":"","parse-names":false,"suffix":""},{"dropping-particle":"","family":"Sanders","given":"Christian J","non-dropping-particle":"","parse-names":false,"suffix":""},{"dropping-particle":"","family":"Santos","given":"Isaac R","non-dropping-particle":"","parse-names":false,"suffix":""},{"dropping-particle":"","family":"Tang","given":"Jianwu","non-dropping-particle":"","parse-names":false,"suffix":""},{"dropping-particle":"","family":"Schuerch","given":"Mark","non-dropping-particle":"","parse-names":false,"suffix":""},{"dropping-particle":"","family":"Kirwan","given":"Matthew L","non-dropping-particle":"","parse-names":false,"suffix":""},{"dropping-particle":"","family":"Kopp","given":"Robert E","non-dropping-particle":"","parse-names":false,"suffix":""},{"dropping-particle":"","family":"Zhu","given":"Kai","non-dropping-particle":"","parse-names":false,"suffix":""},{"dropping-particle":"","family":"Li","given":"Xiuzhen","non-dropping-particle":"","parse-names":false,"suffix":""},{"dropping-particle":"","family":"Yuan","given":"Jiacan","non-dropping-particle":"","parse-names":false,"suffix":""},{"dropping-particle":"","family":"Liu","given":"Wenzhi","non-dropping-particle":"","parse-names":false,"suffix":""},{"dropping-particle":"","family":"Li","given":"Zhi'an","non-dropping-particle":"","parse-names":false,"suffix":""}],"container-title":"National Science Review","id":"ITEM-1","issued":{"date-parts":[["2020"]]},"title":"Global blue carbon accumulation in tidal wetlands increases with climate change","type":"article-journal"},"uris":["http://www.mendeley.com/documents/?uuid=9c2788fc-8059-4874-a99d-1cc19fcf2671"]}],"mendeley":{"formattedCitation":"(Wang et al., 2020)","plainTextFormattedCitation":"(Wang et al., 2020)","previouslyFormattedCitation":"(Wang et al., 2020)"},"properties":{"noteIndex":0},"schema":"https://github.com/citation-style-language/schema/raw/master/csl-citation.json"}</w:instrText>
      </w:r>
      <w:r w:rsidRPr="00260745">
        <w:rPr>
          <w:rFonts w:cstheme="minorHAnsi"/>
        </w:rPr>
        <w:fldChar w:fldCharType="separate"/>
      </w:r>
      <w:r w:rsidRPr="00260745">
        <w:rPr>
          <w:rFonts w:cstheme="minorHAnsi"/>
          <w:noProof/>
        </w:rPr>
        <w:t>(Wang et al., 2020)</w:t>
      </w:r>
      <w:r w:rsidRPr="00260745">
        <w:rPr>
          <w:rFonts w:cstheme="minorHAnsi"/>
        </w:rPr>
        <w:fldChar w:fldCharType="end"/>
      </w:r>
      <w:r w:rsidRPr="00260745">
        <w:rPr>
          <w:rFonts w:cstheme="minorHAnsi"/>
        </w:rPr>
        <w:t xml:space="preserve"> and whether any regions are at risk of significant losses in stocks and reductions in CSR.</w:t>
      </w:r>
    </w:p>
    <w:p w14:paraId="7D7DBD9F" w14:textId="77777777" w:rsidR="00344027" w:rsidRPr="00260745" w:rsidRDefault="00344027" w:rsidP="00344027">
      <w:pPr>
        <w:spacing w:line="480" w:lineRule="auto"/>
        <w:rPr>
          <w:rFonts w:cstheme="minorHAnsi"/>
          <w:color w:val="FF0000"/>
        </w:rPr>
      </w:pPr>
    </w:p>
    <w:p w14:paraId="5BE078B1" w14:textId="77777777" w:rsidR="00344027" w:rsidRPr="00260745" w:rsidRDefault="00344027" w:rsidP="00344027">
      <w:pPr>
        <w:spacing w:line="480" w:lineRule="auto"/>
        <w:rPr>
          <w:rFonts w:cstheme="minorHAnsi"/>
        </w:rPr>
      </w:pPr>
      <w:r w:rsidRPr="00260745">
        <w:rPr>
          <w:rFonts w:cstheme="minorHAnsi"/>
        </w:rPr>
        <w:t xml:space="preserve">Here we use predictive models to forecast how climate change and forest degradation singularly and in combination affect future C stocks and CSR in mangroves. Data collated from previously published literature were used to develop predictive models to estimate the difference between current and future global total C stocks (biomass + soil) and CSR. We </w:t>
      </w:r>
      <w:r w:rsidRPr="00260745">
        <w:rPr>
          <w:rFonts w:cstheme="minorHAnsi"/>
        </w:rPr>
        <w:lastRenderedPageBreak/>
        <w:t>contrasted the impacts of climate change against GHG emissions from past, present and forecasted future rates of mangrove deforestation to examine the carbon benefits from current conservation efforts on a country-specific scale.</w:t>
      </w:r>
    </w:p>
    <w:p w14:paraId="4D8308EC" w14:textId="77777777" w:rsidR="00344027" w:rsidRPr="00392131" w:rsidRDefault="00344027" w:rsidP="00344027">
      <w:pPr>
        <w:spacing w:line="480" w:lineRule="auto"/>
        <w:rPr>
          <w:rFonts w:cstheme="minorHAnsi"/>
          <w:b/>
          <w:bCs/>
          <w:sz w:val="22"/>
        </w:rPr>
      </w:pPr>
    </w:p>
    <w:p w14:paraId="36FA31C8" w14:textId="5505F4EA" w:rsidR="00344027" w:rsidRPr="00344027" w:rsidRDefault="00344027" w:rsidP="00344027">
      <w:pPr>
        <w:pStyle w:val="Heading2"/>
        <w:ind w:left="567" w:hanging="567"/>
        <w:rPr>
          <w:rFonts w:asciiTheme="minorHAnsi" w:hAnsiTheme="minorHAnsi" w:cstheme="minorHAnsi"/>
          <w:b/>
          <w:bCs/>
          <w:color w:val="000000" w:themeColor="text1"/>
        </w:rPr>
      </w:pPr>
      <w:bookmarkStart w:id="55" w:name="_Toc120622144"/>
      <w:r w:rsidRPr="00344027">
        <w:rPr>
          <w:rFonts w:asciiTheme="minorHAnsi" w:hAnsiTheme="minorHAnsi" w:cstheme="minorHAnsi"/>
          <w:b/>
          <w:bCs/>
          <w:color w:val="000000" w:themeColor="text1"/>
        </w:rPr>
        <w:t>5.3</w:t>
      </w:r>
      <w:r w:rsidRPr="00344027">
        <w:rPr>
          <w:rFonts w:asciiTheme="minorHAnsi" w:hAnsiTheme="minorHAnsi" w:cstheme="minorHAnsi"/>
          <w:b/>
          <w:bCs/>
          <w:color w:val="000000" w:themeColor="text1"/>
        </w:rPr>
        <w:tab/>
        <w:t>Methods</w:t>
      </w:r>
      <w:bookmarkEnd w:id="55"/>
    </w:p>
    <w:p w14:paraId="37549CA6" w14:textId="6FAFF60F" w:rsidR="00344027" w:rsidRPr="00344027" w:rsidRDefault="00344027" w:rsidP="00344027">
      <w:pPr>
        <w:pStyle w:val="Heading3"/>
        <w:ind w:left="567" w:hanging="567"/>
        <w:rPr>
          <w:rFonts w:asciiTheme="minorHAnsi" w:hAnsiTheme="minorHAnsi" w:cstheme="minorHAnsi"/>
          <w:b/>
          <w:bCs/>
          <w:color w:val="000000" w:themeColor="text1"/>
        </w:rPr>
      </w:pPr>
      <w:bookmarkStart w:id="56" w:name="_Toc120622145"/>
      <w:r w:rsidRPr="00344027">
        <w:rPr>
          <w:rFonts w:asciiTheme="minorHAnsi" w:hAnsiTheme="minorHAnsi" w:cstheme="minorHAnsi"/>
          <w:b/>
          <w:bCs/>
          <w:color w:val="000000" w:themeColor="text1"/>
        </w:rPr>
        <w:t>5.3.1</w:t>
      </w:r>
      <w:r w:rsidRPr="00344027">
        <w:rPr>
          <w:rFonts w:asciiTheme="minorHAnsi" w:hAnsiTheme="minorHAnsi" w:cstheme="minorHAnsi"/>
          <w:b/>
          <w:bCs/>
          <w:color w:val="000000" w:themeColor="text1"/>
        </w:rPr>
        <w:tab/>
        <w:t>Literature data</w:t>
      </w:r>
      <w:bookmarkEnd w:id="56"/>
    </w:p>
    <w:p w14:paraId="440A61B9" w14:textId="77777777" w:rsidR="00344027" w:rsidRPr="00C57A68" w:rsidRDefault="00344027" w:rsidP="00344027">
      <w:pPr>
        <w:spacing w:line="480" w:lineRule="auto"/>
        <w:rPr>
          <w:rFonts w:cstheme="minorHAnsi"/>
          <w:b/>
          <w:bCs/>
        </w:rPr>
      </w:pPr>
      <w:r w:rsidRPr="00C57A68">
        <w:rPr>
          <w:rFonts w:cstheme="minorHAnsi"/>
        </w:rPr>
        <w:t>In order to predict mangrove C stocks and soil sequestration rates (CSR) globally and on a country-specific scale, two separate databases of previously published data were compiled. Measured soil C stocks and CSR estimates were compiled from previous work. Keywords “mangrove” AND “soil” OR “sediment” AND “carbon stocks” OR “sequestration rate” OR “burial rate” were searched in Google Scholar (</w:t>
      </w:r>
      <w:hyperlink r:id="rId52" w:history="1">
        <w:r w:rsidRPr="00C57A68">
          <w:rPr>
            <w:rStyle w:val="Hyperlink"/>
            <w:rFonts w:cstheme="minorHAnsi"/>
          </w:rPr>
          <w:t>http://scholar.google.com/</w:t>
        </w:r>
      </w:hyperlink>
      <w:r w:rsidRPr="00C57A68">
        <w:rPr>
          <w:rFonts w:cstheme="minorHAnsi"/>
        </w:rPr>
        <w:t xml:space="preserve">) only, as google scholar search results are a superset of Web of Science and Scopus, two commonly used search databases in meta-analysis studies </w:t>
      </w:r>
      <w:r w:rsidRPr="00C57A68">
        <w:rPr>
          <w:rFonts w:cstheme="minorHAnsi"/>
        </w:rPr>
        <w:fldChar w:fldCharType="begin" w:fldLock="1"/>
      </w:r>
      <w:r w:rsidRPr="00C57A68">
        <w:rPr>
          <w:rFonts w:cstheme="minorHAnsi"/>
        </w:rPr>
        <w:instrText>ADDIN CSL_CITATION {"citationItems":[{"id":"ITEM-1","itemData":{"DOI":"10.1016/j.joi.2018.09.002","ISSN":"18755879","abstract":"Despite citation counts from Google Scholar (GS), Web of Science (WoS), and Scopus being widely consulted by researchers and sometimes used in research evaluations, there is no recent or systematic evidence about the differences between them. In response, this paper investigates 2,448,055 citations to 2299 English-language highly-cited documents from 252 GS subject categories published in 2006, comparing GS, the WoS Core Collection, and Scopus. GS consistently found the largest percentage of citations across all areas (93%-96%), far ahead of Scopus (35%-77%) and WoS (27%-73%). GS found nearly all the WoS (95%) and Scopus (92%) citations. Most citations found only by GS were from non-journal sources (48%-65%), including theses, books, conference papers, and unpublished materials. Many were non-English (19%-38%), and they tended to be much less cited than citing sources that were also in Scopus or WoS. Despite the many unique GS citing sources, Spearman correlations between citation counts in GS and WoS or Scopus are high (0.78-0.99). They are lower in the Humanities, and lower between GS and WoS than between GS and Scopus. The results suggest that in all areas GS citation data is essentially a superset of WoS and Scopus, with substantial extra coverage.","author":[{"dropping-particle":"","family":"Martín-Martín","given":"Alberto","non-dropping-particle":"","parse-names":false,"suffix":""},{"dropping-particle":"","family":"Orduna-Malea","given":"Enrique","non-dropping-particle":"","parse-names":false,"suffix":""},{"dropping-particle":"","family":"Thelwall","given":"Mike","non-dropping-particle":"","parse-names":false,"suffix":""},{"dropping-particle":"","family":"Delgado López-Cózar","given":"Emilio","non-dropping-particle":"","parse-names":false,"suffix":""}],"container-title":"Journal of Informetrics","id":"ITEM-1","issue":"4","issued":{"date-parts":[["2018"]]},"page":"1160-1177","title":"Google Scholar, Web of Science, and Scopus: A systematic comparison of citations in 252 subject categories","type":"article-journal","volume":"12"},"uris":["http://www.mendeley.com/documents/?uuid=a69dfb69-2818-4dbf-92bc-f72e9dfbdab3"]}],"mendeley":{"formattedCitation":"(Martín-Martín et al., 2018)","plainTextFormattedCitation":"(Martín-Martín et al., 2018)","previouslyFormattedCitation":"(Martín-Martín et al., 2018)"},"properties":{"noteIndex":0},"schema":"https://github.com/citation-style-language/schema/raw/master/csl-citation.json"}</w:instrText>
      </w:r>
      <w:r w:rsidRPr="00C57A68">
        <w:rPr>
          <w:rFonts w:cstheme="minorHAnsi"/>
        </w:rPr>
        <w:fldChar w:fldCharType="separate"/>
      </w:r>
      <w:r w:rsidRPr="00C57A68">
        <w:rPr>
          <w:rFonts w:cstheme="minorHAnsi"/>
          <w:noProof/>
        </w:rPr>
        <w:t>(Martín-Martín et al., 2018)</w:t>
      </w:r>
      <w:r w:rsidRPr="00C57A68">
        <w:rPr>
          <w:rFonts w:cstheme="minorHAnsi"/>
        </w:rPr>
        <w:fldChar w:fldCharType="end"/>
      </w:r>
      <w:r w:rsidRPr="00C57A68">
        <w:rPr>
          <w:rFonts w:cstheme="minorHAnsi"/>
        </w:rPr>
        <w:t>. In addition, publicly available unpublished datasets were searched in the Centre for International Forestry Research (CIFOR) online repository (</w:t>
      </w:r>
      <w:hyperlink r:id="rId53" w:history="1">
        <w:r w:rsidRPr="00C57A68">
          <w:rPr>
            <w:rStyle w:val="Hyperlink"/>
            <w:rFonts w:cstheme="minorHAnsi"/>
          </w:rPr>
          <w:t>http://data.cifororg</w:t>
        </w:r>
      </w:hyperlink>
      <w:r w:rsidRPr="00C57A68">
        <w:rPr>
          <w:rFonts w:cstheme="minorHAnsi"/>
        </w:rPr>
        <w:t xml:space="preserve">) </w:t>
      </w:r>
      <w:r w:rsidRPr="00C57A68">
        <w:rPr>
          <w:rFonts w:cstheme="minorHAnsi"/>
        </w:rPr>
        <w:fldChar w:fldCharType="begin" w:fldLock="1"/>
      </w:r>
      <w:r w:rsidRPr="00C57A68">
        <w:rPr>
          <w:rFonts w:cstheme="minorHAnsi"/>
        </w:rPr>
        <w:instrText>ADDIN CSL_CITATION {"citationItems":[{"id":"ITEM-1","itemData":{"DOI":"10.17528/CIFOR/DATA.00192","URL":"https://doi.org/10.17528/CIFOR/DATA.00192","author":[{"dropping-particle":"","family":"Sasmito","given":"S.D.","non-dropping-particle":"","parse-names":false,"suffix":""},{"dropping-particle":"","family":"Silanpää","given":"M.","non-dropping-particle":"","parse-names":false,"suffix":""},{"dropping-particle":"","family":"Hayes","given":"M.A.","non-dropping-particle":"","parse-names":false,"suffix":""},{"dropping-particle":"","family":"Bachri","given":"S.","non-dropping-particle":"","parse-names":false,"suffix":""},{"dropping-particle":"","family":"Saragi-Sasmito","given":"M.F.","non-dropping-particle":"","parse-names":false,"suffix":""},{"dropping-particle":"","family":"Sidik","given":"F.","non-dropping-particle":"","parse-names":false,"suffix":""},{"dropping-particle":"","family":"Hanggara","given":"B.","non-dropping-particle":"","parse-names":false,"suffix":""},{"dropping-particle":"","family":"Mofu","given":"W.Y.","non-dropping-particle":"","parse-names":false,"suffix":""},{"dropping-particle":"","family":"Rumbiak","given":"V.I.","non-dropping-particle":"","parse-names":false,"suffix":""},{"dropping-particle":"","family":"Hendri","given":"","non-dropping-particle":"","parse-names":false,"suffix":""},{"dropping-particle":"","family":"Rumbiak","given":"M.I.","non-dropping-particle":"","parse-names":false,"suffix":""},{"dropping-particle":"","family":"Taberima","given":"S.","non-dropping-particle":"","parse-names":false,"suffix":""},{"dropping-particle":"","family":"Suhaemi","given":"","non-dropping-particle":"","parse-names":false,"suffix":""},{"dropping-particle":"","family":"Nugroho","given":"J.D.","non-dropping-particle":"","parse-names":false,"suffix":""},{"dropping-particle":"","family":"Pattiasina","given":"T.F.","non-dropping-particle":"","parse-names":false,"suffix":""},{"dropping-particle":"","family":"Widagti","given":"N.","non-dropping-particle":"","parse-names":false,"suffix":""},{"dropping-particle":"","family":"Barakalla","given":"","non-dropping-particle":"","parse-names":false,"suffix":""},{"dropping-particle":"","family":"Rahajoe","given":"J.S.","non-dropping-particle":"","parse-names":false,"suffix":""},{"dropping-particle":"","family":"Hartantri","given":"H.","non-dropping-particle":"","parse-names":false,"suffix":""},{"dropping-particle":"","family":"Nikijuluw","given":"V.","non-dropping-particle":"","parse-names":false,"suffix":""},{"dropping-particle":"","family":"Jowey","given":"R.N.","non-dropping-particle":"","parse-names":false,"suffix":""},{"dropping-particle":"","family":"Heatunubun","given":"C.","non-dropping-particle":"","parse-names":false,"suffix":""},{"dropping-particle":"","family":"Ermgassen","given":"P.Z.","non-dropping-particle":"","parse-names":false,"suffix":""},{"dropping-particle":"","family":"Worthington","given":"T.A.","non-dropping-particle":"","parse-names":false,"suffix":""},{"dropping-particle":"","family":"Howard","given":"J.","non-dropping-particle":"","parse-names":false,"suffix":""},{"dropping-particle":"","family":"Lovelock","given":"C.E.","non-dropping-particle":"","parse-names":false,"suffix":""},{"dropping-particle":"","family":"Friess","given":"D.A.","non-dropping-particle":"","parse-names":false,"suffix":""},{"dropping-particle":"","family":"Hutley","given":"L.B.","non-dropping-particle":"","parse-names":false,"suffix":""},{"dropping-particle":"","family":"Murdiyarso","given":"D.","non-dropping-particle":"","parse-names":false,"suffix":""}],"container-title":"Center for International Forestry Research (CIFOR)","id":"ITEM-1","issued":{"date-parts":[["2019"]]},"title":"SWAMP Dataset-Mangrove soil carbon-West Papua-2019","type":"webpage"},"uris":["http://www.mendeley.com/documents/?uuid=66010dbb-748a-4278-8a64-c06fe4a12159"]}],"mendeley":{"formattedCitation":"(Sasmito et al., 2019)","plainTextFormattedCitation":"(Sasmito et al., 2019)","previouslyFormattedCitation":"(Sasmito et al., 2019)"},"properties":{"noteIndex":0},"schema":"https://github.com/citation-style-language/schema/raw/master/csl-citation.json"}</w:instrText>
      </w:r>
      <w:r w:rsidRPr="00C57A68">
        <w:rPr>
          <w:rFonts w:cstheme="minorHAnsi"/>
        </w:rPr>
        <w:fldChar w:fldCharType="separate"/>
      </w:r>
      <w:r w:rsidRPr="00C57A68">
        <w:rPr>
          <w:rFonts w:cstheme="minorHAnsi"/>
          <w:noProof/>
        </w:rPr>
        <w:t>(Sasmito et al., 2019)</w:t>
      </w:r>
      <w:r w:rsidRPr="00C57A68">
        <w:rPr>
          <w:rFonts w:cstheme="minorHAnsi"/>
        </w:rPr>
        <w:fldChar w:fldCharType="end"/>
      </w:r>
      <w:r w:rsidRPr="00C57A68">
        <w:rPr>
          <w:rFonts w:cstheme="minorHAnsi"/>
        </w:rPr>
        <w:t>. When possible, studies’ C stocks core interval measurements (</w:t>
      </w:r>
      <w:proofErr w:type="spellStart"/>
      <w:r w:rsidRPr="00C57A68">
        <w:rPr>
          <w:rFonts w:cstheme="minorHAnsi"/>
        </w:rPr>
        <w:t>eg.</w:t>
      </w:r>
      <w:proofErr w:type="spellEnd"/>
      <w:r w:rsidRPr="00C57A68">
        <w:rPr>
          <w:rFonts w:cstheme="minorHAnsi"/>
        </w:rPr>
        <w:t xml:space="preserve"> 0-15cm, 15-30cm, 30-50cm and 50-100cm) from individual sampling sites were used to calculate soil C stock to 100cm depth (C</w:t>
      </w:r>
      <w:r w:rsidRPr="00C57A68">
        <w:rPr>
          <w:rFonts w:cstheme="minorHAnsi"/>
          <w:vertAlign w:val="subscript"/>
        </w:rPr>
        <w:t>100</w:t>
      </w:r>
      <w:r w:rsidRPr="00C57A68">
        <w:rPr>
          <w:rFonts w:cstheme="minorHAnsi"/>
        </w:rPr>
        <w:t>). Individual sampling site measurements were used to maximize the amount of data to later be used in predictive modelling and to reflect the high variability in soil C stocks, however, when unavailable, study means were collated. Soil C sequestration rates were obtained from studies using Pb</w:t>
      </w:r>
      <w:r w:rsidRPr="00C57A68">
        <w:rPr>
          <w:rFonts w:cstheme="minorHAnsi"/>
          <w:vertAlign w:val="superscript"/>
        </w:rPr>
        <w:t>210</w:t>
      </w:r>
      <w:r w:rsidRPr="00C57A68">
        <w:rPr>
          <w:rFonts w:cstheme="minorHAnsi"/>
        </w:rPr>
        <w:t>, Cs</w:t>
      </w:r>
      <w:r w:rsidRPr="00C57A68">
        <w:rPr>
          <w:rFonts w:cstheme="minorHAnsi"/>
          <w:vertAlign w:val="superscript"/>
        </w:rPr>
        <w:t>137</w:t>
      </w:r>
      <w:r w:rsidRPr="00C57A68">
        <w:rPr>
          <w:rFonts w:cstheme="minorHAnsi"/>
        </w:rPr>
        <w:t xml:space="preserve"> dating methods or if organic carbon sequestration was calculated from total sediment accretion. </w:t>
      </w:r>
      <w:r w:rsidRPr="00C57A68">
        <w:rPr>
          <w:rFonts w:cstheme="minorHAnsi"/>
          <w:noProof/>
        </w:rPr>
        <w:t xml:space="preserve">When studies reported data graphically, images of graphics were captured and points were digitized in plot digitizer software by manually overlaying points onto graphical points. </w:t>
      </w:r>
      <w:r w:rsidRPr="00C57A68">
        <w:rPr>
          <w:rFonts w:cstheme="minorHAnsi"/>
        </w:rPr>
        <w:t xml:space="preserve">When </w:t>
      </w:r>
      <w:r w:rsidRPr="00C57A68">
        <w:rPr>
          <w:rFonts w:cstheme="minorHAnsi"/>
          <w:noProof/>
        </w:rPr>
        <w:t xml:space="preserve">soil stocks or characteristics (dry bulk density (DBD) and soil C%) were reported, they were included and soil C stocks were </w:t>
      </w:r>
      <w:r w:rsidRPr="00C57A68">
        <w:rPr>
          <w:rFonts w:cstheme="minorHAnsi"/>
          <w:noProof/>
        </w:rPr>
        <w:lastRenderedPageBreak/>
        <w:t>calculated from the following equation then mutliplied by 100 to estimate C</w:t>
      </w:r>
      <w:r w:rsidRPr="00C57A68">
        <w:rPr>
          <w:rFonts w:cstheme="minorHAnsi"/>
          <w:noProof/>
          <w:vertAlign w:val="subscript"/>
        </w:rPr>
        <w:t xml:space="preserve">100 </w:t>
      </w:r>
      <w:r w:rsidRPr="00C57A68">
        <w:rPr>
          <w:rFonts w:cstheme="minorHAnsi"/>
          <w:noProof/>
        </w:rPr>
        <w:t xml:space="preserve">stocks </w:t>
      </w:r>
      <w:r w:rsidRPr="00C57A68">
        <w:rPr>
          <w:rFonts w:cstheme="minorHAnsi"/>
          <w:noProof/>
        </w:rPr>
        <w:fldChar w:fldCharType="begin" w:fldLock="1"/>
      </w:r>
      <w:r w:rsidRPr="00C57A68">
        <w:rPr>
          <w:rFonts w:cstheme="minorHAnsi"/>
          <w:noProof/>
        </w:rPr>
        <w:instrText>ADDIN CSL_CITATION {"citationItems":[{"id":"ITEM-1","itemData":{"DOI":"10.1038/ngeo1123","ISBN":"1752-0894","ISSN":"1752-0894","PMID":"17701399","abstract":"Mangrove forests occur along ocean coastlines throughout the tropics, and support numerous ecosystem services, including fisheries production and nutrient cycling. However, the areal extent of mangrove forests has declined by 30–50% over the past half century as a result of coastal development, aqua- culture expansion and over-harvesting1–4. Carbon emissions resulting from mangrove loss are uncertain, owing in part to a lack of broad-scale data on the amount of carbon stored in these ecosystems, particularly below ground5. Here, we quantified whole-ecosystem carbon storage by measuring tree and dead wood biomass, soil carbon content, and soil depth in 25 mangrove forests across a broad area of the Indo-Pacific region—spanning 30◦ of latitude and 73◦ of longitude—where mangrove area and diversity are greatest4,6. These data indi- cate that mangroves are among the most carbon-rich forests in the tropics, containing on average 1,023Mg carbon per hectare. Organic-rich soils ranged from 0.5mto more than 3m in depth and accounted for 49–98% of carbon storage in these systems. Combining our data with other published information, we estimate that mangrove deforestation generates emissions of 0.02–0.12Pg carbon per year—as much as around 10% of emissions from deforestation globally, despite accounting for just 0.7%of tropical forest area.","author":[{"dropping-particle":"","family":"Donato","given":"Daniel C.","non-dropping-particle":"","parse-names":false,"suffix":""},{"dropping-particle":"","family":"Kauffman","given":"J. Boone","non-dropping-particle":"","parse-names":false,"suffix":""},{"dropping-particle":"","family":"Murdiyarso","given":"Daniel","non-dropping-particle":"","parse-names":false,"suffix":""},{"dropping-particle":"","family":"Kurnianto","given":"Sofyan","non-dropping-particle":"","parse-names":false,"suffix":""},{"dropping-particle":"","family":"Stidham","given":"Melanie","non-dropping-particle":"","parse-names":false,"suffix":""},{"dropping-particle":"","family":"Kanninen","given":"Markku","non-dropping-particle":"","parse-names":false,"suffix":""}],"container-title":"Nature Geoscience","id":"ITEM-1","issue":"5","issued":{"date-parts":[["2011"]]},"page":"293-297","title":"Mangroves among the most carbon-rich forests in the tropics","type":"article-journal","volume":"4"},"uris":["http://www.mendeley.com/documents/?uuid=490346f7-5ac8-4ae2-8d0c-30ebcec82312"]}],"mendeley":{"formattedCitation":"(Donato et al., 2011)","plainTextFormattedCitation":"(Donato et al., 2011)","previouslyFormattedCitation":"(Donato et al., 2011)"},"properties":{"noteIndex":0},"schema":"https://github.com/citation-style-language/schema/raw/master/csl-citation.json"}</w:instrText>
      </w:r>
      <w:r w:rsidRPr="00C57A68">
        <w:rPr>
          <w:rFonts w:cstheme="minorHAnsi"/>
          <w:noProof/>
        </w:rPr>
        <w:fldChar w:fldCharType="separate"/>
      </w:r>
      <w:r w:rsidRPr="00C57A68">
        <w:rPr>
          <w:rFonts w:cstheme="minorHAnsi"/>
          <w:noProof/>
        </w:rPr>
        <w:t>(Donato et al., 2011)</w:t>
      </w:r>
      <w:r w:rsidRPr="00C57A68">
        <w:rPr>
          <w:rFonts w:cstheme="minorHAnsi"/>
          <w:noProof/>
        </w:rPr>
        <w:fldChar w:fldCharType="end"/>
      </w:r>
      <w:r w:rsidRPr="00C57A68">
        <w:rPr>
          <w:rFonts w:cstheme="minorHAnsi"/>
          <w:noProof/>
        </w:rPr>
        <w:t>:</w:t>
      </w:r>
    </w:p>
    <w:p w14:paraId="5D53D2BE" w14:textId="77777777" w:rsidR="00344027" w:rsidRPr="00392131" w:rsidRDefault="00344027" w:rsidP="00344027">
      <w:pPr>
        <w:spacing w:line="480" w:lineRule="auto"/>
        <w:jc w:val="center"/>
        <w:rPr>
          <w:rFonts w:cstheme="minorHAnsi"/>
          <w:noProof/>
          <w:sz w:val="22"/>
        </w:rPr>
      </w:pPr>
      <m:oMathPara>
        <m:oMath>
          <m:r>
            <w:rPr>
              <w:rFonts w:ascii="Cambria Math" w:hAnsi="Cambria Math" w:cstheme="minorHAnsi"/>
              <w:noProof/>
              <w:sz w:val="22"/>
            </w:rPr>
            <m:t xml:space="preserve">Soil C </m:t>
          </m:r>
          <m:d>
            <m:dPr>
              <m:ctrlPr>
                <w:rPr>
                  <w:rFonts w:ascii="Cambria Math" w:hAnsi="Cambria Math" w:cstheme="minorHAnsi"/>
                  <w:i/>
                  <w:noProof/>
                  <w:sz w:val="22"/>
                </w:rPr>
              </m:ctrlPr>
            </m:dPr>
            <m:e>
              <m:r>
                <w:rPr>
                  <w:rFonts w:ascii="Cambria Math" w:hAnsi="Cambria Math" w:cstheme="minorHAnsi"/>
                  <w:noProof/>
                  <w:sz w:val="22"/>
                </w:rPr>
                <m:t>g c</m:t>
              </m:r>
              <m:sSup>
                <m:sSupPr>
                  <m:ctrlPr>
                    <w:rPr>
                      <w:rFonts w:ascii="Cambria Math" w:hAnsi="Cambria Math" w:cstheme="minorHAnsi"/>
                      <w:i/>
                      <w:noProof/>
                      <w:sz w:val="22"/>
                    </w:rPr>
                  </m:ctrlPr>
                </m:sSupPr>
                <m:e>
                  <m:r>
                    <w:rPr>
                      <w:rFonts w:ascii="Cambria Math" w:hAnsi="Cambria Math" w:cstheme="minorHAnsi"/>
                      <w:noProof/>
                      <w:sz w:val="22"/>
                    </w:rPr>
                    <m:t>m</m:t>
                  </m:r>
                </m:e>
                <m:sup>
                  <m:r>
                    <w:rPr>
                      <w:rFonts w:ascii="Cambria Math" w:hAnsi="Cambria Math" w:cstheme="minorHAnsi"/>
                      <w:noProof/>
                      <w:sz w:val="22"/>
                    </w:rPr>
                    <m:t>-3</m:t>
                  </m:r>
                </m:sup>
              </m:sSup>
            </m:e>
          </m:d>
          <m:r>
            <w:rPr>
              <w:rFonts w:ascii="Cambria Math" w:hAnsi="Cambria Math" w:cstheme="minorHAnsi"/>
              <w:noProof/>
              <w:sz w:val="22"/>
            </w:rPr>
            <m:t>=3.0443 X DB</m:t>
          </m:r>
          <m:sSup>
            <m:sSupPr>
              <m:ctrlPr>
                <w:rPr>
                  <w:rFonts w:ascii="Cambria Math" w:hAnsi="Cambria Math" w:cstheme="minorHAnsi"/>
                  <w:i/>
                  <w:noProof/>
                  <w:sz w:val="22"/>
                </w:rPr>
              </m:ctrlPr>
            </m:sSupPr>
            <m:e>
              <m:r>
                <w:rPr>
                  <w:rFonts w:ascii="Cambria Math" w:hAnsi="Cambria Math" w:cstheme="minorHAnsi"/>
                  <w:noProof/>
                  <w:sz w:val="22"/>
                </w:rPr>
                <m:t>D</m:t>
              </m:r>
            </m:e>
            <m:sup>
              <m:r>
                <w:rPr>
                  <w:rFonts w:ascii="Cambria Math" w:hAnsi="Cambria Math" w:cstheme="minorHAnsi"/>
                  <w:noProof/>
                  <w:sz w:val="22"/>
                </w:rPr>
                <m:t>-1.313</m:t>
              </m:r>
            </m:sup>
          </m:sSup>
        </m:oMath>
      </m:oMathPara>
    </w:p>
    <w:p w14:paraId="73C8A95F" w14:textId="77777777" w:rsidR="00344027" w:rsidRPr="00C57A68" w:rsidRDefault="00344027" w:rsidP="00344027">
      <w:pPr>
        <w:spacing w:line="480" w:lineRule="auto"/>
        <w:rPr>
          <w:rFonts w:cstheme="minorHAnsi"/>
          <w:noProof/>
        </w:rPr>
      </w:pPr>
      <w:r w:rsidRPr="00C57A68">
        <w:rPr>
          <w:rFonts w:cstheme="minorHAnsi"/>
          <w:noProof/>
        </w:rPr>
        <w:t>Where studies’ reported measurement uncertainties (standard deviation with associated n and standard error) as well as DBD to soil C (g cm</w:t>
      </w:r>
      <w:r w:rsidRPr="00C57A68">
        <w:rPr>
          <w:rFonts w:cstheme="minorHAnsi"/>
          <w:noProof/>
          <w:vertAlign w:val="superscript"/>
        </w:rPr>
        <w:t>-3</w:t>
      </w:r>
      <w:r w:rsidRPr="00C57A68">
        <w:rPr>
          <w:rFonts w:cstheme="minorHAnsi"/>
          <w:noProof/>
        </w:rPr>
        <w:t>) conversion equation uncertainties, these were included in the database to later be propagated in model development. Site longitude and latitude were extracted from studies when reported. For studies that did not report site coordinates, any maps included were used in combination with Google Earth images to obtain site coordinates. Only intact mature mangroves were included; data from mangroves reported as degraded, newly colonised or planted</w:t>
      </w:r>
      <w:r w:rsidRPr="00C57A68">
        <w:rPr>
          <w:rStyle w:val="CommentReference"/>
          <w:rFonts w:cstheme="minorHAnsi"/>
          <w:sz w:val="24"/>
          <w:szCs w:val="24"/>
        </w:rPr>
        <w:t xml:space="preserve"> w</w:t>
      </w:r>
      <w:r w:rsidRPr="00C57A68">
        <w:rPr>
          <w:rFonts w:cstheme="minorHAnsi"/>
          <w:noProof/>
        </w:rPr>
        <w:t>ere excluded from the dataset.</w:t>
      </w:r>
      <w:bookmarkStart w:id="57" w:name="_Hlk54262861"/>
    </w:p>
    <w:bookmarkEnd w:id="57"/>
    <w:p w14:paraId="7416A65B" w14:textId="77777777" w:rsidR="00344027" w:rsidRPr="00392131" w:rsidRDefault="00344027" w:rsidP="00344027">
      <w:pPr>
        <w:spacing w:line="480" w:lineRule="auto"/>
        <w:rPr>
          <w:rFonts w:cstheme="minorHAnsi"/>
          <w:i/>
          <w:iCs/>
          <w:noProof/>
          <w:sz w:val="22"/>
        </w:rPr>
      </w:pPr>
    </w:p>
    <w:p w14:paraId="23F8F336" w14:textId="702067B7" w:rsidR="00344027" w:rsidRPr="00344027" w:rsidRDefault="00344027" w:rsidP="00344027">
      <w:pPr>
        <w:pStyle w:val="Heading3"/>
        <w:ind w:left="567" w:hanging="567"/>
        <w:rPr>
          <w:rFonts w:asciiTheme="minorHAnsi" w:hAnsiTheme="minorHAnsi" w:cstheme="minorHAnsi"/>
          <w:b/>
          <w:bCs/>
          <w:noProof/>
          <w:color w:val="000000" w:themeColor="text1"/>
        </w:rPr>
      </w:pPr>
      <w:bookmarkStart w:id="58" w:name="_Toc120622146"/>
      <w:r w:rsidRPr="00344027">
        <w:rPr>
          <w:rFonts w:asciiTheme="minorHAnsi" w:hAnsiTheme="minorHAnsi" w:cstheme="minorHAnsi"/>
          <w:b/>
          <w:bCs/>
          <w:noProof/>
          <w:color w:val="000000" w:themeColor="text1"/>
        </w:rPr>
        <w:t>5.3.2</w:t>
      </w:r>
      <w:r w:rsidRPr="00344027">
        <w:rPr>
          <w:rFonts w:asciiTheme="minorHAnsi" w:hAnsiTheme="minorHAnsi" w:cstheme="minorHAnsi"/>
          <w:b/>
          <w:bCs/>
          <w:noProof/>
          <w:color w:val="000000" w:themeColor="text1"/>
        </w:rPr>
        <w:tab/>
        <w:t>Estimating current soil stocks and sequestration rates</w:t>
      </w:r>
      <w:bookmarkEnd w:id="58"/>
    </w:p>
    <w:p w14:paraId="209725BA" w14:textId="6B33D908" w:rsidR="00344027" w:rsidRPr="00C57A68" w:rsidRDefault="00344027" w:rsidP="00344027">
      <w:pPr>
        <w:spacing w:line="480" w:lineRule="auto"/>
        <w:rPr>
          <w:rFonts w:cstheme="minorHAnsi"/>
          <w:noProof/>
        </w:rPr>
      </w:pPr>
      <w:r w:rsidRPr="00C57A68">
        <w:rPr>
          <w:rFonts w:cstheme="minorHAnsi"/>
          <w:noProof/>
        </w:rPr>
        <w:t xml:space="preserve">Statistical models were developed to predict mangrove soil carbon where it had not been measured. A suite of climatic variables commonly used in species distribution modelling and in previous global mangrove modelling efforts </w:t>
      </w:r>
      <w:r w:rsidRPr="00C57A68">
        <w:rPr>
          <w:rFonts w:cstheme="minorHAnsi"/>
          <w:noProof/>
        </w:rPr>
        <w:fldChar w:fldCharType="begin" w:fldLock="1"/>
      </w:r>
      <w:r w:rsidR="008A48C6" w:rsidRPr="00C57A68">
        <w:rPr>
          <w:rFonts w:cstheme="minorHAnsi"/>
          <w:noProof/>
        </w:rPr>
        <w:instrText>ADDIN CSL_CITATION {"citationItems":[{"id":"ITEM-1","itemData":{"DOI":"10.1016/j.mimet.2011.04.001","ISBN":"0950-5849","ISSN":"09505849","PMID":"21504767","abstract":"The U.S. Geological Survey (USGS) has developed climate indices, referred to as bioclimatic predictors, which highlight climate conditions best related to species physiology. A set of 20 bioclimatic predictors were developed as Geographic Information Systems (GIS) continuous raster surfaces for each year between 1895 and 2009. The Parameter-elevation Regression on Independent Slopes Model (PRISM) and down-scaled PRISM data, which included both averaged multi-year and averaged monthly climate summaries, was used to develop these multi-scale bioclimatic predictors. Bioclimatic predictors capture information about annual conditions (annual mean temperature, annual precipitation, annual range in temperature and precipitation), as well as seasonal mean climate conditions and intra-year seasonality (temperature of the coldest and warmest months, precipitation of the wettest and driest quarters). Examining climate over time is useful when quantifying the effects of climate changes on species’ distributions for past, current, and forecasted scenarios. These data, which have not been readily available to scientists, can provide biologists and ecologists with relevant and multi-scaled climate data to augment research on the responses of species to changing climate conditions. The relationships established between species demographics and distributions with bioclimatic predictors can inform land managers of climatic effects on species during decisionmaking processes.","author":[{"dropping-particle":"","family":"O'Donnell","given":"Michael. S.","non-dropping-particle":"","parse-names":false,"suffix":""},{"dropping-particle":"","family":"Ignizio","given":"Drew. A.","non-dropping-particle":"","parse-names":false,"suffix":""}],"container-title":"US Geological Survey Data Series","id":"ITEM-1","issue":"10","issued":{"date-parts":[["2012"]]},"number-of-pages":"1-17","title":"Bioclimatic Predictors for Supporting Ecological Applications in the Conterminous United States","type":"report","volume":"691"},"uris":["http://www.mendeley.com/documents/?uuid=f73e2407-6497-4fb4-ae1f-8d57fc27909a"]},{"id":"ITEM-2","itemData":{"DOI":"10.1111/conl.12060","ISBN":"1755-263X","ISSN":"1755263X","abstract":"Understanding spatial variation in carbon storage in natural habitats is critical for climate change mitigation efforts such as REDD. Terrestrial forests are being mapped with increasing accuracy, but the distribution of ``blue carbon'' in marine ecosystems remains poorly understood. We reviewed the literature to obtain field data on carbon storage and fluxes in mangroves world-wide. Using this material we developed a climate-based model for potential mangrove above-ground biomass (AGB) with almost four times the explanatory power of the only previous published model. From this model, we present the first ever global map of potential mangrove AGB and estimate a total global mangrove AGB of 2.83 Pg, with an average of 184.8 t ha−1. Data on other carbon stocks and fluxes confirm the importance of mangroves in carbon accounting. The map highlights the high variability in mangrove AGB and indicates areas that should be prioritised for mangrove conservation and restoration.","author":[{"dropping-particle":"","family":"Hutchison","given":"James","non-dropping-particle":"","parse-names":false,"suffix":""},{"dropping-particle":"","family":"Manica","given":"Andrea","non-dropping-particle":"","parse-names":false,"suffix":""},{"dropping-particle":"","family":"Swetnam","given":"Ruth","non-dropping-particle":"","parse-names":false,"suffix":""},{"dropping-particle":"","family":"Balmford","given":"Andrew","non-dropping-particle":"","parse-names":false,"suffix":""},{"dropping-particle":"","family":"Spalding","given":"Mark","non-dropping-particle":"","parse-names":false,"suffix":""}],"container-title":"Conservation Letters","id":"ITEM-2","issue":"3","issued":{"date-parts":[["2014","5"]]},"page":"233-240","title":"Predicting global patterns in mangrove forest biomass","type":"article-journal","volume":"7"},"uris":["http://www.mendeley.com/documents/?uuid=c0cc1011-f931-3578-8f2c-56c7f7c458c6"]}],"mendeley":{"formattedCitation":"(Hutchison et al., 2014; O’Donnell and Ignizio, 2012)","plainTextFormattedCitation":"(Hutchison et al., 2014; O’Donnell and Ignizio, 2012)","previouslyFormattedCitation":"(Hutchison et al., 2014; O’Donnell and Ignizio, 2012)"},"properties":{"noteIndex":0},"schema":"https://github.com/citation-style-language/schema/raw/master/csl-citation.json"}</w:instrText>
      </w:r>
      <w:r w:rsidRPr="00C57A68">
        <w:rPr>
          <w:rFonts w:cstheme="minorHAnsi"/>
          <w:noProof/>
        </w:rPr>
        <w:fldChar w:fldCharType="separate"/>
      </w:r>
      <w:r w:rsidR="008A48C6" w:rsidRPr="00C57A68">
        <w:rPr>
          <w:rFonts w:cstheme="minorHAnsi"/>
          <w:noProof/>
        </w:rPr>
        <w:t>(Hutchison et al., 2014; O’Donnell and Ignizio, 2012)</w:t>
      </w:r>
      <w:r w:rsidRPr="00C57A68">
        <w:rPr>
          <w:rFonts w:cstheme="minorHAnsi"/>
          <w:noProof/>
        </w:rPr>
        <w:fldChar w:fldCharType="end"/>
      </w:r>
      <w:r w:rsidRPr="00C57A68">
        <w:rPr>
          <w:rFonts w:cstheme="minorHAnsi"/>
          <w:noProof/>
        </w:rPr>
        <w:t xml:space="preserve"> (</w:t>
      </w:r>
      <w:r w:rsidRPr="00C57A68">
        <w:rPr>
          <w:rFonts w:cstheme="minorHAnsi"/>
        </w:rPr>
        <w:t>Table A1</w:t>
      </w:r>
      <w:r w:rsidRPr="00C57A68">
        <w:rPr>
          <w:rFonts w:cstheme="minorHAnsi"/>
          <w:noProof/>
        </w:rPr>
        <w:t xml:space="preserve">) were calculated from historical climate datasets for all global mangrove points using a global mangrove presence/absence mask reported by </w:t>
      </w:r>
      <w:r w:rsidRPr="00C57A68">
        <w:rPr>
          <w:rFonts w:cstheme="minorHAnsi"/>
        </w:rPr>
        <w:t xml:space="preserve">Hamilton and Casey (2016). </w:t>
      </w:r>
      <w:r w:rsidRPr="00C57A68">
        <w:rPr>
          <w:rFonts w:cstheme="minorHAnsi"/>
          <w:noProof/>
        </w:rPr>
        <w:t xml:space="preserve">Previous global soil C mangrove modelling studies have incorporated non climatic predictors, such as tidal range, river discharge and geomorphological setting </w:t>
      </w:r>
      <w:r w:rsidRPr="00C57A68">
        <w:rPr>
          <w:rFonts w:cstheme="minorHAnsi"/>
          <w:noProof/>
        </w:rPr>
        <w:fldChar w:fldCharType="begin" w:fldLock="1"/>
      </w:r>
      <w:r w:rsidRPr="00C57A68">
        <w:rPr>
          <w:rFonts w:cstheme="minorHAnsi"/>
          <w:noProof/>
        </w:rPr>
        <w:instrText>ADDIN CSL_CITATION {"citationItems":[{"id":"ITEM-1","itemData":{"DOI":"10.1038/s41558-018-0162-5","ISBN":"4155801801625","ISSN":"17586798","abstract":"Global-scale variation in mangrove ecosystem properties has been explained using a conceptual framework linking geomorphological processes to distinct coastal environmental settings (CES) for nearly 50 years. However, these assumptions have not been empirically tested at the global scale. Here, we show that CES account for global variability in mangrove soil C:N:P stoichiometry and soil organic carbon (SOC) stocks. Using this ecogeomorphology framework, we developed a global model that captures variation in mangrove SOC stocks compatible with distinct CES. We show that mangrove SOC stocks have been underestimated by up to 50% (a difference of roughly 200 Mg ha−1) in carbonate settings and overestimated by up to 86% (around 400 Mg ha−1) in deltaic coastlines. Moreover, we provide information for 57 nations that currently lack SOC data, enabling these and other countries to develop or evaluate their blue carbon inventories.","author":[{"dropping-particle":"","family":"Rovai","given":"André S.","non-dropping-particle":"","parse-names":false,"suffix":""},{"dropping-particle":"","family":"Twilley","given":"Robert R.","non-dropping-particle":"","parse-names":false,"suffix":""},{"dropping-particle":"","family":"Castañeda-Moya","given":"Edward","non-dropping-particle":"","parse-names":false,"suffix":""},{"dropping-particle":"","family":"Riul","given":"Pablo","non-dropping-particle":"","parse-names":false,"suffix":""},{"dropping-particle":"","family":"Cifuentes-Jara","given":"Miguel","non-dropping-particle":"","parse-names":false,"suffix":""},{"dropping-particle":"","family":"Manrow-Villalobos","given":"Marilyn","non-dropping-particle":"","parse-names":false,"suffix":""},{"dropping-particle":"","family":"Horta","given":"Paulo A.","non-dropping-particle":"","parse-names":false,"suffix":""},{"dropping-particle":"","family":"Simonassi","given":"José C.","non-dropping-particle":"","parse-names":false,"suffix":""},{"dropping-particle":"","family":"Fonseca","given":"Alessandra L.","non-dropping-particle":"","parse-names":false,"suffix":""},{"dropping-particle":"","family":"Pagliosa","given":"Paulo R.","non-dropping-particle":"","parse-names":false,"suffix":""}],"container-title":"Nature Climate Change","id":"ITEM-1","issue":"6","issued":{"date-parts":[["2018","6","28"]]},"page":"534-538","publisher":"Nature Publishing Group","title":"Global controls on carbon storage in mangrove soils","type":"article-journal","volume":"8"},"uris":["http://www.mendeley.com/documents/?uuid=e218dcd6-b535-3f7d-a08f-4983ee271d59"]},{"id":"ITEM-2","itemData":{"DOI":"10.1088/1748-9326/aabe1c","ISSN":"17489326","author":[{"dropping-particle":"","family":"Sanderman","given":"Jonathan","non-dropping-particle":"","parse-names":false,"suffix":""},{"dropping-particle":"","family":"Hengl","given":"Tomislav","non-dropping-particle":"","parse-names":false,"suffix":""},{"dropping-particle":"","family":"Fiske","given":"Greg","non-dropping-particle":"","parse-names":false,"suffix":""},{"dropping-particle":"","family":"Solvik","given":"Kylen","non-dropping-particle":"","parse-names":false,"suffix":""},{"dropping-particle":"","family":"Adame","given":"Maria Fernanda","non-dropping-particle":"","parse-names":false,"suffix":""},{"dropping-particle":"","family":"Benson","given":"Lisa","non-dropping-particle":"","parse-names":false,"suffix":""},{"dropping-particle":"","family":"Bukoski","given":"Jacob J","non-dropping-particle":"","parse-names":false,"suffix":""},{"dropping-particle":"","family":"Carnell","given":"Paul","non-dropping-particle":"","parse-names":false,"suffix":""},{"dropping-particle":"","family":"Cifuentes-Jara","given":"Miguel","non-dropping-particle":"","parse-names":false,"suffix":""},{"dropping-particle":"","family":"Donato","given":"Daniel","non-dropping-particle":"","parse-names":false,"suffix":""},{"dropping-particle":"","family":"Duncan","given":"Clare","non-dropping-particle":"","parse-names":false,"suffix":""},{"dropping-particle":"","family":"Eid","given":"Ebrahem M","non-dropping-particle":"","parse-names":false,"suffix":""},{"dropping-particle":"","family":"Ermgassen","given":"Philine zu","non-dropping-particle":"","parse-names":false,"suffix":""},{"dropping-particle":"","family":"Lewis","given":"Carolyn J.Ewers","non-dropping-particle":"","parse-names":false,"suffix":""},{"dropping-particle":"","family":"Macreadie","given":"Peter I","non-dropping-particle":"","parse-names":false,"suffix":""},{"dropping-particle":"","family":"Glass","given":"Leah","non-dropping-particle":"","parse-names":false,"suffix":""},{"dropping-particle":"","family":"Gress","given":"Selena","non-dropping-particle":"","parse-names":false,"suffix":""},{"dropping-particle":"","family":"Jardine","given":"Sunny L","non-dropping-particle":"","parse-names":false,"suffix":""},{"dropping-particle":"","family":"Jones","given":"Trevor G","non-dropping-particle":"","parse-names":false,"suffix":""},{"dropping-particle":"","family":"Nsombo","given":"Eugéne Ndemem","non-dropping-particle":"","parse-names":false,"suffix":""},{"dropping-particle":"","family":"Rahman","given":"Md Mizanur","non-dropping-particle":"","parse-names":false,"suffix":""},{"dropping-particle":"","family":"Sanders","given":"Christian J","non-dropping-particle":"","parse-names":false,"suffix":""},{"dropping-particle":"","family":"Spalding","given":"Mark","non-dropping-particle":"","parse-names":false,"suffix":""},{"dropping-particle":"","family":"Landis","given":"Emily","non-dropping-particle":"","parse-names":false,"suffix":""}],"container-title":"Environmental Research Letters","id":"ITEM-2","issue":"5","issued":{"date-parts":[["2018","5","1"]]},"page":"055002","publisher":"IOP Publishing","title":"A global map of mangrove forest soil carbon at 30 m spatial resolution","type":"article-journal","volume":"13"},"uris":["http://www.mendeley.com/documents/?uuid=a27008a0-a4d5-343e-89c7-c4a4c0b60818"]}],"mendeley":{"formattedCitation":"(Rovai et al., 2018; Sanderman et al., 2018)","plainTextFormattedCitation":"(Rovai et al., 2018; Sanderman et al., 2018)","previouslyFormattedCitation":"(Rovai et al., 2018; Sanderman et al., 2018)"},"properties":{"noteIndex":0},"schema":"https://github.com/citation-style-language/schema/raw/master/csl-citation.json"}</w:instrText>
      </w:r>
      <w:r w:rsidRPr="00C57A68">
        <w:rPr>
          <w:rFonts w:cstheme="minorHAnsi"/>
          <w:noProof/>
        </w:rPr>
        <w:fldChar w:fldCharType="separate"/>
      </w:r>
      <w:r w:rsidRPr="00C57A68">
        <w:rPr>
          <w:rFonts w:cstheme="minorHAnsi"/>
          <w:noProof/>
        </w:rPr>
        <w:t>(Rovai et al., 2018; Sanderman et al., 2018)</w:t>
      </w:r>
      <w:r w:rsidRPr="00C57A68">
        <w:rPr>
          <w:rFonts w:cstheme="minorHAnsi"/>
          <w:noProof/>
        </w:rPr>
        <w:fldChar w:fldCharType="end"/>
      </w:r>
      <w:r w:rsidRPr="00C57A68">
        <w:rPr>
          <w:rFonts w:cstheme="minorHAnsi"/>
          <w:noProof/>
        </w:rPr>
        <w:t>. However, only climatic predictors were used here,</w:t>
      </w:r>
      <w:r w:rsidRPr="00C57A68" w:rsidDel="00674255">
        <w:rPr>
          <w:rFonts w:cstheme="minorHAnsi"/>
          <w:noProof/>
        </w:rPr>
        <w:t xml:space="preserve"> </w:t>
      </w:r>
      <w:r w:rsidRPr="00C57A68">
        <w:rPr>
          <w:rFonts w:cstheme="minorHAnsi"/>
          <w:noProof/>
        </w:rPr>
        <w:t xml:space="preserve">given the identified need to better understand how the magnitude of projected climate change will affect future mangrove C stocks and CSR. </w:t>
      </w:r>
      <w:r w:rsidR="00933E50">
        <w:rPr>
          <w:rFonts w:cstheme="minorHAnsi"/>
          <w:noProof/>
        </w:rPr>
        <w:t xml:space="preserve">Even though future climate will have an affect on </w:t>
      </w:r>
      <w:r w:rsidR="005C3161">
        <w:rPr>
          <w:rFonts w:cstheme="minorHAnsi"/>
          <w:noProof/>
        </w:rPr>
        <w:t xml:space="preserve">river discharge, river discharge was excluded as a predictor from the analysis. </w:t>
      </w:r>
      <w:r w:rsidRPr="00C57A68">
        <w:rPr>
          <w:rFonts w:cstheme="minorHAnsi"/>
          <w:noProof/>
        </w:rPr>
        <w:t xml:space="preserve">Global </w:t>
      </w:r>
      <w:r w:rsidRPr="00C57A68">
        <w:rPr>
          <w:rFonts w:cstheme="minorHAnsi"/>
          <w:noProof/>
        </w:rPr>
        <w:lastRenderedPageBreak/>
        <w:t>historical climate datasets used were monthly precipitation (P</w:t>
      </w:r>
      <w:r w:rsidRPr="00C57A68">
        <w:rPr>
          <w:rFonts w:cstheme="minorHAnsi"/>
          <w:noProof/>
          <w:vertAlign w:val="subscript"/>
        </w:rPr>
        <w:t>mean</w:t>
      </w:r>
      <w:r w:rsidRPr="00C57A68">
        <w:rPr>
          <w:rFonts w:cstheme="minorHAnsi"/>
          <w:noProof/>
        </w:rPr>
        <w:t>) (from 1901 to 2010), mean monthly air temperatures (T</w:t>
      </w:r>
      <w:r w:rsidRPr="00C57A68">
        <w:rPr>
          <w:rFonts w:cstheme="minorHAnsi"/>
          <w:noProof/>
          <w:vertAlign w:val="subscript"/>
        </w:rPr>
        <w:t>mean</w:t>
      </w:r>
      <w:r w:rsidRPr="00C57A68">
        <w:rPr>
          <w:rFonts w:cstheme="minorHAnsi"/>
          <w:noProof/>
        </w:rPr>
        <w:t>) (from 1901 to 2010), daily maximum temperatures (T</w:t>
      </w:r>
      <w:r w:rsidRPr="00C57A68">
        <w:rPr>
          <w:rFonts w:cstheme="minorHAnsi"/>
          <w:noProof/>
          <w:vertAlign w:val="subscript"/>
        </w:rPr>
        <w:t>max</w:t>
      </w:r>
      <w:r w:rsidRPr="00C57A68">
        <w:rPr>
          <w:rFonts w:cstheme="minorHAnsi"/>
          <w:noProof/>
        </w:rPr>
        <w:t>) and daily minimum temperatures  (T</w:t>
      </w:r>
      <w:r w:rsidRPr="00C57A68">
        <w:rPr>
          <w:rFonts w:cstheme="minorHAnsi"/>
          <w:noProof/>
          <w:vertAlign w:val="subscript"/>
        </w:rPr>
        <w:t>min</w:t>
      </w:r>
      <w:r w:rsidRPr="00C57A68">
        <w:rPr>
          <w:rFonts w:cstheme="minorHAnsi"/>
          <w:noProof/>
        </w:rPr>
        <w:t xml:space="preserve">) (from 1979 to 2010). These datsets were obtained from the Global Precipitation Climatology Centre </w:t>
      </w:r>
      <w:r w:rsidRPr="00C57A68">
        <w:rPr>
          <w:rFonts w:cstheme="minorHAnsi"/>
          <w:noProof/>
        </w:rPr>
        <w:fldChar w:fldCharType="begin" w:fldLock="1"/>
      </w:r>
      <w:r w:rsidRPr="00C57A68">
        <w:rPr>
          <w:rFonts w:cstheme="minorHAnsi"/>
          <w:noProof/>
        </w:rPr>
        <w:instrText>ADDIN CSL_CITATION {"citationItems":[{"id":"ITEM-1","itemData":{"DOI":"10.5676/DWD_GPCC/FD_M_V7_050","author":[{"dropping-particle":"","family":"Schneider","given":"U","non-dropping-particle":"","parse-names":false,"suffix":""},{"dropping-particle":"","family":"Becker","given":"A","non-dropping-particle":"","parse-names":false,"suffix":""},{"dropping-particle":"","family":"Finger","given":"P","non-dropping-particle":"","parse-names":false,"suffix":""},{"dropping-particle":"","family":"Meyer-Christoffer","given":"A","non-dropping-particle":"","parse-names":false,"suffix":""},{"dropping-particle":"","family":"Rudolf","given":"B","non-dropping-particle":"","parse-names":false,"suffix":""},{"dropping-particle":"","family":"Ziese","given":"M","non-dropping-particle":"","parse-names":false,"suffix":""}],"id":"ITEM-1","issued":{"date-parts":[["2011"]]},"publisher":"Global Precipitation Climatology Centre","title":"GPCC full data reanalysis version 6.0 at 0.5°: monthly land-surface precipitation from rain-gauges built on GTS-based and historic data","type":"article"},"uris":["http://www.mendeley.com/documents/?uuid=83bc849e-358e-43dc-ae2a-d39b48eb769c"]}],"mendeley":{"formattedCitation":"(Schneider et al., 2011)","plainTextFormattedCitation":"(Schneider et al., 2011)","previouslyFormattedCitation":"(Schneider et al., 2011)"},"properties":{"noteIndex":0},"schema":"https://github.com/citation-style-language/schema/raw/master/csl-citation.json"}</w:instrText>
      </w:r>
      <w:r w:rsidRPr="00C57A68">
        <w:rPr>
          <w:rFonts w:cstheme="minorHAnsi"/>
          <w:noProof/>
        </w:rPr>
        <w:fldChar w:fldCharType="separate"/>
      </w:r>
      <w:r w:rsidRPr="00C57A68">
        <w:rPr>
          <w:rFonts w:cstheme="minorHAnsi"/>
          <w:noProof/>
        </w:rPr>
        <w:t>(Schneider et al., 2011)</w:t>
      </w:r>
      <w:r w:rsidRPr="00C57A68">
        <w:rPr>
          <w:rFonts w:cstheme="minorHAnsi"/>
          <w:noProof/>
        </w:rPr>
        <w:fldChar w:fldCharType="end"/>
      </w:r>
      <w:r w:rsidRPr="00C57A68">
        <w:rPr>
          <w:rFonts w:cstheme="minorHAnsi"/>
          <w:noProof/>
        </w:rPr>
        <w:t xml:space="preserve"> (GPCC) and National Center for Environmental Prediction (NCEP) </w:t>
      </w:r>
      <w:r w:rsidRPr="00C57A68">
        <w:rPr>
          <w:rFonts w:cstheme="minorHAnsi"/>
          <w:noProof/>
        </w:rPr>
        <w:fldChar w:fldCharType="begin" w:fldLock="1"/>
      </w:r>
      <w:r w:rsidRPr="00C57A68">
        <w:rPr>
          <w:rFonts w:cstheme="minorHAnsi"/>
          <w:noProof/>
        </w:rPr>
        <w:instrText>ADDIN CSL_CITATION {"citationItems":[{"id":"ITEM-1","itemData":{"DOI":"10.1175/1520-0477(1996)077&lt;0437:TNYRP&gt;2.0.CO;2","ISBN":"0003-0007","ISSN":"00030007","PMID":"25246403","author":[{"dropping-particle":"","family":"Kalnay","given":"E.","non-dropping-particle":"","parse-names":false,"suffix":""},{"dropping-particle":"","family":"Kanamitsu","given":"Masao","non-dropping-particle":"","parse-names":false,"suffix":""},{"dropping-particle":"","family":"Kistler","given":"Robert","non-dropping-particle":"","parse-names":false,"suffix":""},{"dropping-particle":"","family":"Collins","given":"William","non-dropping-particle":"","parse-names":false,"suffix":""},{"dropping-particle":"","family":"Deaven","given":"D.","non-dropping-particle":"","parse-names":false,"suffix":""},{"dropping-particle":"","family":"Gandin","given":"L.","non-dropping-particle":"","parse-names":false,"suffix":""},{"dropping-particle":"","family":"Iredell","given":"M.","non-dropping-particle":"","parse-names":false,"suffix":""},{"dropping-particle":"","family":"Saha","given":"Suranjana","non-dropping-particle":"","parse-names":false,"suffix":""},{"dropping-particle":"","family":"White","given":"Glenn","non-dropping-particle":"","parse-names":false,"suffix":""},{"dropping-particle":"","family":"Woollen","given":"John","non-dropping-particle":"","parse-names":false,"suffix":""},{"dropping-particle":"","family":"Zhu","given":"Y.","non-dropping-particle":"","parse-names":false,"suffix":""},{"dropping-particle":"","family":"Chelliah","given":"Muthuvel","non-dropping-particle":"","parse-names":false,"suffix":""},{"dropping-particle":"","family":"Ebisuzaki","given":"Wesley","non-dropping-particle":"","parse-names":false,"suffix":""},{"dropping-particle":"","family":"Higgins","given":"W.","non-dropping-particle":"","parse-names":false,"suffix":""},{"dropping-particle":"","family":"Janowiak","given":"J. E.","non-dropping-particle":"","parse-names":false,"suffix":""},{"dropping-particle":"","family":"Mo","given":"K.C. C","non-dropping-particle":"","parse-names":false,"suffix":""},{"dropping-particle":"","family":"Ropelewski","given":"C.","non-dropping-particle":"","parse-names":false,"suffix":""},{"dropping-particle":"","family":"Wang","given":"J.","non-dropping-particle":"","parse-names":false,"suffix":""},{"dropping-particle":"","family":"Leetma","given":"A","non-dropping-particle":"","parse-names":false,"suffix":""},{"dropping-particle":"","family":"Reynolds","given":"R. W.","non-dropping-particle":"","parse-names":false,"suffix":""},{"dropping-particle":"","family":"Jenne","given":"Roy","non-dropping-particle":"","parse-names":false,"suffix":""},{"dropping-particle":"","family":"Joseph","given":"Dennis","non-dropping-particle":"","parse-names":false,"suffix":""},{"dropping-particle":"","family":"Leetmaa","given":"A.","non-dropping-particle":"","parse-names":false,"suffix":""},{"dropping-particle":"","family":"Reynolds","given":"R. W.","non-dropping-particle":"","parse-names":false,"suffix":""},{"dropping-particle":"","family":"Jenne","given":"Roy","non-dropping-particle":"","parse-names":false,"suffix":""},{"dropping-particle":"","family":"Joseph","given":"Dennis","non-dropping-particle":"","parse-names":false,"suffix":""},{"dropping-particle":"","family":"Chelliah","given":"Muthuvel","non-dropping-particle":"","parse-names":false,"suffix":""},{"dropping-particle":"","family":"Ebisuzaki","given":"Wesley","non-dropping-particle":"","parse-names":false,"suffix":""},{"dropping-particle":"","family":"Higgins","given":"W.","non-dropping-particle":"","parse-names":false,"suffix":""},{"dropping-particle":"","family":"Janowiak","given":"J. E.","non-dropping-particle":"","parse-names":false,"suffix":""},{"dropping-particle":"","family":"Mo","given":"K.C. C","non-dropping-particle":"","parse-names":false,"suffix":""},{"dropping-particle":"","family":"Ropelewski","given":"C.","non-dropping-particle":"","parse-names":false,"suffix":""},{"dropping-particle":"","family":"Wang","given":"J.","non-dropping-particle":"","parse-names":false,"suffix":""},{"dropping-particle":"","family":"Jenne","given":"Roy","non-dropping-particle":"","parse-names":false,"suffix":""},{"dropping-particle":"","family":"Joseph","given":"Dennis","non-dropping-particle":"","parse-names":false,"suffix":""}],"container-title":"Bulletin of the American Meteorological Society","id":"ITEM-1","issue":"3","issued":{"date-parts":[["1996"]]},"page":"437-495","title":"The NCEP/NCAR 40-year reanalysis project","type":"article-journal","volume":"77"},"uris":["http://www.mendeley.com/documents/?uuid=3333dc0a-9a11-4bbd-aaa3-e10af81b4816"]}],"mendeley":{"formattedCitation":"(Kalnay et al., 1996)","plainTextFormattedCitation":"(Kalnay et al., 1996)","previouslyFormattedCitation":"(Kalnay et al., 1996)"},"properties":{"noteIndex":0},"schema":"https://github.com/citation-style-language/schema/raw/master/csl-citation.json"}</w:instrText>
      </w:r>
      <w:r w:rsidRPr="00C57A68">
        <w:rPr>
          <w:rFonts w:cstheme="minorHAnsi"/>
          <w:noProof/>
        </w:rPr>
        <w:fldChar w:fldCharType="separate"/>
      </w:r>
      <w:r w:rsidRPr="00C57A68">
        <w:rPr>
          <w:rFonts w:cstheme="minorHAnsi"/>
          <w:noProof/>
        </w:rPr>
        <w:t>(Kalnay et al., 1996)</w:t>
      </w:r>
      <w:r w:rsidRPr="00C57A68">
        <w:rPr>
          <w:rFonts w:cstheme="minorHAnsi"/>
          <w:noProof/>
        </w:rPr>
        <w:fldChar w:fldCharType="end"/>
      </w:r>
      <w:r w:rsidRPr="00C57A68">
        <w:rPr>
          <w:rFonts w:cstheme="minorHAnsi"/>
          <w:noProof/>
        </w:rPr>
        <w:t xml:space="preserve"> and aligned to the period from 1982 – 2018, the longest concurrent period of all datasets (the last 36 years). Means of the aligned period were then calculated to be used in model development. The ability of climate datasets to explain variation in soil C stocks data was also compared to models that contained non climate predictors previously used in modelling studies, for example tidal range </w:t>
      </w:r>
      <w:r w:rsidRPr="00C57A68">
        <w:rPr>
          <w:rFonts w:cstheme="minorHAnsi"/>
          <w:noProof/>
        </w:rPr>
        <w:fldChar w:fldCharType="begin" w:fldLock="1"/>
      </w:r>
      <w:r w:rsidRPr="00C57A68">
        <w:rPr>
          <w:rFonts w:cstheme="minorHAnsi"/>
          <w:noProof/>
        </w:rPr>
        <w:instrText>ADDIN CSL_CITATION {"citationItems":[{"id":"ITEM-1","itemData":{"abstract":"The accuracy of tidal models has been much improved during the last 20 years. Still, significant errors remain mainly in shelf seas and in polar regions. A new global tidal model FES2012 has been developed taking advantage of longer altimeter time series, improved modelling and data assimilation techniques, and more accurate ocean bathymetry. Special efforts have been dedicated to the determination of accurate tidal currents and to address the major non-linear tides issue. We detail the most significant advances in the dynamic modelling, data analysis and assimilation. Finally we present the main improvements achieved compared to former releases of the FES model and the available modern global ocean tide models.","author":[{"dropping-particle":"","family":"Carrere","given":"L.","non-dropping-particle":"","parse-names":false,"suffix":""},{"dropping-particle":"","family":"Lyard","given":"F.","non-dropping-particle":"","parse-names":false,"suffix":""},{"dropping-particle":"","family":"Cancet","given":"M.","non-dropping-particle":"","parse-names":false,"suffix":""},{"dropping-particle":"","family":"Guillot","given":"A.","non-dropping-particle":"","parse-names":false,"suffix":""},{"dropping-particle":"","family":"Roblou","given":"L","non-dropping-particle":"","parse-names":false,"suffix":""}],"container-title":"20 Years of Progress in Radar Altimetry","id":"ITEM-1","issued":{"date-parts":[["2012"]]},"page":"6","title":"FES 2012: a new global tidal model taking advantage of nearly 20 years of altimetry","type":"article-journal"},"uris":["http://www.mendeley.com/documents/?uuid=5ca1568b-b8e2-4ec7-a282-779be39159c9"]}],"mendeley":{"formattedCitation":"(Carrere et al., 2012)","plainTextFormattedCitation":"(Carrere et al., 2012)","previouslyFormattedCitation":"(Carrere et al., 2012)"},"properties":{"noteIndex":0},"schema":"https://github.com/citation-style-language/schema/raw/master/csl-citation.json"}</w:instrText>
      </w:r>
      <w:r w:rsidRPr="00C57A68">
        <w:rPr>
          <w:rFonts w:cstheme="minorHAnsi"/>
          <w:noProof/>
        </w:rPr>
        <w:fldChar w:fldCharType="separate"/>
      </w:r>
      <w:r w:rsidRPr="00C57A68">
        <w:rPr>
          <w:rFonts w:cstheme="minorHAnsi"/>
          <w:noProof/>
        </w:rPr>
        <w:t>(Carrere et al., 2012)</w:t>
      </w:r>
      <w:r w:rsidRPr="00C57A68">
        <w:rPr>
          <w:rFonts w:cstheme="minorHAnsi"/>
          <w:noProof/>
        </w:rPr>
        <w:fldChar w:fldCharType="end"/>
      </w:r>
      <w:r w:rsidRPr="00C57A68">
        <w:rPr>
          <w:rFonts w:cstheme="minorHAnsi"/>
          <w:noProof/>
        </w:rPr>
        <w:t xml:space="preserve"> and river discharge </w:t>
      </w:r>
      <w:r w:rsidRPr="00C57A68">
        <w:rPr>
          <w:rFonts w:cstheme="minorHAnsi"/>
          <w:noProof/>
        </w:rPr>
        <w:fldChar w:fldCharType="begin" w:fldLock="1"/>
      </w:r>
      <w:r w:rsidRPr="00C57A68">
        <w:rPr>
          <w:rFonts w:cstheme="minorHAnsi"/>
          <w:noProof/>
        </w:rPr>
        <w:instrText>ADDIN CSL_CITATION {"citationItems":[{"id":"ITEM-1","itemData":{"DOI":"10.1029/1999gb001254","ISSN":"08866236","abstract":"This paper demonstrates the potential of combining observed river discharge information with climate-driven water balance model (WBM) outputs to develop composite runoff fields. Such combined runoff fields simultaneously reflect the numerical accuracy of the discharge measurements and preserve the spatial and temporal distribution of simulated runoff. Selected gauging stations from the World Meteorological Organization Global Runoff Data Centre (GRDC) data archive were geographically coregistered to a gridded simulated topological network at 30′ (longitude × latitude) spatial resolution (STN-30p). Interstation regions between gauging stations along the STN-30p network were identified, and annual interstation runoff was calculated. The annual interstation runoff was compared with outputs from WBM calculations, which were performed using long-term mean monthly climate forcings (air temperature and precipitation). The simulated runoff for each cell was multiplied by the ratio of observed to simulated runoff of the corresponding interstation region from the GRDC data set to create spatially distributed runoff fields at 30′ resolution. The resulting composite runoff fields (UNH/GRDC Composite Runoff Fields V1.0) are released to the scientific community along with intermediate data sets, such as station attributes and long-term monthly regimes of the selected gauging stations, the simulated topological network (STN-30p), STN-30p derived attributes for the selected stations, and gridded fields of the interstation regions along STN-30p. These data sets represent high-resolution fields that are of value to a broad range of water-related research, including terrestrial modeling, climate-atmosphere interactions, and global water resource assessments.","author":[{"dropping-particle":"","family":"Fekete","given":"Balázs M.","non-dropping-particle":"","parse-names":false,"suffix":""},{"dropping-particle":"","family":"Vörösmarty","given":"Charles J.","non-dropping-particle":"","parse-names":false,"suffix":""},{"dropping-particle":"","family":"Grabs","given":"Wolfgang","non-dropping-particle":"","parse-names":false,"suffix":""}],"container-title":"Global Biogeochemical Cycles","id":"ITEM-1","issue":"3","issued":{"date-parts":[["2002"]]},"page":"15-1-15-10","title":"High-resolution fields of global runoff combining observed river discharge and simulated water balances","type":"article-journal","volume":"16"},"uris":["http://www.mendeley.com/documents/?uuid=ee823cfc-775b-46c3-838c-3c8934b8d17c"]}],"mendeley":{"formattedCitation":"(Fekete et al., 2002)","plainTextFormattedCitation":"(Fekete et al., 2002)","previouslyFormattedCitation":"(Fekete et al., 2002)"},"properties":{"noteIndex":0},"schema":"https://github.com/citation-style-language/schema/raw/master/csl-citation.json"}</w:instrText>
      </w:r>
      <w:r w:rsidRPr="00C57A68">
        <w:rPr>
          <w:rFonts w:cstheme="minorHAnsi"/>
          <w:noProof/>
        </w:rPr>
        <w:fldChar w:fldCharType="separate"/>
      </w:r>
      <w:r w:rsidRPr="00C57A68">
        <w:rPr>
          <w:rFonts w:cstheme="minorHAnsi"/>
          <w:noProof/>
        </w:rPr>
        <w:t>(Fekete et al., 2002)</w:t>
      </w:r>
      <w:r w:rsidRPr="00C57A68">
        <w:rPr>
          <w:rFonts w:cstheme="minorHAnsi"/>
          <w:noProof/>
        </w:rPr>
        <w:fldChar w:fldCharType="end"/>
      </w:r>
      <w:r w:rsidRPr="00C57A68">
        <w:rPr>
          <w:rFonts w:cstheme="minorHAnsi"/>
          <w:noProof/>
        </w:rPr>
        <w:t>.</w:t>
      </w:r>
    </w:p>
    <w:p w14:paraId="618F1281" w14:textId="77777777" w:rsidR="00344027" w:rsidRPr="00C57A68" w:rsidRDefault="00344027" w:rsidP="00344027">
      <w:pPr>
        <w:spacing w:line="480" w:lineRule="auto"/>
        <w:rPr>
          <w:rFonts w:cstheme="minorHAnsi"/>
          <w:noProof/>
        </w:rPr>
      </w:pPr>
    </w:p>
    <w:p w14:paraId="48C5D912" w14:textId="7C8F5A86" w:rsidR="00344027" w:rsidRPr="00392131" w:rsidRDefault="00344027" w:rsidP="00344027">
      <w:pPr>
        <w:spacing w:line="480" w:lineRule="auto"/>
        <w:rPr>
          <w:rFonts w:cstheme="minorHAnsi"/>
          <w:sz w:val="22"/>
        </w:rPr>
      </w:pPr>
      <w:r w:rsidRPr="00C57A68">
        <w:rPr>
          <w:rFonts w:cstheme="minorHAnsi"/>
        </w:rPr>
        <w:t>Parametric (multiple linear regression) and machine learning (random forest) approaches were contrasted to test which better predicted both current soil C</w:t>
      </w:r>
      <w:r w:rsidRPr="00C57A68">
        <w:rPr>
          <w:rFonts w:cstheme="minorHAnsi"/>
          <w:vertAlign w:val="subscript"/>
        </w:rPr>
        <w:t>100</w:t>
      </w:r>
      <w:r w:rsidRPr="00C57A68">
        <w:rPr>
          <w:rFonts w:cstheme="minorHAnsi"/>
        </w:rPr>
        <w:t xml:space="preserve"> stocks and CSR datasets. Measurement and conversion equation uncertainties that were compiled from literature were included as inverse weights in both linear and random forest modelling to account for reported sampling uncertainty. Log10 transformation was performed on response data for linear regression analyses </w:t>
      </w:r>
      <w:r w:rsidRPr="00C57A68">
        <w:rPr>
          <w:rFonts w:cstheme="minorHAnsi"/>
          <w:noProof/>
        </w:rPr>
        <w:t xml:space="preserve">to comply with regression assumptions and predictors were chosen based on stepwise regression. Linear regression multicolinearity was addresed by removing explanatory variables with a variance inflation factor &gt; 3.3 </w:t>
      </w:r>
      <w:r w:rsidRPr="00C57A68">
        <w:rPr>
          <w:rFonts w:cstheme="minorHAnsi"/>
          <w:noProof/>
        </w:rPr>
        <w:fldChar w:fldCharType="begin" w:fldLock="1"/>
      </w:r>
      <w:r w:rsidRPr="00C57A68">
        <w:rPr>
          <w:rFonts w:cstheme="minorHAnsi"/>
          <w:noProof/>
        </w:rPr>
        <w:instrText>ADDIN CSL_CITATION {"citationItems":[{"id":"ITEM-1","itemData":{"DOI":"10.17705/1jais.00302","ISSN":"15369323","abstract":"Variance-based structural equation modeling is extensively used in information systems research, and many related findings may have been distorted by hidden collinearity. This is a problem that may extend to multivariate analyses, in general, in the field of information systems as well as in many other fields. In multivariate analyses, collinearity is usually assessed as a predictor-predictor relationship phenomenon, where two or more predictors are checked for redundancy. This type of assessment addresses vertical, or \"classic\", collinearity. However, another type of collinearity may also exist, here called \"lateral\" collinearity. It refers to predictor-criterion collinearity. Lateral collinearity problems are exemplified based on an illustrative variance-based structural equation modeling analysis. The analysis employs WarpPLS 2.0, with the results double-checked with other statistical analysis software tools. It is shown that standard validity and reliability tests do not properly capture lateral collinearity. A new approach for the assessment of both vertical and lateral collinearity in variance-based structural equation modeling is proposed and demonstrated in the context of the illustrative analysis.","author":[{"dropping-particle":"","family":"Kock","given":"Ned","non-dropping-particle":"","parse-names":false,"suffix":""},{"dropping-particle":"","family":"Lynn","given":"Gary S.","non-dropping-particle":"","parse-names":false,"suffix":""}],"container-title":"Journal of the Association for Information Systems","id":"ITEM-1","issue":"7","issued":{"date-parts":[["2012"]]},"page":"546-580","title":"Lateral collinearity and misleading results in variance-based SEM: An illustration and recommendations","type":"article-journal","volume":"13"},"uris":["http://www.mendeley.com/documents/?uuid=19317e99-edaa-4888-a580-d8937c17b45f"]}],"mendeley":{"formattedCitation":"(Kock and Lynn, 2012)","plainTextFormattedCitation":"(Kock and Lynn, 2012)","previouslyFormattedCitation":"(Kock and Lynn, 2012)"},"properties":{"noteIndex":0},"schema":"https://github.com/citation-style-language/schema/raw/master/csl-citation.json"}</w:instrText>
      </w:r>
      <w:r w:rsidRPr="00C57A68">
        <w:rPr>
          <w:rFonts w:cstheme="minorHAnsi"/>
          <w:noProof/>
        </w:rPr>
        <w:fldChar w:fldCharType="separate"/>
      </w:r>
      <w:r w:rsidRPr="00C57A68">
        <w:rPr>
          <w:rFonts w:cstheme="minorHAnsi"/>
          <w:noProof/>
        </w:rPr>
        <w:t>(Kock and Lynn, 2012)</w:t>
      </w:r>
      <w:r w:rsidRPr="00C57A68">
        <w:rPr>
          <w:rFonts w:cstheme="minorHAnsi"/>
          <w:noProof/>
        </w:rPr>
        <w:fldChar w:fldCharType="end"/>
      </w:r>
      <w:r w:rsidRPr="00C57A68">
        <w:rPr>
          <w:rFonts w:cstheme="minorHAnsi"/>
          <w:noProof/>
        </w:rPr>
        <w:t xml:space="preserve">. Random forest models were built using the randomForest package in R. Random forests are not subject to assumptions of normaility and multicolinearity, therefore, all predictors were used and response data were not transformed. Both linear and random forest model out of sample performance was tested by k-fold cross validation </w:t>
      </w:r>
      <w:r w:rsidRPr="00C57A68">
        <w:rPr>
          <w:rFonts w:cstheme="minorHAnsi"/>
          <w:noProof/>
        </w:rPr>
        <w:lastRenderedPageBreak/>
        <w:t xml:space="preserve">using an 80-20% training-test split </w:t>
      </w:r>
      <w:r w:rsidRPr="00C57A68">
        <w:rPr>
          <w:rFonts w:cstheme="minorHAnsi"/>
          <w:noProof/>
        </w:rPr>
        <w:fldChar w:fldCharType="begin" w:fldLock="1"/>
      </w:r>
      <w:r w:rsidR="008A48C6" w:rsidRPr="00C57A68">
        <w:rPr>
          <w:rFonts w:cstheme="minorHAnsi"/>
          <w:noProof/>
        </w:rPr>
        <w:instrText>ADDIN CSL_CITATION {"citationItems":[{"id":"ITEM-1","itemData":{"DOI":"10.1109/USBEREIT.2019.8736679","ISBN":"9781538683644","abstract":"Due to serious health concerns, recently air quality monitoring and advance prediction model development have become a key focus for researchers. In view of prediction models, Ensemble data mining tool Random Forest was employed to predict the concentration of Nitrogen Dioxide (NO2) in air. For this paper, the monitoring dataset of emission inventory and meteorological parameters was analyzed as input predictors. While, the prediction performance of the model was calculated by using evaluation measures namely Correlation coefficient (R2), Root Mean Squared Error (RMSE) and Relative Absolute Error (RAE). The model performance was validated by comparing the results with two well-known classification algorithms known as M5P and Support Vector Machines (SVM) for regression. The models were further assessed under different filtering techniques such as Principle Component Analysis and Relief Attribute Evaluator. The results obtained suggest that the performance of Random Forest to predict the atmospheric concentration of NO2 is better than other two data mining approaches.","author":[{"dropping-particle":"","family":"Masih","given":"Adven","non-dropping-particle":"","parse-names":false,"suffix":""}],"container-title":"Proceedings - 2019 Ural Symposium on Biomedical Engineering, Radioelectronics and Information Technology, USBEREIT 2019","id":"ITEM-1","issued":{"date-parts":[["2019"]]},"page":"252-255","title":"Application of Random Forest Algorithm to Predict the Atmospheric Concentration of NO2","type":"article-journal"},"uris":["http://www.mendeley.com/documents/?uuid=84bfc206-e7b3-4784-b0a0-75cc5a0dc1e9"]},{"id":"ITEM-2","itemData":{"DOI":"10.1038/s41558-018-0162-5","ISBN":"4155801801625","ISSN":"17586798","abstract":"Global-scale variation in mangrove ecosystem properties has been explained using a conceptual framework linking geomorphological processes to distinct coastal environmental settings (CES) for nearly 50 years. However, these assumptions have not been empirically tested at the global scale. Here, we show that CES account for global variability in mangrove soil C:N:P stoichiometry and soil organic carbon (SOC) stocks. Using this ecogeomorphology framework, we developed a global model that captures variation in mangrove SOC stocks compatible with distinct CES. We show that mangrove SOC stocks have been underestimated by up to 50% (a difference of roughly 200 Mg ha−1) in carbonate settings and overestimated by up to 86% (around 400 Mg ha−1) in deltaic coastlines. Moreover, we provide information for 57 nations that currently lack SOC data, enabling these and other countries to develop or evaluate their blue carbon inventories.","author":[{"dropping-particle":"","family":"Rovai","given":"André S.","non-dropping-particle":"","parse-names":false,"suffix":""},{"dropping-particle":"","family":"Twilley","given":"Robert R.","non-dropping-particle":"","parse-names":false,"suffix":""},{"dropping-particle":"","family":"Castañeda-Moya","given":"Edward","non-dropping-particle":"","parse-names":false,"suffix":""},{"dropping-particle":"","family":"Riul","given":"Pablo","non-dropping-particle":"","parse-names":false,"suffix":""},{"dropping-particle":"","family":"Cifuentes-Jara","given":"Miguel","non-dropping-particle":"","parse-names":false,"suffix":""},{"dropping-particle":"","family":"Manrow-Villalobos","given":"Marilyn","non-dropping-particle":"","parse-names":false,"suffix":""},{"dropping-particle":"","family":"Horta","given":"Paulo A.","non-dropping-particle":"","parse-names":false,"suffix":""},{"dropping-particle":"","family":"Simonassi","given":"José C.","non-dropping-particle":"","parse-names":false,"suffix":""},{"dropping-particle":"","family":"Fonseca","given":"Alessandra L.","non-dropping-particle":"","parse-names":false,"suffix":""},{"dropping-particle":"","family":"Pagliosa","given":"Paulo R.","non-dropping-particle":"","parse-names":false,"suffix":""}],"container-title":"Nature Climate Change","id":"ITEM-2","issue":"6","issued":{"date-parts":[["2018","6","28"]]},"page":"534-538","publisher":"Nature Publishing Group","title":"Global controls on carbon storage in mangrove soils","type":"article-journal","volume":"8"},"uris":["http://www.mendeley.com/documents/?uuid=e218dcd6-b535-3f7d-a08f-4983ee271d59"]}],"mendeley":{"formattedCitation":"(Masih, 2019; Rovai et al., 2018)","plainTextFormattedCitation":"(Masih, 2019; Rovai et al., 2018)","previouslyFormattedCitation":"(Masih, 2019; Rovai et al., 2018)"},"properties":{"noteIndex":0},"schema":"https://github.com/citation-style-language/schema/raw/master/csl-citation.json"}</w:instrText>
      </w:r>
      <w:r w:rsidRPr="00C57A68">
        <w:rPr>
          <w:rFonts w:cstheme="minorHAnsi"/>
          <w:noProof/>
        </w:rPr>
        <w:fldChar w:fldCharType="separate"/>
      </w:r>
      <w:r w:rsidR="008A48C6" w:rsidRPr="00C57A68">
        <w:rPr>
          <w:rFonts w:cstheme="minorHAnsi"/>
          <w:noProof/>
        </w:rPr>
        <w:t>(Masih, 2019; Rovai et al., 2018)</w:t>
      </w:r>
      <w:r w:rsidRPr="00C57A68">
        <w:rPr>
          <w:rFonts w:cstheme="minorHAnsi"/>
          <w:noProof/>
        </w:rPr>
        <w:fldChar w:fldCharType="end"/>
      </w:r>
      <w:r w:rsidRPr="00C57A68">
        <w:rPr>
          <w:rFonts w:cstheme="minorHAnsi"/>
          <w:noProof/>
        </w:rPr>
        <w:t xml:space="preserve">. </w:t>
      </w:r>
      <w:r w:rsidRPr="00C57A68">
        <w:rPr>
          <w:rFonts w:cstheme="minorHAnsi"/>
        </w:rPr>
        <w:t>All statistical analysis was performed using R 3.6.2 software.</w:t>
      </w:r>
    </w:p>
    <w:p w14:paraId="69256B31" w14:textId="77777777" w:rsidR="00344027" w:rsidRPr="00392131" w:rsidRDefault="00344027" w:rsidP="00344027">
      <w:pPr>
        <w:spacing w:line="480" w:lineRule="auto"/>
        <w:rPr>
          <w:rFonts w:cstheme="minorHAnsi"/>
          <w:sz w:val="22"/>
        </w:rPr>
      </w:pPr>
    </w:p>
    <w:p w14:paraId="5B8E26F8" w14:textId="2C15C7C1" w:rsidR="00344027" w:rsidRPr="00344027" w:rsidRDefault="00344027" w:rsidP="00344027">
      <w:pPr>
        <w:pStyle w:val="Heading3"/>
        <w:ind w:left="567" w:hanging="567"/>
        <w:rPr>
          <w:rFonts w:asciiTheme="minorHAnsi" w:hAnsiTheme="minorHAnsi" w:cstheme="minorHAnsi"/>
          <w:b/>
          <w:bCs/>
          <w:color w:val="000000" w:themeColor="text1"/>
        </w:rPr>
      </w:pPr>
      <w:bookmarkStart w:id="59" w:name="_Toc120622147"/>
      <w:r w:rsidRPr="00344027">
        <w:rPr>
          <w:rFonts w:asciiTheme="minorHAnsi" w:hAnsiTheme="minorHAnsi" w:cstheme="minorHAnsi"/>
          <w:b/>
          <w:bCs/>
          <w:color w:val="000000" w:themeColor="text1"/>
        </w:rPr>
        <w:t>5.3.3</w:t>
      </w:r>
      <w:r w:rsidRPr="00344027">
        <w:rPr>
          <w:rFonts w:asciiTheme="minorHAnsi" w:hAnsiTheme="minorHAnsi" w:cstheme="minorHAnsi"/>
          <w:b/>
          <w:bCs/>
          <w:color w:val="000000" w:themeColor="text1"/>
        </w:rPr>
        <w:tab/>
        <w:t>Present day stocks and soil sequestration rates</w:t>
      </w:r>
      <w:bookmarkEnd w:id="59"/>
    </w:p>
    <w:p w14:paraId="7779CEB5" w14:textId="54C79FD0" w:rsidR="00344027" w:rsidRPr="00C57A68" w:rsidRDefault="00344027" w:rsidP="00344027">
      <w:pPr>
        <w:spacing w:line="480" w:lineRule="auto"/>
        <w:rPr>
          <w:rFonts w:cstheme="minorHAnsi"/>
        </w:rPr>
      </w:pPr>
      <w:r w:rsidRPr="00C57A68">
        <w:rPr>
          <w:rFonts w:cstheme="minorHAnsi"/>
        </w:rPr>
        <w:t>The global mangrove mask</w:t>
      </w:r>
      <w:r w:rsidRPr="00C57A68">
        <w:rPr>
          <w:rFonts w:cstheme="minorHAnsi"/>
          <w:b/>
          <w:bCs/>
        </w:rPr>
        <w:t xml:space="preserve"> </w:t>
      </w:r>
      <w:r w:rsidRPr="00C57A68">
        <w:rPr>
          <w:rFonts w:cstheme="minorHAnsi"/>
        </w:rPr>
        <w:t xml:space="preserve">reported by Hamilton and Casey (2016) was assumed to be present day global mangrove coverage. For the purposes of this study, 2012 was selected as it was the latest previously published global mangrove extent map. As the study aimed to estimate national scale stocks and CSR, the original ~30x30m pixel spatial resolution was converted to ~3000x3000m by resampling points. This level of resolution was selected as it reduced computational time significantly, still represented a high enough detail to discern country level changes in climate and was comparable to previous global and country level mangrove modelling work. For example, </w:t>
      </w:r>
      <w:proofErr w:type="spellStart"/>
      <w:r w:rsidRPr="00C57A68">
        <w:rPr>
          <w:rFonts w:cstheme="minorHAnsi"/>
        </w:rPr>
        <w:t>Rovai</w:t>
      </w:r>
      <w:proofErr w:type="spellEnd"/>
      <w:r w:rsidRPr="00C57A68">
        <w:rPr>
          <w:rFonts w:cstheme="minorHAnsi"/>
        </w:rPr>
        <w:t xml:space="preserve"> et al. (2018) used a ~25km pixel resolution when predicting mangrove soil carbon stocks globally, Zeng et al. (2021) used a 1km spatial resolution when investigating country level emissions in mangroves; and Hutchinson et al. (2014) aboveground mangrove biomass to a 30 arc-second (1km) resolution. Aboveground biomass (Mg ha</w:t>
      </w:r>
      <w:r w:rsidRPr="00C57A68">
        <w:rPr>
          <w:rFonts w:cstheme="minorHAnsi"/>
          <w:vertAlign w:val="superscript"/>
        </w:rPr>
        <w:t>-1</w:t>
      </w:r>
      <w:r w:rsidRPr="00C57A68">
        <w:rPr>
          <w:rFonts w:cstheme="minorHAnsi"/>
        </w:rPr>
        <w:t>) for all global mangrove pixels was estimated using a previously developed climate predictive model (AGB t ha</w:t>
      </w:r>
      <w:r w:rsidRPr="00C57A68">
        <w:rPr>
          <w:rFonts w:cstheme="minorHAnsi"/>
          <w:vertAlign w:val="superscript"/>
        </w:rPr>
        <w:t>-1</w:t>
      </w:r>
      <w:r w:rsidRPr="00C57A68">
        <w:rPr>
          <w:rFonts w:cstheme="minorHAnsi"/>
        </w:rPr>
        <w:t xml:space="preserve"> = 0.295Bio10 + 0.658Bio11 + 0.023Bio16 + 0.195Bio17 – 120.3 </w:t>
      </w:r>
      <w:r w:rsidRPr="00C57A68">
        <w:rPr>
          <w:rFonts w:cstheme="minorHAnsi"/>
        </w:rPr>
        <w:fldChar w:fldCharType="begin" w:fldLock="1"/>
      </w:r>
      <w:r w:rsidRPr="00C57A68">
        <w:rPr>
          <w:rFonts w:cstheme="minorHAnsi"/>
        </w:rPr>
        <w:instrText>ADDIN CSL_CITATION {"citationItems":[{"id":"ITEM-1","itemData":{"DOI":"10.1111/conl.12060","ISBN":"1755-263X","ISSN":"1755263X","abstract":"Understanding spatial variation in carbon storage in natural habitats is critical for climate change mitigation efforts such as REDD. Terrestrial forests are being mapped with increasing accuracy, but the distribution of ``blue carbon'' in marine ecosystems remains poorly understood. We reviewed the literature to obtain field data on carbon storage and fluxes in mangroves world-wide. Using this material we developed a climate-based model for potential mangrove above-ground biomass (AGB) with almost four times the explanatory power of the only previous published model. From this model, we present the first ever global map of potential mangrove AGB and estimate a total global mangrove AGB of 2.83 Pg, with an average of 184.8 t ha−1. Data on other carbon stocks and fluxes confirm the importance of mangroves in carbon accounting. The map highlights the high variability in mangrove AGB and indicates areas that should be prioritised for mangrove conservation and restoration.","author":[{"dropping-particle":"","family":"Hutchison","given":"James","non-dropping-particle":"","parse-names":false,"suffix":""},{"dropping-particle":"","family":"Manica","given":"Andrea","non-dropping-particle":"","parse-names":false,"suffix":""},{"dropping-particle":"","family":"Swetnam","given":"Ruth","non-dropping-particle":"","parse-names":false,"suffix":""},{"dropping-particle":"","family":"Balmford","given":"Andrew","non-dropping-particle":"","parse-names":false,"suffix":""},{"dropping-particle":"","family":"Spalding","given":"Mark","non-dropping-particle":"","parse-names":false,"suffix":""}],"container-title":"Conservation Letters","id":"ITEM-1","issue":"3","issued":{"date-parts":[["2014","5"]]},"page":"233-240","title":"Predicting global patterns in mangrove forest biomass","type":"article-journal","volume":"7"},"uris":["http://www.mendeley.com/documents/?uuid=c0cc1011-f931-3578-8f2c-56c7f7c458c6"]}],"mendeley":{"formattedCitation":"(Hutchison et al., 2014)","plainTextFormattedCitation":"(Hutchison et al., 2014)","previouslyFormattedCitation":"(Hutchison et al., 2014)"},"properties":{"noteIndex":0},"schema":"https://github.com/citation-style-language/schema/raw/master/csl-citation.json"}</w:instrText>
      </w:r>
      <w:r w:rsidRPr="00C57A68">
        <w:rPr>
          <w:rFonts w:cstheme="minorHAnsi"/>
        </w:rPr>
        <w:fldChar w:fldCharType="separate"/>
      </w:r>
      <w:r w:rsidRPr="00C57A68">
        <w:rPr>
          <w:rFonts w:cstheme="minorHAnsi"/>
          <w:noProof/>
        </w:rPr>
        <w:t>(Hutchison et al., 2014)</w:t>
      </w:r>
      <w:r w:rsidRPr="00C57A68">
        <w:rPr>
          <w:rFonts w:cstheme="minorHAnsi"/>
        </w:rPr>
        <w:fldChar w:fldCharType="end"/>
      </w:r>
      <w:r w:rsidRPr="00C57A68">
        <w:rPr>
          <w:rFonts w:cstheme="minorHAnsi"/>
        </w:rPr>
        <w:t xml:space="preserve">. Where Bio 10 and 11 are the mean temperatures of the warmest and coldest quarters of the year, respectively, and Bio16 and 17 are precipitation in the wettest and driest quarters, respectively. Below ground biomass was estimated using a total above to below ground biomass allocation ratio of 0.5 </w:t>
      </w:r>
      <w:r w:rsidRPr="00C57A68">
        <w:rPr>
          <w:rFonts w:cstheme="minorHAnsi"/>
        </w:rPr>
        <w:fldChar w:fldCharType="begin" w:fldLock="1"/>
      </w:r>
      <w:r w:rsidRPr="00C57A68">
        <w:rPr>
          <w:rFonts w:cstheme="minorHAnsi"/>
        </w:rPr>
        <w:instrText>ADDIN CSL_CITATION {"citationItems":[{"id":"ITEM-1","itemData":{"DOI":"10.1038/s41558-018-0090-4","ISSN":"17586798","abstract":"Mangrove forests store high densitie of organic carbon, which, when coupled with high rates of deforestation, means that mangroves have the potential to contribute substantially to carbon emissions. Consequently, mangroves are strong candidates for inclusion in nationally determined contributions (NDCs) to the United Nations Framework Convention on Climate Change (UNFCCC), and payments for ecosystem services (PES) programmes that financially incentivize the conservation of forested carbon stocks. This study quantifies annual mangrove carbon stocks from 2000 to 2012 at the global, national and sub-national levels, and global carbon emissions resulting from deforestation over the same time period. Globally, mangroves stored 4.19 Pg of carbon in 2012, with Indonesia, Brazil, Malaysia and Papua New Guinea accounting for more than 50% of the global stock. 2.96 Pg of the global carbon stock is contained within the soil and 1.23 Pg in the living biomass. Two percent of global mangrove carbon was lost between 2000 and 2012, equivalent to a maximum potential of 316,996,250 t of CO2 emissions.","author":[{"dropping-particle":"","family":"Hamilton","given":"Stuart E.","non-dropping-particle":"","parse-names":false,"suffix":""},{"dropping-particle":"","family":"Friess","given":"Daniel A.","non-dropping-particle":"","parse-names":false,"suffix":""}],"container-title":"Nature Climate Change","id":"ITEM-1","issue":"3","issued":{"date-parts":[["2018"]]},"page":"240-244","title":"Global carbon stocks and potential emissions due to mangrove deforestation from 2000 to 2012","type":"article-journal","volume":"8"},"uris":["http://www.mendeley.com/documents/?uuid=8f9f1530-8aac-3063-b6ac-d0e087d212e4"]}],"mendeley":{"formattedCitation":"(Hamilton and Friess, 2018)","plainTextFormattedCitation":"(Hamilton and Friess, 2018)","previouslyFormattedCitation":"(Hamilton and Friess, 2018)"},"properties":{"noteIndex":0},"schema":"https://github.com/citation-style-language/schema/raw/master/csl-citation.json"}</w:instrText>
      </w:r>
      <w:r w:rsidRPr="00C57A68">
        <w:rPr>
          <w:rFonts w:cstheme="minorHAnsi"/>
        </w:rPr>
        <w:fldChar w:fldCharType="separate"/>
      </w:r>
      <w:r w:rsidRPr="00C57A68">
        <w:rPr>
          <w:rFonts w:cstheme="minorHAnsi"/>
          <w:noProof/>
        </w:rPr>
        <w:t>(Hamilton and Friess, 2018)</w:t>
      </w:r>
      <w:r w:rsidRPr="00C57A68">
        <w:rPr>
          <w:rFonts w:cstheme="minorHAnsi"/>
        </w:rPr>
        <w:fldChar w:fldCharType="end"/>
      </w:r>
      <w:r w:rsidRPr="00C57A68">
        <w:rPr>
          <w:rFonts w:cstheme="minorHAnsi"/>
        </w:rPr>
        <w:t xml:space="preserve">. Model residuals reported by Hutchinson et al. (2014) were used to propagate aboveground biomass standard errors. Uncertainties were multiplied by 1.96 and either added or subtracted from mean predicted values to calculate upper and lower 95% confidence </w:t>
      </w:r>
      <w:r w:rsidRPr="00C57A68">
        <w:rPr>
          <w:rFonts w:cstheme="minorHAnsi"/>
        </w:rPr>
        <w:lastRenderedPageBreak/>
        <w:t xml:space="preserve">intervals (CI’s) for above and below ground model outputs </w:t>
      </w:r>
      <w:r w:rsidRPr="00C57A68">
        <w:rPr>
          <w:rFonts w:cstheme="minorHAnsi"/>
        </w:rPr>
        <w:fldChar w:fldCharType="begin" w:fldLock="1"/>
      </w:r>
      <w:r w:rsidRPr="00C57A68">
        <w:rPr>
          <w:rFonts w:cstheme="minorHAnsi"/>
        </w:rPr>
        <w:instrText>ADDIN CSL_CITATION {"citationItems":[{"id":"ITEM-1","itemData":{"ISBN":"978-0-9571741-3-9","abstract":"This book presents Generalized Linear Models (GLM) and Generalized Linear Mixed Models (GLMM) based on both frequency-based and Bayesian concepts.","author":[{"dropping-particle":"","family":"Zuur","given":"Alain F","non-dropping-particle":"","parse-names":false,"suffix":""},{"dropping-particle":"","family":"Hilbe","given":"Joseph M","non-dropping-particle":"","parse-names":false,"suffix":""},{"dropping-particle":"","family":"Ieno","given":"Elena N","non-dropping-particle":"","parse-names":false,"suffix":""}],"container-title":"Beginner's Guide Series","id":"ITEM-1","issued":{"date-parts":[["2013"]]},"number-of-pages":"253","title":"A Beginner’s Guide to GLM and GLMM with R","type":"book"},"uris":["http://www.mendeley.com/documents/?uuid=dcfe2837-be58-40f5-bb15-8f6244a8704e"]}],"mendeley":{"formattedCitation":"(Zuur et al., 2013)","plainTextFormattedCitation":"(Zuur et al., 2013)","previouslyFormattedCitation":"(Zuur et al., 2013)"},"properties":{"noteIndex":0},"schema":"https://github.com/citation-style-language/schema/raw/master/csl-citation.json"}</w:instrText>
      </w:r>
      <w:r w:rsidRPr="00C57A68">
        <w:rPr>
          <w:rFonts w:cstheme="minorHAnsi"/>
        </w:rPr>
        <w:fldChar w:fldCharType="separate"/>
      </w:r>
      <w:r w:rsidRPr="00C57A68">
        <w:rPr>
          <w:rFonts w:cstheme="minorHAnsi"/>
          <w:noProof/>
        </w:rPr>
        <w:t>(Zuur et al., 2013)</w:t>
      </w:r>
      <w:r w:rsidRPr="00C57A68">
        <w:rPr>
          <w:rFonts w:cstheme="minorHAnsi"/>
        </w:rPr>
        <w:fldChar w:fldCharType="end"/>
      </w:r>
      <w:r w:rsidRPr="00C57A68">
        <w:rPr>
          <w:rFonts w:cstheme="minorHAnsi"/>
        </w:rPr>
        <w:t xml:space="preserve">. Above and below ground tree biomass estimates and CI’s were then converted into above and below ground tree C stock using 0.48 and 0.39 conversion factors respectively </w:t>
      </w:r>
      <w:r w:rsidRPr="00C57A68">
        <w:rPr>
          <w:rFonts w:cstheme="minorHAnsi"/>
        </w:rPr>
        <w:fldChar w:fldCharType="begin" w:fldLock="1"/>
      </w:r>
      <w:r w:rsidRPr="00C57A68">
        <w:rPr>
          <w:rFonts w:cstheme="minorHAnsi"/>
        </w:rPr>
        <w:instrText>ADDIN CSL_CITATION {"citationItems":[{"id":"ITEM-1","itemData":{"DOI":"10.1002/eap.1489","ISSN":"19395582","abstract":"Coastal ecosystems produce and sequester significant amounts of carbon (\"blue carbon\"), which has been well documented in humid and semi-humid regions of temperate and tropical climates but less so in arid regions where mangroves, marshes, and seagrasses exist near the limit of their tolerance for extreme temperature and salinity. To better understand these unique systems, we measured whole-ecosystem carbon stocks in 58 sites across the United Arab Emirates (UAE) in natural and planted mangroves, salt marshes, seagrass beds, microbial mats, and coastal sabkha (inter- and supratidal unvegetated salt flats). Natural mangroves held significantly more carbon in above- and belowground biomass than other vegetated ecosystems. Planted mangrove carbon stocks increased with age, but there were large differences for sites of similar age. Soil carbon varied widely across sites (2-367 Mg C/ha), with ecosystem averages that ranged from 49 to 156 Mg C/ha. For the first time, microbial mats were documented to contain soil carbon pools comparable to vascular plant-dominated ecosystems, and could arguably be recognized as a unique blue carbon ecosystem. Total ecosystem carbon stocks ranged widely from 2 to 515 Mg C/ha (seagrass bed and mangrove, respectively). Seagrass beds had the lowest carbon stock per unit area, but the largest stock per total area due to their large spatial coverage. Compared to similar ecosystems globally, mangroves and marshes in the UAE have lower plant and soil carbon stocks; however, the difference in soil stocks is far larger than with plant stocks. This incongruent difference between stocks is likely due to poor carbon preservation under conditions of weakly reduced soils (200-350 mV), coarse-grained sediments, and active shoreline migration. This work represents the first attempt to produce a country-wide coastal ecosystem carbon accounting using a uniform sampling protocol, and was motivated by specific policy goals identified by the Abu Dhabi Global Environmental Data Initiative. These carbon stock data supported two objectives: to quantify carbon stocks and infer sequestration capacity in arid blue carbon ecosystems, and to explore the potential to incorporate blue carbon science into national reporting and planning documents. © 2016 by the Ecological Society of America.","author":[{"dropping-particle":"","family":"Schile","given":"Lisa M.","non-dropping-particle":"","parse-names":false,"suffix":""},{"dropping-particle":"","family":"Kauffman","given":"J. Boone","non-dropping-particle":"","parse-names":false,"suffix":""},{"dropping-particle":"","family":"Crooks","given":"Stephen","non-dropping-particle":"","parse-names":false,"suffix":""},{"dropping-particle":"","family":"Fourqurean","given":"James W.","non-dropping-particle":"","parse-names":false,"suffix":""},{"dropping-particle":"","family":"Glavan","given":"Jane","non-dropping-particle":"","parse-names":false,"suffix":""},{"dropping-particle":"","family":"Megonigal","given":"J. Patrick","non-dropping-particle":"","parse-names":false,"suffix":""}],"container-title":"Ecological Applications","id":"ITEM-1","issue":"3","issued":{"date-parts":[["2017"]]},"page":"859-874","title":"Limits on carbon sequestration in arid blue carbon ecosystems","type":"article-journal","volume":"27"},"uris":["http://www.mendeley.com/documents/?uuid=c37893be-f79d-4cb3-b5d3-f043469db703"]}],"mendeley":{"formattedCitation":"(Schile et al., 2017)","plainTextFormattedCitation":"(Schile et al., 2017)","previouslyFormattedCitation":"(Schile et al., 2017)"},"properties":{"noteIndex":0},"schema":"https://github.com/citation-style-language/schema/raw/master/csl-citation.json"}</w:instrText>
      </w:r>
      <w:r w:rsidRPr="00C57A68">
        <w:rPr>
          <w:rFonts w:cstheme="minorHAnsi"/>
        </w:rPr>
        <w:fldChar w:fldCharType="separate"/>
      </w:r>
      <w:r w:rsidRPr="00C57A68">
        <w:rPr>
          <w:rFonts w:cstheme="minorHAnsi"/>
          <w:noProof/>
        </w:rPr>
        <w:t>(Schile et al., 2017)</w:t>
      </w:r>
      <w:r w:rsidRPr="00C57A68">
        <w:rPr>
          <w:rFonts w:cstheme="minorHAnsi"/>
        </w:rPr>
        <w:fldChar w:fldCharType="end"/>
      </w:r>
      <w:r w:rsidRPr="00C57A68">
        <w:rPr>
          <w:rFonts w:cstheme="minorHAnsi"/>
        </w:rPr>
        <w:t>. Using our newly derived predictive model, soil C</w:t>
      </w:r>
      <w:r w:rsidRPr="00C57A68">
        <w:rPr>
          <w:rFonts w:cstheme="minorHAnsi"/>
          <w:vertAlign w:val="subscript"/>
        </w:rPr>
        <w:t>100</w:t>
      </w:r>
      <w:r w:rsidRPr="00C57A68">
        <w:rPr>
          <w:rFonts w:cstheme="minorHAnsi"/>
        </w:rPr>
        <w:t xml:space="preserve"> stocks and CSR and their associated uncertainties were applied to all global mangrove pixels. 95% </w:t>
      </w:r>
      <w:proofErr w:type="gramStart"/>
      <w:r w:rsidRPr="00C57A68">
        <w:rPr>
          <w:rFonts w:cstheme="minorHAnsi"/>
        </w:rPr>
        <w:t>CI’s</w:t>
      </w:r>
      <w:proofErr w:type="gramEnd"/>
      <w:r w:rsidRPr="00C57A68">
        <w:rPr>
          <w:rFonts w:cstheme="minorHAnsi"/>
        </w:rPr>
        <w:t xml:space="preserve"> were calculated in the same way as aboveground biomass. Hectare level total stocks estimates, CSR and upper and lower confidence bounds were grouped by country. Country level total C stocks and 95% </w:t>
      </w:r>
      <w:proofErr w:type="gramStart"/>
      <w:r w:rsidRPr="00C57A68">
        <w:rPr>
          <w:rFonts w:cstheme="minorHAnsi"/>
        </w:rPr>
        <w:t>CI’s</w:t>
      </w:r>
      <w:proofErr w:type="gramEnd"/>
      <w:r w:rsidRPr="00C57A68">
        <w:rPr>
          <w:rFonts w:cstheme="minorHAnsi"/>
        </w:rPr>
        <w:t xml:space="preserve"> were then calculated by summing all hectare value estimates within each country.</w:t>
      </w:r>
      <w:r w:rsidR="00E50271">
        <w:rPr>
          <w:rFonts w:cstheme="minorHAnsi"/>
        </w:rPr>
        <w:t xml:space="preserve"> Carbon stocks and CSR were grouped into countries to put these findings into perspective </w:t>
      </w:r>
      <w:r w:rsidR="002A353F">
        <w:rPr>
          <w:rFonts w:cstheme="minorHAnsi"/>
        </w:rPr>
        <w:t>with</w:t>
      </w:r>
      <w:r w:rsidR="00E50271">
        <w:rPr>
          <w:rFonts w:cstheme="minorHAnsi"/>
        </w:rPr>
        <w:t xml:space="preserve"> countries Nationally Determined Contributions (NDC’s) </w:t>
      </w:r>
      <w:r w:rsidR="0065534B">
        <w:rPr>
          <w:rFonts w:cstheme="minorHAnsi"/>
        </w:rPr>
        <w:t>to the Paris Agreement</w:t>
      </w:r>
      <w:r w:rsidR="007B5F81">
        <w:rPr>
          <w:rFonts w:cstheme="minorHAnsi"/>
        </w:rPr>
        <w:t>.</w:t>
      </w:r>
    </w:p>
    <w:p w14:paraId="16FBF50F" w14:textId="77777777" w:rsidR="00344027" w:rsidRPr="00392131" w:rsidRDefault="00344027" w:rsidP="00344027">
      <w:pPr>
        <w:spacing w:line="480" w:lineRule="auto"/>
        <w:rPr>
          <w:rFonts w:cstheme="minorHAnsi"/>
          <w:i/>
          <w:iCs/>
          <w:sz w:val="22"/>
        </w:rPr>
      </w:pPr>
    </w:p>
    <w:p w14:paraId="5AF50B4D" w14:textId="663A559E" w:rsidR="00344027" w:rsidRPr="00344027" w:rsidRDefault="00344027" w:rsidP="00344027">
      <w:pPr>
        <w:pStyle w:val="Heading3"/>
        <w:ind w:left="567" w:hanging="567"/>
        <w:rPr>
          <w:rFonts w:asciiTheme="minorHAnsi" w:hAnsiTheme="minorHAnsi" w:cstheme="minorHAnsi"/>
          <w:b/>
          <w:bCs/>
          <w:color w:val="000000" w:themeColor="text1"/>
        </w:rPr>
      </w:pPr>
      <w:bookmarkStart w:id="60" w:name="_Toc120622148"/>
      <w:r w:rsidRPr="00344027">
        <w:rPr>
          <w:rFonts w:asciiTheme="minorHAnsi" w:hAnsiTheme="minorHAnsi" w:cstheme="minorHAnsi"/>
          <w:b/>
          <w:bCs/>
          <w:color w:val="000000" w:themeColor="text1"/>
        </w:rPr>
        <w:t>5.3.4</w:t>
      </w:r>
      <w:r w:rsidRPr="00344027">
        <w:rPr>
          <w:rFonts w:asciiTheme="minorHAnsi" w:hAnsiTheme="minorHAnsi" w:cstheme="minorHAnsi"/>
          <w:b/>
          <w:bCs/>
          <w:color w:val="000000" w:themeColor="text1"/>
        </w:rPr>
        <w:tab/>
        <w:t>Forecasted stocks and soil sequestration rates</w:t>
      </w:r>
      <w:bookmarkEnd w:id="60"/>
    </w:p>
    <w:p w14:paraId="05BF746C" w14:textId="77777777" w:rsidR="00344027" w:rsidRPr="00C57A68" w:rsidRDefault="00344027" w:rsidP="00344027">
      <w:pPr>
        <w:spacing w:line="480" w:lineRule="auto"/>
        <w:rPr>
          <w:rFonts w:cstheme="minorHAnsi"/>
        </w:rPr>
      </w:pPr>
      <w:r w:rsidRPr="00C57A68">
        <w:rPr>
          <w:rFonts w:cstheme="minorHAnsi"/>
        </w:rPr>
        <w:t xml:space="preserve">Constant global mangrove coverage was assumed from 2012 to 2095, to estimate potential change in mangrove C. Future (year 2095) global total mangrove carbon stocks, CSR, climate data and associated 95% </w:t>
      </w:r>
      <w:proofErr w:type="gramStart"/>
      <w:r w:rsidRPr="00C57A68">
        <w:rPr>
          <w:rFonts w:cstheme="minorHAnsi"/>
        </w:rPr>
        <w:t>CI’s</w:t>
      </w:r>
      <w:proofErr w:type="gramEnd"/>
      <w:r w:rsidRPr="00C57A68">
        <w:rPr>
          <w:rFonts w:cstheme="minorHAnsi"/>
        </w:rPr>
        <w:t xml:space="preserve"> were predicted in the same way as present day estimates, however, forecasted climate data for all global mangrove coverage pixels were used instead of historical datasets. To calculate future climate data, the latest Coupled Model Inter-comparison Project phase 6 (CMIP6) climate scenarios were used. Shared Socioeconomic Pathway 2 radiative forcing 4.5 (SSP245) and Shared Socioeconomic Pathway 5 radiative forcing 8.5 (SSP585) were selected as they represent mid and high-level GHG emissions futures respectively. Scenario SSP245 was selected as it represents a ‘business as usual’ scenario where historical patterns of development are continued and could be compared to a more extreme scenario (SSP585), which forecasts high economic development and increased reliance on fossil fuels, subsequently high GHG emissions </w:t>
      </w:r>
      <w:r w:rsidRPr="00C57A68">
        <w:rPr>
          <w:rFonts w:cstheme="minorHAnsi"/>
        </w:rPr>
        <w:fldChar w:fldCharType="begin" w:fldLock="1"/>
      </w:r>
      <w:r w:rsidRPr="00C57A68">
        <w:rPr>
          <w:rFonts w:cstheme="minorHAnsi"/>
        </w:rPr>
        <w:instrText>ADDIN CSL_CITATION {"citationItems":[{"id":"ITEM-1","itemData":{"DOI":"10.1016/j.gloenvcha.2016.05.009","ISSN":"09593780","abstract":"This paper presents the overview of the Shared Socioeconomic Pathways (SSPs) and their energy, land use, and emissions implications. The SSPs are part of a new scenario framework, established by the climate change research community in order to facilitate the integrated analysis of future climate impacts, vulnerabilities, adaptation, and mitigation. The pathways were developed over the last years as a joint community effort and describe plausible major global developments that together would lead in the future to different challenges for mitigation and adaptation to climate change. The SSPs are based on five narratives describing alternative socio-economic developments, including sustainable development, regional rivalry, inequality, fossil-fueled development, and middle-of-the-road development. The long-term demographic and economic projections of the SSPs depict a wide uncertainty range consistent with the scenario literature. A multi-model approach was used for the elaboration of the energy, land-use and the emissions trajectories of SSP-based scenarios. The baseline scenarios lead to global energy consumption of 400–1200 EJ in 2100, and feature vastly different land-use dynamics, ranging from a possible reduction in cropland area up to a massive expansion by more than 700 million hectares by 2100. The associated annual CO2 emissions of the baseline scenarios range from about 25 GtCO2 to more than 120 GtCO2 per year by 2100. With respect to mitigation, we find that associated costs strongly depend on three factors: (1) the policy assumptions, (2) the socio-economic narrative, and (3) the stringency of the target. The carbon price for reaching the target of 2.6 W/m2 that is consistent with a temperature change limit of 2 °C, differs in our analysis thus by about a factor of three across the SSP marker scenarios. Moreover, many models could not reach this target from the SSPs with high mitigation challenges. While the SSPs were designed to represent different mitigation and adaptation challenges, the resulting narratives and quantifications span a wide range of different futures broadly representative of the current literature. This allows their subsequent use and development in new assessments and research projects. Critical next steps for the community scenario process will, among others, involve regional and sectoral extensions, further elaboration of the adaptation and impacts dimension, as well as employing the SSP scenarios with the new generatio…","author":[{"dropping-particle":"","family":"Riahi","given":"Keywan","non-dropping-particle":"","parse-names":false,"suffix":""},{"dropping-particle":"","family":"Vuuren","given":"Detlef P.","non-dropping-particle":"van","parse-names":false,"suffix":""},{"dropping-particle":"","family":"Kriegler","given":"Elmar","non-dropping-particle":"","parse-names":false,"suffix":""},{"dropping-particle":"","family":"Edmonds","given":"Jae","non-dropping-particle":"","parse-names":false,"suffix":""},{"dropping-particle":"","family":"O'Neill","given":"Brian C.","non-dropping-particle":"","parse-names":false,"suffix":""},{"dropping-particle":"","family":"Fujimori","given":"Shinichiro","non-dropping-particle":"","parse-names":false,"suffix":""},{"dropping-particle":"","family":"Bauer","given":"Nico","non-dropping-particle":"","parse-names":false,"suffix":""},{"dropping-particle":"","family":"Calvin","given":"Katherine","non-dropping-particle":"","parse-names":false,"suffix":""},{"dropping-particle":"","family":"Dellink","given":"Rob","non-dropping-particle":"","parse-names":false,"suffix":""},{"dropping-particle":"","family":"Fricko","given":"Oliver","non-dropping-particle":"","parse-names":false,"suffix":""},{"dropping-particle":"","family":"Lutz","given":"Wolfgang","non-dropping-particle":"","parse-names":false,"suffix":""},{"dropping-particle":"","family":"Popp","given":"Alexander","non-dropping-particle":"","parse-names":false,"suffix":""},{"dropping-particle":"","family":"Cuaresma","given":"Jesus Crespo","non-dropping-particle":"","parse-names":false,"suffix":""},{"dropping-particle":"","family":"KC","given":"Samir","non-dropping-particle":"","parse-names":false,"suffix":""},{"dropping-particle":"","family":"Leimbach","given":"Marian","non-dropping-particle":"","parse-names":false,"suffix":""},{"dropping-particle":"","family":"Jiang","given":"Leiwen","non-dropping-particle":"","parse-names":false,"suffix":""},{"dropping-particle":"","family":"Kram","given":"Tom","non-dropping-particle":"","parse-names":false,"suffix":""},{"dropping-particle":"","family":"Rao","given":"Shilpa","non-dropping-particle":"","parse-names":false,"suffix":""},{"dropping-particle":"","family":"Emmerling","given":"Johannes","non-dropping-particle":"","parse-names":false,"suffix":""},{"dropping-particle":"","family":"Ebi","given":"Kristie","non-dropping-particle":"","parse-names":false,"suffix":""},{"dropping-particle":"","family":"Hasegawa","given":"Tomoko","non-dropping-particle":"","parse-names":false,"suffix":""},{"dropping-particle":"","family":"Havlik","given":"Petr","non-dropping-particle":"","parse-names":false,"suffix":""},{"dropping-particle":"","family":"Humpenöder","given":"Florian","non-dropping-particle":"","parse-names":false,"suffix":""},{"dropping-particle":"","family":"Silva","given":"Lara Aleluia","non-dropping-particle":"Da","parse-names":false,"suffix":""},{"dropping-particle":"","family":"Smith","given":"Steve","non-dropping-particle":"","parse-names":false,"suffix":""},{"dropping-particle":"","family":"Stehfest","given":"Elke","non-dropping-particle":"","parse-names":false,"suffix":""},{"dropping-particle":"","family":"Bosetti","given":"Valentina","non-dropping-particle":"","parse-names":false,"suffix":""},{"dropping-particle":"","family":"Eom","given":"Jiyong","non-dropping-particle":"","parse-names":false,"suffix":""},{"dropping-particle":"","family":"Gernaat","given":"David","non-dropping-particle":"","parse-names":false,"suffix":""},{"dropping-particle":"","family":"Masui","given":"Toshihiko","non-dropping-particle":"","parse-names":false,"suffix":""},{"dropping-particle":"","family":"Rogelj","given":"Joeri","non-dropping-particle":"","parse-names":false,"suffix":""},{"dropping-particle":"","family":"Strefler","given":"Jessica","non-dropping-particle":"","parse-names":false,"suffix":""},{"dropping-particle":"","family":"Drouet","given":"Laurent","non-dropping-particle":"","parse-names":false,"suffix":""},{"dropping-particle":"","family":"Krey","given":"Volker","non-dropping-particle":"","parse-names":false,"suffix":""},{"dropping-particle":"","family":"Luderer","given":"Gunnar","non-dropping-particle":"","parse-names":false,"suffix":""},{"dropping-particle":"","family":"Harmsen","given":"Mathijs","non-dropping-particle":"","parse-names":false,"suffix":""},{"dropping-particle":"","family":"Takahashi","given":"Kiyoshi","non-dropping-particle":"","parse-names":false,"suffix":""},{"dropping-particle":"","family":"Baumstark","given":"Lavinia","non-dropping-particle":"","parse-names":false,"suffix":""},{"dropping-particle":"","family":"Doelman","given":"Jonathan C.","non-dropping-particle":"","parse-names":false,"suffix":""},{"dropping-particle":"","family":"Kainuma","given":"Mikiko","non-dropping-particle":"","parse-names":false,"suffix":""},{"dropping-particle":"","family":"Klimont","given":"Zbigniew","non-dropping-particle":"","parse-names":false,"suffix":""},{"dropping-particle":"","family":"Marangoni","given":"Giacomo","non-dropping-particle":"","parse-names":false,"suffix":""},{"dropping-particle":"","family":"Lotze-Campen","given":"Hermann","non-dropping-particle":"","parse-names":false,"suffix":""},{"dropping-particle":"","family":"Obersteiner","given":"Michael","non-dropping-particle":"","parse-names":false,"suffix":""},{"dropping-particle":"","family":"Tabeau","given":"Andrzej","non-dropping-particle":"","parse-names":false,"suffix":""},{"dropping-particle":"","family":"Tavoni","given":"Massimo","non-dropping-particle":"","parse-names":false,"suffix":""}],"container-title":"Global Environmental Change","id":"ITEM-1","issued":{"date-parts":[["2017"]]},"page":"153-168","title":"The Shared Socioeconomic Pathways and their energy, land use, and greenhouse gas emissions implications: An overview","type":"article-journal","volume":"42"},"uris":["http://www.mendeley.com/documents/?uuid=32c686f0-8c51-49ad-a1e7-ebd3822a2c5b"]}],"mendeley":{"formattedCitation":"(Riahi et al., 2017)","plainTextFormattedCitation":"(Riahi et al., 2017)","previouslyFormattedCitation":"(Riahi et al., 2017)"},"properties":{"noteIndex":0},"schema":"https://github.com/citation-style-language/schema/raw/master/csl-citation.json"}</w:instrText>
      </w:r>
      <w:r w:rsidRPr="00C57A68">
        <w:rPr>
          <w:rFonts w:cstheme="minorHAnsi"/>
        </w:rPr>
        <w:fldChar w:fldCharType="separate"/>
      </w:r>
      <w:r w:rsidRPr="00C57A68">
        <w:rPr>
          <w:rFonts w:cstheme="minorHAnsi"/>
          <w:noProof/>
        </w:rPr>
        <w:t>(Riahi et al., 2017)</w:t>
      </w:r>
      <w:r w:rsidRPr="00C57A68">
        <w:rPr>
          <w:rFonts w:cstheme="minorHAnsi"/>
        </w:rPr>
        <w:fldChar w:fldCharType="end"/>
      </w:r>
      <w:r w:rsidRPr="00C57A68">
        <w:rPr>
          <w:rFonts w:cstheme="minorHAnsi"/>
        </w:rPr>
        <w:t xml:space="preserve">. Prior </w:t>
      </w:r>
      <w:r w:rsidRPr="00C57A68">
        <w:rPr>
          <w:rFonts w:cstheme="minorHAnsi"/>
        </w:rPr>
        <w:lastRenderedPageBreak/>
        <w:t xml:space="preserve">to applying C stocks and CSR models to climate data, an ensemble of climate datasets </w:t>
      </w:r>
      <w:proofErr w:type="gramStart"/>
      <w:r w:rsidRPr="00C57A68">
        <w:rPr>
          <w:rFonts w:cstheme="minorHAnsi"/>
        </w:rPr>
        <w:t>were</w:t>
      </w:r>
      <w:proofErr w:type="gramEnd"/>
      <w:r w:rsidRPr="00C57A68">
        <w:rPr>
          <w:rFonts w:cstheme="minorHAnsi"/>
        </w:rPr>
        <w:t xml:space="preserve"> bias corrected and mean weighted. For each ensemble member, bias correction of future datasets, based on their alignment with historical climate datasets, was performed using the following equations </w:t>
      </w:r>
      <w:r w:rsidRPr="00C57A68">
        <w:rPr>
          <w:rFonts w:cstheme="minorHAnsi"/>
        </w:rPr>
        <w:fldChar w:fldCharType="begin" w:fldLock="1"/>
      </w:r>
      <w:r w:rsidRPr="00C57A68">
        <w:rPr>
          <w:rFonts w:cstheme="minorHAnsi"/>
        </w:rPr>
        <w:instrText>ADDIN CSL_CITATION {"citationItems":[{"id":"ITEM-1","itemData":{"DOI":"10.3390/w10081046","ISSN":"20734441","abstract":"The systemic biases of Regional Climate Models (RCMs) impede their application in regional hydrological climate-change effects analysis and lead to errors. As a consequence, bias correction has become a necessary prerequisite for the study of climate change. This paper compares the performance of available bias correction methods that focus on the performance of precipitation and temperature projections. The hydrological effects of these correction methods are evaluated by the modelled discharges of the Kaidu River Basin. The results show that all used methods improve the performance of the original RCM precipitation and temperature simulations across a number of levels. The corrected results obtained by precipitation correction methods demonstrate larger diversities than those produced by the temperature correction methods. The performance of hydrological modelling is highly influenced by the choice of precipitation correction methods. Furthermore, no substantial differences can be identified from the results of the temperature-corrected methods. The biases from input data are often greater from the works of hydrological modelling. The suitability of these approaches depends upon the regional context and the RCM model, while their application procedure and a number of results can be adapted from region to region.","author":[{"dropping-particle":"","family":"Luo","given":"Min","non-dropping-particle":"","parse-names":false,"suffix":""},{"dropping-particle":"","family":"Liu","given":"Tie","non-dropping-particle":"","parse-names":false,"suffix":""},{"dropping-particle":"","family":"Meng","given":"Fanhao","non-dropping-particle":"","parse-names":false,"suffix":""},{"dropping-particle":"","family":"Duan","given":"Yongchao","non-dropping-particle":"","parse-names":false,"suffix":""},{"dropping-particle":"","family":"Frankl","given":"Amaury","non-dropping-particle":"","parse-names":false,"suffix":""},{"dropping-particle":"","family":"Bao","given":"Anming","non-dropping-particle":"","parse-names":false,"suffix":""},{"dropping-particle":"","family":"Maeyer","given":"Philippe","non-dropping-particle":"De","parse-names":false,"suffix":""}],"container-title":"Water","id":"ITEM-1","issue":"8","issued":{"date-parts":[["2018"]]},"title":"Comparing bias correction methods used in downscaling precipitation and temperature from regional climate models: A case study from the Kaidu River Basin in Western China","type":"article-journal","volume":"10"},"uris":["http://www.mendeley.com/documents/?uuid=3e0029f1-71aa-4dff-aa5a-96e142edf017"]}],"mendeley":{"formattedCitation":"(Luo et al., 2018)","plainTextFormattedCitation":"(Luo et al., 2018)","previouslyFormattedCitation":"(Luo et al., 2018)"},"properties":{"noteIndex":0},"schema":"https://github.com/citation-style-language/schema/raw/master/csl-citation.json"}</w:instrText>
      </w:r>
      <w:r w:rsidRPr="00C57A68">
        <w:rPr>
          <w:rFonts w:cstheme="minorHAnsi"/>
        </w:rPr>
        <w:fldChar w:fldCharType="separate"/>
      </w:r>
      <w:r w:rsidRPr="00C57A68">
        <w:rPr>
          <w:rFonts w:cstheme="minorHAnsi"/>
          <w:noProof/>
        </w:rPr>
        <w:t>(Luo et al., 2018)</w:t>
      </w:r>
      <w:r w:rsidRPr="00C57A68">
        <w:rPr>
          <w:rFonts w:cstheme="minorHAnsi"/>
        </w:rPr>
        <w:fldChar w:fldCharType="end"/>
      </w:r>
      <w:r w:rsidRPr="00C57A68">
        <w:rPr>
          <w:rFonts w:cstheme="minorHAnsi"/>
        </w:rPr>
        <w:t>:</w:t>
      </w:r>
    </w:p>
    <w:p w14:paraId="1CE218D8" w14:textId="77777777" w:rsidR="00344027" w:rsidRPr="00392131" w:rsidRDefault="00344027" w:rsidP="00344027">
      <w:pPr>
        <w:spacing w:line="480" w:lineRule="auto"/>
        <w:jc w:val="center"/>
        <w:rPr>
          <w:rFonts w:cstheme="minorHAnsi"/>
          <w:i/>
          <w:iCs/>
          <w:sz w:val="22"/>
        </w:rPr>
      </w:pPr>
      <m:oMath>
        <m:r>
          <w:rPr>
            <w:rFonts w:ascii="Cambria Math" w:hAnsi="Cambria Math" w:cstheme="minorHAnsi"/>
            <w:sz w:val="22"/>
          </w:rPr>
          <m:t xml:space="preserve">Cor </m:t>
        </m:r>
        <m:sSub>
          <m:sSubPr>
            <m:ctrlPr>
              <w:rPr>
                <w:rFonts w:ascii="Cambria Math" w:hAnsi="Cambria Math" w:cstheme="minorHAnsi"/>
                <w:i/>
                <w:iCs/>
                <w:sz w:val="22"/>
              </w:rPr>
            </m:ctrlPr>
          </m:sSubPr>
          <m:e>
            <m:r>
              <w:rPr>
                <w:rFonts w:ascii="Cambria Math" w:hAnsi="Cambria Math" w:cstheme="minorHAnsi"/>
                <w:sz w:val="22"/>
              </w:rPr>
              <m:t>P</m:t>
            </m:r>
          </m:e>
          <m:sub>
            <m:r>
              <w:rPr>
                <w:rFonts w:ascii="Cambria Math" w:hAnsi="Cambria Math" w:cstheme="minorHAnsi"/>
                <w:sz w:val="22"/>
              </w:rPr>
              <m:t>mean  m, loc</m:t>
            </m:r>
          </m:sub>
        </m:sSub>
        <m:r>
          <w:rPr>
            <w:rFonts w:ascii="Cambria Math" w:hAnsi="Cambria Math" w:cstheme="minorHAnsi"/>
            <w:sz w:val="22"/>
          </w:rPr>
          <m:t xml:space="preserve">= Hist </m:t>
        </m:r>
        <m:sSub>
          <m:sSubPr>
            <m:ctrlPr>
              <w:rPr>
                <w:rFonts w:ascii="Cambria Math" w:hAnsi="Cambria Math" w:cstheme="minorHAnsi"/>
                <w:i/>
                <w:iCs/>
                <w:sz w:val="22"/>
              </w:rPr>
            </m:ctrlPr>
          </m:sSubPr>
          <m:e>
            <m:r>
              <w:rPr>
                <w:rFonts w:ascii="Cambria Math" w:hAnsi="Cambria Math" w:cstheme="minorHAnsi"/>
                <w:sz w:val="22"/>
              </w:rPr>
              <m:t>P</m:t>
            </m:r>
          </m:e>
          <m:sub>
            <m:r>
              <w:rPr>
                <w:rFonts w:ascii="Cambria Math" w:hAnsi="Cambria Math" w:cstheme="minorHAnsi"/>
                <w:sz w:val="22"/>
              </w:rPr>
              <m:t>mean m, loc</m:t>
            </m:r>
          </m:sub>
        </m:sSub>
        <m:r>
          <w:rPr>
            <w:rFonts w:ascii="Cambria Math" w:hAnsi="Cambria Math" w:cstheme="minorHAnsi"/>
            <w:sz w:val="22"/>
          </w:rPr>
          <m:t xml:space="preserve"> X </m:t>
        </m:r>
        <m:f>
          <m:fPr>
            <m:ctrlPr>
              <w:rPr>
                <w:rFonts w:ascii="Cambria Math" w:hAnsi="Cambria Math" w:cstheme="minorHAnsi"/>
                <w:i/>
                <w:iCs/>
                <w:sz w:val="22"/>
              </w:rPr>
            </m:ctrlPr>
          </m:fPr>
          <m:num>
            <m:r>
              <w:rPr>
                <w:rFonts w:ascii="Cambria Math" w:hAnsi="Cambria Math" w:cstheme="minorHAnsi"/>
                <w:sz w:val="22"/>
              </w:rPr>
              <m:t xml:space="preserve"> µ(Obs </m:t>
            </m:r>
            <m:sSub>
              <m:sSubPr>
                <m:ctrlPr>
                  <w:rPr>
                    <w:rFonts w:ascii="Cambria Math" w:hAnsi="Cambria Math" w:cstheme="minorHAnsi"/>
                    <w:i/>
                    <w:iCs/>
                    <w:sz w:val="22"/>
                  </w:rPr>
                </m:ctrlPr>
              </m:sSubPr>
              <m:e>
                <m:r>
                  <w:rPr>
                    <w:rFonts w:ascii="Cambria Math" w:hAnsi="Cambria Math" w:cstheme="minorHAnsi"/>
                    <w:sz w:val="22"/>
                  </w:rPr>
                  <m:t>P</m:t>
                </m:r>
              </m:e>
              <m:sub>
                <m:r>
                  <w:rPr>
                    <w:rFonts w:ascii="Cambria Math" w:hAnsi="Cambria Math" w:cstheme="minorHAnsi"/>
                    <w:sz w:val="22"/>
                  </w:rPr>
                  <m:t>mean m, loc</m:t>
                </m:r>
              </m:sub>
            </m:sSub>
            <m:r>
              <w:rPr>
                <w:rFonts w:ascii="Cambria Math" w:hAnsi="Cambria Math" w:cstheme="minorHAnsi"/>
                <w:sz w:val="22"/>
              </w:rPr>
              <m:t>)</m:t>
            </m:r>
          </m:num>
          <m:den>
            <m:r>
              <w:rPr>
                <w:rFonts w:ascii="Cambria Math" w:hAnsi="Cambria Math" w:cstheme="minorHAnsi"/>
                <w:sz w:val="22"/>
              </w:rPr>
              <m:t xml:space="preserve">µ(Hist </m:t>
            </m:r>
            <m:sSub>
              <m:sSubPr>
                <m:ctrlPr>
                  <w:rPr>
                    <w:rFonts w:ascii="Cambria Math" w:hAnsi="Cambria Math" w:cstheme="minorHAnsi"/>
                    <w:i/>
                    <w:iCs/>
                    <w:sz w:val="22"/>
                  </w:rPr>
                </m:ctrlPr>
              </m:sSubPr>
              <m:e>
                <m:r>
                  <w:rPr>
                    <w:rFonts w:ascii="Cambria Math" w:hAnsi="Cambria Math" w:cstheme="minorHAnsi"/>
                    <w:sz w:val="22"/>
                  </w:rPr>
                  <m:t>P</m:t>
                </m:r>
              </m:e>
              <m:sub>
                <m:r>
                  <w:rPr>
                    <w:rFonts w:ascii="Cambria Math" w:hAnsi="Cambria Math" w:cstheme="minorHAnsi"/>
                    <w:sz w:val="22"/>
                  </w:rPr>
                  <m:t>mean m, loc</m:t>
                </m:r>
              </m:sub>
            </m:sSub>
            <m:r>
              <w:rPr>
                <w:rFonts w:ascii="Cambria Math" w:hAnsi="Cambria Math" w:cstheme="minorHAnsi"/>
                <w:sz w:val="22"/>
              </w:rPr>
              <m:t>)</m:t>
            </m:r>
          </m:den>
        </m:f>
        <m:r>
          <w:rPr>
            <w:rFonts w:ascii="Cambria Math" w:hAnsi="Cambria Math" w:cstheme="minorHAnsi"/>
            <w:sz w:val="22"/>
          </w:rPr>
          <m:t xml:space="preserve">  </m:t>
        </m:r>
      </m:oMath>
      <w:r w:rsidRPr="00392131">
        <w:rPr>
          <w:rFonts w:cstheme="minorHAnsi"/>
          <w:i/>
          <w:iCs/>
          <w:sz w:val="22"/>
        </w:rPr>
        <w:t xml:space="preserve"> </w:t>
      </w:r>
    </w:p>
    <w:p w14:paraId="28DFE67E" w14:textId="77777777" w:rsidR="00344027" w:rsidRPr="00392131" w:rsidRDefault="00344027" w:rsidP="00344027">
      <w:pPr>
        <w:spacing w:line="480" w:lineRule="auto"/>
        <w:jc w:val="center"/>
        <w:rPr>
          <w:rFonts w:cstheme="minorHAnsi"/>
          <w:i/>
          <w:sz w:val="22"/>
        </w:rPr>
      </w:pPr>
      <m:oMathPara>
        <m:oMathParaPr>
          <m:jc m:val="center"/>
        </m:oMathParaPr>
        <m:oMath>
          <m:r>
            <w:rPr>
              <w:rFonts w:ascii="Cambria Math" w:hAnsi="Cambria Math" w:cstheme="minorHAnsi"/>
              <w:sz w:val="22"/>
            </w:rPr>
            <m:t xml:space="preserve">Cor </m:t>
          </m:r>
          <m:sSub>
            <m:sSubPr>
              <m:ctrlPr>
                <w:rPr>
                  <w:rFonts w:ascii="Cambria Math" w:hAnsi="Cambria Math" w:cstheme="minorHAnsi"/>
                  <w:i/>
                  <w:sz w:val="22"/>
                </w:rPr>
              </m:ctrlPr>
            </m:sSubPr>
            <m:e>
              <m:r>
                <w:rPr>
                  <w:rFonts w:ascii="Cambria Math" w:hAnsi="Cambria Math" w:cstheme="minorHAnsi"/>
                  <w:sz w:val="22"/>
                </w:rPr>
                <m:t>T</m:t>
              </m:r>
            </m:e>
            <m:sub>
              <m:r>
                <w:rPr>
                  <w:rFonts w:ascii="Cambria Math" w:hAnsi="Cambria Math" w:cstheme="minorHAnsi"/>
                  <w:sz w:val="22"/>
                </w:rPr>
                <m:t>mean m, loc</m:t>
              </m:r>
            </m:sub>
          </m:sSub>
          <m:r>
            <w:rPr>
              <w:rFonts w:ascii="Cambria Math" w:hAnsi="Cambria Math" w:cstheme="minorHAnsi"/>
              <w:sz w:val="22"/>
            </w:rPr>
            <m:t xml:space="preserve">=Hist </m:t>
          </m:r>
          <m:sSub>
            <m:sSubPr>
              <m:ctrlPr>
                <w:rPr>
                  <w:rFonts w:ascii="Cambria Math" w:hAnsi="Cambria Math" w:cstheme="minorHAnsi"/>
                  <w:i/>
                  <w:sz w:val="22"/>
                </w:rPr>
              </m:ctrlPr>
            </m:sSubPr>
            <m:e>
              <m:r>
                <w:rPr>
                  <w:rFonts w:ascii="Cambria Math" w:hAnsi="Cambria Math" w:cstheme="minorHAnsi"/>
                  <w:sz w:val="22"/>
                </w:rPr>
                <m:t>T</m:t>
              </m:r>
            </m:e>
            <m:sub>
              <m:r>
                <w:rPr>
                  <w:rFonts w:ascii="Cambria Math" w:hAnsi="Cambria Math" w:cstheme="minorHAnsi"/>
                  <w:sz w:val="22"/>
                </w:rPr>
                <m:t>mean m, loc</m:t>
              </m:r>
            </m:sub>
          </m:sSub>
          <m:r>
            <w:rPr>
              <w:rFonts w:ascii="Cambria Math" w:hAnsi="Cambria Math" w:cstheme="minorHAnsi"/>
              <w:sz w:val="22"/>
            </w:rPr>
            <m:t xml:space="preserve">+ </m:t>
          </m:r>
          <m:d>
            <m:dPr>
              <m:begChr m:val="["/>
              <m:endChr m:val="]"/>
              <m:ctrlPr>
                <w:rPr>
                  <w:rFonts w:ascii="Cambria Math" w:hAnsi="Cambria Math" w:cstheme="minorHAnsi"/>
                  <w:i/>
                  <w:sz w:val="22"/>
                </w:rPr>
              </m:ctrlPr>
            </m:dPr>
            <m:e>
              <m:r>
                <w:rPr>
                  <w:rFonts w:ascii="Cambria Math" w:hAnsi="Cambria Math" w:cstheme="minorHAnsi"/>
                  <w:sz w:val="22"/>
                </w:rPr>
                <m:t xml:space="preserve">µ(Obs </m:t>
              </m:r>
              <m:sSub>
                <m:sSubPr>
                  <m:ctrlPr>
                    <w:rPr>
                      <w:rFonts w:ascii="Cambria Math" w:hAnsi="Cambria Math" w:cstheme="minorHAnsi"/>
                      <w:i/>
                      <w:sz w:val="22"/>
                    </w:rPr>
                  </m:ctrlPr>
                </m:sSubPr>
                <m:e>
                  <m:r>
                    <w:rPr>
                      <w:rFonts w:ascii="Cambria Math" w:hAnsi="Cambria Math" w:cstheme="minorHAnsi"/>
                      <w:sz w:val="22"/>
                    </w:rPr>
                    <m:t>T</m:t>
                  </m:r>
                </m:e>
                <m:sub>
                  <m:r>
                    <w:rPr>
                      <w:rFonts w:ascii="Cambria Math" w:hAnsi="Cambria Math" w:cstheme="minorHAnsi"/>
                      <w:sz w:val="22"/>
                    </w:rPr>
                    <m:t>mean m, loc</m:t>
                  </m:r>
                </m:sub>
              </m:sSub>
              <m:r>
                <w:rPr>
                  <w:rFonts w:ascii="Cambria Math" w:hAnsi="Cambria Math" w:cstheme="minorHAnsi"/>
                  <w:sz w:val="22"/>
                </w:rPr>
                <m:t xml:space="preserve">) - µ(Hist </m:t>
              </m:r>
              <m:sSub>
                <m:sSubPr>
                  <m:ctrlPr>
                    <w:rPr>
                      <w:rFonts w:ascii="Cambria Math" w:hAnsi="Cambria Math" w:cstheme="minorHAnsi"/>
                      <w:i/>
                      <w:sz w:val="22"/>
                    </w:rPr>
                  </m:ctrlPr>
                </m:sSubPr>
                <m:e>
                  <m:r>
                    <w:rPr>
                      <w:rFonts w:ascii="Cambria Math" w:hAnsi="Cambria Math" w:cstheme="minorHAnsi"/>
                      <w:sz w:val="22"/>
                    </w:rPr>
                    <m:t>T</m:t>
                  </m:r>
                </m:e>
                <m:sub>
                  <m:r>
                    <w:rPr>
                      <w:rFonts w:ascii="Cambria Math" w:hAnsi="Cambria Math" w:cstheme="minorHAnsi"/>
                      <w:sz w:val="22"/>
                    </w:rPr>
                    <m:t>mean m, loc</m:t>
                  </m:r>
                </m:sub>
              </m:sSub>
              <m:r>
                <w:rPr>
                  <w:rFonts w:ascii="Cambria Math" w:hAnsi="Cambria Math" w:cstheme="minorHAnsi"/>
                  <w:sz w:val="22"/>
                </w:rPr>
                <m:t>)</m:t>
              </m:r>
            </m:e>
          </m:d>
        </m:oMath>
      </m:oMathPara>
    </w:p>
    <w:p w14:paraId="309A4950" w14:textId="77777777" w:rsidR="00344027" w:rsidRPr="00392131" w:rsidRDefault="00344027" w:rsidP="00344027">
      <w:pPr>
        <w:spacing w:line="480" w:lineRule="auto"/>
        <w:rPr>
          <w:rFonts w:cstheme="minorHAnsi"/>
          <w:i/>
          <w:sz w:val="22"/>
        </w:rPr>
      </w:pPr>
      <m:oMathPara>
        <m:oMathParaPr>
          <m:jc m:val="center"/>
        </m:oMathParaPr>
        <m:oMath>
          <m:r>
            <w:rPr>
              <w:rFonts w:ascii="Cambria Math" w:hAnsi="Cambria Math" w:cstheme="minorHAnsi"/>
              <w:sz w:val="22"/>
            </w:rPr>
            <m:t xml:space="preserve">Cor </m:t>
          </m:r>
          <m:sSub>
            <m:sSubPr>
              <m:ctrlPr>
                <w:rPr>
                  <w:rFonts w:ascii="Cambria Math" w:hAnsi="Cambria Math" w:cstheme="minorHAnsi"/>
                  <w:i/>
                  <w:sz w:val="22"/>
                </w:rPr>
              </m:ctrlPr>
            </m:sSubPr>
            <m:e>
              <m:r>
                <w:rPr>
                  <w:rFonts w:ascii="Cambria Math" w:hAnsi="Cambria Math" w:cstheme="minorHAnsi"/>
                  <w:sz w:val="22"/>
                </w:rPr>
                <m:t>T</m:t>
              </m:r>
            </m:e>
            <m:sub>
              <m:func>
                <m:funcPr>
                  <m:ctrlPr>
                    <w:rPr>
                      <w:rFonts w:ascii="Cambria Math" w:hAnsi="Cambria Math" w:cstheme="minorHAnsi"/>
                      <w:i/>
                      <w:sz w:val="22"/>
                    </w:rPr>
                  </m:ctrlPr>
                </m:funcPr>
                <m:fName>
                  <m:r>
                    <w:rPr>
                      <w:rFonts w:ascii="Cambria Math" w:hAnsi="Cambria Math" w:cstheme="minorHAnsi"/>
                      <w:sz w:val="22"/>
                    </w:rPr>
                    <m:t>max</m:t>
                  </m:r>
                </m:fName>
                <m:e>
                  <m:r>
                    <w:rPr>
                      <w:rFonts w:ascii="Cambria Math" w:hAnsi="Cambria Math" w:cstheme="minorHAnsi"/>
                      <w:sz w:val="22"/>
                    </w:rPr>
                    <m:t>m, loc</m:t>
                  </m:r>
                </m:e>
              </m:func>
            </m:sub>
          </m:sSub>
          <m:r>
            <w:rPr>
              <w:rFonts w:ascii="Cambria Math" w:hAnsi="Cambria Math" w:cstheme="minorHAnsi"/>
              <w:sz w:val="22"/>
            </w:rPr>
            <m:t xml:space="preserve">=Hist </m:t>
          </m:r>
          <m:sSub>
            <m:sSubPr>
              <m:ctrlPr>
                <w:rPr>
                  <w:rFonts w:ascii="Cambria Math" w:hAnsi="Cambria Math" w:cstheme="minorHAnsi"/>
                  <w:i/>
                  <w:sz w:val="22"/>
                </w:rPr>
              </m:ctrlPr>
            </m:sSubPr>
            <m:e>
              <m:r>
                <w:rPr>
                  <w:rFonts w:ascii="Cambria Math" w:hAnsi="Cambria Math" w:cstheme="minorHAnsi"/>
                  <w:sz w:val="22"/>
                </w:rPr>
                <m:t>T</m:t>
              </m:r>
            </m:e>
            <m:sub>
              <m:func>
                <m:funcPr>
                  <m:ctrlPr>
                    <w:rPr>
                      <w:rFonts w:ascii="Cambria Math" w:hAnsi="Cambria Math" w:cstheme="minorHAnsi"/>
                      <w:i/>
                      <w:sz w:val="22"/>
                    </w:rPr>
                  </m:ctrlPr>
                </m:funcPr>
                <m:fName>
                  <m:r>
                    <m:rPr>
                      <m:sty m:val="p"/>
                    </m:rPr>
                    <w:rPr>
                      <w:rFonts w:ascii="Cambria Math" w:hAnsi="Cambria Math" w:cstheme="minorHAnsi"/>
                      <w:sz w:val="22"/>
                    </w:rPr>
                    <m:t>max</m:t>
                  </m:r>
                </m:fName>
                <m:e>
                  <m:r>
                    <w:rPr>
                      <w:rFonts w:ascii="Cambria Math" w:hAnsi="Cambria Math" w:cstheme="minorHAnsi"/>
                      <w:sz w:val="22"/>
                    </w:rPr>
                    <m:t>m, loc</m:t>
                  </m:r>
                </m:e>
              </m:func>
            </m:sub>
          </m:sSub>
          <m:r>
            <w:rPr>
              <w:rFonts w:ascii="Cambria Math" w:hAnsi="Cambria Math" w:cstheme="minorHAnsi"/>
              <w:sz w:val="22"/>
            </w:rPr>
            <m:t xml:space="preserve">+ </m:t>
          </m:r>
          <m:d>
            <m:dPr>
              <m:begChr m:val="["/>
              <m:endChr m:val="]"/>
              <m:ctrlPr>
                <w:rPr>
                  <w:rFonts w:ascii="Cambria Math" w:hAnsi="Cambria Math" w:cstheme="minorHAnsi"/>
                  <w:i/>
                  <w:sz w:val="22"/>
                </w:rPr>
              </m:ctrlPr>
            </m:dPr>
            <m:e>
              <m:r>
                <w:rPr>
                  <w:rFonts w:ascii="Cambria Math" w:hAnsi="Cambria Math" w:cstheme="minorHAnsi"/>
                  <w:sz w:val="22"/>
                </w:rPr>
                <m:t xml:space="preserve">µ(Obs </m:t>
              </m:r>
              <m:sSub>
                <m:sSubPr>
                  <m:ctrlPr>
                    <w:rPr>
                      <w:rFonts w:ascii="Cambria Math" w:hAnsi="Cambria Math" w:cstheme="minorHAnsi"/>
                      <w:i/>
                      <w:sz w:val="22"/>
                    </w:rPr>
                  </m:ctrlPr>
                </m:sSubPr>
                <m:e>
                  <m:r>
                    <w:rPr>
                      <w:rFonts w:ascii="Cambria Math" w:hAnsi="Cambria Math" w:cstheme="minorHAnsi"/>
                      <w:sz w:val="22"/>
                    </w:rPr>
                    <m:t>T</m:t>
                  </m:r>
                </m:e>
                <m:sub>
                  <m:r>
                    <w:rPr>
                      <w:rFonts w:ascii="Cambria Math" w:hAnsi="Cambria Math" w:cstheme="minorHAnsi"/>
                      <w:sz w:val="22"/>
                    </w:rPr>
                    <m:t>max m, loc</m:t>
                  </m:r>
                </m:sub>
              </m:sSub>
              <m:r>
                <w:rPr>
                  <w:rFonts w:ascii="Cambria Math" w:hAnsi="Cambria Math" w:cstheme="minorHAnsi"/>
                  <w:sz w:val="22"/>
                </w:rPr>
                <m:t xml:space="preserve">) - µ(Hist </m:t>
              </m:r>
              <m:sSub>
                <m:sSubPr>
                  <m:ctrlPr>
                    <w:rPr>
                      <w:rFonts w:ascii="Cambria Math" w:hAnsi="Cambria Math" w:cstheme="minorHAnsi"/>
                      <w:i/>
                      <w:sz w:val="22"/>
                    </w:rPr>
                  </m:ctrlPr>
                </m:sSubPr>
                <m:e>
                  <m:r>
                    <w:rPr>
                      <w:rFonts w:ascii="Cambria Math" w:hAnsi="Cambria Math" w:cstheme="minorHAnsi"/>
                      <w:sz w:val="22"/>
                    </w:rPr>
                    <m:t>T</m:t>
                  </m:r>
                </m:e>
                <m:sub>
                  <m:r>
                    <w:rPr>
                      <w:rFonts w:ascii="Cambria Math" w:hAnsi="Cambria Math" w:cstheme="minorHAnsi"/>
                      <w:sz w:val="22"/>
                    </w:rPr>
                    <m:t>max m, loc</m:t>
                  </m:r>
                </m:sub>
              </m:sSub>
              <m:r>
                <w:rPr>
                  <w:rFonts w:ascii="Cambria Math" w:hAnsi="Cambria Math" w:cstheme="minorHAnsi"/>
                  <w:sz w:val="22"/>
                </w:rPr>
                <m:t>)</m:t>
              </m:r>
            </m:e>
          </m:d>
        </m:oMath>
      </m:oMathPara>
    </w:p>
    <w:p w14:paraId="29FB5E3A" w14:textId="77777777" w:rsidR="00344027" w:rsidRPr="00C57A68" w:rsidRDefault="00344027" w:rsidP="00344027">
      <w:pPr>
        <w:spacing w:line="480" w:lineRule="auto"/>
        <w:rPr>
          <w:rFonts w:cstheme="minorHAnsi"/>
        </w:rPr>
      </w:pPr>
      <w:r w:rsidRPr="00C57A68">
        <w:rPr>
          <w:rFonts w:cstheme="minorHAnsi"/>
        </w:rPr>
        <w:t xml:space="preserve">Where Cor </w:t>
      </w:r>
      <w:proofErr w:type="spellStart"/>
      <w:r w:rsidRPr="00C57A68">
        <w:rPr>
          <w:rFonts w:cstheme="minorHAnsi"/>
        </w:rPr>
        <w:t>P</w:t>
      </w:r>
      <w:r w:rsidRPr="00C57A68">
        <w:rPr>
          <w:rFonts w:cstheme="minorHAnsi"/>
          <w:vertAlign w:val="subscript"/>
        </w:rPr>
        <w:t>mean</w:t>
      </w:r>
      <w:proofErr w:type="spellEnd"/>
      <w:r w:rsidRPr="00C57A68">
        <w:rPr>
          <w:rFonts w:cstheme="minorHAnsi"/>
          <w:vertAlign w:val="subscript"/>
        </w:rPr>
        <w:t xml:space="preserve"> m, </w:t>
      </w:r>
      <w:proofErr w:type="spellStart"/>
      <w:r w:rsidRPr="00C57A68">
        <w:rPr>
          <w:rFonts w:cstheme="minorHAnsi"/>
          <w:vertAlign w:val="subscript"/>
        </w:rPr>
        <w:t>loc</w:t>
      </w:r>
      <w:proofErr w:type="spellEnd"/>
      <w:r w:rsidRPr="00C57A68">
        <w:rPr>
          <w:rFonts w:cstheme="minorHAnsi"/>
        </w:rPr>
        <w:t xml:space="preserve">, Cor </w:t>
      </w:r>
      <w:proofErr w:type="spellStart"/>
      <w:r w:rsidRPr="00C57A68">
        <w:rPr>
          <w:rFonts w:cstheme="minorHAnsi"/>
        </w:rPr>
        <w:t>T</w:t>
      </w:r>
      <w:r w:rsidRPr="00C57A68">
        <w:rPr>
          <w:rFonts w:cstheme="minorHAnsi"/>
          <w:vertAlign w:val="subscript"/>
        </w:rPr>
        <w:t>mean</w:t>
      </w:r>
      <w:proofErr w:type="spellEnd"/>
      <w:r w:rsidRPr="00C57A68">
        <w:rPr>
          <w:rFonts w:cstheme="minorHAnsi"/>
          <w:vertAlign w:val="subscript"/>
        </w:rPr>
        <w:t xml:space="preserve"> m, </w:t>
      </w:r>
      <w:proofErr w:type="spellStart"/>
      <w:r w:rsidRPr="00C57A68">
        <w:rPr>
          <w:rFonts w:cstheme="minorHAnsi"/>
          <w:vertAlign w:val="subscript"/>
        </w:rPr>
        <w:t>loc</w:t>
      </w:r>
      <w:proofErr w:type="spellEnd"/>
      <w:r w:rsidRPr="00C57A68">
        <w:rPr>
          <w:rFonts w:cstheme="minorHAnsi"/>
        </w:rPr>
        <w:t xml:space="preserve"> and Cor </w:t>
      </w:r>
      <w:proofErr w:type="spellStart"/>
      <w:r w:rsidRPr="00C57A68">
        <w:rPr>
          <w:rFonts w:cstheme="minorHAnsi"/>
        </w:rPr>
        <w:t>T</w:t>
      </w:r>
      <w:r w:rsidRPr="00C57A68">
        <w:rPr>
          <w:rFonts w:cstheme="minorHAnsi"/>
          <w:vertAlign w:val="subscript"/>
        </w:rPr>
        <w:t>max</w:t>
      </w:r>
      <w:proofErr w:type="spellEnd"/>
      <w:r w:rsidRPr="00C57A68">
        <w:rPr>
          <w:rFonts w:cstheme="minorHAnsi"/>
          <w:vertAlign w:val="subscript"/>
        </w:rPr>
        <w:t xml:space="preserve"> m, </w:t>
      </w:r>
      <w:proofErr w:type="spellStart"/>
      <w:r w:rsidRPr="00C57A68">
        <w:rPr>
          <w:rFonts w:cstheme="minorHAnsi"/>
          <w:vertAlign w:val="subscript"/>
        </w:rPr>
        <w:t>loc</w:t>
      </w:r>
      <w:proofErr w:type="spellEnd"/>
      <w:r w:rsidRPr="00C57A68">
        <w:rPr>
          <w:rFonts w:cstheme="minorHAnsi"/>
        </w:rPr>
        <w:t xml:space="preserve"> stand for corrected future precipitation and temperature on the </w:t>
      </w:r>
      <w:proofErr w:type="spellStart"/>
      <w:r w:rsidRPr="00C57A68">
        <w:rPr>
          <w:rFonts w:cstheme="minorHAnsi"/>
        </w:rPr>
        <w:t>m</w:t>
      </w:r>
      <w:r w:rsidRPr="00C57A68">
        <w:rPr>
          <w:rFonts w:cstheme="minorHAnsi"/>
          <w:vertAlign w:val="superscript"/>
        </w:rPr>
        <w:t>th</w:t>
      </w:r>
      <w:proofErr w:type="spellEnd"/>
      <w:r w:rsidRPr="00C57A68">
        <w:rPr>
          <w:rFonts w:cstheme="minorHAnsi"/>
        </w:rPr>
        <w:t xml:space="preserve"> month in the </w:t>
      </w:r>
      <w:proofErr w:type="spellStart"/>
      <w:r w:rsidRPr="00C57A68">
        <w:rPr>
          <w:rFonts w:cstheme="minorHAnsi"/>
        </w:rPr>
        <w:t>loc</w:t>
      </w:r>
      <w:r w:rsidRPr="00C57A68">
        <w:rPr>
          <w:rFonts w:cstheme="minorHAnsi"/>
          <w:vertAlign w:val="superscript"/>
        </w:rPr>
        <w:t>th</w:t>
      </w:r>
      <w:proofErr w:type="spellEnd"/>
      <w:r w:rsidRPr="00C57A68">
        <w:rPr>
          <w:rFonts w:cstheme="minorHAnsi"/>
        </w:rPr>
        <w:t xml:space="preserve"> location. Prefaces </w:t>
      </w:r>
      <w:proofErr w:type="spellStart"/>
      <w:r w:rsidRPr="00C57A68">
        <w:rPr>
          <w:rFonts w:cstheme="minorHAnsi"/>
        </w:rPr>
        <w:t>Obs</w:t>
      </w:r>
      <w:proofErr w:type="spellEnd"/>
      <w:r w:rsidRPr="00C57A68">
        <w:rPr>
          <w:rFonts w:cstheme="minorHAnsi"/>
        </w:rPr>
        <w:t xml:space="preserve"> and Hist refer to observed historical and hindcasted historical data. Weighting coefficients (Table A2) for bias corrected climate data was calculated depending on their ability to hindcast historical observed datasets using the following equation </w:t>
      </w:r>
      <w:r w:rsidRPr="00C57A68">
        <w:rPr>
          <w:rFonts w:cstheme="minorHAnsi"/>
        </w:rPr>
        <w:fldChar w:fldCharType="begin" w:fldLock="1"/>
      </w:r>
      <w:r w:rsidRPr="00C57A68">
        <w:rPr>
          <w:rFonts w:cstheme="minorHAnsi"/>
        </w:rPr>
        <w:instrText>ADDIN CSL_CITATION {"citationItems":[{"id":"ITEM-1","itemData":{"DOI":"10.1093/icesjms/fsr008","author":[{"dropping-particle":"","family":"Muhling","given":"B","non-dropping-particle":"","parse-names":false,"suffix":""},{"dropping-particle":"","family":"Lee","given":"SK","non-dropping-particle":"","parse-names":false,"suffix":""},{"dropping-particle":"","family":"Lamkin","given":"JT","non-dropping-particle":"","parse-names":false,"suffix":""},{"dropping-particle":"","family":"Liu","given":"Y","non-dropping-particle":"","parse-names":false,"suffix":""}],"container-title":"ICES Journal of Marine Science","id":"ITEM-1","issue":"6","issued":{"date-parts":[["2011"]]},"page":"1051–1062","title":"Predicting the effects of climate change on bluefin tuna (Thunnus thynnus) spawning habitat in the Gulf of Mexico","type":"article-journal","volume":"68"},"uris":["http://www.mendeley.com/documents/?uuid=d6f159b5-350c-4b4a-a6be-9f1562c47a3f"]}],"mendeley":{"formattedCitation":"(Muhling et al., 2011)","plainTextFormattedCitation":"(Muhling et al., 2011)","previouslyFormattedCitation":"(Muhling et al., 2011)"},"properties":{"noteIndex":0},"schema":"https://github.com/citation-style-language/schema/raw/master/csl-citation.json"}</w:instrText>
      </w:r>
      <w:r w:rsidRPr="00C57A68">
        <w:rPr>
          <w:rFonts w:cstheme="minorHAnsi"/>
        </w:rPr>
        <w:fldChar w:fldCharType="separate"/>
      </w:r>
      <w:r w:rsidRPr="00C57A68">
        <w:rPr>
          <w:rFonts w:cstheme="minorHAnsi"/>
          <w:noProof/>
        </w:rPr>
        <w:t>(Muhling et al., 2011)</w:t>
      </w:r>
      <w:r w:rsidRPr="00C57A68">
        <w:rPr>
          <w:rFonts w:cstheme="minorHAnsi"/>
        </w:rPr>
        <w:fldChar w:fldCharType="end"/>
      </w:r>
      <w:r w:rsidRPr="00C57A68">
        <w:rPr>
          <w:rFonts w:cstheme="minorHAnsi"/>
        </w:rPr>
        <w:t xml:space="preserve">: </w:t>
      </w:r>
    </w:p>
    <w:p w14:paraId="2B5A9A95" w14:textId="77777777" w:rsidR="00344027" w:rsidRPr="00392131" w:rsidRDefault="00344027" w:rsidP="00344027">
      <w:pPr>
        <w:spacing w:line="480" w:lineRule="auto"/>
        <w:jc w:val="center"/>
        <w:rPr>
          <w:rFonts w:cstheme="minorHAnsi"/>
          <w:sz w:val="22"/>
        </w:rPr>
      </w:pPr>
      <m:oMathPara>
        <m:oMath>
          <m:r>
            <w:rPr>
              <w:rFonts w:ascii="Cambria Math" w:hAnsi="Cambria Math" w:cstheme="minorHAnsi"/>
              <w:sz w:val="22"/>
            </w:rPr>
            <m:t>Model weight</m:t>
          </m:r>
          <m:r>
            <m:rPr>
              <m:sty m:val="p"/>
            </m:rPr>
            <w:rPr>
              <w:rFonts w:ascii="Cambria Math" w:hAnsi="Cambria Math" w:cstheme="minorHAnsi"/>
              <w:sz w:val="22"/>
            </w:rPr>
            <m:t>=</m:t>
          </m:r>
          <m:f>
            <m:fPr>
              <m:ctrlPr>
                <w:rPr>
                  <w:rFonts w:ascii="Cambria Math" w:hAnsi="Cambria Math" w:cstheme="minorHAnsi"/>
                  <w:sz w:val="22"/>
                </w:rPr>
              </m:ctrlPr>
            </m:fPr>
            <m:num>
              <m:r>
                <w:rPr>
                  <w:rFonts w:ascii="Cambria Math" w:hAnsi="Cambria Math" w:cstheme="minorHAnsi"/>
                  <w:sz w:val="22"/>
                </w:rPr>
                <m:t>n</m:t>
              </m:r>
            </m:num>
            <m:den>
              <m:nary>
                <m:naryPr>
                  <m:chr m:val="∑"/>
                  <m:limLoc m:val="undOvr"/>
                  <m:ctrlPr>
                    <w:rPr>
                      <w:rFonts w:ascii="Cambria Math" w:hAnsi="Cambria Math" w:cstheme="minorHAnsi"/>
                      <w:sz w:val="22"/>
                    </w:rPr>
                  </m:ctrlPr>
                </m:naryPr>
                <m:sub>
                  <m:r>
                    <w:rPr>
                      <w:rFonts w:ascii="Cambria Math" w:hAnsi="Cambria Math" w:cstheme="minorHAnsi"/>
                      <w:sz w:val="22"/>
                    </w:rPr>
                    <m:t>i=1</m:t>
                  </m:r>
                </m:sub>
                <m:sup>
                  <m:r>
                    <w:rPr>
                      <w:rFonts w:ascii="Cambria Math" w:hAnsi="Cambria Math" w:cstheme="minorHAnsi"/>
                      <w:sz w:val="22"/>
                    </w:rPr>
                    <m:t>n</m:t>
                  </m:r>
                </m:sup>
                <m:e>
                  <m:r>
                    <m:rPr>
                      <m:sty m:val="p"/>
                    </m:rPr>
                    <w:rPr>
                      <w:rFonts w:ascii="Cambria Math" w:hAnsi="Cambria Math" w:cstheme="minorHAnsi"/>
                      <w:sz w:val="22"/>
                    </w:rPr>
                    <m:t>{</m:t>
                  </m:r>
                  <m:sSup>
                    <m:sSupPr>
                      <m:ctrlPr>
                        <w:rPr>
                          <w:rFonts w:ascii="Cambria Math" w:hAnsi="Cambria Math" w:cstheme="minorHAnsi"/>
                          <w:sz w:val="22"/>
                        </w:rPr>
                      </m:ctrlPr>
                    </m:sSupPr>
                    <m:e>
                      <m:r>
                        <m:rPr>
                          <m:sty m:val="p"/>
                        </m:rPr>
                        <w:rPr>
                          <w:rFonts w:ascii="Cambria Math" w:hAnsi="Cambria Math" w:cstheme="minorHAnsi"/>
                          <w:sz w:val="22"/>
                        </w:rPr>
                        <m:t>e</m:t>
                      </m:r>
                    </m:e>
                    <m:sup>
                      <m:r>
                        <m:rPr>
                          <m:sty m:val="p"/>
                        </m:rPr>
                        <w:rPr>
                          <w:rFonts w:ascii="Cambria Math" w:hAnsi="Cambria Math" w:cstheme="minorHAnsi"/>
                          <w:sz w:val="22"/>
                        </w:rPr>
                        <m:t>-</m:t>
                      </m:r>
                      <m:sSup>
                        <m:sSupPr>
                          <m:ctrlPr>
                            <w:rPr>
                              <w:rFonts w:ascii="Cambria Math" w:hAnsi="Cambria Math" w:cstheme="minorHAnsi"/>
                              <w:sz w:val="22"/>
                            </w:rPr>
                          </m:ctrlPr>
                        </m:sSupPr>
                        <m:e>
                          <m:r>
                            <m:rPr>
                              <m:sty m:val="p"/>
                            </m:rPr>
                            <w:rPr>
                              <w:rFonts w:ascii="Cambria Math" w:hAnsi="Cambria Math" w:cstheme="minorHAnsi"/>
                              <w:sz w:val="22"/>
                            </w:rPr>
                            <m:t>RMS(i)</m:t>
                          </m:r>
                        </m:e>
                        <m:sup>
                          <m:r>
                            <m:rPr>
                              <m:sty m:val="p"/>
                            </m:rPr>
                            <w:rPr>
                              <w:rFonts w:ascii="Cambria Math" w:hAnsi="Cambria Math" w:cstheme="minorHAnsi"/>
                              <w:sz w:val="22"/>
                            </w:rPr>
                            <m:t>2</m:t>
                          </m:r>
                        </m:sup>
                      </m:sSup>
                    </m:sup>
                  </m:sSup>
                  <m:r>
                    <m:rPr>
                      <m:sty m:val="p"/>
                    </m:rPr>
                    <w:rPr>
                      <w:rFonts w:ascii="Cambria Math" w:hAnsi="Cambria Math" w:cstheme="minorHAnsi"/>
                      <w:sz w:val="22"/>
                    </w:rPr>
                    <m:t>}</m:t>
                  </m:r>
                </m:e>
              </m:nary>
            </m:den>
          </m:f>
        </m:oMath>
      </m:oMathPara>
    </w:p>
    <w:p w14:paraId="4DE912DB" w14:textId="77777777" w:rsidR="00344027" w:rsidRPr="00C57A68" w:rsidRDefault="00344027" w:rsidP="00344027">
      <w:pPr>
        <w:spacing w:line="480" w:lineRule="auto"/>
        <w:rPr>
          <w:rFonts w:cstheme="minorHAnsi"/>
        </w:rPr>
      </w:pPr>
      <w:r w:rsidRPr="00C57A68">
        <w:rPr>
          <w:rFonts w:cstheme="minorHAnsi"/>
        </w:rPr>
        <w:t xml:space="preserve">Where RMS is the model root mean square (RMS) and </w:t>
      </w:r>
      <w:r w:rsidRPr="00C57A68">
        <w:rPr>
          <w:rFonts w:cstheme="minorHAnsi"/>
          <w:i/>
          <w:iCs/>
        </w:rPr>
        <w:t>n</w:t>
      </w:r>
      <w:r w:rsidRPr="00C57A68">
        <w:rPr>
          <w:rFonts w:cstheme="minorHAnsi"/>
        </w:rPr>
        <w:t xml:space="preserve"> is the number of climate forecast models. From weighting coefficients, a bias corrected, mean weighted ensemble climate forecast dataset was then calculated for each predictor (</w:t>
      </w:r>
      <w:proofErr w:type="spellStart"/>
      <w:r w:rsidRPr="00C57A68">
        <w:rPr>
          <w:rFonts w:cstheme="minorHAnsi"/>
        </w:rPr>
        <w:t>P</w:t>
      </w:r>
      <w:r w:rsidRPr="00C57A68">
        <w:rPr>
          <w:rFonts w:cstheme="minorHAnsi"/>
          <w:vertAlign w:val="subscript"/>
        </w:rPr>
        <w:t>mean</w:t>
      </w:r>
      <w:proofErr w:type="spellEnd"/>
      <w:r w:rsidRPr="00C57A68">
        <w:rPr>
          <w:rFonts w:cstheme="minorHAnsi"/>
        </w:rPr>
        <w:t xml:space="preserve">, </w:t>
      </w:r>
      <w:proofErr w:type="spellStart"/>
      <w:r w:rsidRPr="00C57A68">
        <w:rPr>
          <w:rFonts w:cstheme="minorHAnsi"/>
        </w:rPr>
        <w:t>T</w:t>
      </w:r>
      <w:r w:rsidRPr="00C57A68">
        <w:rPr>
          <w:rFonts w:cstheme="minorHAnsi"/>
          <w:vertAlign w:val="subscript"/>
        </w:rPr>
        <w:t>mean</w:t>
      </w:r>
      <w:proofErr w:type="spellEnd"/>
      <w:r w:rsidRPr="00C57A68">
        <w:rPr>
          <w:rFonts w:cstheme="minorHAnsi"/>
        </w:rPr>
        <w:t xml:space="preserve">, </w:t>
      </w:r>
      <w:proofErr w:type="spellStart"/>
      <w:r w:rsidRPr="00C57A68">
        <w:rPr>
          <w:rFonts w:cstheme="minorHAnsi"/>
        </w:rPr>
        <w:t>T</w:t>
      </w:r>
      <w:r w:rsidRPr="00C57A68">
        <w:rPr>
          <w:rFonts w:cstheme="minorHAnsi"/>
          <w:vertAlign w:val="subscript"/>
        </w:rPr>
        <w:t>max</w:t>
      </w:r>
      <w:proofErr w:type="spellEnd"/>
      <w:r w:rsidRPr="00C57A68">
        <w:rPr>
          <w:rFonts w:cstheme="minorHAnsi"/>
        </w:rPr>
        <w:t>, T</w:t>
      </w:r>
      <w:r w:rsidRPr="00C57A68">
        <w:rPr>
          <w:rFonts w:cstheme="minorHAnsi"/>
          <w:vertAlign w:val="subscript"/>
        </w:rPr>
        <w:t>s</w:t>
      </w:r>
      <w:r w:rsidRPr="00C57A68">
        <w:rPr>
          <w:rFonts w:cstheme="minorHAnsi"/>
        </w:rPr>
        <w:t xml:space="preserve"> and </w:t>
      </w:r>
      <w:proofErr w:type="spellStart"/>
      <w:r w:rsidRPr="00C57A68">
        <w:rPr>
          <w:rFonts w:cstheme="minorHAnsi"/>
        </w:rPr>
        <w:t>T</w:t>
      </w:r>
      <w:r w:rsidRPr="00C57A68">
        <w:rPr>
          <w:rFonts w:cstheme="minorHAnsi"/>
          <w:vertAlign w:val="subscript"/>
        </w:rPr>
        <w:t>min</w:t>
      </w:r>
      <w:proofErr w:type="spellEnd"/>
      <w:r w:rsidRPr="00C57A68">
        <w:rPr>
          <w:rFonts w:cstheme="minorHAnsi"/>
        </w:rPr>
        <w:t>). The ensemble was selected where climate forecasts (and hindcast data) for each scenario (SSP245 and SSP585) and each predictor were available. Datasets were downloaded from the World Climate Research Program (</w:t>
      </w:r>
      <w:hyperlink r:id="rId54" w:history="1">
        <w:r w:rsidRPr="00C57A68">
          <w:rPr>
            <w:rStyle w:val="Hyperlink"/>
            <w:rFonts w:cstheme="minorHAnsi"/>
          </w:rPr>
          <w:t>https://esgf-node.llnl.gov/search/cmip6/</w:t>
        </w:r>
      </w:hyperlink>
      <w:r w:rsidRPr="00C57A68">
        <w:rPr>
          <w:rFonts w:cstheme="minorHAnsi"/>
        </w:rPr>
        <w:t>). Global mangrove biomass C stocks, soil C stocks and soil sequestration rates were then predicted from the mean weighted climate forecast using the same predictive models as present day from 2059 – 2095 (36 years, as was done for present day). Future estimates of total C stocks (biomass C and soil C</w:t>
      </w:r>
      <w:r w:rsidRPr="00C57A68">
        <w:rPr>
          <w:rFonts w:cstheme="minorHAnsi"/>
          <w:vertAlign w:val="subscript"/>
        </w:rPr>
        <w:t>100</w:t>
      </w:r>
      <w:r w:rsidRPr="00C57A68">
        <w:rPr>
          <w:rFonts w:cstheme="minorHAnsi"/>
        </w:rPr>
        <w:t xml:space="preserve">), CSR and 95% </w:t>
      </w:r>
      <w:proofErr w:type="gramStart"/>
      <w:r w:rsidRPr="00C57A68">
        <w:rPr>
          <w:rFonts w:cstheme="minorHAnsi"/>
        </w:rPr>
        <w:t>CI’s</w:t>
      </w:r>
      <w:proofErr w:type="gramEnd"/>
      <w:r w:rsidRPr="00C57A68">
        <w:rPr>
          <w:rFonts w:cstheme="minorHAnsi"/>
        </w:rPr>
        <w:t xml:space="preserve"> were then, subtracted from current (2012) </w:t>
      </w:r>
      <w:r w:rsidRPr="00C57A68">
        <w:rPr>
          <w:rFonts w:cstheme="minorHAnsi"/>
        </w:rPr>
        <w:lastRenderedPageBreak/>
        <w:t xml:space="preserve">estimates on a pixel basis. The resulting differences per pixel and </w:t>
      </w:r>
      <w:proofErr w:type="gramStart"/>
      <w:r w:rsidRPr="00C57A68">
        <w:rPr>
          <w:rFonts w:cstheme="minorHAnsi"/>
        </w:rPr>
        <w:t>CI’s</w:t>
      </w:r>
      <w:proofErr w:type="gramEnd"/>
      <w:r w:rsidRPr="00C57A68">
        <w:rPr>
          <w:rFonts w:cstheme="minorHAnsi"/>
        </w:rPr>
        <w:t xml:space="preserve"> were then summed per country to express change in total C stocks or soil sequestration rates on a country level with uncertainty levels. The resulting values were split into two groups depending on whether the country was forecasted to experience net a gain or loss in total mangrove C (factor: gain vs. loss). A binomial Generalized Linear Model (GLM, gain vs. loss in total mangrove C stock) was then used for each climate predictor to test for the probability of increase in a countries’ total C stock with the associated change in climate predictor.</w:t>
      </w:r>
    </w:p>
    <w:p w14:paraId="01853567" w14:textId="77777777" w:rsidR="00344027" w:rsidRPr="00392131" w:rsidRDefault="00344027" w:rsidP="00344027">
      <w:pPr>
        <w:spacing w:line="480" w:lineRule="auto"/>
        <w:rPr>
          <w:rFonts w:cstheme="minorHAnsi"/>
          <w:sz w:val="22"/>
        </w:rPr>
      </w:pPr>
    </w:p>
    <w:p w14:paraId="6E5E5BB9" w14:textId="269D2269" w:rsidR="00344027" w:rsidRPr="00344027" w:rsidRDefault="00344027" w:rsidP="00344027">
      <w:pPr>
        <w:pStyle w:val="Heading3"/>
        <w:ind w:left="567" w:hanging="567"/>
        <w:rPr>
          <w:rFonts w:asciiTheme="minorHAnsi" w:hAnsiTheme="minorHAnsi" w:cstheme="minorHAnsi"/>
          <w:b/>
          <w:bCs/>
          <w:color w:val="000000" w:themeColor="text1"/>
        </w:rPr>
      </w:pPr>
      <w:bookmarkStart w:id="61" w:name="_Toc120622149"/>
      <w:r w:rsidRPr="00344027">
        <w:rPr>
          <w:rFonts w:asciiTheme="minorHAnsi" w:hAnsiTheme="minorHAnsi" w:cstheme="minorHAnsi"/>
          <w:b/>
          <w:bCs/>
          <w:color w:val="000000" w:themeColor="text1"/>
        </w:rPr>
        <w:t>5.3.5</w:t>
      </w:r>
      <w:r w:rsidRPr="00344027">
        <w:rPr>
          <w:rFonts w:asciiTheme="minorHAnsi" w:hAnsiTheme="minorHAnsi" w:cstheme="minorHAnsi"/>
          <w:b/>
          <w:bCs/>
          <w:color w:val="000000" w:themeColor="text1"/>
        </w:rPr>
        <w:tab/>
        <w:t>Mangrove deforestation</w:t>
      </w:r>
      <w:bookmarkEnd w:id="61"/>
    </w:p>
    <w:p w14:paraId="34F1C7F6" w14:textId="52DCF8CE" w:rsidR="00344027" w:rsidRPr="00C57A68" w:rsidRDefault="00344027" w:rsidP="00344027">
      <w:pPr>
        <w:spacing w:line="480" w:lineRule="auto"/>
        <w:rPr>
          <w:rFonts w:cstheme="minorHAnsi"/>
        </w:rPr>
      </w:pPr>
      <w:r w:rsidRPr="00C57A68">
        <w:rPr>
          <w:rFonts w:cstheme="minorHAnsi"/>
        </w:rPr>
        <w:t xml:space="preserve">Global and country level mangrove coverage for the years 1980, 1990 and 2000 were obtained from a previously published Food and Agricultural Organization of the UN report </w:t>
      </w:r>
      <w:r w:rsidRPr="00C57A68">
        <w:rPr>
          <w:rFonts w:cstheme="minorHAnsi"/>
        </w:rPr>
        <w:fldChar w:fldCharType="begin" w:fldLock="1"/>
      </w:r>
      <w:r w:rsidRPr="00C57A68">
        <w:rPr>
          <w:rFonts w:cstheme="minorHAnsi"/>
        </w:rPr>
        <w:instrText>ADDIN CSL_CITATION {"citationItems":[{"id":"ITEM-1","itemData":{"ISBN":"978-92-5-105856-5","author":[{"dropping-particle":"","family":"FAO","given":"","non-dropping-particle":"","parse-names":false,"suffix":""}],"id":"ITEM-1","issued":{"date-parts":[["2007"]]},"publisher-place":"Rome","title":"The world’s Mangroves 1980-2005","type":"book"},"uris":["http://www.mendeley.com/documents/?uuid=d0758cbd-c2f9-41b0-9ece-34da009deca1"]}],"mendeley":{"formattedCitation":"(FAO, 2007)","plainTextFormattedCitation":"(FAO, 2007)","previouslyFormattedCitation":"(FAO, 2007)"},"properties":{"noteIndex":0},"schema":"https://github.com/citation-style-language/schema/raw/master/csl-citation.json"}</w:instrText>
      </w:r>
      <w:r w:rsidRPr="00C57A68">
        <w:rPr>
          <w:rFonts w:cstheme="minorHAnsi"/>
        </w:rPr>
        <w:fldChar w:fldCharType="separate"/>
      </w:r>
      <w:r w:rsidRPr="00C57A68">
        <w:rPr>
          <w:rFonts w:cstheme="minorHAnsi"/>
          <w:noProof/>
        </w:rPr>
        <w:t>(FAO, 2007)</w:t>
      </w:r>
      <w:r w:rsidRPr="00C57A68">
        <w:rPr>
          <w:rFonts w:cstheme="minorHAnsi"/>
        </w:rPr>
        <w:fldChar w:fldCharType="end"/>
      </w:r>
      <w:r w:rsidRPr="00C57A68">
        <w:rPr>
          <w:rFonts w:cstheme="minorHAnsi"/>
        </w:rPr>
        <w:t xml:space="preserve">. Data in this report was gathered by a combination of questionnaires distributed worldwide to members of the International Society for Mangrove Ecosystems (ISME) and satellite imagery </w:t>
      </w:r>
      <w:r w:rsidRPr="00C57A68">
        <w:rPr>
          <w:rFonts w:cstheme="minorHAnsi"/>
        </w:rPr>
        <w:fldChar w:fldCharType="begin" w:fldLock="1"/>
      </w:r>
      <w:r w:rsidRPr="00C57A68">
        <w:rPr>
          <w:rFonts w:cstheme="minorHAnsi"/>
        </w:rPr>
        <w:instrText>ADDIN CSL_CITATION {"citationItems":[{"id":"ITEM-1","itemData":{"ISBN":"978-92-5-105856-5","author":[{"dropping-particle":"","family":"FAO","given":"","non-dropping-particle":"","parse-names":false,"suffix":""}],"id":"ITEM-1","issued":{"date-parts":[["2007"]]},"publisher-place":"Rome","title":"The world’s Mangroves 1980-2005","type":"book"},"uris":["http://www.mendeley.com/documents/?uuid=d0758cbd-c2f9-41b0-9ece-34da009deca1"]}],"mendeley":{"formattedCitation":"(FAO, 2007)","plainTextFormattedCitation":"(FAO, 2007)","previouslyFormattedCitation":"(FAO, 2007)"},"properties":{"noteIndex":0},"schema":"https://github.com/citation-style-language/schema/raw/master/csl-citation.json"}</w:instrText>
      </w:r>
      <w:r w:rsidRPr="00C57A68">
        <w:rPr>
          <w:rFonts w:cstheme="minorHAnsi"/>
        </w:rPr>
        <w:fldChar w:fldCharType="separate"/>
      </w:r>
      <w:r w:rsidRPr="00C57A68">
        <w:rPr>
          <w:rFonts w:cstheme="minorHAnsi"/>
          <w:noProof/>
        </w:rPr>
        <w:t>(FAO, 2007)</w:t>
      </w:r>
      <w:r w:rsidRPr="00C57A68">
        <w:rPr>
          <w:rFonts w:cstheme="minorHAnsi"/>
        </w:rPr>
        <w:fldChar w:fldCharType="end"/>
      </w:r>
      <w:r w:rsidRPr="00C57A68">
        <w:rPr>
          <w:rFonts w:cstheme="minorHAnsi"/>
        </w:rPr>
        <w:t xml:space="preserve">. From 2000 to 2010, high resolution (~30m) satellite imagery has been used to estimate global mangrove coverage </w:t>
      </w:r>
      <w:r w:rsidRPr="00C57A68">
        <w:rPr>
          <w:rFonts w:cstheme="minorHAnsi"/>
        </w:rPr>
        <w:fldChar w:fldCharType="begin" w:fldLock="1"/>
      </w:r>
      <w:r w:rsidRPr="00C57A68">
        <w:rPr>
          <w:rFonts w:cstheme="minorHAnsi"/>
        </w:rPr>
        <w:instrText>ADDIN CSL_CITATION {"citationItems":[{"id":"ITEM-1","itemData":{"DOI":"10.1111/j.1466-8238.2010.00584.x","ISBN":"1466-822X","ISSN":"1466822X","abstract":"Aim Our scientific understanding of the extent and distribution of mangrove forests of the world is inadequate. The available global mangrove databases, com- piled using disparate geospatial data sources and national statistics, need to be improved.Here,we mapped the status and distributions of global mangroves using recently available Global Land Survey (GLS) data and the Landsat archive. Methods We interpreted approximately 1000 Landsat scenes using hybrid super- vised and unsupervised digital image classification techniques. Each image was normalized for variation in solar angle and earth–sun distance by converting the digital number values to the top-of-the-atmosphere reflectance.Ground truth data and existing maps and databases were used to select training samples and also for iterative labelling. Results were validated using existing GIS data and the published literature to map ‘true mangroves’. Results The total area of mangroves in the year 2000 was 137,760 km2 in 118 countries and territories in the tropical and subtropical regions of the world. Approximately 75% of world’s mangroves are found in just 15 countries, and only 6.9% are protected under the existing protected areas network (IUCN I-IV). Our study confirms earlier findings that the biogeographic distribution of mangroves is generally confined to the tropical and subtropical regions and the largest percentage of mangroves is found between 5° N and 5° S latitude. Main conclusions We report that the remaining area of mangrove forest in the world is less than previously thought. Our estimate is 12.3% smaller than the most recent estimate by the Food and Agriculture Organization (FAO) of the United Nations.We present the most comprehensive, globally consistent and highest resolution (30 m) global mangrove database ever created.We developed and used better mapping techniques and data sources and mapped mangroves with better spatial and thematic details than previous studies.","author":[{"dropping-particle":"","family":"Giri","given":"C.","non-dropping-particle":"","parse-names":false,"suffix":""},{"dropping-particle":"","family":"Ochieng","given":"E.","non-dropping-particle":"","parse-names":false,"suffix":""},{"dropping-particle":"","family":"Tieszen","given":"L. L.","non-dropping-particle":"","parse-names":false,"suffix":""},{"dropping-particle":"","family":"Zhu","given":"Z.","non-dropping-particle":"","parse-names":false,"suffix":""},{"dropping-particle":"","family":"Singh","given":"A.","non-dropping-particle":"","parse-names":false,"suffix":""},{"dropping-particle":"","family":"Loveland","given":"T.","non-dropping-particle":"","parse-names":false,"suffix":""},{"dropping-particle":"","family":"Masek","given":"J.","non-dropping-particle":"","parse-names":false,"suffix":""},{"dropping-particle":"","family":"Duke","given":"N.","non-dropping-particle":"","parse-names":false,"suffix":""}],"container-title":"Global Ecology and Biogeography","id":"ITEM-1","issue":"1","issued":{"date-parts":[["2011","1"]]},"page":"154-159","title":"Status and distribution of mangrove forests of the world using earth observation satellite data","type":"article-journal","volume":"20"},"uris":["http://www.mendeley.com/documents/?uuid=d12166ad-2257-38a1-8725-93fbc824ac73"]},{"id":"ITEM-2","itemData":{"author":[{"dropping-particle":"","family":"Hamilton","given":"Stuart","non-dropping-particle":"","parse-names":false,"suffix":""},{"dropping-particle":"","family":"Casey","given":"Daniel","non-dropping-particle":"","parse-names":false,"suffix":""}],"container-title":"Global Ecology and Biogeography","id":"ITEM-2","issue":"6","issued":{"date-parts":[["2016"]]},"page":"729-738","title":"Creation of a high spatiotemporal resolution global database of continuous mangrove forest cover","type":"article-journal","volume":"25"},"uris":["http://www.mendeley.com/documents/?uuid=893008db-4f62-4c3e-95b0-18b063df5b92"]}],"mendeley":{"formattedCitation":"(Giri et al., 2011; Hamilton and Casey, 2016)","plainTextFormattedCitation":"(Giri et al., 2011; Hamilton and Casey, 2016)","previouslyFormattedCitation":"(Giri et al., 2011; Hamilton and Casey, 2016)"},"properties":{"noteIndex":0},"schema":"https://github.com/citation-style-language/schema/raw/master/csl-citation.json"}</w:instrText>
      </w:r>
      <w:r w:rsidRPr="00C57A68">
        <w:rPr>
          <w:rFonts w:cstheme="minorHAnsi"/>
        </w:rPr>
        <w:fldChar w:fldCharType="separate"/>
      </w:r>
      <w:r w:rsidRPr="00C57A68">
        <w:rPr>
          <w:rFonts w:cstheme="minorHAnsi"/>
          <w:noProof/>
        </w:rPr>
        <w:t>(Giri et al., 2011; Hamilton and Casey, 2016)</w:t>
      </w:r>
      <w:r w:rsidRPr="00C57A68">
        <w:rPr>
          <w:rFonts w:cstheme="minorHAnsi"/>
        </w:rPr>
        <w:fldChar w:fldCharType="end"/>
      </w:r>
      <w:r w:rsidRPr="00C57A68">
        <w:rPr>
          <w:rFonts w:cstheme="minorHAnsi"/>
        </w:rPr>
        <w:t xml:space="preserve">. Our pre 2000 estimates are based on the 2007 FAO report </w:t>
      </w:r>
      <w:r w:rsidRPr="00C57A68">
        <w:rPr>
          <w:rFonts w:cstheme="minorHAnsi"/>
        </w:rPr>
        <w:fldChar w:fldCharType="begin" w:fldLock="1"/>
      </w:r>
      <w:r w:rsidRPr="00C57A68">
        <w:rPr>
          <w:rFonts w:cstheme="minorHAnsi"/>
        </w:rPr>
        <w:instrText>ADDIN CSL_CITATION {"citationItems":[{"id":"ITEM-1","itemData":{"ISBN":"978-92-5-105856-5","author":[{"dropping-particle":"","family":"FAO","given":"","non-dropping-particle":"","parse-names":false,"suffix":""}],"id":"ITEM-1","issued":{"date-parts":[["2007"]]},"publisher-place":"Rome","title":"The world’s Mangroves 1980-2005","type":"book"},"uris":["http://www.mendeley.com/documents/?uuid=d0758cbd-c2f9-41b0-9ece-34da009deca1"]}],"mendeley":{"formattedCitation":"(FAO, 2007)","plainTextFormattedCitation":"(FAO, 2007)","previouslyFormattedCitation":"(FAO, 2007)"},"properties":{"noteIndex":0},"schema":"https://github.com/citation-style-language/schema/raw/master/csl-citation.json"}</w:instrText>
      </w:r>
      <w:r w:rsidRPr="00C57A68">
        <w:rPr>
          <w:rFonts w:cstheme="minorHAnsi"/>
        </w:rPr>
        <w:fldChar w:fldCharType="separate"/>
      </w:r>
      <w:r w:rsidRPr="00C57A68">
        <w:rPr>
          <w:rFonts w:cstheme="minorHAnsi"/>
          <w:noProof/>
        </w:rPr>
        <w:t>(FAO, 2007)</w:t>
      </w:r>
      <w:r w:rsidRPr="00C57A68">
        <w:rPr>
          <w:rFonts w:cstheme="minorHAnsi"/>
        </w:rPr>
        <w:fldChar w:fldCharType="end"/>
      </w:r>
      <w:r w:rsidRPr="00C57A68">
        <w:rPr>
          <w:rFonts w:cstheme="minorHAnsi"/>
        </w:rPr>
        <w:t xml:space="preserve">, however, there is much debate about the uncertainties surrounding these data </w:t>
      </w:r>
      <w:r w:rsidRPr="00C57A68">
        <w:rPr>
          <w:rFonts w:cstheme="minorHAnsi"/>
        </w:rPr>
        <w:fldChar w:fldCharType="begin" w:fldLock="1"/>
      </w:r>
      <w:r w:rsidRPr="00C57A68">
        <w:rPr>
          <w:rFonts w:cstheme="minorHAnsi"/>
        </w:rPr>
        <w:instrText>ADDIN CSL_CITATION {"citationItems":[{"id":"ITEM-1","itemData":{"DOI":"10.1111/geb.12140","ISSN":"14668238","abstract":"Aim To quantify the variability in estimates of change in mangrove area for key countries throughout the tropics, and to highlight potential implications for the assessment of global mangrove ecology, function and conservation. Location Pan-tropical, covering 15 countries, and accounting for c. 67% of global mangrove area. Methods We review 314 national mangrove area estimates (authoritative state- mentswith defined time periods) fromvarious sources. Linear regressionmodels of mangrove area over time were applied to various data point combinations, defined by data source. These included various FAO resources, as well as academic and government statistics and remote sensing studies. Results National trends of change in mangrove area exhibited high variability depending on which data points were modelled. Many countries showed high variability in deforestation rate when the results of all models were combined, e.g. Indonesia had an average deforestation rate of 331.65 (± 222.26) km2 yr−1 , Nigeria lost 92.09 (± 188.95)km2 yr−1 and Cuba lost 34.82 (± 142.17)km2 yr−1 .The standard deviations were large due to high variability in national estimates, and hence the number of contradictory trends that could be extracted. Conflicting trends of long-term mangrove loss and gain could be derived for eight of the 15 countries analysed, including Indonesia, Brazil and the Philippines. Main conclusions The great variability in trends of mangrove extent suggests that estimates of ecosystem functional loss, biodiversity threat assessments and science-based conservation policies will be hampered by low confidence in man- grove area dynamics. Variable and inaccurate baseline data feed into various esti- mates of biodiversity and ecosystem functional loss, such as IUCN Red List assessments and estimates of global carbon emissions from mangrove deforesta- tion.We also require robust information to inform conservation actions and poli- cies hoping to reduce functional loss.Variability has important implications for all ecosystems ecosystems where statistics are required over large scales.","author":[{"dropping-particle":"","family":"Friess","given":"Daniel A.","non-dropping-particle":"","parse-names":false,"suffix":""},{"dropping-particle":"","family":"Webb","given":"Edward L.","non-dropping-particle":"","parse-names":false,"suffix":""}],"container-title":"Global Ecology and Biogeography","id":"ITEM-1","issue":"7","issued":{"date-parts":[["2014"]]},"page":"715-725","title":"Variability in mangrove change estimates and implications for the assessment of ecosystem service provision","type":"article-journal","volume":"23"},"uris":["http://www.mendeley.com/documents/?uuid=e7a6e77f-6667-3937-96e9-e1213324b9fe"]}],"mendeley":{"formattedCitation":"(Friess and Webb, 2014)","plainTextFormattedCitation":"(Friess and Webb, 2014)","previouslyFormattedCitation":"(Friess and Webb, 2014)"},"properties":{"noteIndex":0},"schema":"https://github.com/citation-style-language/schema/raw/master/csl-citation.json"}</w:instrText>
      </w:r>
      <w:r w:rsidRPr="00C57A68">
        <w:rPr>
          <w:rFonts w:cstheme="minorHAnsi"/>
        </w:rPr>
        <w:fldChar w:fldCharType="separate"/>
      </w:r>
      <w:r w:rsidRPr="00C57A68">
        <w:rPr>
          <w:rFonts w:cstheme="minorHAnsi"/>
          <w:noProof/>
        </w:rPr>
        <w:t>(Friess and Webb, 2014)</w:t>
      </w:r>
      <w:r w:rsidRPr="00C57A68">
        <w:rPr>
          <w:rFonts w:cstheme="minorHAnsi"/>
        </w:rPr>
        <w:fldChar w:fldCharType="end"/>
      </w:r>
      <w:r w:rsidRPr="00C57A68">
        <w:rPr>
          <w:rFonts w:cstheme="minorHAnsi"/>
        </w:rPr>
        <w:t xml:space="preserve">. Even determining the trend of mangrove coverage in some countries during this period is difficult </w:t>
      </w:r>
      <w:r w:rsidRPr="00C57A68">
        <w:rPr>
          <w:rFonts w:cstheme="minorHAnsi"/>
        </w:rPr>
        <w:fldChar w:fldCharType="begin" w:fldLock="1"/>
      </w:r>
      <w:r w:rsidRPr="00C57A68">
        <w:rPr>
          <w:rFonts w:cstheme="minorHAnsi"/>
        </w:rPr>
        <w:instrText>ADDIN CSL_CITATION {"citationItems":[{"id":"ITEM-1","itemData":{"ISBN":"978-92-5-105856-5","author":[{"dropping-particle":"","family":"FAO","given":"","non-dropping-particle":"","parse-names":false,"suffix":""}],"id":"ITEM-1","issued":{"date-parts":[["2007"]]},"publisher-place":"Rome","title":"The world’s Mangroves 1980-2005","type":"book"},"uris":["http://www.mendeley.com/documents/?uuid=d0758cbd-c2f9-41b0-9ece-34da009deca1"]}],"mendeley":{"formattedCitation":"(FAO, 2007)","plainTextFormattedCitation":"(FAO, 2007)","previouslyFormattedCitation":"(FAO, 2007)"},"properties":{"noteIndex":0},"schema":"https://github.com/citation-style-language/schema/raw/master/csl-citation.json"}</w:instrText>
      </w:r>
      <w:r w:rsidRPr="00C57A68">
        <w:rPr>
          <w:rFonts w:cstheme="minorHAnsi"/>
        </w:rPr>
        <w:fldChar w:fldCharType="separate"/>
      </w:r>
      <w:r w:rsidRPr="00C57A68">
        <w:rPr>
          <w:rFonts w:cstheme="minorHAnsi"/>
          <w:noProof/>
        </w:rPr>
        <w:t>(FAO, 2007)</w:t>
      </w:r>
      <w:r w:rsidRPr="00C57A68">
        <w:rPr>
          <w:rFonts w:cstheme="minorHAnsi"/>
        </w:rPr>
        <w:fldChar w:fldCharType="end"/>
      </w:r>
      <w:r w:rsidRPr="00C57A68">
        <w:rPr>
          <w:rFonts w:cstheme="minorHAnsi"/>
        </w:rPr>
        <w:t xml:space="preserve">. However, this period represents peak rates of global mangrove deforestation, some estimates of mangrove loss during this period are up to 30-50% </w:t>
      </w:r>
      <w:r w:rsidRPr="00C57A68">
        <w:rPr>
          <w:rFonts w:cstheme="minorHAnsi"/>
        </w:rPr>
        <w:fldChar w:fldCharType="begin" w:fldLock="1"/>
      </w:r>
      <w:r w:rsidRPr="00C57A68">
        <w:rPr>
          <w:rFonts w:cstheme="minorHAnsi"/>
        </w:rPr>
        <w:instrText>ADDIN CSL_CITATION {"citationItems":[{"id":"ITEM-1","itemData":{"DOI":"10.1017/S0376892902000231","ISSN":"03768929","abstract":"Mangroves, the only woody halophytes living at the confluence of land and sea, have been heavily used traditionally for food, timber, fuel and medicine, and presently occupy about 181 000 km(2) of tropical and subtropical coastline. Over the past 50 years, approximately one-third of the world's mangrove forests have been lost, but most data show very variable loss rates and there is considerable margin of error in most estimates. Mangroves are a valuable ecological and economic resource, being important nursery grounds and breeding sites for birds, fish, crustaceans, shellfish, reptiles and mammals; a renewable source of wood; accumulation sites for sediment, contaminants, carbon and nutrients; and offer protection against coastal erosion. The destruction of mangroves is usually positively related to human population density. Major reasons for destruction are urban development, aquaculture, mining and overexploitation for timber, fish, crustaceans and shellfish. Over the next 25 years, unrestricted clear felling, aquaculture, and overexploitation of fisheries will be the greatest threats, with lesser problems being alteration of hydrology, pollution and global warming. Loss of biodiversity is, and will continue to be, a severe problem as even pristine mangroves are species-poor compared with other tropical ecosystems. The future is not entirely bleak. The number of rehabilitation and restoration projects is increasing worldwide with some countries showing increases in mangrove area. The intensity of coastal aquaculture appears to have levelled off in some parts of the world. Some commercial projects and. economic models indicate that mangroves can be used as a sustainable resource, especially for wood. The brightest note is that the rate of population growth is projected to slow during the next 50 years, with a gradual decline thereafter to the end of the century. Mangrove forests will continue to be exploited at current rates to 2025, unless they are seen as a valuable resource to be managed on a sustainable basis. After 2025, the future of mangroves will depend on technological and ecological advances in multi-species silviculture, genetics, and forestry modelling, but the greatest hope for their future is for a reduction in human population growth","author":[{"dropping-particle":"","family":"Alongi","given":"Daniel M.","non-dropping-particle":"","parse-names":false,"suffix":""}],"container-title":"Environmental Conservation","id":"ITEM-1","issue":"3","issued":{"date-parts":[["2002","9","13"]]},"page":"331-349","publisher":"Cambridge University Press","title":"Present state and future of the world's mangrove forests","type":"article","volume":"29"},"uris":["http://www.mendeley.com/documents/?uuid=9a46e976-54cb-3da4-afd2-dcaed6bffd61"]},{"id":"ITEM-2","itemData":{"DOI":"10.1126/science.317.5834.41b","ISSN":"0036-8075","PMID":"17615322","abstract":"At a meeting of world mangrove experts held last year in Australia, it was unanimously agreed that we face the prospect of a world deprived of the services offered by mangrove ecosystems, perhaps within the next 100 years. Mangrove forests once covered more than 200,000 km2 of sheltered tropical and subtropical coastlines (1). They are disappearing worldwide by 1 to 2 % per year, a rate greater than or equal to declines in adjacent coral reefs or tropical rainforests (25). Losses are occurring in almost every country that has mangroves, and rates continue to rise more rapidly in developing countries, where &gt;90 % of the worlds mangroves are located. The veracity and detail of the UN Food and Agriculture Organisation data (2) on which these observations are based may be arguable, but mangrove losses during the last quarter-century range consistently between 35 and 86%. As mangrove areas are becoming small or fragmented, their long-term survival is at great risk and essential ecosystem services may be lost. Where mangrove forests are cleared for aquaculture, urbanization, or coastal landfill or deteriorate due to indirect effects of pollution and upstream land-use (3, 4), their species richness is expected to decline precipitously, because the number of mangrove plant species is directly correlated with forest size (6, 7). Examples from other ecosystems have shown that species extinctions can be followed by loss in functional diversity, particularly in species-poor systems like mangroves, which have low redundancy per se (8). Therefore, any further decline in mangrove area is likely to be followed by accelerated functional losses. Mangroves are already critically endangered or approaching extinction in 26 out of the 120 countries having mangroves (2, 9). Deforestation of mangrove forests, which have extraordinary high rates of primary productivity (3), reduces their duel capacity to be both an atmospheric CO2 sink (10) and an essential source of oceanic carbon. Deforestation may shift mangrove forests, which have extraordinary high rates of primary productivity (3), from being a carbon source to a carbon sink (10). The support mangrove ecosystems provide for terrestrial as well as marine food webs would be lost, adversely affecting, for example, fisheries (11). The decline further imperils mangrove-dependant fauna with their complex habitat linkages as well as physical benefits like the buffering of seagrass beds and coral reefs against the impacts of rive…","author":[{"dropping-particle":"","family":"Duke","given":"N. C.","non-dropping-particle":"","parse-names":false,"suffix":""},{"dropping-particle":"","family":"Meynecke","given":"J.-O.","non-dropping-particle":"","parse-names":false,"suffix":""},{"dropping-particle":"","family":"Dittmann","given":"S.","non-dropping-particle":"","parse-names":false,"suffix":""},{"dropping-particle":"","family":"Ellison","given":"A. M.","non-dropping-particle":"","parse-names":false,"suffix":""},{"dropping-particle":"","family":"Anger","given":"K.","non-dropping-particle":"","parse-names":false,"suffix":""},{"dropping-particle":"","family":"Berger","given":"U.","non-dropping-particle":"","parse-names":false,"suffix":""},{"dropping-particle":"","family":"Cannicci","given":"S.","non-dropping-particle":"","parse-names":false,"suffix":""},{"dropping-particle":"","family":"Diele","given":"K.","non-dropping-particle":"","parse-names":false,"suffix":""},{"dropping-particle":"","family":"Ewel","given":"K. C.","non-dropping-particle":"","parse-names":false,"suffix":""},{"dropping-particle":"","family":"Field","given":"C. D.","non-dropping-particle":"","parse-names":false,"suffix":""},{"dropping-particle":"","family":"Koedam","given":"N.","non-dropping-particle":"","parse-names":false,"suffix":""},{"dropping-particle":"","family":"Lee","given":"S. Y.","non-dropping-particle":"","parse-names":false,"suffix":""},{"dropping-particle":"","family":"Marchand","given":"C.","non-dropping-particle":"","parse-names":false,"suffix":""},{"dropping-particle":"","family":"Nordhaus","given":"I.","non-dropping-particle":"","parse-names":false,"suffix":""},{"dropping-particle":"","family":"Dahdouh-Guebas","given":"F.","non-dropping-particle":"","parse-names":false,"suffix":""}],"container-title":"Science","id":"ITEM-2","issue":"5834","issued":{"date-parts":[["2007"]]},"page":"41b-42b","title":"A World Without Mangroves?","type":"article-journal","volume":"317"},"uris":["http://www.mendeley.com/documents/?uuid=9c93da23-c24e-4725-8b7b-b67edd058d60"]}],"mendeley":{"formattedCitation":"(Alongi, 2002; Duke et al., 2007)","plainTextFormattedCitation":"(Alongi, 2002; Duke et al., 2007)","previouslyFormattedCitation":"(Alongi, 2002; Duke et al., 2007)"},"properties":{"noteIndex":0},"schema":"https://github.com/citation-style-language/schema/raw/master/csl-citation.json"}</w:instrText>
      </w:r>
      <w:r w:rsidRPr="00C57A68">
        <w:rPr>
          <w:rFonts w:cstheme="minorHAnsi"/>
        </w:rPr>
        <w:fldChar w:fldCharType="separate"/>
      </w:r>
      <w:r w:rsidRPr="00C57A68">
        <w:rPr>
          <w:rFonts w:cstheme="minorHAnsi"/>
          <w:noProof/>
        </w:rPr>
        <w:t>(Alongi, 2002; Duke et al., 2007)</w:t>
      </w:r>
      <w:r w:rsidRPr="00C57A68">
        <w:rPr>
          <w:rFonts w:cstheme="minorHAnsi"/>
        </w:rPr>
        <w:fldChar w:fldCharType="end"/>
      </w:r>
      <w:r w:rsidRPr="00C57A68">
        <w:rPr>
          <w:rFonts w:cstheme="minorHAnsi"/>
        </w:rPr>
        <w:t xml:space="preserve">. In addition, this report is the most comprehensive historical record of global mangrove coverage prior to 2000. As such, estimates of coverage change, and therefore emissions, from 2000 should be considered more accurate than prior to 2000 estimates as they are based on high resolution satellite </w:t>
      </w:r>
      <w:r w:rsidRPr="00C57A68">
        <w:rPr>
          <w:rFonts w:cstheme="minorHAnsi"/>
        </w:rPr>
        <w:lastRenderedPageBreak/>
        <w:t xml:space="preserve">imagery. Estimates of country level mangrove coverage and deforestation from 2000 to 2012 were obtained from Hamilton and Casey (2016) using the Mangrove Forests of the World dataset (MFW) </w:t>
      </w:r>
      <w:r w:rsidRPr="00C57A68">
        <w:rPr>
          <w:rFonts w:cstheme="minorHAnsi"/>
        </w:rPr>
        <w:fldChar w:fldCharType="begin" w:fldLock="1"/>
      </w:r>
      <w:r w:rsidRPr="00C57A68">
        <w:rPr>
          <w:rFonts w:cstheme="minorHAnsi"/>
        </w:rPr>
        <w:instrText>ADDIN CSL_CITATION {"citationItems":[{"id":"ITEM-1","itemData":{"DOI":"10.1111/j.1466-8238.2010.00584.x","ISBN":"1466-822X","ISSN":"1466822X","abstract":"Aim Our scientific understanding of the extent and distribution of mangrove forests of the world is inadequate. The available global mangrove databases, com- piled using disparate geospatial data sources and national statistics, need to be improved.Here,we mapped the status and distributions of global mangroves using recently available Global Land Survey (GLS) data and the Landsat archive. Methods We interpreted approximately 1000 Landsat scenes using hybrid super- vised and unsupervised digital image classification techniques. Each image was normalized for variation in solar angle and earth–sun distance by converting the digital number values to the top-of-the-atmosphere reflectance.Ground truth data and existing maps and databases were used to select training samples and also for iterative labelling. Results were validated using existing GIS data and the published literature to map ‘true mangroves’. Results The total area of mangroves in the year 2000 was 137,760 km2 in 118 countries and territories in the tropical and subtropical regions of the world. Approximately 75% of world’s mangroves are found in just 15 countries, and only 6.9% are protected under the existing protected areas network (IUCN I-IV). Our study confirms earlier findings that the biogeographic distribution of mangroves is generally confined to the tropical and subtropical regions and the largest percentage of mangroves is found between 5° N and 5° S latitude. Main conclusions We report that the remaining area of mangrove forest in the world is less than previously thought. Our estimate is 12.3% smaller than the most recent estimate by the Food and Agriculture Organization (FAO) of the United Nations.We present the most comprehensive, globally consistent and highest resolution (30 m) global mangrove database ever created.We developed and used better mapping techniques and data sources and mapped mangroves with better spatial and thematic details than previous studies.","author":[{"dropping-particle":"","family":"Giri","given":"C.","non-dropping-particle":"","parse-names":false,"suffix":""},{"dropping-particle":"","family":"Ochieng","given":"E.","non-dropping-particle":"","parse-names":false,"suffix":""},{"dropping-particle":"","family":"Tieszen","given":"L. L.","non-dropping-particle":"","parse-names":false,"suffix":""},{"dropping-particle":"","family":"Zhu","given":"Z.","non-dropping-particle":"","parse-names":false,"suffix":""},{"dropping-particle":"","family":"Singh","given":"A.","non-dropping-particle":"","parse-names":false,"suffix":""},{"dropping-particle":"","family":"Loveland","given":"T.","non-dropping-particle":"","parse-names":false,"suffix":""},{"dropping-particle":"","family":"Masek","given":"J.","non-dropping-particle":"","parse-names":false,"suffix":""},{"dropping-particle":"","family":"Duke","given":"N.","non-dropping-particle":"","parse-names":false,"suffix":""}],"container-title":"Global Ecology and Biogeography","id":"ITEM-1","issue":"1","issued":{"date-parts":[["2011","1"]]},"page":"154-159","title":"Status and distribution of mangrove forests of the world using earth observation satellite data","type":"article-journal","volume":"20"},"uris":["http://www.mendeley.com/documents/?uuid=d12166ad-2257-38a1-8725-93fbc824ac73"]}],"mendeley":{"formattedCitation":"(Giri et al., 2011)","plainTextFormattedCitation":"(Giri et al., 2011)","previouslyFormattedCitation":"(Giri et al., 2011)"},"properties":{"noteIndex":0},"schema":"https://github.com/citation-style-language/schema/raw/master/csl-citation.json"}</w:instrText>
      </w:r>
      <w:r w:rsidRPr="00C57A68">
        <w:rPr>
          <w:rFonts w:cstheme="minorHAnsi"/>
        </w:rPr>
        <w:fldChar w:fldCharType="separate"/>
      </w:r>
      <w:r w:rsidRPr="00C57A68">
        <w:rPr>
          <w:rFonts w:cstheme="minorHAnsi"/>
          <w:noProof/>
        </w:rPr>
        <w:t>(Giri et al., 2011)</w:t>
      </w:r>
      <w:r w:rsidRPr="00C57A68">
        <w:rPr>
          <w:rFonts w:cstheme="minorHAnsi"/>
        </w:rPr>
        <w:fldChar w:fldCharType="end"/>
      </w:r>
      <w:r w:rsidRPr="00C57A68">
        <w:rPr>
          <w:rFonts w:cstheme="minorHAnsi"/>
        </w:rPr>
        <w:t xml:space="preserve">. A constant reference deforestation rate was assumed for the period 2012 to 2095 </w:t>
      </w:r>
      <w:r w:rsidRPr="00C57A68">
        <w:rPr>
          <w:rFonts w:cstheme="minorHAnsi"/>
        </w:rPr>
        <w:fldChar w:fldCharType="begin" w:fldLock="1"/>
      </w:r>
      <w:r w:rsidRPr="00C57A68">
        <w:rPr>
          <w:rFonts w:cstheme="minorHAnsi"/>
        </w:rPr>
        <w:instrText>ADDIN CSL_CITATION {"citationItems":[{"id":"ITEM-1","itemData":{"DOI":"10.1111/conl.12445","ISSN":"1755263X","abstract":"© 2018 Wiley Periodicals, Inc. Mangrove deforestation threatens to release large stores of carbon from soils that are vulnerable to oxidation. Carbon stored in deep soils is not measured in national carbon inventories. Thus, policies on emission reductions have likely underestimated the contribution of mangrove deforestation to national emissions. Here, we estimate that emissions from deforestation and degradation of mangroves in Mexico are 31 times greater than the values used to determine national emission reduction targets for the Paris Agreement. Thus, Mexico has vastly undervaluated the potential of mangrove protection to reduce its emissions. Accounting for carbon emissions from mangrove soils should greatly increase the priority of mangrove forests to receive funding for protection under carbon trading programs.","author":[{"dropping-particle":"","family":"Adame","given":"Maria Fernanda","non-dropping-particle":"","parse-names":false,"suffix":""},{"dropping-particle":"","family":"Brown","given":"Christopher James","non-dropping-particle":"","parse-names":false,"suffix":""},{"dropping-particle":"","family":"Bejarano","given":"Marylin","non-dropping-particle":"","parse-names":false,"suffix":""},{"dropping-particle":"","family":"Herrera-Silveira","given":"Jorge Alfredo","non-dropping-particle":"","parse-names":false,"suffix":""},{"dropping-particle":"","family":"Ezcurra","given":"Paula","non-dropping-particle":"","parse-names":false,"suffix":""},{"dropping-particle":"","family":"Kauffman","given":"J. Boone","non-dropping-particle":"","parse-names":false,"suffix":""},{"dropping-particle":"","family":"Birdsey","given":"Richard","non-dropping-particle":"","parse-names":false,"suffix":""}],"container-title":"Conservation Letters","id":"ITEM-1","issue":"4","issued":{"date-parts":[["2018"]]},"title":"The undervalued contribution of mangrove protection in Mexico to carbon emission targets","type":"article-journal","volume":"11"},"uris":["http://www.mendeley.com/documents/?uuid=841596e0-b190-4368-815b-9132a4784014"]}],"mendeley":{"formattedCitation":"(Adame et al., 2018)","plainTextFormattedCitation":"(Adame et al., 2018)","previouslyFormattedCitation":"(Adame et al., 2018)"},"properties":{"noteIndex":0},"schema":"https://github.com/citation-style-language/schema/raw/master/csl-citation.json"}</w:instrText>
      </w:r>
      <w:r w:rsidRPr="00C57A68">
        <w:rPr>
          <w:rFonts w:cstheme="minorHAnsi"/>
        </w:rPr>
        <w:fldChar w:fldCharType="separate"/>
      </w:r>
      <w:r w:rsidRPr="00C57A68">
        <w:rPr>
          <w:rFonts w:cstheme="minorHAnsi"/>
          <w:noProof/>
        </w:rPr>
        <w:t>(Adame et al., 2018)</w:t>
      </w:r>
      <w:r w:rsidRPr="00C57A68">
        <w:rPr>
          <w:rFonts w:cstheme="minorHAnsi"/>
        </w:rPr>
        <w:fldChar w:fldCharType="end"/>
      </w:r>
      <w:r w:rsidRPr="00C57A68">
        <w:rPr>
          <w:rFonts w:cstheme="minorHAnsi"/>
        </w:rPr>
        <w:t>. Rates of loss were based on previous country specific rates for the period 2011-2012</w:t>
      </w:r>
      <w:r w:rsidR="0062444E">
        <w:rPr>
          <w:rFonts w:cstheme="minorHAnsi"/>
        </w:rPr>
        <w:t xml:space="preserve"> (Hamilton and Casey 2016)</w:t>
      </w:r>
      <w:r w:rsidRPr="00C57A68">
        <w:rPr>
          <w:rFonts w:cstheme="minorHAnsi"/>
        </w:rPr>
        <w:t xml:space="preserve">. </w:t>
      </w:r>
      <w:r w:rsidR="00822DBD">
        <w:rPr>
          <w:rFonts w:cstheme="minorHAnsi"/>
        </w:rPr>
        <w:t xml:space="preserve">Hamilton and Casey (2016) reported country wise global mangrove deforestation rates from 2000 to 2012. Only one year was chosen (2011 to 2012) for the current study as </w:t>
      </w:r>
      <w:r w:rsidR="009F29D2">
        <w:rPr>
          <w:rFonts w:cstheme="minorHAnsi"/>
        </w:rPr>
        <w:t xml:space="preserve">every year since 2000, mangrove deforestation rates have been decreasing and the last years’ </w:t>
      </w:r>
      <w:r w:rsidR="00585F7D">
        <w:rPr>
          <w:rFonts w:cstheme="minorHAnsi"/>
        </w:rPr>
        <w:t xml:space="preserve">country wise deforestation rates were assumed to be more representative of current deforestation rates than an average of 2000 to 2012 rates. </w:t>
      </w:r>
    </w:p>
    <w:p w14:paraId="3A910235" w14:textId="77777777" w:rsidR="00344027" w:rsidRPr="00392131" w:rsidRDefault="00344027" w:rsidP="00344027">
      <w:pPr>
        <w:spacing w:line="480" w:lineRule="auto"/>
        <w:rPr>
          <w:rFonts w:cstheme="minorHAnsi"/>
          <w:sz w:val="22"/>
        </w:rPr>
      </w:pPr>
    </w:p>
    <w:p w14:paraId="680E7CEC" w14:textId="20C5FF6C" w:rsidR="00344027" w:rsidRPr="00344027" w:rsidRDefault="00344027" w:rsidP="00344027">
      <w:pPr>
        <w:pStyle w:val="Heading3"/>
        <w:ind w:left="567" w:hanging="567"/>
        <w:rPr>
          <w:rFonts w:asciiTheme="minorHAnsi" w:hAnsiTheme="minorHAnsi" w:cstheme="minorHAnsi"/>
          <w:b/>
          <w:bCs/>
          <w:color w:val="000000" w:themeColor="text1"/>
        </w:rPr>
      </w:pPr>
      <w:bookmarkStart w:id="62" w:name="_Toc120622150"/>
      <w:r w:rsidRPr="00344027">
        <w:rPr>
          <w:rFonts w:asciiTheme="minorHAnsi" w:hAnsiTheme="minorHAnsi" w:cstheme="minorHAnsi"/>
          <w:b/>
          <w:bCs/>
          <w:color w:val="000000" w:themeColor="text1"/>
        </w:rPr>
        <w:t>5.3.6</w:t>
      </w:r>
      <w:r w:rsidRPr="00344027">
        <w:rPr>
          <w:rFonts w:asciiTheme="minorHAnsi" w:hAnsiTheme="minorHAnsi" w:cstheme="minorHAnsi"/>
          <w:b/>
          <w:bCs/>
          <w:color w:val="000000" w:themeColor="text1"/>
        </w:rPr>
        <w:tab/>
        <w:t>Country level emissions</w:t>
      </w:r>
      <w:bookmarkEnd w:id="62"/>
    </w:p>
    <w:p w14:paraId="0EDB697E" w14:textId="0C8BE9FC" w:rsidR="00344027" w:rsidRPr="00C57A68" w:rsidRDefault="00344027" w:rsidP="00344027">
      <w:pPr>
        <w:spacing w:line="480" w:lineRule="auto"/>
        <w:rPr>
          <w:rFonts w:cstheme="minorHAnsi"/>
        </w:rPr>
      </w:pPr>
      <w:r w:rsidRPr="00C57A68">
        <w:rPr>
          <w:rFonts w:cstheme="minorHAnsi"/>
        </w:rPr>
        <w:t xml:space="preserve">Mean present day hectare level C stocks and 95% CI’s for each country were calculated and multiplied by the number of hectares lost for each decadal period from 1980 to 2095 </w:t>
      </w:r>
      <w:r w:rsidRPr="00C57A68">
        <w:rPr>
          <w:rFonts w:cstheme="minorHAnsi"/>
        </w:rPr>
        <w:fldChar w:fldCharType="begin" w:fldLock="1"/>
      </w:r>
      <w:r w:rsidRPr="00C57A68">
        <w:rPr>
          <w:rFonts w:cstheme="minorHAnsi"/>
        </w:rPr>
        <w:instrText>ADDIN CSL_CITATION {"citationItems":[{"id":"ITEM-1","itemData":{"DOI":"10.1038/nclimate3326","ISBN":"1758-678X","ISSN":"17586798","abstract":"Mangrove soils represent a large sink for otherwise rapidly recycled carbon (C). However, widespread deforestation threatens the preservation of this important C stock. It is therefore imperative that global patterns in mangrove soil C stocks and their susceptibility to remineralization are understood. Here, we present patterns in mangrove soil C stocks across hemispheres, latitudes, countries and mangrove community compositions, and estimate potential annual CO2 emissions for countries where mangroves occur. Global potential CO2 emissions from soils as a result of mangrove loss were estimated to be ~7.0 Tg CO2e yr−1. Countries with the highest potential CO2 emissions from soils are Indonesia (3,410 Gg CO2e yr−1) and Malaysia (1,288 Gg CO2e yr−1). The patterns described serve as a baseline by which countries can assess their mangrove soil C stocks and potential emissions from mangrove deforestation.","author":[{"dropping-particle":"","family":"Atwood","given":"Trisha B.","non-dropping-particle":"","parse-names":false,"suffix":""},{"dropping-particle":"","family":"Connolly","given":"Rod M.","non-dropping-particle":"","parse-names":false,"suffix":""},{"dropping-particle":"","family":"Almahasheer","given":"Hanan","non-dropping-particle":"","parse-names":false,"suffix":""},{"dropping-particle":"","family":"Carnell","given":"Paul E.","non-dropping-particle":"","parse-names":false,"suffix":""},{"dropping-particle":"","family":"Duarte","given":"Carlos M.","non-dropping-particle":"","parse-names":false,"suffix":""},{"dropping-particle":"","family":"Lewis","given":"Carolyn J.Ewers","non-dropping-particle":"","parse-names":false,"suffix":""},{"dropping-particle":"","family":"Irigoien","given":"Xabier","non-dropping-particle":"","parse-names":false,"suffix":""},{"dropping-particle":"","family":"Kelleway","given":"Jeffrey J.","non-dropping-particle":"","parse-names":false,"suffix":""},{"dropping-particle":"","family":"Lavery","given":"Paul S.","non-dropping-particle":"","parse-names":false,"suffix":""},{"dropping-particle":"","family":"Macreadie","given":"Peter I.","non-dropping-particle":"","parse-names":false,"suffix":""},{"dropping-particle":"","family":"Serrano","given":"Oscar","non-dropping-particle":"","parse-names":false,"suffix":""},{"dropping-particle":"","family":"Sanders","given":"Christian J.","non-dropping-particle":"","parse-names":false,"suffix":""},{"dropping-particle":"","family":"Santos","given":"Isaac","non-dropping-particle":"","parse-names":false,"suffix":""},{"dropping-particle":"","family":"Steven","given":"Andrew D.L.","non-dropping-particle":"","parse-names":false,"suffix":""},{"dropping-particle":"","family":"Lovelock","given":"Catherine E.","non-dropping-particle":"","parse-names":false,"suffix":""}],"container-title":"Nature Climate Change","id":"ITEM-1","issue":"7","issued":{"date-parts":[["2017"]]},"page":"523-528","title":"Global patterns in mangrove soil carbon stocks and losses","type":"article-journal","volume":"7"},"uris":["http://www.mendeley.com/documents/?uuid=ec2f1859-5881-35e2-929f-6d1201ba942b"]}],"mendeley":{"formattedCitation":"(Atwood et al., 2017)","plainTextFormattedCitation":"(Atwood et al., 2017)","previouslyFormattedCitation":"(Atwood et al., 2017)"},"properties":{"noteIndex":0},"schema":"https://github.com/citation-style-language/schema/raw/master/csl-citation.json"}</w:instrText>
      </w:r>
      <w:r w:rsidRPr="00C57A68">
        <w:rPr>
          <w:rFonts w:cstheme="minorHAnsi"/>
        </w:rPr>
        <w:fldChar w:fldCharType="separate"/>
      </w:r>
      <w:r w:rsidRPr="00C57A68">
        <w:rPr>
          <w:rFonts w:cstheme="minorHAnsi"/>
          <w:noProof/>
        </w:rPr>
        <w:t>(Atwood et al., 2017)</w:t>
      </w:r>
      <w:r w:rsidRPr="00C57A68">
        <w:rPr>
          <w:rFonts w:cstheme="minorHAnsi"/>
        </w:rPr>
        <w:fldChar w:fldCharType="end"/>
      </w:r>
      <w:r w:rsidRPr="00C57A68">
        <w:rPr>
          <w:rFonts w:cstheme="minorHAnsi"/>
        </w:rPr>
        <w:t xml:space="preserve">. The current study assumed that deforestation of 1 hectare of mangrove results in 43% loss in soil C in addition to all tree C </w:t>
      </w:r>
      <w:r w:rsidRPr="00C57A68">
        <w:rPr>
          <w:rFonts w:cstheme="minorHAnsi"/>
        </w:rPr>
        <w:fldChar w:fldCharType="begin" w:fldLock="1"/>
      </w:r>
      <w:r w:rsidR="008A48C6" w:rsidRPr="00C57A68">
        <w:rPr>
          <w:rFonts w:cstheme="minorHAnsi"/>
        </w:rPr>
        <w:instrText>ADDIN CSL_CITATION {"citationItems":[{"id":"ITEM-1","itemData":{"DOI":"10.1111/conl.12445","ISSN":"1755263X","abstract":"© 2018 Wiley Periodicals, Inc. Mangrove deforestation threatens to release large stores of carbon from soils that are vulnerable to oxidation. Carbon stored in deep soils is not measured in national carbon inventories. Thus, policies on emission reductions have likely underestimated the contribution of mangrove deforestation to national emissions. Here, we estimate that emissions from deforestation and degradation of mangroves in Mexico are 31 times greater than the values used to determine national emission reduction targets for the Paris Agreement. Thus, Mexico has vastly undervaluated the potential of mangrove protection to reduce its emissions. Accounting for carbon emissions from mangrove soils should greatly increase the priority of mangrove forests to receive funding for protection under carbon trading programs.","author":[{"dropping-particle":"","family":"Adame","given":"Maria Fernanda","non-dropping-particle":"","parse-names":false,"suffix":""},{"dropping-particle":"","family":"Brown","given":"Christopher James","non-dropping-particle":"","parse-names":false,"suffix":""},{"dropping-particle":"","family":"Bejarano","given":"Marylin","non-dropping-particle":"","parse-names":false,"suffix":""},{"dropping-particle":"","family":"Herrera-Silveira","given":"Jorge Alfredo","non-dropping-particle":"","parse-names":false,"suffix":""},{"dropping-particle":"","family":"Ezcurra","given":"Paula","non-dropping-particle":"","parse-names":false,"suffix":""},{"dropping-particle":"","family":"Kauffman","given":"J. Boone","non-dropping-particle":"","parse-names":false,"suffix":""},{"dropping-particle":"","family":"Birdsey","given":"Richard","non-dropping-particle":"","parse-names":false,"suffix":""}],"container-title":"Conservation Letters","id":"ITEM-1","issue":"4","issued":{"date-parts":[["2018"]]},"title":"The undervalued contribution of mangrove protection in Mexico to carbon emission targets","type":"article-journal","volume":"11"},"uris":["http://www.mendeley.com/documents/?uuid=841596e0-b190-4368-815b-9132a4784014"]},{"id":"ITEM-2","itemData":{"DOI":"10.1038/nclimate3326","ISBN":"1758-678X","ISSN":"17586798","abstract":"Mangrove soils represent a large sink for otherwise rapidly recycled carbon (C). However, widespread deforestation threatens the preservation of this important C stock. It is therefore imperative that global patterns in mangrove soil C stocks and their susceptibility to remineralization are understood. Here, we present patterns in mangrove soil C stocks across hemispheres, latitudes, countries and mangrove community compositions, and estimate potential annual CO2 emissions for countries where mangroves occur. Global potential CO2 emissions from soils as a result of mangrove loss were estimated to be ~7.0 Tg CO2e yr−1. Countries with the highest potential CO2 emissions from soils are Indonesia (3,410 Gg CO2e yr−1) and Malaysia (1,288 Gg CO2e yr−1). The patterns described serve as a baseline by which countries can assess their mangrove soil C stocks and potential emissions from mangrove deforestation.","author":[{"dropping-particle":"","family":"Atwood","given":"Trisha B.","non-dropping-particle":"","parse-names":false,"suffix":""},{"dropping-particle":"","family":"Connolly","given":"Rod M.","non-dropping-particle":"","parse-names":false,"suffix":""},{"dropping-particle":"","family":"Almahasheer","given":"Hanan","non-dropping-particle":"","parse-names":false,"suffix":""},{"dropping-particle":"","family":"Carnell","given":"Paul E.","non-dropping-particle":"","parse-names":false,"suffix":""},{"dropping-particle":"","family":"Duarte","given":"Carlos M.","non-dropping-particle":"","parse-names":false,"suffix":""},{"dropping-particle":"","family":"Lewis","given":"Carolyn J.Ewers","non-dropping-particle":"","parse-names":false,"suffix":""},{"dropping-particle":"","family":"Irigoien","given":"Xabier","non-dropping-particle":"","parse-names":false,"suffix":""},{"dropping-particle":"","family":"Kelleway","given":"Jeffrey J.","non-dropping-particle":"","parse-names":false,"suffix":""},{"dropping-particle":"","family":"Lavery","given":"Paul S.","non-dropping-particle":"","parse-names":false,"suffix":""},{"dropping-particle":"","family":"Macreadie","given":"Peter I.","non-dropping-particle":"","parse-names":false,"suffix":""},{"dropping-particle":"","family":"Serrano","given":"Oscar","non-dropping-particle":"","parse-names":false,"suffix":""},{"dropping-particle":"","family":"Sanders","given":"Christian J.","non-dropping-particle":"","parse-names":false,"suffix":""},{"dropping-particle":"","family":"Santos","given":"Isaac","non-dropping-particle":"","parse-names":false,"suffix":""},{"dropping-particle":"","family":"Steven","given":"Andrew D.L.","non-dropping-particle":"","parse-names":false,"suffix":""},{"dropping-particle":"","family":"Lovelock","given":"Catherine E.","non-dropping-particle":"","parse-names":false,"suffix":""}],"container-title":"Nature Climate Change","id":"ITEM-2","issue":"7","issued":{"date-parts":[["2017"]]},"page":"523-528","title":"Global patterns in mangrove soil carbon stocks and losses","type":"article-journal","volume":"7"},"uris":["http://www.mendeley.com/documents/?uuid=ec2f1859-5881-35e2-929f-6d1201ba942b"]}],"mendeley":{"formattedCitation":"(Adame et al., 2018; Atwood et al., 2017)","plainTextFormattedCitation":"(Adame et al., 2018; Atwood et al., 2017)","previouslyFormattedCitation":"(Adame et al., 2018; Atwood et al., 2017)"},"properties":{"noteIndex":0},"schema":"https://github.com/citation-style-language/schema/raw/master/csl-citation.json"}</w:instrText>
      </w:r>
      <w:r w:rsidRPr="00C57A68">
        <w:rPr>
          <w:rFonts w:cstheme="minorHAnsi"/>
        </w:rPr>
        <w:fldChar w:fldCharType="separate"/>
      </w:r>
      <w:r w:rsidR="008A48C6" w:rsidRPr="00C57A68">
        <w:rPr>
          <w:rFonts w:cstheme="minorHAnsi"/>
          <w:noProof/>
        </w:rPr>
        <w:t>(Adame et al., 2018; Atwood et al., 2017)</w:t>
      </w:r>
      <w:r w:rsidRPr="00C57A68">
        <w:rPr>
          <w:rFonts w:cstheme="minorHAnsi"/>
        </w:rPr>
        <w:fldChar w:fldCharType="end"/>
      </w:r>
      <w:r w:rsidRPr="00C57A68">
        <w:rPr>
          <w:rFonts w:cstheme="minorHAnsi"/>
        </w:rPr>
        <w:t xml:space="preserve">, which was then divided by 10 to calculate an annual lost </w:t>
      </w:r>
      <w:proofErr w:type="spellStart"/>
      <w:r w:rsidRPr="00C57A68">
        <w:rPr>
          <w:rFonts w:cstheme="minorHAnsi"/>
        </w:rPr>
        <w:t>C over</w:t>
      </w:r>
      <w:proofErr w:type="spellEnd"/>
      <w:r w:rsidRPr="00C57A68">
        <w:rPr>
          <w:rFonts w:cstheme="minorHAnsi"/>
        </w:rPr>
        <w:t xml:space="preserve"> a ten year period. Lost C from mangrove deforestation and change in C stocks from climate change were summed to calculate total potential change in C stocks in the 21</w:t>
      </w:r>
      <w:r w:rsidRPr="00C57A68">
        <w:rPr>
          <w:rFonts w:cstheme="minorHAnsi"/>
          <w:vertAlign w:val="superscript"/>
        </w:rPr>
        <w:t>st</w:t>
      </w:r>
      <w:r w:rsidRPr="00C57A68">
        <w:rPr>
          <w:rFonts w:cstheme="minorHAnsi"/>
        </w:rPr>
        <w:t xml:space="preserve"> century from climate change and mangrove deforestation. When not combining mangrove deforestation and climate change mangrove C stocks changes, deforested C stocks and associated 95% CI’s were multiplied by 3.67  to convert lost C to CO</w:t>
      </w:r>
      <w:r w:rsidRPr="00C57A68">
        <w:rPr>
          <w:rFonts w:cstheme="minorHAnsi"/>
          <w:vertAlign w:val="subscript"/>
        </w:rPr>
        <w:t>2</w:t>
      </w:r>
      <w:r w:rsidRPr="00C57A68">
        <w:rPr>
          <w:rFonts w:cstheme="minorHAnsi"/>
        </w:rPr>
        <w:t xml:space="preserve">e emissions, as is standard for reporting emissions from deforestation </w:t>
      </w:r>
      <w:r w:rsidRPr="00C57A68">
        <w:rPr>
          <w:rFonts w:cstheme="minorHAnsi"/>
        </w:rPr>
        <w:fldChar w:fldCharType="begin" w:fldLock="1"/>
      </w:r>
      <w:r w:rsidR="008A48C6" w:rsidRPr="00C57A68">
        <w:rPr>
          <w:rFonts w:cstheme="minorHAnsi"/>
        </w:rPr>
        <w:instrText>ADDIN CSL_CITATION {"citationItems":[{"id":"ITEM-1","itemData":{"DOI":"10.1038/nclimate3326","ISBN":"1758-678X","ISSN":"17586798","abstract":"Mangrove soils represent a large sink for otherwise rapidly recycled carbon (C). However, widespread deforestation threatens the preservation of this important C stock. It is therefore imperative that global patterns in mangrove soil C stocks and their susceptibility to remineralization are understood. Here, we present patterns in mangrove soil C stocks across hemispheres, latitudes, countries and mangrove community compositions, and estimate potential annual CO2 emissions for countries where mangroves occur. Global potential CO2 emissions from soils as a result of mangrove loss were estimated to be ~7.0 Tg CO2e yr−1. Countries with the highest potential CO2 emissions from soils are Indonesia (3,410 Gg CO2e yr−1) and Malaysia (1,288 Gg CO2e yr−1). The patterns described serve as a baseline by which countries can assess their mangrove soil C stocks and potential emissions from mangrove deforestation.","author":[{"dropping-particle":"","family":"Atwood","given":"Trisha B.","non-dropping-particle":"","parse-names":false,"suffix":""},{"dropping-particle":"","family":"Connolly","given":"Rod M.","non-dropping-particle":"","parse-names":false,"suffix":""},{"dropping-particle":"","family":"Almahasheer","given":"Hanan","non-dropping-particle":"","parse-names":false,"suffix":""},{"dropping-particle":"","family":"Carnell","given":"Paul E.","non-dropping-particle":"","parse-names":false,"suffix":""},{"dropping-particle":"","family":"Duarte","given":"Carlos M.","non-dropping-particle":"","parse-names":false,"suffix":""},{"dropping-particle":"","family":"Lewis","given":"Carolyn J.Ewers","non-dropping-particle":"","parse-names":false,"suffix":""},{"dropping-particle":"","family":"Irigoien","given":"Xabier","non-dropping-particle":"","parse-names":false,"suffix":""},{"dropping-particle":"","family":"Kelleway","given":"Jeffrey J.","non-dropping-particle":"","parse-names":false,"suffix":""},{"dropping-particle":"","family":"Lavery","given":"Paul S.","non-dropping-particle":"","parse-names":false,"suffix":""},{"dropping-particle":"","family":"Macreadie","given":"Peter I.","non-dropping-particle":"","parse-names":false,"suffix":""},{"dropping-particle":"","family":"Serrano","given":"Oscar","non-dropping-particle":"","parse-names":false,"suffix":""},{"dropping-particle":"","family":"Sanders","given":"Christian J.","non-dropping-particle":"","parse-names":false,"suffix":""},{"dropping-particle":"","family":"Santos","given":"Isaac","non-dropping-particle":"","parse-names":false,"suffix":""},{"dropping-particle":"","family":"Steven","given":"Andrew D.L.","non-dropping-particle":"","parse-names":false,"suffix":""},{"dropping-particle":"","family":"Lovelock","given":"Catherine E.","non-dropping-particle":"","parse-names":false,"suffix":""}],"container-title":"Nature Climate Change","id":"ITEM-1","issue":"7","issued":{"date-parts":[["2017"]]},"page":"523-528","title":"Global patterns in mangrove soil carbon stocks and losses","type":"article-journal","volume":"7"},"uris":["http://www.mendeley.com/documents/?uuid=ec2f1859-5881-35e2-929f-6d1201ba942b"]},{"id":"ITEM-2","itemData":{"DOI":"10.1111/conl.12445","ISSN":"1755263X","abstract":"© 2018 Wiley Periodicals, Inc. Mangrove deforestation threatens to release large stores of carbon from soils that are vulnerable to oxidation. Carbon stored in deep soils is not measured in national carbon inventories. Thus, policies on emission reductions have likely underestimated the contribution of mangrove deforestation to national emissions. Here, we estimate that emissions from deforestation and degradation of mangroves in Mexico are 31 times greater than the values used to determine national emission reduction targets for the Paris Agreement. Thus, Mexico has vastly undervaluated the potential of mangrove protection to reduce its emissions. Accounting for carbon emissions from mangrove soils should greatly increase the priority of mangrove forests to receive funding for protection under carbon trading programs.","author":[{"dropping-particle":"","family":"Adame","given":"Maria Fernanda","non-dropping-particle":"","parse-names":false,"suffix":""},{"dropping-particle":"","family":"Brown","given":"Christopher James","non-dropping-particle":"","parse-names":false,"suffix":""},{"dropping-particle":"","family":"Bejarano","given":"Marylin","non-dropping-particle":"","parse-names":false,"suffix":""},{"dropping-particle":"","family":"Herrera-Silveira","given":"Jorge Alfredo","non-dropping-particle":"","parse-names":false,"suffix":""},{"dropping-particle":"","family":"Ezcurra","given":"Paula","non-dropping-particle":"","parse-names":false,"suffix":""},{"dropping-particle":"","family":"Kauffman","given":"J. Boone","non-dropping-particle":"","parse-names":false,"suffix":""},{"dropping-particle":"","family":"Birdsey","given":"Richard","non-dropping-particle":"","parse-names":false,"suffix":""}],"container-title":"Conservation Letters","id":"ITEM-2","issue":"4","issued":{"date-parts":[["2018"]]},"title":"The undervalued contribution of mangrove protection in Mexico to carbon emission targets","type":"article-journal","volume":"11"},"uris":["http://www.mendeley.com/documents/?uuid=841596e0-b190-4368-815b-9132a4784014"]},{"id":"ITEM-3","itemData":{"DOI":"10.1038/s41558-018-0090-4","ISSN":"17586798","abstract":"Mangrove forests store high densitie of organic carbon, which, when coupled with high rates of deforestation, means that mangroves have the potential to contribute substantially to carbon emissions. Consequently, mangroves are strong candidates for inclusion in nationally determined contributions (NDCs) to the United Nations Framework Convention on Climate Change (UNFCCC), and payments for ecosystem services (PES) programmes that financially incentivize the conservation of forested carbon stocks. This study quantifies annual mangrove carbon stocks from 2000 to 2012 at the global, national and sub-national levels, and global carbon emissions resulting from deforestation over the same time period. Globally, mangroves stored 4.19 Pg of carbon in 2012, with Indonesia, Brazil, Malaysia and Papua New Guinea accounting for more than 50% of the global stock. 2.96 Pg of the global carbon stock is contained within the soil and 1.23 Pg in the living biomass. Two percent of global mangrove carbon was lost between 2000 and 2012, equivalent to a maximum potential of 316,996,250 t of CO2 emissions.","author":[{"dropping-particle":"","family":"Hamilton","given":"Stuart E.","non-dropping-particle":"","parse-names":false,"suffix":""},{"dropping-particle":"","family":"Friess","given":"Daniel A.","non-dropping-particle":"","parse-names":false,"suffix":""}],"container-title":"Nature Climate Change","id":"ITEM-3","issue":"3","issued":{"date-parts":[["2018"]]},"page":"240-244","title":"Global carbon stocks and potential emissions due to mangrove deforestation from 2000 to 2012","type":"article-journal","volume":"8"},"uris":["http://www.mendeley.com/documents/?uuid=8f9f1530-8aac-3063-b6ac-d0e087d212e4"]}],"mendeley":{"formattedCitation":"(Adame et al., 2018; Atwood et al., 2017; Hamilton and Friess, 2018)","plainTextFormattedCitation":"(Adame et al., 2018; Atwood et al., 2017; Hamilton and Friess, 2018)","previouslyFormattedCitation":"(Adame et al., 2018; Atwood et al., 2017; Hamilton and Friess, 2018)"},"properties":{"noteIndex":0},"schema":"https://github.com/citation-style-language/schema/raw/master/csl-citation.json"}</w:instrText>
      </w:r>
      <w:r w:rsidRPr="00C57A68">
        <w:rPr>
          <w:rFonts w:cstheme="minorHAnsi"/>
        </w:rPr>
        <w:fldChar w:fldCharType="separate"/>
      </w:r>
      <w:r w:rsidR="008A48C6" w:rsidRPr="00C57A68">
        <w:rPr>
          <w:rFonts w:cstheme="minorHAnsi"/>
          <w:noProof/>
        </w:rPr>
        <w:t>(Adame et al., 2018; Atwood et al., 2017; Hamilton and Friess, 2018)</w:t>
      </w:r>
      <w:r w:rsidRPr="00C57A68">
        <w:rPr>
          <w:rFonts w:cstheme="minorHAnsi"/>
        </w:rPr>
        <w:fldChar w:fldCharType="end"/>
      </w:r>
      <w:r w:rsidRPr="00C57A68">
        <w:rPr>
          <w:rFonts w:cstheme="minorHAnsi"/>
        </w:rPr>
        <w:t>.</w:t>
      </w:r>
    </w:p>
    <w:p w14:paraId="126AAEA3" w14:textId="77777777" w:rsidR="00344027" w:rsidRPr="00392131" w:rsidRDefault="00344027" w:rsidP="00344027">
      <w:pPr>
        <w:spacing w:line="480" w:lineRule="auto"/>
        <w:rPr>
          <w:rFonts w:cstheme="minorHAnsi"/>
          <w:sz w:val="22"/>
        </w:rPr>
      </w:pPr>
    </w:p>
    <w:p w14:paraId="17571055" w14:textId="27CDF6BA" w:rsidR="00344027" w:rsidRDefault="00344027" w:rsidP="00344027">
      <w:pPr>
        <w:pStyle w:val="Heading2"/>
        <w:rPr>
          <w:rFonts w:asciiTheme="minorHAnsi" w:hAnsiTheme="minorHAnsi" w:cstheme="minorHAnsi"/>
          <w:b/>
          <w:bCs/>
          <w:color w:val="000000" w:themeColor="text1"/>
        </w:rPr>
      </w:pPr>
      <w:bookmarkStart w:id="63" w:name="_Toc120622151"/>
      <w:r w:rsidRPr="00344027">
        <w:rPr>
          <w:rFonts w:asciiTheme="minorHAnsi" w:hAnsiTheme="minorHAnsi" w:cstheme="minorHAnsi"/>
          <w:b/>
          <w:bCs/>
          <w:color w:val="000000" w:themeColor="text1"/>
        </w:rPr>
        <w:t>5.4</w:t>
      </w:r>
      <w:r w:rsidRPr="00344027">
        <w:rPr>
          <w:rFonts w:asciiTheme="minorHAnsi" w:hAnsiTheme="minorHAnsi" w:cstheme="minorHAnsi"/>
          <w:b/>
          <w:bCs/>
          <w:color w:val="000000" w:themeColor="text1"/>
        </w:rPr>
        <w:tab/>
        <w:t>Results</w:t>
      </w:r>
      <w:bookmarkEnd w:id="63"/>
    </w:p>
    <w:p w14:paraId="083FEC13" w14:textId="0C64EFFA" w:rsidR="00344027" w:rsidRPr="00C57A68" w:rsidRDefault="00344027" w:rsidP="00344027">
      <w:pPr>
        <w:spacing w:line="480" w:lineRule="auto"/>
        <w:rPr>
          <w:b/>
          <w:bCs/>
          <w:color w:val="000000" w:themeColor="text1"/>
        </w:rPr>
      </w:pPr>
      <w:r w:rsidRPr="00C57A68">
        <w:rPr>
          <w:color w:val="000000" w:themeColor="text1"/>
        </w:rPr>
        <w:t>The literature search resulted in 785 data points of soil C</w:t>
      </w:r>
      <w:r w:rsidRPr="00C57A68">
        <w:rPr>
          <w:color w:val="000000" w:themeColor="text1"/>
          <w:vertAlign w:val="subscript"/>
        </w:rPr>
        <w:t xml:space="preserve">100 </w:t>
      </w:r>
      <w:r w:rsidRPr="00C57A68">
        <w:rPr>
          <w:color w:val="000000" w:themeColor="text1"/>
        </w:rPr>
        <w:t xml:space="preserve">stocks from 87 individual studies conducted in 44 countries and 105 data points of soil C sequestration rates (CSR) from 31 individual studies in 17 countries. Data points were available for seven out of the top ten countries reported by </w:t>
      </w:r>
      <w:proofErr w:type="spellStart"/>
      <w:r w:rsidRPr="00C57A68">
        <w:rPr>
          <w:color w:val="000000" w:themeColor="text1"/>
        </w:rPr>
        <w:t>Sanderman</w:t>
      </w:r>
      <w:proofErr w:type="spellEnd"/>
      <w:r w:rsidRPr="00C57A68">
        <w:rPr>
          <w:color w:val="000000" w:themeColor="text1"/>
        </w:rPr>
        <w:t xml:space="preserve"> et al. (2018) to hold the largest mangrove areas, Papua New Guinea, Myanmar and Cuba were the only countries in this list that lacked data.</w:t>
      </w:r>
    </w:p>
    <w:p w14:paraId="17504F6D" w14:textId="77777777" w:rsidR="00344027" w:rsidRDefault="00344027" w:rsidP="00344027">
      <w:pPr>
        <w:keepNext/>
        <w:pBdr>
          <w:top w:val="nil"/>
          <w:left w:val="nil"/>
          <w:bottom w:val="nil"/>
          <w:right w:val="nil"/>
          <w:between w:val="nil"/>
        </w:pBdr>
        <w:spacing w:before="240" w:after="60" w:line="480" w:lineRule="auto"/>
        <w:rPr>
          <w:rFonts w:cstheme="minorHAnsi"/>
          <w:sz w:val="22"/>
        </w:rPr>
        <w:sectPr w:rsidR="00344027" w:rsidSect="00F05769">
          <w:pgSz w:w="11900" w:h="16840"/>
          <w:pgMar w:top="1440" w:right="1440" w:bottom="1440" w:left="1440" w:header="720" w:footer="720" w:gutter="0"/>
          <w:cols w:space="720"/>
          <w:titlePg/>
          <w:docGrid w:linePitch="326"/>
        </w:sectPr>
      </w:pPr>
    </w:p>
    <w:p w14:paraId="7F03B6C0" w14:textId="1B88EA67" w:rsidR="00344027" w:rsidRDefault="008045E7" w:rsidP="00344027">
      <w:pPr>
        <w:keepNext/>
        <w:pBdr>
          <w:top w:val="nil"/>
          <w:left w:val="nil"/>
          <w:bottom w:val="nil"/>
          <w:right w:val="nil"/>
          <w:between w:val="nil"/>
        </w:pBdr>
        <w:spacing w:before="240" w:after="60"/>
        <w:rPr>
          <w:rFonts w:cstheme="minorHAnsi"/>
          <w:b/>
          <w:color w:val="000000"/>
        </w:rPr>
      </w:pPr>
      <w:r>
        <w:rPr>
          <w:b/>
          <w:bCs/>
          <w:noProof/>
          <w:sz w:val="18"/>
          <w:szCs w:val="18"/>
        </w:rPr>
        <w:lastRenderedPageBreak/>
        <mc:AlternateContent>
          <mc:Choice Requires="wps">
            <w:drawing>
              <wp:anchor distT="0" distB="0" distL="114300" distR="114300" simplePos="0" relativeHeight="251723776" behindDoc="0" locked="0" layoutInCell="1" allowOverlap="1" wp14:anchorId="7217A0C0" wp14:editId="73EC6903">
                <wp:simplePos x="0" y="0"/>
                <wp:positionH relativeFrom="column">
                  <wp:posOffset>46827</wp:posOffset>
                </wp:positionH>
                <wp:positionV relativeFrom="paragraph">
                  <wp:posOffset>2501900</wp:posOffset>
                </wp:positionV>
                <wp:extent cx="606425" cy="633730"/>
                <wp:effectExtent l="0" t="0" r="3175" b="1270"/>
                <wp:wrapNone/>
                <wp:docPr id="29" name="Text Box 29"/>
                <wp:cNvGraphicFramePr/>
                <a:graphic xmlns:a="http://schemas.openxmlformats.org/drawingml/2006/main">
                  <a:graphicData uri="http://schemas.microsoft.com/office/word/2010/wordprocessingShape">
                    <wps:wsp>
                      <wps:cNvSpPr txBox="1"/>
                      <wps:spPr>
                        <a:xfrm>
                          <a:off x="0" y="0"/>
                          <a:ext cx="606425" cy="633730"/>
                        </a:xfrm>
                        <a:prstGeom prst="rect">
                          <a:avLst/>
                        </a:prstGeom>
                        <a:solidFill>
                          <a:schemeClr val="lt1"/>
                        </a:solidFill>
                        <a:ln w="6350">
                          <a:noFill/>
                        </a:ln>
                      </wps:spPr>
                      <wps:txbx>
                        <w:txbxContent>
                          <w:p w14:paraId="750833C1" w14:textId="1DB3177F" w:rsidR="00D04E5C" w:rsidRPr="00D04E5C" w:rsidRDefault="00D04E5C" w:rsidP="00D04E5C">
                            <w:pPr>
                              <w:rPr>
                                <w:sz w:val="72"/>
                                <w:szCs w:val="72"/>
                              </w:rPr>
                            </w:pPr>
                            <w:r>
                              <w:rPr>
                                <w:sz w:val="72"/>
                                <w:szCs w:val="72"/>
                              </w:rPr>
                              <w:t>b</w:t>
                            </w:r>
                            <w:r w:rsidRPr="00D04E5C">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7A0C0" id="Text Box 29" o:spid="_x0000_s1046" type="#_x0000_t202" style="position:absolute;margin-left:3.7pt;margin-top:197pt;width:47.75pt;height:49.9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" fillcolor="white [3201]" stroked="f" strokeweight=".5pt">
                <v:textbox>
                  <w:txbxContent>
                    <w:p w14:paraId="750833C1" w14:textId="1DB3177F" w:rsidR="00D04E5C" w:rsidRPr="00D04E5C" w:rsidRDefault="00D04E5C" w:rsidP="00D04E5C">
                      <w:pPr>
                        <w:rPr>
                          <w:sz w:val="72"/>
                          <w:szCs w:val="72"/>
                        </w:rPr>
                      </w:pPr>
                      <w:r>
                        <w:rPr>
                          <w:sz w:val="72"/>
                          <w:szCs w:val="72"/>
                        </w:rPr>
                        <w:t>b</w:t>
                      </w:r>
                      <w:r w:rsidRPr="00D04E5C">
                        <w:rPr>
                          <w:sz w:val="72"/>
                          <w:szCs w:val="72"/>
                        </w:rPr>
                        <w:t>)</w:t>
                      </w:r>
                    </w:p>
                  </w:txbxContent>
                </v:textbox>
              </v:shape>
            </w:pict>
          </mc:Fallback>
        </mc:AlternateContent>
      </w:r>
      <w:r w:rsidR="00D04E5C">
        <w:rPr>
          <w:b/>
          <w:bCs/>
          <w:noProof/>
          <w:sz w:val="18"/>
          <w:szCs w:val="18"/>
        </w:rPr>
        <mc:AlternateContent>
          <mc:Choice Requires="wps">
            <w:drawing>
              <wp:anchor distT="0" distB="0" distL="114300" distR="114300" simplePos="0" relativeHeight="251721728" behindDoc="0" locked="0" layoutInCell="1" allowOverlap="1" wp14:anchorId="30EFABA2" wp14:editId="6E952A36">
                <wp:simplePos x="0" y="0"/>
                <wp:positionH relativeFrom="column">
                  <wp:posOffset>49530</wp:posOffset>
                </wp:positionH>
                <wp:positionV relativeFrom="paragraph">
                  <wp:posOffset>185583</wp:posOffset>
                </wp:positionV>
                <wp:extent cx="606425" cy="633730"/>
                <wp:effectExtent l="0" t="0" r="3175" b="1270"/>
                <wp:wrapNone/>
                <wp:docPr id="28" name="Text Box 28"/>
                <wp:cNvGraphicFramePr/>
                <a:graphic xmlns:a="http://schemas.openxmlformats.org/drawingml/2006/main">
                  <a:graphicData uri="http://schemas.microsoft.com/office/word/2010/wordprocessingShape">
                    <wps:wsp>
                      <wps:cNvSpPr txBox="1"/>
                      <wps:spPr>
                        <a:xfrm>
                          <a:off x="0" y="0"/>
                          <a:ext cx="606425" cy="633730"/>
                        </a:xfrm>
                        <a:prstGeom prst="rect">
                          <a:avLst/>
                        </a:prstGeom>
                        <a:solidFill>
                          <a:schemeClr val="lt1"/>
                        </a:solidFill>
                        <a:ln w="6350">
                          <a:noFill/>
                        </a:ln>
                      </wps:spPr>
                      <wps:txbx>
                        <w:txbxContent>
                          <w:p w14:paraId="6F2C72F8" w14:textId="77777777" w:rsidR="00D04E5C" w:rsidRPr="00D04E5C" w:rsidRDefault="00D04E5C" w:rsidP="00D04E5C">
                            <w:pPr>
                              <w:rPr>
                                <w:sz w:val="72"/>
                                <w:szCs w:val="72"/>
                              </w:rPr>
                            </w:pPr>
                            <w:r w:rsidRPr="00D04E5C">
                              <w:rPr>
                                <w:sz w:val="72"/>
                                <w:szCs w:val="7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FABA2" id="Text Box 28" o:spid="_x0000_s1047" type="#_x0000_t202" style="position:absolute;margin-left:3.9pt;margin-top:14.6pt;width:47.75pt;height:49.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" fillcolor="white [3201]" stroked="f" strokeweight=".5pt">
                <v:textbox>
                  <w:txbxContent>
                    <w:p w14:paraId="6F2C72F8" w14:textId="77777777" w:rsidR="00D04E5C" w:rsidRPr="00D04E5C" w:rsidRDefault="00D04E5C" w:rsidP="00D04E5C">
                      <w:pPr>
                        <w:rPr>
                          <w:sz w:val="72"/>
                          <w:szCs w:val="72"/>
                        </w:rPr>
                      </w:pPr>
                      <w:r w:rsidRPr="00D04E5C">
                        <w:rPr>
                          <w:sz w:val="72"/>
                          <w:szCs w:val="72"/>
                        </w:rPr>
                        <w:t>a)</w:t>
                      </w:r>
                    </w:p>
                  </w:txbxContent>
                </v:textbox>
              </v:shape>
            </w:pict>
          </mc:Fallback>
        </mc:AlternateContent>
      </w:r>
      <w:r w:rsidR="00D04E5C">
        <w:rPr>
          <w:b/>
          <w:bCs/>
          <w:noProof/>
          <w:sz w:val="18"/>
          <w:szCs w:val="18"/>
        </w:rPr>
        <mc:AlternateContent>
          <mc:Choice Requires="wps">
            <w:drawing>
              <wp:anchor distT="0" distB="0" distL="114300" distR="114300" simplePos="0" relativeHeight="251725824" behindDoc="0" locked="0" layoutInCell="1" allowOverlap="1" wp14:anchorId="337A62B5" wp14:editId="4E7A7984">
                <wp:simplePos x="0" y="0"/>
                <wp:positionH relativeFrom="column">
                  <wp:posOffset>48203</wp:posOffset>
                </wp:positionH>
                <wp:positionV relativeFrom="paragraph">
                  <wp:posOffset>4739137</wp:posOffset>
                </wp:positionV>
                <wp:extent cx="606582" cy="633743"/>
                <wp:effectExtent l="0" t="0" r="3175" b="1270"/>
                <wp:wrapNone/>
                <wp:docPr id="30" name="Text Box 30"/>
                <wp:cNvGraphicFramePr/>
                <a:graphic xmlns:a="http://schemas.openxmlformats.org/drawingml/2006/main">
                  <a:graphicData uri="http://schemas.microsoft.com/office/word/2010/wordprocessingShape">
                    <wps:wsp>
                      <wps:cNvSpPr txBox="1"/>
                      <wps:spPr>
                        <a:xfrm>
                          <a:off x="0" y="0"/>
                          <a:ext cx="606582" cy="633743"/>
                        </a:xfrm>
                        <a:prstGeom prst="rect">
                          <a:avLst/>
                        </a:prstGeom>
                        <a:solidFill>
                          <a:schemeClr val="lt1"/>
                        </a:solidFill>
                        <a:ln w="6350">
                          <a:noFill/>
                        </a:ln>
                      </wps:spPr>
                      <wps:txbx>
                        <w:txbxContent>
                          <w:p w14:paraId="3BF50C78" w14:textId="614CB0F1" w:rsidR="00D04E5C" w:rsidRPr="00D04E5C" w:rsidRDefault="00D04E5C" w:rsidP="00D04E5C">
                            <w:pPr>
                              <w:rPr>
                                <w:sz w:val="72"/>
                                <w:szCs w:val="72"/>
                              </w:rPr>
                            </w:pPr>
                            <w:r>
                              <w:rPr>
                                <w:sz w:val="72"/>
                                <w:szCs w:val="72"/>
                              </w:rPr>
                              <w:t>c</w:t>
                            </w:r>
                            <w:r w:rsidRPr="00D04E5C">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A62B5" id="Text Box 30" o:spid="_x0000_s1048" type="#_x0000_t202" style="position:absolute;margin-left:3.8pt;margin-top:373.15pt;width:47.75pt;height:49.9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" fillcolor="white [3201]" stroked="f" strokeweight=".5pt">
                <v:textbox>
                  <w:txbxContent>
                    <w:p w14:paraId="3BF50C78" w14:textId="614CB0F1" w:rsidR="00D04E5C" w:rsidRPr="00D04E5C" w:rsidRDefault="00D04E5C" w:rsidP="00D04E5C">
                      <w:pPr>
                        <w:rPr>
                          <w:sz w:val="72"/>
                          <w:szCs w:val="72"/>
                        </w:rPr>
                      </w:pPr>
                      <w:r>
                        <w:rPr>
                          <w:sz w:val="72"/>
                          <w:szCs w:val="72"/>
                        </w:rPr>
                        <w:t>c</w:t>
                      </w:r>
                      <w:r w:rsidRPr="00D04E5C">
                        <w:rPr>
                          <w:sz w:val="72"/>
                          <w:szCs w:val="72"/>
                        </w:rPr>
                        <w:t>)</w:t>
                      </w:r>
                    </w:p>
                  </w:txbxContent>
                </v:textbox>
              </v:shape>
            </w:pict>
          </mc:Fallback>
        </mc:AlternateContent>
      </w:r>
      <w:r w:rsidR="00344027">
        <w:rPr>
          <w:rFonts w:cstheme="minorHAnsi"/>
          <w:noProof/>
          <w:sz w:val="22"/>
        </w:rPr>
        <w:drawing>
          <wp:inline distT="0" distB="0" distL="0" distR="0" wp14:anchorId="2AFBD7EE" wp14:editId="1A979171">
            <wp:extent cx="6474460" cy="6858000"/>
            <wp:effectExtent l="0" t="0" r="2540" b="0"/>
            <wp:docPr id="23" name="Picture 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74460" cy="6858000"/>
                    </a:xfrm>
                    <a:prstGeom prst="rect">
                      <a:avLst/>
                    </a:prstGeom>
                  </pic:spPr>
                </pic:pic>
              </a:graphicData>
            </a:graphic>
          </wp:inline>
        </w:drawing>
      </w:r>
      <w:r w:rsidR="00344027" w:rsidRPr="008224F9">
        <w:rPr>
          <w:rFonts w:cstheme="minorHAnsi"/>
          <w:b/>
          <w:color w:val="000000"/>
        </w:rPr>
        <w:t xml:space="preserve"> </w:t>
      </w:r>
    </w:p>
    <w:p w14:paraId="4C86DFC2" w14:textId="70AB9CF0" w:rsidR="00344027" w:rsidRPr="00334248" w:rsidRDefault="00344027" w:rsidP="00344027">
      <w:pPr>
        <w:keepNext/>
        <w:pBdr>
          <w:top w:val="nil"/>
          <w:left w:val="nil"/>
          <w:bottom w:val="nil"/>
          <w:right w:val="nil"/>
          <w:between w:val="nil"/>
        </w:pBdr>
        <w:spacing w:before="240" w:after="60"/>
        <w:rPr>
          <w:rFonts w:cstheme="minorHAnsi"/>
          <w:b/>
          <w:sz w:val="20"/>
          <w:szCs w:val="20"/>
        </w:rPr>
      </w:pPr>
      <w:r w:rsidRPr="00334248">
        <w:rPr>
          <w:rFonts w:cstheme="minorHAnsi"/>
          <w:b/>
          <w:color w:val="000000"/>
          <w:sz w:val="20"/>
          <w:szCs w:val="20"/>
        </w:rPr>
        <w:t>Figure 5.1</w:t>
      </w:r>
      <w:r>
        <w:rPr>
          <w:rFonts w:cstheme="minorHAnsi"/>
          <w:b/>
          <w:color w:val="000000"/>
          <w:sz w:val="20"/>
          <w:szCs w:val="20"/>
        </w:rPr>
        <w:t>:</w:t>
      </w:r>
      <w:r w:rsidRPr="00334248">
        <w:rPr>
          <w:rFonts w:cstheme="minorHAnsi"/>
          <w:b/>
          <w:color w:val="000000"/>
          <w:sz w:val="20"/>
          <w:szCs w:val="20"/>
        </w:rPr>
        <w:t xml:space="preserve"> </w:t>
      </w:r>
      <w:r w:rsidRPr="00334248">
        <w:rPr>
          <w:rFonts w:cstheme="minorHAnsi"/>
          <w:b/>
          <w:sz w:val="20"/>
          <w:szCs w:val="20"/>
        </w:rPr>
        <w:t xml:space="preserve">Estimated current global C stocks in mangrove </w:t>
      </w:r>
      <w:r w:rsidR="0045711C">
        <w:rPr>
          <w:rFonts w:cstheme="minorHAnsi"/>
          <w:b/>
          <w:sz w:val="20"/>
          <w:szCs w:val="20"/>
        </w:rPr>
        <w:t>a</w:t>
      </w:r>
      <w:r w:rsidRPr="00334248">
        <w:rPr>
          <w:rFonts w:cstheme="minorHAnsi"/>
          <w:b/>
          <w:sz w:val="20"/>
          <w:szCs w:val="20"/>
        </w:rPr>
        <w:t xml:space="preserve">) trees, </w:t>
      </w:r>
      <w:r w:rsidR="0045711C">
        <w:rPr>
          <w:rFonts w:cstheme="minorHAnsi"/>
          <w:b/>
          <w:sz w:val="20"/>
          <w:szCs w:val="20"/>
        </w:rPr>
        <w:t>b</w:t>
      </w:r>
      <w:r w:rsidRPr="00334248">
        <w:rPr>
          <w:rFonts w:cstheme="minorHAnsi"/>
          <w:b/>
          <w:sz w:val="20"/>
          <w:szCs w:val="20"/>
        </w:rPr>
        <w:t xml:space="preserve">) soils to 1m depth, and </w:t>
      </w:r>
      <w:r w:rsidR="0045711C">
        <w:rPr>
          <w:rFonts w:cstheme="minorHAnsi"/>
          <w:b/>
          <w:sz w:val="20"/>
          <w:szCs w:val="20"/>
        </w:rPr>
        <w:t>c</w:t>
      </w:r>
      <w:r w:rsidRPr="00334248">
        <w:rPr>
          <w:rFonts w:cstheme="minorHAnsi"/>
          <w:b/>
          <w:sz w:val="20"/>
          <w:szCs w:val="20"/>
        </w:rPr>
        <w:t>) mangrove soil sequestration rates. Data presented are mean predicted values from present day climate datasets. Tree carbon was estimated from a model developed by Hutchinson et al. (2014) and the soil carbon and sequestration rates estimates were from modelling performed by the current study.</w:t>
      </w:r>
    </w:p>
    <w:p w14:paraId="6D42E0A1" w14:textId="1FA34065" w:rsidR="00344027" w:rsidRDefault="00344027" w:rsidP="00344027">
      <w:pPr>
        <w:keepNext/>
        <w:pBdr>
          <w:top w:val="nil"/>
          <w:left w:val="nil"/>
          <w:bottom w:val="nil"/>
          <w:right w:val="nil"/>
          <w:between w:val="nil"/>
        </w:pBdr>
        <w:spacing w:before="240" w:after="60" w:line="480" w:lineRule="auto"/>
        <w:rPr>
          <w:rFonts w:cstheme="minorHAnsi"/>
          <w:sz w:val="22"/>
        </w:rPr>
        <w:sectPr w:rsidR="00344027" w:rsidSect="00392131">
          <w:pgSz w:w="12240" w:h="15840"/>
          <w:pgMar w:top="720" w:right="720" w:bottom="720" w:left="720" w:header="720" w:footer="720" w:gutter="0"/>
          <w:cols w:space="720"/>
          <w:docGrid w:linePitch="326"/>
        </w:sectPr>
      </w:pPr>
    </w:p>
    <w:p w14:paraId="09FACAE7" w14:textId="77777777" w:rsidR="007667E1" w:rsidRDefault="007667E1" w:rsidP="00344027">
      <w:pPr>
        <w:keepNext/>
        <w:pBdr>
          <w:top w:val="nil"/>
          <w:left w:val="nil"/>
          <w:bottom w:val="nil"/>
          <w:right w:val="nil"/>
          <w:between w:val="nil"/>
        </w:pBdr>
        <w:spacing w:before="240" w:after="60" w:line="480" w:lineRule="auto"/>
        <w:rPr>
          <w:rFonts w:cstheme="minorHAnsi"/>
        </w:rPr>
        <w:sectPr w:rsidR="007667E1" w:rsidSect="007667E1">
          <w:type w:val="continuous"/>
          <w:pgSz w:w="12240" w:h="15840"/>
          <w:pgMar w:top="1440" w:right="1440" w:bottom="1440" w:left="1440" w:header="720" w:footer="720" w:gutter="0"/>
          <w:cols w:space="720"/>
          <w:docGrid w:linePitch="326"/>
        </w:sectPr>
      </w:pPr>
    </w:p>
    <w:p w14:paraId="39B06172" w14:textId="77777777" w:rsidR="00344027" w:rsidRPr="00C57A68" w:rsidRDefault="00344027" w:rsidP="00344027">
      <w:pPr>
        <w:keepNext/>
        <w:pBdr>
          <w:top w:val="nil"/>
          <w:left w:val="nil"/>
          <w:bottom w:val="nil"/>
          <w:right w:val="nil"/>
          <w:between w:val="nil"/>
        </w:pBdr>
        <w:spacing w:before="240" w:after="60" w:line="480" w:lineRule="auto"/>
        <w:rPr>
          <w:rFonts w:cstheme="minorHAnsi"/>
        </w:rPr>
        <w:sectPr w:rsidR="00344027" w:rsidRPr="00C57A68" w:rsidSect="007667E1">
          <w:pgSz w:w="12240" w:h="15840"/>
          <w:pgMar w:top="1440" w:right="1440" w:bottom="1440" w:left="1440" w:header="720" w:footer="720" w:gutter="0"/>
          <w:cols w:space="720"/>
          <w:docGrid w:linePitch="326"/>
        </w:sectPr>
      </w:pPr>
      <w:r w:rsidRPr="00C57A68">
        <w:rPr>
          <w:rFonts w:cstheme="minorHAnsi"/>
        </w:rPr>
        <w:lastRenderedPageBreak/>
        <w:t>Linear modelling only captured 27% of the variation in the soil C stocks (C</w:t>
      </w:r>
      <w:r w:rsidRPr="00C57A68">
        <w:rPr>
          <w:rFonts w:cstheme="minorHAnsi"/>
          <w:vertAlign w:val="subscript"/>
        </w:rPr>
        <w:t>100</w:t>
      </w:r>
      <w:r w:rsidRPr="00C57A68">
        <w:rPr>
          <w:rFonts w:cstheme="minorHAnsi"/>
        </w:rPr>
        <w:t xml:space="preserve">) data (Regression: </w:t>
      </w:r>
      <w:r w:rsidRPr="00C57A68">
        <w:rPr>
          <w:rFonts w:cstheme="minorHAnsi"/>
          <w:noProof/>
        </w:rPr>
        <w:t>F</w:t>
      </w:r>
      <w:r w:rsidRPr="00C57A68">
        <w:rPr>
          <w:rFonts w:cstheme="minorHAnsi"/>
          <w:noProof/>
          <w:vertAlign w:val="subscript"/>
        </w:rPr>
        <w:t>3,635</w:t>
      </w:r>
      <w:r w:rsidRPr="00C57A68">
        <w:rPr>
          <w:rFonts w:cstheme="minorHAnsi"/>
          <w:noProof/>
        </w:rPr>
        <w:t>=79.21, p&lt;0.01, R</w:t>
      </w:r>
      <w:r w:rsidRPr="00C57A68">
        <w:rPr>
          <w:rFonts w:cstheme="minorHAnsi"/>
          <w:noProof/>
          <w:vertAlign w:val="superscript"/>
        </w:rPr>
        <w:t>2</w:t>
      </w:r>
      <w:r w:rsidRPr="00C57A68">
        <w:rPr>
          <w:rFonts w:cstheme="minorHAnsi"/>
          <w:noProof/>
        </w:rPr>
        <w:t>=0.27, standardised to 1m depth), whereas random</w:t>
      </w:r>
      <w:r w:rsidRPr="00C57A68">
        <w:rPr>
          <w:rFonts w:cstheme="minorHAnsi"/>
        </w:rPr>
        <w:t xml:space="preserve"> forest modelling captured over double that variation (R</w:t>
      </w:r>
      <w:r w:rsidRPr="00C57A68">
        <w:rPr>
          <w:rFonts w:cstheme="minorHAnsi"/>
          <w:vertAlign w:val="superscript"/>
        </w:rPr>
        <w:t>2</w:t>
      </w:r>
      <w:r w:rsidRPr="00C57A68">
        <w:rPr>
          <w:rFonts w:cstheme="minorHAnsi"/>
        </w:rPr>
        <w:t xml:space="preserve"> = 65%). The most important predictor was precipitation of the coldest quarter, which when dropped, accounted for 17.15% increase in the model’s mean squared error (MSE, Figure A4a). The final model selected to predict soil C</w:t>
      </w:r>
      <w:r w:rsidRPr="00C57A68">
        <w:rPr>
          <w:rFonts w:cstheme="minorHAnsi"/>
          <w:vertAlign w:val="subscript"/>
        </w:rPr>
        <w:t>100</w:t>
      </w:r>
      <w:r w:rsidRPr="00C57A68">
        <w:rPr>
          <w:rFonts w:cstheme="minorHAnsi"/>
        </w:rPr>
        <w:t xml:space="preserve"> stocks was the random forest model as cross validation revealed it outperformed the linear model in making out of sample predictions (CV </w:t>
      </w:r>
      <w:proofErr w:type="gramStart"/>
      <w:r w:rsidRPr="00C57A68">
        <w:rPr>
          <w:rFonts w:cstheme="minorHAnsi"/>
        </w:rPr>
        <w:t>Random forest</w:t>
      </w:r>
      <w:proofErr w:type="gramEnd"/>
      <w:r w:rsidRPr="00C57A68">
        <w:rPr>
          <w:rFonts w:cstheme="minorHAnsi"/>
        </w:rPr>
        <w:t>: R</w:t>
      </w:r>
      <w:r w:rsidRPr="00C57A68">
        <w:rPr>
          <w:rFonts w:cstheme="minorHAnsi"/>
          <w:vertAlign w:val="superscript"/>
        </w:rPr>
        <w:t>2</w:t>
      </w:r>
      <w:r w:rsidRPr="00C57A68">
        <w:rPr>
          <w:rFonts w:cstheme="minorHAnsi"/>
        </w:rPr>
        <w:t xml:space="preserve"> = 0.65, RMSE = 98.53 Mg C ha</w:t>
      </w:r>
      <w:r w:rsidRPr="00C57A68">
        <w:rPr>
          <w:rFonts w:cstheme="minorHAnsi"/>
          <w:vertAlign w:val="superscript"/>
        </w:rPr>
        <w:t>-1</w:t>
      </w:r>
      <w:r w:rsidRPr="00C57A68">
        <w:rPr>
          <w:rFonts w:cstheme="minorHAnsi"/>
        </w:rPr>
        <w:t>; CV Linear model: R</w:t>
      </w:r>
      <w:r w:rsidRPr="00C57A68">
        <w:rPr>
          <w:rFonts w:cstheme="minorHAnsi"/>
          <w:vertAlign w:val="superscript"/>
        </w:rPr>
        <w:t>2</w:t>
      </w:r>
      <w:r w:rsidRPr="00C57A68">
        <w:rPr>
          <w:rFonts w:cstheme="minorHAnsi"/>
        </w:rPr>
        <w:t xml:space="preserve"> = 0.32, RMSE = log10(0.24) Mg C ha</w:t>
      </w:r>
      <w:r w:rsidRPr="00C57A68">
        <w:rPr>
          <w:rFonts w:cstheme="minorHAnsi"/>
          <w:vertAlign w:val="superscript"/>
        </w:rPr>
        <w:t>-1</w:t>
      </w:r>
      <w:r w:rsidRPr="00C57A68">
        <w:rPr>
          <w:rFonts w:cstheme="minorHAnsi"/>
        </w:rPr>
        <w:t xml:space="preserve">). Inclusion of tidal range and river discharge did not improve model performance (CV </w:t>
      </w:r>
      <w:proofErr w:type="gramStart"/>
      <w:r w:rsidRPr="00C57A68">
        <w:rPr>
          <w:rFonts w:cstheme="minorHAnsi"/>
        </w:rPr>
        <w:t>Random forest</w:t>
      </w:r>
      <w:proofErr w:type="gramEnd"/>
      <w:r w:rsidRPr="00C57A68">
        <w:rPr>
          <w:rFonts w:cstheme="minorHAnsi"/>
        </w:rPr>
        <w:t>: R</w:t>
      </w:r>
      <w:r w:rsidRPr="00C57A68">
        <w:rPr>
          <w:rFonts w:cstheme="minorHAnsi"/>
          <w:vertAlign w:val="superscript"/>
        </w:rPr>
        <w:t>2</w:t>
      </w:r>
      <w:r w:rsidRPr="00C57A68">
        <w:rPr>
          <w:rFonts w:cstheme="minorHAnsi"/>
        </w:rPr>
        <w:t xml:space="preserve"> = 0.65, RMSE = 98.85 Mg C ha</w:t>
      </w:r>
      <w:r w:rsidRPr="00C57A68">
        <w:rPr>
          <w:rFonts w:cstheme="minorHAnsi"/>
          <w:vertAlign w:val="superscript"/>
        </w:rPr>
        <w:t>-1</w:t>
      </w:r>
      <w:r w:rsidRPr="00C57A68">
        <w:rPr>
          <w:rFonts w:cstheme="minorHAnsi"/>
        </w:rPr>
        <w:t xml:space="preserve">). The linear model captured 45% of the variation in the CSR data (Regression: </w:t>
      </w:r>
      <w:r w:rsidRPr="00C57A68">
        <w:rPr>
          <w:rFonts w:cstheme="minorHAnsi"/>
          <w:noProof/>
        </w:rPr>
        <w:t>F</w:t>
      </w:r>
      <w:r w:rsidRPr="00C57A68">
        <w:rPr>
          <w:rFonts w:cstheme="minorHAnsi"/>
          <w:noProof/>
          <w:vertAlign w:val="subscript"/>
        </w:rPr>
        <w:t>2,91</w:t>
      </w:r>
      <w:r w:rsidRPr="00C57A68">
        <w:rPr>
          <w:rFonts w:cstheme="minorHAnsi"/>
          <w:noProof/>
        </w:rPr>
        <w:t>=13.89, p&lt;0.01, R</w:t>
      </w:r>
      <w:r w:rsidRPr="00C57A68">
        <w:rPr>
          <w:rFonts w:cstheme="minorHAnsi"/>
          <w:noProof/>
          <w:vertAlign w:val="superscript"/>
        </w:rPr>
        <w:t>2</w:t>
      </w:r>
      <w:r w:rsidRPr="00C57A68">
        <w:rPr>
          <w:rFonts w:cstheme="minorHAnsi"/>
          <w:noProof/>
        </w:rPr>
        <w:t>=0.45)</w:t>
      </w:r>
      <w:r w:rsidRPr="00C57A68">
        <w:rPr>
          <w:rFonts w:cstheme="minorHAnsi"/>
        </w:rPr>
        <w:t>, whereas random forest modelling captured less of the variation in CSR (R</w:t>
      </w:r>
      <w:r w:rsidRPr="00C57A68">
        <w:rPr>
          <w:rFonts w:cstheme="minorHAnsi"/>
          <w:vertAlign w:val="superscript"/>
        </w:rPr>
        <w:t>2</w:t>
      </w:r>
      <w:r w:rsidRPr="00C57A68">
        <w:rPr>
          <w:rFonts w:cstheme="minorHAnsi"/>
        </w:rPr>
        <w:t xml:space="preserve"> = 31%). However, the random forest model outperformed the linear model in making out of sample predictions (CV </w:t>
      </w:r>
      <w:proofErr w:type="gramStart"/>
      <w:r w:rsidRPr="00C57A68">
        <w:rPr>
          <w:rFonts w:cstheme="minorHAnsi"/>
        </w:rPr>
        <w:t>Random forest</w:t>
      </w:r>
      <w:proofErr w:type="gramEnd"/>
      <w:r w:rsidRPr="00C57A68">
        <w:rPr>
          <w:rFonts w:cstheme="minorHAnsi"/>
        </w:rPr>
        <w:t>: R</w:t>
      </w:r>
      <w:r w:rsidRPr="00C57A68">
        <w:rPr>
          <w:rFonts w:cstheme="minorHAnsi"/>
          <w:vertAlign w:val="superscript"/>
        </w:rPr>
        <w:t>2</w:t>
      </w:r>
      <w:r w:rsidRPr="00C57A68">
        <w:rPr>
          <w:rFonts w:cstheme="minorHAnsi"/>
        </w:rPr>
        <w:t xml:space="preserve"> = 0.69, RMSE = 113.44 g C m</w:t>
      </w:r>
      <w:r w:rsidRPr="00C57A68">
        <w:rPr>
          <w:rFonts w:cstheme="minorHAnsi"/>
          <w:vertAlign w:val="superscript"/>
        </w:rPr>
        <w:t>2</w:t>
      </w:r>
      <w:r w:rsidRPr="00C57A68">
        <w:rPr>
          <w:rFonts w:cstheme="minorHAnsi"/>
        </w:rPr>
        <w:t xml:space="preserve"> yr</w:t>
      </w:r>
      <w:r w:rsidRPr="00C57A68">
        <w:rPr>
          <w:rFonts w:cstheme="minorHAnsi"/>
          <w:vertAlign w:val="superscript"/>
        </w:rPr>
        <w:t>-1</w:t>
      </w:r>
      <w:r w:rsidRPr="00C57A68">
        <w:rPr>
          <w:rFonts w:cstheme="minorHAnsi"/>
        </w:rPr>
        <w:t>; Linear model: R</w:t>
      </w:r>
      <w:r w:rsidRPr="00C57A68">
        <w:rPr>
          <w:rFonts w:cstheme="minorHAnsi"/>
          <w:vertAlign w:val="superscript"/>
        </w:rPr>
        <w:t>2</w:t>
      </w:r>
      <w:r w:rsidRPr="00C57A68">
        <w:rPr>
          <w:rFonts w:cstheme="minorHAnsi"/>
        </w:rPr>
        <w:t xml:space="preserve"> = 0.46, RMSE = log10(0.30) g C m</w:t>
      </w:r>
      <w:r w:rsidRPr="00C57A68">
        <w:rPr>
          <w:rFonts w:cstheme="minorHAnsi"/>
          <w:vertAlign w:val="superscript"/>
        </w:rPr>
        <w:t>2</w:t>
      </w:r>
      <w:r w:rsidRPr="00C57A68">
        <w:rPr>
          <w:rFonts w:cstheme="minorHAnsi"/>
        </w:rPr>
        <w:t xml:space="preserve"> yr</w:t>
      </w:r>
      <w:r w:rsidRPr="00C57A68">
        <w:rPr>
          <w:rFonts w:cstheme="minorHAnsi"/>
          <w:vertAlign w:val="superscript"/>
        </w:rPr>
        <w:t>-1</w:t>
      </w:r>
      <w:r w:rsidRPr="00C57A68">
        <w:rPr>
          <w:rFonts w:cstheme="minorHAnsi"/>
        </w:rPr>
        <w:t>). Therefore, the random forest model was selected to predict CSR. The most important predictor was precipitation of the wettest month, which accounted for a 7.64% increase in the model MSE (Figure A4b).</w:t>
      </w:r>
    </w:p>
    <w:p w14:paraId="3E972E0D" w14:textId="77777777" w:rsidR="00344027" w:rsidRDefault="00344027" w:rsidP="00344027">
      <w:pPr>
        <w:keepNext/>
        <w:pBdr>
          <w:top w:val="nil"/>
          <w:left w:val="nil"/>
          <w:bottom w:val="nil"/>
          <w:right w:val="nil"/>
          <w:between w:val="nil"/>
        </w:pBdr>
        <w:spacing w:before="240" w:after="60"/>
        <w:jc w:val="center"/>
        <w:rPr>
          <w:rFonts w:cstheme="minorHAnsi"/>
          <w:b/>
          <w:color w:val="000000"/>
          <w:sz w:val="22"/>
        </w:rPr>
      </w:pPr>
      <w:r>
        <w:rPr>
          <w:rFonts w:cstheme="minorHAnsi"/>
          <w:b/>
          <w:noProof/>
          <w:color w:val="000000"/>
          <w:sz w:val="22"/>
        </w:rPr>
        <w:lastRenderedPageBreak/>
        <w:drawing>
          <wp:inline distT="0" distB="0" distL="0" distR="0" wp14:anchorId="43B35692" wp14:editId="520CF38F">
            <wp:extent cx="8998085" cy="5138281"/>
            <wp:effectExtent l="0" t="0" r="0" b="5715"/>
            <wp:docPr id="25" name="Picture 25"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diagram&#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9001941" cy="5140483"/>
                    </a:xfrm>
                    <a:prstGeom prst="rect">
                      <a:avLst/>
                    </a:prstGeom>
                  </pic:spPr>
                </pic:pic>
              </a:graphicData>
            </a:graphic>
          </wp:inline>
        </w:drawing>
      </w:r>
    </w:p>
    <w:p w14:paraId="48CE882E" w14:textId="4B9D9433" w:rsidR="00344027" w:rsidRPr="00334248" w:rsidRDefault="00344027" w:rsidP="00344027">
      <w:pPr>
        <w:keepNext/>
        <w:pBdr>
          <w:top w:val="nil"/>
          <w:left w:val="nil"/>
          <w:bottom w:val="nil"/>
          <w:right w:val="nil"/>
          <w:between w:val="nil"/>
        </w:pBdr>
        <w:spacing w:before="240" w:after="60"/>
        <w:rPr>
          <w:rFonts w:cstheme="minorHAnsi"/>
          <w:b/>
          <w:color w:val="000000"/>
          <w:sz w:val="20"/>
          <w:szCs w:val="20"/>
        </w:rPr>
        <w:sectPr w:rsidR="00344027" w:rsidRPr="00334248" w:rsidSect="00392131">
          <w:pgSz w:w="15840" w:h="12240" w:orient="landscape"/>
          <w:pgMar w:top="720" w:right="720" w:bottom="720" w:left="720" w:header="720" w:footer="720" w:gutter="0"/>
          <w:cols w:space="720"/>
          <w:docGrid w:linePitch="326"/>
        </w:sectPr>
      </w:pPr>
      <w:r w:rsidRPr="00334248">
        <w:rPr>
          <w:rFonts w:cstheme="minorHAnsi"/>
          <w:b/>
          <w:color w:val="000000"/>
          <w:sz w:val="20"/>
          <w:szCs w:val="20"/>
        </w:rPr>
        <w:t xml:space="preserve">Figure </w:t>
      </w:r>
      <w:r>
        <w:rPr>
          <w:rFonts w:cstheme="minorHAnsi"/>
          <w:b/>
          <w:color w:val="000000"/>
          <w:sz w:val="20"/>
          <w:szCs w:val="20"/>
        </w:rPr>
        <w:t>5.</w:t>
      </w:r>
      <w:r w:rsidRPr="00334248">
        <w:rPr>
          <w:rFonts w:cstheme="minorHAnsi"/>
          <w:b/>
          <w:color w:val="000000"/>
          <w:sz w:val="20"/>
          <w:szCs w:val="20"/>
        </w:rPr>
        <w:t>2</w:t>
      </w:r>
      <w:r>
        <w:rPr>
          <w:rFonts w:cstheme="minorHAnsi"/>
          <w:b/>
          <w:color w:val="000000"/>
          <w:sz w:val="20"/>
          <w:szCs w:val="20"/>
        </w:rPr>
        <w:t>:</w:t>
      </w:r>
      <w:r w:rsidRPr="00334248">
        <w:rPr>
          <w:rFonts w:cstheme="minorHAnsi"/>
          <w:b/>
          <w:color w:val="000000"/>
          <w:sz w:val="20"/>
          <w:szCs w:val="20"/>
        </w:rPr>
        <w:t xml:space="preserve"> </w:t>
      </w:r>
      <w:r w:rsidRPr="00334248">
        <w:rPr>
          <w:rFonts w:cstheme="minorHAnsi"/>
          <w:b/>
          <w:sz w:val="20"/>
          <w:szCs w:val="20"/>
        </w:rPr>
        <w:t xml:space="preserve">Probability of countries experiencing gains in mangrove C stocks </w:t>
      </w:r>
      <w:r w:rsidR="006C6EF5">
        <w:rPr>
          <w:rFonts w:cstheme="minorHAnsi"/>
          <w:b/>
          <w:sz w:val="20"/>
          <w:szCs w:val="20"/>
        </w:rPr>
        <w:t xml:space="preserve">or sequestration rates </w:t>
      </w:r>
      <w:r w:rsidRPr="00334248">
        <w:rPr>
          <w:rFonts w:cstheme="minorHAnsi"/>
          <w:b/>
          <w:sz w:val="20"/>
          <w:szCs w:val="20"/>
        </w:rPr>
        <w:t>with change in 21</w:t>
      </w:r>
      <w:r w:rsidRPr="00334248">
        <w:rPr>
          <w:rFonts w:cstheme="minorHAnsi"/>
          <w:b/>
          <w:sz w:val="20"/>
          <w:szCs w:val="20"/>
          <w:vertAlign w:val="superscript"/>
        </w:rPr>
        <w:t>st</w:t>
      </w:r>
      <w:r w:rsidRPr="00334248">
        <w:rPr>
          <w:rFonts w:cstheme="minorHAnsi"/>
          <w:b/>
          <w:sz w:val="20"/>
          <w:szCs w:val="20"/>
        </w:rPr>
        <w:t xml:space="preserve"> century climate; </w:t>
      </w:r>
      <w:r w:rsidR="006C6EF5">
        <w:rPr>
          <w:rFonts w:cstheme="minorHAnsi"/>
          <w:b/>
          <w:sz w:val="20"/>
          <w:szCs w:val="20"/>
        </w:rPr>
        <w:t>a</w:t>
      </w:r>
      <w:r w:rsidR="00A72131">
        <w:rPr>
          <w:rFonts w:cstheme="minorHAnsi"/>
          <w:b/>
          <w:sz w:val="20"/>
          <w:szCs w:val="20"/>
        </w:rPr>
        <w:t>)</w:t>
      </w:r>
      <w:r w:rsidR="006C6EF5">
        <w:rPr>
          <w:rFonts w:cstheme="minorHAnsi"/>
          <w:b/>
          <w:sz w:val="20"/>
          <w:szCs w:val="20"/>
        </w:rPr>
        <w:t>, b</w:t>
      </w:r>
      <w:r w:rsidR="00A72131">
        <w:rPr>
          <w:rFonts w:cstheme="minorHAnsi"/>
          <w:b/>
          <w:sz w:val="20"/>
          <w:szCs w:val="20"/>
        </w:rPr>
        <w:t>)</w:t>
      </w:r>
      <w:r w:rsidRPr="00334248">
        <w:rPr>
          <w:rFonts w:cstheme="minorHAnsi"/>
          <w:b/>
          <w:sz w:val="20"/>
          <w:szCs w:val="20"/>
        </w:rPr>
        <w:t xml:space="preserve"> </w:t>
      </w:r>
      <w:r w:rsidR="006C6EF5">
        <w:rPr>
          <w:rFonts w:cstheme="minorHAnsi"/>
          <w:b/>
          <w:sz w:val="20"/>
          <w:szCs w:val="20"/>
        </w:rPr>
        <w:t>and c</w:t>
      </w:r>
      <w:r w:rsidR="00A72131">
        <w:rPr>
          <w:rFonts w:cstheme="minorHAnsi"/>
          <w:b/>
          <w:sz w:val="20"/>
          <w:szCs w:val="20"/>
        </w:rPr>
        <w:t>)</w:t>
      </w:r>
      <w:r w:rsidR="006C6EF5">
        <w:rPr>
          <w:rFonts w:cstheme="minorHAnsi"/>
          <w:b/>
          <w:sz w:val="20"/>
          <w:szCs w:val="20"/>
        </w:rPr>
        <w:t xml:space="preserve"> </w:t>
      </w:r>
      <w:r w:rsidRPr="00334248">
        <w:rPr>
          <w:rFonts w:cstheme="minorHAnsi"/>
          <w:b/>
          <w:sz w:val="20"/>
          <w:szCs w:val="20"/>
        </w:rPr>
        <w:t xml:space="preserve">refer to significant differences under the ‘business as usual’ scenario (SSP245), while </w:t>
      </w:r>
      <w:r w:rsidR="008968DC">
        <w:rPr>
          <w:rFonts w:cstheme="minorHAnsi"/>
          <w:b/>
          <w:sz w:val="20"/>
          <w:szCs w:val="20"/>
        </w:rPr>
        <w:t>d</w:t>
      </w:r>
      <w:r w:rsidR="00A72131">
        <w:rPr>
          <w:rFonts w:cstheme="minorHAnsi"/>
          <w:b/>
          <w:sz w:val="20"/>
          <w:szCs w:val="20"/>
        </w:rPr>
        <w:t>)</w:t>
      </w:r>
      <w:r w:rsidR="008968DC">
        <w:rPr>
          <w:rFonts w:cstheme="minorHAnsi"/>
          <w:b/>
          <w:sz w:val="20"/>
          <w:szCs w:val="20"/>
        </w:rPr>
        <w:t xml:space="preserve"> </w:t>
      </w:r>
      <w:r w:rsidRPr="00334248">
        <w:rPr>
          <w:rFonts w:cstheme="minorHAnsi"/>
          <w:b/>
          <w:sz w:val="20"/>
          <w:szCs w:val="20"/>
        </w:rPr>
        <w:t xml:space="preserve">and </w:t>
      </w:r>
      <w:r w:rsidR="008968DC">
        <w:rPr>
          <w:rFonts w:cstheme="minorHAnsi"/>
          <w:b/>
          <w:sz w:val="20"/>
          <w:szCs w:val="20"/>
        </w:rPr>
        <w:t>e</w:t>
      </w:r>
      <w:r w:rsidR="00A72131">
        <w:rPr>
          <w:rFonts w:cstheme="minorHAnsi"/>
          <w:b/>
          <w:sz w:val="20"/>
          <w:szCs w:val="20"/>
        </w:rPr>
        <w:t>)</w:t>
      </w:r>
      <w:r w:rsidRPr="00334248">
        <w:rPr>
          <w:rFonts w:cstheme="minorHAnsi"/>
          <w:b/>
          <w:sz w:val="20"/>
          <w:szCs w:val="20"/>
        </w:rPr>
        <w:t xml:space="preserve"> refer to significant differences under the high emissions scenario (SSP585). Temperature seasonality refers to the annual variation of temperature. Black lines are the mean probability, while shaded areas represent 95% confidence intervals.</w:t>
      </w:r>
    </w:p>
    <w:p w14:paraId="364B3649" w14:textId="4D2A7B15" w:rsidR="00344027" w:rsidRPr="007B3BFC" w:rsidRDefault="00344027" w:rsidP="00344027">
      <w:pPr>
        <w:pStyle w:val="Heading3"/>
        <w:ind w:left="567" w:hanging="567"/>
        <w:rPr>
          <w:rFonts w:asciiTheme="minorHAnsi" w:hAnsiTheme="minorHAnsi" w:cstheme="minorHAnsi"/>
          <w:b/>
          <w:bCs/>
          <w:color w:val="000000" w:themeColor="text1"/>
        </w:rPr>
      </w:pPr>
      <w:bookmarkStart w:id="64" w:name="_Toc120622152"/>
      <w:r w:rsidRPr="007B3BFC">
        <w:rPr>
          <w:rFonts w:asciiTheme="minorHAnsi" w:hAnsiTheme="minorHAnsi" w:cstheme="minorHAnsi"/>
          <w:b/>
          <w:bCs/>
          <w:color w:val="000000" w:themeColor="text1"/>
        </w:rPr>
        <w:lastRenderedPageBreak/>
        <w:t>5.4.1</w:t>
      </w:r>
      <w:r w:rsidRPr="007B3BFC">
        <w:rPr>
          <w:rFonts w:asciiTheme="minorHAnsi" w:hAnsiTheme="minorHAnsi" w:cstheme="minorHAnsi"/>
          <w:b/>
          <w:bCs/>
          <w:color w:val="000000" w:themeColor="text1"/>
        </w:rPr>
        <w:tab/>
        <w:t>Present day carbon stocks and sequestration rates</w:t>
      </w:r>
      <w:bookmarkEnd w:id="64"/>
    </w:p>
    <w:p w14:paraId="7E6E65BC" w14:textId="77777777" w:rsidR="00344027" w:rsidRPr="00C57A68" w:rsidRDefault="00344027" w:rsidP="00344027">
      <w:pPr>
        <w:spacing w:line="480" w:lineRule="auto"/>
        <w:rPr>
          <w:rFonts w:cstheme="minorHAnsi"/>
        </w:rPr>
        <w:sectPr w:rsidR="00344027" w:rsidRPr="00C57A68" w:rsidSect="007667E1">
          <w:pgSz w:w="12240" w:h="15840"/>
          <w:pgMar w:top="1440" w:right="1440" w:bottom="1440" w:left="1440" w:header="720" w:footer="720" w:gutter="0"/>
          <w:cols w:space="720"/>
          <w:docGrid w:linePitch="326"/>
        </w:sectPr>
      </w:pPr>
      <w:r w:rsidRPr="00C57A68">
        <w:rPr>
          <w:rFonts w:cstheme="minorHAnsi"/>
        </w:rPr>
        <w:t>We estimated mean per hectare total C stocks (biomass + soil) of 472.7 ±56.4 Mg C (mean ± 1 standard error). The highest per hectare total C stocks were around Southeast Asia, particularly Indonesia and the Philippines (Figure 5.1a and 5.1b). Indonesia alone accounted for almost a quarter of current global C stocks (24.27 ±0.61%), while the top 5 mangrove holding countries (Indonesia, Australia, the Philippines, Brazil and Mexico) held &gt;50% of the world’s mangrove C stocks (Table 5.1). Similar</w:t>
      </w:r>
      <w:r w:rsidRPr="00C57A68">
        <w:rPr>
          <w:rFonts w:cstheme="minorHAnsi"/>
          <w:i/>
          <w:iCs/>
        </w:rPr>
        <w:t xml:space="preserve"> </w:t>
      </w:r>
      <w:r w:rsidRPr="00C57A68">
        <w:rPr>
          <w:rFonts w:cstheme="minorHAnsi"/>
        </w:rPr>
        <w:t>to C stocks, the highest CSR were found in Southeast Asia, (Figure 5.1c). The median predicted soil sequestration rate was 172.5 C m</w:t>
      </w:r>
      <w:r w:rsidRPr="00C57A68">
        <w:rPr>
          <w:rFonts w:cstheme="minorHAnsi"/>
          <w:vertAlign w:val="superscript"/>
        </w:rPr>
        <w:t>2</w:t>
      </w:r>
      <w:r w:rsidRPr="00C57A68">
        <w:rPr>
          <w:rFonts w:cstheme="minorHAnsi"/>
        </w:rPr>
        <w:t xml:space="preserve"> yr</w:t>
      </w:r>
      <w:r w:rsidRPr="00C57A68">
        <w:rPr>
          <w:rFonts w:cstheme="minorHAnsi"/>
          <w:vertAlign w:val="superscript"/>
        </w:rPr>
        <w:t>-1</w:t>
      </w:r>
      <w:r w:rsidRPr="00C57A68">
        <w:rPr>
          <w:rFonts w:cstheme="minorHAnsi"/>
        </w:rPr>
        <w:t xml:space="preserve"> (95% confidence interval: 101.4 – 321.7 C m</w:t>
      </w:r>
      <w:r w:rsidRPr="00C57A68">
        <w:rPr>
          <w:rFonts w:cstheme="minorHAnsi"/>
          <w:vertAlign w:val="superscript"/>
        </w:rPr>
        <w:t>2</w:t>
      </w:r>
      <w:r w:rsidRPr="00C57A68">
        <w:rPr>
          <w:rFonts w:cstheme="minorHAnsi"/>
        </w:rPr>
        <w:t xml:space="preserve"> yr</w:t>
      </w:r>
      <w:r w:rsidRPr="00C57A68">
        <w:rPr>
          <w:rFonts w:cstheme="minorHAnsi"/>
          <w:vertAlign w:val="superscript"/>
        </w:rPr>
        <w:t>-1</w:t>
      </w:r>
      <w:r w:rsidRPr="00C57A68">
        <w:rPr>
          <w:rFonts w:cstheme="minorHAnsi"/>
        </w:rPr>
        <w:t>). Indonesia again accounted for the majority of global annual mangrove CSR (23.72 ±0.09%, Table 5.2).</w:t>
      </w:r>
    </w:p>
    <w:tbl>
      <w:tblPr>
        <w:tblpPr w:leftFromText="180" w:rightFromText="180" w:horzAnchor="margin" w:tblpY="1195"/>
        <w:tblW w:w="14618" w:type="dxa"/>
        <w:tblLook w:val="04A0" w:firstRow="1" w:lastRow="0" w:firstColumn="1" w:lastColumn="0" w:noHBand="0" w:noVBand="1"/>
      </w:tblPr>
      <w:tblGrid>
        <w:gridCol w:w="2259"/>
        <w:gridCol w:w="1796"/>
        <w:gridCol w:w="1349"/>
        <w:gridCol w:w="1573"/>
        <w:gridCol w:w="2133"/>
        <w:gridCol w:w="1575"/>
        <w:gridCol w:w="1796"/>
        <w:gridCol w:w="2137"/>
      </w:tblGrid>
      <w:tr w:rsidR="00344027" w:rsidRPr="00344027" w14:paraId="1DA26AB4" w14:textId="77777777" w:rsidTr="00672286">
        <w:trPr>
          <w:trHeight w:val="161"/>
        </w:trPr>
        <w:tc>
          <w:tcPr>
            <w:tcW w:w="2259" w:type="dxa"/>
            <w:vMerge w:val="restart"/>
            <w:tcBorders>
              <w:top w:val="single" w:sz="4" w:space="0" w:color="auto"/>
              <w:left w:val="nil"/>
              <w:bottom w:val="single" w:sz="4" w:space="0" w:color="000000"/>
              <w:right w:val="nil"/>
            </w:tcBorders>
            <w:shd w:val="clear" w:color="auto" w:fill="auto"/>
            <w:noWrap/>
            <w:vAlign w:val="center"/>
            <w:hideMark/>
          </w:tcPr>
          <w:p w14:paraId="6C41C79E"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lastRenderedPageBreak/>
              <w:t>Country</w:t>
            </w:r>
          </w:p>
        </w:tc>
        <w:tc>
          <w:tcPr>
            <w:tcW w:w="1796" w:type="dxa"/>
            <w:vMerge w:val="restart"/>
            <w:tcBorders>
              <w:top w:val="single" w:sz="4" w:space="0" w:color="auto"/>
              <w:left w:val="nil"/>
              <w:bottom w:val="single" w:sz="4" w:space="0" w:color="000000"/>
              <w:right w:val="nil"/>
            </w:tcBorders>
            <w:shd w:val="clear" w:color="auto" w:fill="auto"/>
            <w:vAlign w:val="center"/>
            <w:hideMark/>
          </w:tcPr>
          <w:p w14:paraId="3293EF03"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Current Total Stocks (</w:t>
            </w:r>
            <w:proofErr w:type="spellStart"/>
            <w:r w:rsidRPr="00344027">
              <w:rPr>
                <w:rFonts w:cstheme="minorHAnsi"/>
                <w:b/>
                <w:bCs/>
                <w:color w:val="000000"/>
                <w:sz w:val="22"/>
                <w:szCs w:val="22"/>
              </w:rPr>
              <w:t>Tg</w:t>
            </w:r>
            <w:proofErr w:type="spellEnd"/>
            <w:r w:rsidRPr="00344027">
              <w:rPr>
                <w:rFonts w:cstheme="minorHAnsi"/>
                <w:b/>
                <w:bCs/>
                <w:color w:val="000000"/>
                <w:sz w:val="22"/>
                <w:szCs w:val="22"/>
              </w:rPr>
              <w:t xml:space="preserve"> C)</w:t>
            </w:r>
          </w:p>
        </w:tc>
        <w:tc>
          <w:tcPr>
            <w:tcW w:w="1349" w:type="dxa"/>
            <w:vMerge w:val="restart"/>
            <w:tcBorders>
              <w:top w:val="single" w:sz="4" w:space="0" w:color="auto"/>
              <w:left w:val="nil"/>
              <w:bottom w:val="single" w:sz="4" w:space="0" w:color="000000"/>
              <w:right w:val="nil"/>
            </w:tcBorders>
            <w:shd w:val="clear" w:color="auto" w:fill="auto"/>
            <w:vAlign w:val="center"/>
            <w:hideMark/>
          </w:tcPr>
          <w:p w14:paraId="70450E3E"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 xml:space="preserve">% </w:t>
            </w:r>
            <w:proofErr w:type="gramStart"/>
            <w:r w:rsidRPr="00344027">
              <w:rPr>
                <w:rFonts w:cstheme="minorHAnsi"/>
                <w:b/>
                <w:bCs/>
                <w:color w:val="000000"/>
                <w:sz w:val="22"/>
                <w:szCs w:val="22"/>
              </w:rPr>
              <w:t>of</w:t>
            </w:r>
            <w:proofErr w:type="gramEnd"/>
            <w:r w:rsidRPr="00344027">
              <w:rPr>
                <w:rFonts w:cstheme="minorHAnsi"/>
                <w:b/>
                <w:bCs/>
                <w:color w:val="000000"/>
                <w:sz w:val="22"/>
                <w:szCs w:val="22"/>
              </w:rPr>
              <w:t xml:space="preserve"> Global Total</w:t>
            </w:r>
          </w:p>
        </w:tc>
        <w:tc>
          <w:tcPr>
            <w:tcW w:w="1573" w:type="dxa"/>
            <w:vMerge w:val="restart"/>
            <w:tcBorders>
              <w:top w:val="single" w:sz="4" w:space="0" w:color="auto"/>
              <w:left w:val="nil"/>
              <w:bottom w:val="single" w:sz="4" w:space="0" w:color="000000"/>
              <w:right w:val="nil"/>
            </w:tcBorders>
            <w:shd w:val="clear" w:color="auto" w:fill="auto"/>
            <w:vAlign w:val="center"/>
            <w:hideMark/>
          </w:tcPr>
          <w:p w14:paraId="24405DA8"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Global Cumulative %</w:t>
            </w:r>
          </w:p>
        </w:tc>
        <w:tc>
          <w:tcPr>
            <w:tcW w:w="3708" w:type="dxa"/>
            <w:gridSpan w:val="2"/>
            <w:tcBorders>
              <w:top w:val="single" w:sz="4" w:space="0" w:color="auto"/>
              <w:left w:val="nil"/>
              <w:bottom w:val="single" w:sz="4" w:space="0" w:color="auto"/>
              <w:right w:val="nil"/>
            </w:tcBorders>
            <w:shd w:val="clear" w:color="auto" w:fill="auto"/>
            <w:noWrap/>
            <w:vAlign w:val="center"/>
            <w:hideMark/>
          </w:tcPr>
          <w:p w14:paraId="5455B6B2"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SSP245</w:t>
            </w:r>
          </w:p>
        </w:tc>
        <w:tc>
          <w:tcPr>
            <w:tcW w:w="3933" w:type="dxa"/>
            <w:gridSpan w:val="2"/>
            <w:tcBorders>
              <w:top w:val="single" w:sz="4" w:space="0" w:color="auto"/>
              <w:left w:val="nil"/>
              <w:bottom w:val="single" w:sz="4" w:space="0" w:color="auto"/>
              <w:right w:val="nil"/>
            </w:tcBorders>
            <w:shd w:val="clear" w:color="auto" w:fill="auto"/>
            <w:noWrap/>
            <w:vAlign w:val="center"/>
            <w:hideMark/>
          </w:tcPr>
          <w:p w14:paraId="774E9B22"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SSP585</w:t>
            </w:r>
          </w:p>
        </w:tc>
      </w:tr>
      <w:tr w:rsidR="00344027" w:rsidRPr="00344027" w14:paraId="49F086A6" w14:textId="77777777" w:rsidTr="00672286">
        <w:trPr>
          <w:trHeight w:val="323"/>
        </w:trPr>
        <w:tc>
          <w:tcPr>
            <w:tcW w:w="2259" w:type="dxa"/>
            <w:vMerge/>
            <w:tcBorders>
              <w:top w:val="single" w:sz="4" w:space="0" w:color="auto"/>
              <w:left w:val="nil"/>
              <w:bottom w:val="single" w:sz="4" w:space="0" w:color="000000"/>
              <w:right w:val="nil"/>
            </w:tcBorders>
            <w:vAlign w:val="center"/>
            <w:hideMark/>
          </w:tcPr>
          <w:p w14:paraId="7AE43EE6" w14:textId="77777777" w:rsidR="00344027" w:rsidRPr="00344027" w:rsidRDefault="00344027" w:rsidP="00672286">
            <w:pPr>
              <w:rPr>
                <w:rFonts w:cstheme="minorHAnsi"/>
                <w:b/>
                <w:bCs/>
                <w:color w:val="000000"/>
                <w:sz w:val="22"/>
                <w:szCs w:val="22"/>
              </w:rPr>
            </w:pPr>
          </w:p>
        </w:tc>
        <w:tc>
          <w:tcPr>
            <w:tcW w:w="1796" w:type="dxa"/>
            <w:vMerge/>
            <w:tcBorders>
              <w:top w:val="single" w:sz="4" w:space="0" w:color="auto"/>
              <w:left w:val="nil"/>
              <w:bottom w:val="single" w:sz="4" w:space="0" w:color="000000"/>
              <w:right w:val="nil"/>
            </w:tcBorders>
            <w:vAlign w:val="center"/>
            <w:hideMark/>
          </w:tcPr>
          <w:p w14:paraId="214DF0A6" w14:textId="77777777" w:rsidR="00344027" w:rsidRPr="00344027" w:rsidRDefault="00344027" w:rsidP="00672286">
            <w:pPr>
              <w:rPr>
                <w:rFonts w:cstheme="minorHAnsi"/>
                <w:b/>
                <w:bCs/>
                <w:color w:val="000000"/>
                <w:sz w:val="22"/>
                <w:szCs w:val="22"/>
              </w:rPr>
            </w:pPr>
          </w:p>
        </w:tc>
        <w:tc>
          <w:tcPr>
            <w:tcW w:w="1349" w:type="dxa"/>
            <w:vMerge/>
            <w:tcBorders>
              <w:top w:val="single" w:sz="4" w:space="0" w:color="auto"/>
              <w:left w:val="nil"/>
              <w:bottom w:val="single" w:sz="4" w:space="0" w:color="000000"/>
              <w:right w:val="nil"/>
            </w:tcBorders>
            <w:vAlign w:val="center"/>
            <w:hideMark/>
          </w:tcPr>
          <w:p w14:paraId="4615C3C8" w14:textId="77777777" w:rsidR="00344027" w:rsidRPr="00344027" w:rsidRDefault="00344027" w:rsidP="00672286">
            <w:pPr>
              <w:rPr>
                <w:rFonts w:cstheme="minorHAnsi"/>
                <w:b/>
                <w:bCs/>
                <w:color w:val="000000"/>
                <w:sz w:val="22"/>
                <w:szCs w:val="22"/>
              </w:rPr>
            </w:pPr>
          </w:p>
        </w:tc>
        <w:tc>
          <w:tcPr>
            <w:tcW w:w="1573" w:type="dxa"/>
            <w:vMerge/>
            <w:tcBorders>
              <w:top w:val="single" w:sz="4" w:space="0" w:color="auto"/>
              <w:left w:val="nil"/>
              <w:bottom w:val="single" w:sz="4" w:space="0" w:color="000000"/>
              <w:right w:val="nil"/>
            </w:tcBorders>
            <w:vAlign w:val="center"/>
            <w:hideMark/>
          </w:tcPr>
          <w:p w14:paraId="4C04A154" w14:textId="77777777" w:rsidR="00344027" w:rsidRPr="00344027" w:rsidRDefault="00344027" w:rsidP="00672286">
            <w:pPr>
              <w:rPr>
                <w:rFonts w:cstheme="minorHAnsi"/>
                <w:b/>
                <w:bCs/>
                <w:color w:val="000000"/>
                <w:sz w:val="22"/>
                <w:szCs w:val="22"/>
              </w:rPr>
            </w:pPr>
          </w:p>
        </w:tc>
        <w:tc>
          <w:tcPr>
            <w:tcW w:w="2133" w:type="dxa"/>
            <w:tcBorders>
              <w:top w:val="nil"/>
              <w:left w:val="nil"/>
              <w:bottom w:val="single" w:sz="4" w:space="0" w:color="auto"/>
              <w:right w:val="nil"/>
            </w:tcBorders>
            <w:shd w:val="clear" w:color="auto" w:fill="auto"/>
            <w:vAlign w:val="center"/>
            <w:hideMark/>
          </w:tcPr>
          <w:p w14:paraId="68ADECE7"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Potential Total Stock Change (</w:t>
            </w:r>
            <w:proofErr w:type="spellStart"/>
            <w:r w:rsidRPr="00344027">
              <w:rPr>
                <w:rFonts w:cstheme="minorHAnsi"/>
                <w:b/>
                <w:bCs/>
                <w:color w:val="000000"/>
                <w:sz w:val="22"/>
                <w:szCs w:val="22"/>
              </w:rPr>
              <w:t>Tg</w:t>
            </w:r>
            <w:proofErr w:type="spellEnd"/>
            <w:r w:rsidRPr="00344027">
              <w:rPr>
                <w:rFonts w:cstheme="minorHAnsi"/>
                <w:b/>
                <w:bCs/>
                <w:color w:val="000000"/>
                <w:sz w:val="22"/>
                <w:szCs w:val="22"/>
              </w:rPr>
              <w:t xml:space="preserve"> C)</w:t>
            </w:r>
          </w:p>
        </w:tc>
        <w:tc>
          <w:tcPr>
            <w:tcW w:w="1575" w:type="dxa"/>
            <w:tcBorders>
              <w:top w:val="nil"/>
              <w:left w:val="nil"/>
              <w:bottom w:val="single" w:sz="4" w:space="0" w:color="auto"/>
              <w:right w:val="nil"/>
            </w:tcBorders>
            <w:shd w:val="clear" w:color="auto" w:fill="auto"/>
            <w:vAlign w:val="center"/>
            <w:hideMark/>
          </w:tcPr>
          <w:p w14:paraId="73664E81"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 xml:space="preserve">% </w:t>
            </w:r>
            <w:proofErr w:type="gramStart"/>
            <w:r w:rsidRPr="00344027">
              <w:rPr>
                <w:rFonts w:cstheme="minorHAnsi"/>
                <w:b/>
                <w:bCs/>
                <w:color w:val="000000"/>
                <w:sz w:val="22"/>
                <w:szCs w:val="22"/>
              </w:rPr>
              <w:t>of</w:t>
            </w:r>
            <w:proofErr w:type="gramEnd"/>
            <w:r w:rsidRPr="00344027">
              <w:rPr>
                <w:rFonts w:cstheme="minorHAnsi"/>
                <w:b/>
                <w:bCs/>
                <w:color w:val="000000"/>
                <w:sz w:val="22"/>
                <w:szCs w:val="22"/>
              </w:rPr>
              <w:t xml:space="preserve"> Total Country Change</w:t>
            </w:r>
          </w:p>
        </w:tc>
        <w:tc>
          <w:tcPr>
            <w:tcW w:w="1796" w:type="dxa"/>
            <w:tcBorders>
              <w:top w:val="nil"/>
              <w:left w:val="nil"/>
              <w:bottom w:val="single" w:sz="4" w:space="0" w:color="auto"/>
              <w:right w:val="nil"/>
            </w:tcBorders>
            <w:shd w:val="clear" w:color="auto" w:fill="auto"/>
            <w:vAlign w:val="center"/>
            <w:hideMark/>
          </w:tcPr>
          <w:p w14:paraId="36DE9CFB"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Potential Total Stock Change (</w:t>
            </w:r>
            <w:proofErr w:type="spellStart"/>
            <w:r w:rsidRPr="00344027">
              <w:rPr>
                <w:rFonts w:cstheme="minorHAnsi"/>
                <w:b/>
                <w:bCs/>
                <w:color w:val="000000"/>
                <w:sz w:val="22"/>
                <w:szCs w:val="22"/>
              </w:rPr>
              <w:t>Tg</w:t>
            </w:r>
            <w:proofErr w:type="spellEnd"/>
            <w:r w:rsidRPr="00344027">
              <w:rPr>
                <w:rFonts w:cstheme="minorHAnsi"/>
                <w:b/>
                <w:bCs/>
                <w:color w:val="000000"/>
                <w:sz w:val="22"/>
                <w:szCs w:val="22"/>
              </w:rPr>
              <w:t xml:space="preserve"> C)</w:t>
            </w:r>
          </w:p>
        </w:tc>
        <w:tc>
          <w:tcPr>
            <w:tcW w:w="2137" w:type="dxa"/>
            <w:tcBorders>
              <w:top w:val="nil"/>
              <w:left w:val="nil"/>
              <w:bottom w:val="single" w:sz="4" w:space="0" w:color="auto"/>
              <w:right w:val="nil"/>
            </w:tcBorders>
            <w:shd w:val="clear" w:color="auto" w:fill="auto"/>
            <w:vAlign w:val="center"/>
            <w:hideMark/>
          </w:tcPr>
          <w:p w14:paraId="1539153D"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 xml:space="preserve">% </w:t>
            </w:r>
            <w:proofErr w:type="gramStart"/>
            <w:r w:rsidRPr="00344027">
              <w:rPr>
                <w:rFonts w:cstheme="minorHAnsi"/>
                <w:b/>
                <w:bCs/>
                <w:color w:val="000000"/>
                <w:sz w:val="22"/>
                <w:szCs w:val="22"/>
              </w:rPr>
              <w:t>of</w:t>
            </w:r>
            <w:proofErr w:type="gramEnd"/>
            <w:r w:rsidRPr="00344027">
              <w:rPr>
                <w:rFonts w:cstheme="minorHAnsi"/>
                <w:b/>
                <w:bCs/>
                <w:color w:val="000000"/>
                <w:sz w:val="22"/>
                <w:szCs w:val="22"/>
              </w:rPr>
              <w:t xml:space="preserve"> Total Country Change</w:t>
            </w:r>
          </w:p>
        </w:tc>
      </w:tr>
      <w:tr w:rsidR="00344027" w:rsidRPr="00344027" w14:paraId="35F9612B" w14:textId="77777777" w:rsidTr="00672286">
        <w:trPr>
          <w:trHeight w:val="161"/>
        </w:trPr>
        <w:tc>
          <w:tcPr>
            <w:tcW w:w="2259" w:type="dxa"/>
            <w:tcBorders>
              <w:top w:val="nil"/>
              <w:left w:val="nil"/>
              <w:bottom w:val="nil"/>
              <w:right w:val="nil"/>
            </w:tcBorders>
            <w:shd w:val="clear" w:color="auto" w:fill="auto"/>
            <w:noWrap/>
            <w:vAlign w:val="center"/>
            <w:hideMark/>
          </w:tcPr>
          <w:p w14:paraId="2B6A5EB4"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Indonesia</w:t>
            </w:r>
          </w:p>
        </w:tc>
        <w:tc>
          <w:tcPr>
            <w:tcW w:w="1796" w:type="dxa"/>
            <w:tcBorders>
              <w:top w:val="nil"/>
              <w:left w:val="nil"/>
              <w:bottom w:val="nil"/>
              <w:right w:val="nil"/>
            </w:tcBorders>
            <w:shd w:val="clear" w:color="auto" w:fill="auto"/>
            <w:noWrap/>
            <w:vAlign w:val="center"/>
            <w:hideMark/>
          </w:tcPr>
          <w:p w14:paraId="2ABFF569"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1099.24 ± 103.77</w:t>
            </w:r>
          </w:p>
        </w:tc>
        <w:tc>
          <w:tcPr>
            <w:tcW w:w="1349" w:type="dxa"/>
            <w:tcBorders>
              <w:top w:val="nil"/>
              <w:left w:val="nil"/>
              <w:bottom w:val="nil"/>
              <w:right w:val="nil"/>
            </w:tcBorders>
            <w:shd w:val="clear" w:color="auto" w:fill="auto"/>
            <w:noWrap/>
            <w:vAlign w:val="center"/>
            <w:hideMark/>
          </w:tcPr>
          <w:p w14:paraId="213684B4"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24.27 ± 0.61</w:t>
            </w:r>
          </w:p>
        </w:tc>
        <w:tc>
          <w:tcPr>
            <w:tcW w:w="1573" w:type="dxa"/>
            <w:tcBorders>
              <w:top w:val="nil"/>
              <w:left w:val="nil"/>
              <w:bottom w:val="nil"/>
              <w:right w:val="nil"/>
            </w:tcBorders>
            <w:shd w:val="clear" w:color="auto" w:fill="auto"/>
            <w:noWrap/>
            <w:vAlign w:val="center"/>
            <w:hideMark/>
          </w:tcPr>
          <w:p w14:paraId="438DB2C6"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24.27 ± 0.61</w:t>
            </w:r>
          </w:p>
        </w:tc>
        <w:tc>
          <w:tcPr>
            <w:tcW w:w="2133" w:type="dxa"/>
            <w:tcBorders>
              <w:top w:val="nil"/>
              <w:left w:val="nil"/>
              <w:bottom w:val="nil"/>
              <w:right w:val="nil"/>
            </w:tcBorders>
            <w:shd w:val="clear" w:color="auto" w:fill="auto"/>
            <w:noWrap/>
            <w:vAlign w:val="center"/>
            <w:hideMark/>
          </w:tcPr>
          <w:p w14:paraId="2E10376A"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123.67 ± 80.57</w:t>
            </w:r>
          </w:p>
        </w:tc>
        <w:tc>
          <w:tcPr>
            <w:tcW w:w="1575" w:type="dxa"/>
            <w:tcBorders>
              <w:top w:val="nil"/>
              <w:left w:val="nil"/>
              <w:bottom w:val="nil"/>
              <w:right w:val="nil"/>
            </w:tcBorders>
            <w:shd w:val="clear" w:color="auto" w:fill="auto"/>
            <w:noWrap/>
            <w:vAlign w:val="center"/>
            <w:hideMark/>
          </w:tcPr>
          <w:p w14:paraId="3F2A9D0C"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11.25 ± 7.33</w:t>
            </w:r>
          </w:p>
        </w:tc>
        <w:tc>
          <w:tcPr>
            <w:tcW w:w="1796" w:type="dxa"/>
            <w:tcBorders>
              <w:top w:val="nil"/>
              <w:left w:val="nil"/>
              <w:bottom w:val="nil"/>
              <w:right w:val="nil"/>
            </w:tcBorders>
            <w:shd w:val="clear" w:color="auto" w:fill="auto"/>
            <w:noWrap/>
            <w:vAlign w:val="center"/>
            <w:hideMark/>
          </w:tcPr>
          <w:p w14:paraId="60D7B065"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119.76 ± 84.06</w:t>
            </w:r>
          </w:p>
        </w:tc>
        <w:tc>
          <w:tcPr>
            <w:tcW w:w="2137" w:type="dxa"/>
            <w:tcBorders>
              <w:top w:val="nil"/>
              <w:left w:val="nil"/>
              <w:bottom w:val="nil"/>
              <w:right w:val="nil"/>
            </w:tcBorders>
            <w:shd w:val="clear" w:color="auto" w:fill="auto"/>
            <w:noWrap/>
            <w:vAlign w:val="center"/>
            <w:hideMark/>
          </w:tcPr>
          <w:p w14:paraId="4D970721"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10.89 ± 7.65</w:t>
            </w:r>
          </w:p>
        </w:tc>
      </w:tr>
      <w:tr w:rsidR="00344027" w:rsidRPr="00344027" w14:paraId="7DA78B1C" w14:textId="77777777" w:rsidTr="00672286">
        <w:trPr>
          <w:trHeight w:val="161"/>
        </w:trPr>
        <w:tc>
          <w:tcPr>
            <w:tcW w:w="2259" w:type="dxa"/>
            <w:tcBorders>
              <w:top w:val="nil"/>
              <w:left w:val="nil"/>
              <w:bottom w:val="nil"/>
              <w:right w:val="nil"/>
            </w:tcBorders>
            <w:shd w:val="clear" w:color="auto" w:fill="auto"/>
            <w:noWrap/>
            <w:vAlign w:val="center"/>
            <w:hideMark/>
          </w:tcPr>
          <w:p w14:paraId="3B1182D7"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Australia</w:t>
            </w:r>
          </w:p>
        </w:tc>
        <w:tc>
          <w:tcPr>
            <w:tcW w:w="1796" w:type="dxa"/>
            <w:tcBorders>
              <w:top w:val="nil"/>
              <w:left w:val="nil"/>
              <w:bottom w:val="nil"/>
              <w:right w:val="nil"/>
            </w:tcBorders>
            <w:shd w:val="clear" w:color="auto" w:fill="auto"/>
            <w:noWrap/>
            <w:vAlign w:val="center"/>
            <w:hideMark/>
          </w:tcPr>
          <w:p w14:paraId="29D5523D"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406.78 ± 56.65</w:t>
            </w:r>
          </w:p>
        </w:tc>
        <w:tc>
          <w:tcPr>
            <w:tcW w:w="1349" w:type="dxa"/>
            <w:tcBorders>
              <w:top w:val="nil"/>
              <w:left w:val="nil"/>
              <w:bottom w:val="nil"/>
              <w:right w:val="nil"/>
            </w:tcBorders>
            <w:shd w:val="clear" w:color="auto" w:fill="auto"/>
            <w:noWrap/>
            <w:vAlign w:val="center"/>
            <w:hideMark/>
          </w:tcPr>
          <w:p w14:paraId="77C0C9B8"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8.93 ± 0.18</w:t>
            </w:r>
          </w:p>
        </w:tc>
        <w:tc>
          <w:tcPr>
            <w:tcW w:w="1573" w:type="dxa"/>
            <w:tcBorders>
              <w:top w:val="nil"/>
              <w:left w:val="nil"/>
              <w:bottom w:val="nil"/>
              <w:right w:val="nil"/>
            </w:tcBorders>
            <w:shd w:val="clear" w:color="auto" w:fill="auto"/>
            <w:noWrap/>
            <w:vAlign w:val="center"/>
            <w:hideMark/>
          </w:tcPr>
          <w:p w14:paraId="3A0796B3"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33.20 ± 1.04</w:t>
            </w:r>
          </w:p>
        </w:tc>
        <w:tc>
          <w:tcPr>
            <w:tcW w:w="2133" w:type="dxa"/>
            <w:tcBorders>
              <w:top w:val="nil"/>
              <w:left w:val="nil"/>
              <w:bottom w:val="nil"/>
              <w:right w:val="nil"/>
            </w:tcBorders>
            <w:shd w:val="clear" w:color="auto" w:fill="auto"/>
            <w:noWrap/>
            <w:vAlign w:val="center"/>
            <w:hideMark/>
          </w:tcPr>
          <w:p w14:paraId="502D186F"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28.31 ± 43.72*</w:t>
            </w:r>
          </w:p>
        </w:tc>
        <w:tc>
          <w:tcPr>
            <w:tcW w:w="1575" w:type="dxa"/>
            <w:tcBorders>
              <w:top w:val="nil"/>
              <w:left w:val="nil"/>
              <w:bottom w:val="nil"/>
              <w:right w:val="nil"/>
            </w:tcBorders>
            <w:shd w:val="clear" w:color="auto" w:fill="auto"/>
            <w:noWrap/>
            <w:vAlign w:val="center"/>
            <w:hideMark/>
          </w:tcPr>
          <w:p w14:paraId="6D0F3822"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6.96 ± 10.75</w:t>
            </w:r>
          </w:p>
        </w:tc>
        <w:tc>
          <w:tcPr>
            <w:tcW w:w="1796" w:type="dxa"/>
            <w:tcBorders>
              <w:top w:val="nil"/>
              <w:left w:val="nil"/>
              <w:bottom w:val="nil"/>
              <w:right w:val="nil"/>
            </w:tcBorders>
            <w:shd w:val="clear" w:color="auto" w:fill="auto"/>
            <w:noWrap/>
            <w:vAlign w:val="center"/>
            <w:hideMark/>
          </w:tcPr>
          <w:p w14:paraId="7BE95A12"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41.61 ± 47.65*</w:t>
            </w:r>
          </w:p>
        </w:tc>
        <w:tc>
          <w:tcPr>
            <w:tcW w:w="2137" w:type="dxa"/>
            <w:tcBorders>
              <w:top w:val="nil"/>
              <w:left w:val="nil"/>
              <w:bottom w:val="nil"/>
              <w:right w:val="nil"/>
            </w:tcBorders>
            <w:shd w:val="clear" w:color="auto" w:fill="auto"/>
            <w:noWrap/>
            <w:vAlign w:val="center"/>
            <w:hideMark/>
          </w:tcPr>
          <w:p w14:paraId="42317021"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10.23 ± 11.71</w:t>
            </w:r>
          </w:p>
        </w:tc>
      </w:tr>
      <w:tr w:rsidR="00344027" w:rsidRPr="00344027" w14:paraId="4741D253" w14:textId="77777777" w:rsidTr="00672286">
        <w:trPr>
          <w:trHeight w:val="161"/>
        </w:trPr>
        <w:tc>
          <w:tcPr>
            <w:tcW w:w="2259" w:type="dxa"/>
            <w:tcBorders>
              <w:top w:val="nil"/>
              <w:left w:val="nil"/>
              <w:bottom w:val="nil"/>
              <w:right w:val="nil"/>
            </w:tcBorders>
            <w:shd w:val="clear" w:color="auto" w:fill="auto"/>
            <w:noWrap/>
            <w:vAlign w:val="center"/>
            <w:hideMark/>
          </w:tcPr>
          <w:p w14:paraId="1F90AB4F"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Philippines</w:t>
            </w:r>
          </w:p>
        </w:tc>
        <w:tc>
          <w:tcPr>
            <w:tcW w:w="1796" w:type="dxa"/>
            <w:tcBorders>
              <w:top w:val="nil"/>
              <w:left w:val="nil"/>
              <w:bottom w:val="nil"/>
              <w:right w:val="nil"/>
            </w:tcBorders>
            <w:shd w:val="clear" w:color="auto" w:fill="auto"/>
            <w:noWrap/>
            <w:vAlign w:val="center"/>
            <w:hideMark/>
          </w:tcPr>
          <w:p w14:paraId="0C08AC2D"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325.13 ± 30.13</w:t>
            </w:r>
          </w:p>
        </w:tc>
        <w:tc>
          <w:tcPr>
            <w:tcW w:w="1349" w:type="dxa"/>
            <w:tcBorders>
              <w:top w:val="nil"/>
              <w:left w:val="nil"/>
              <w:bottom w:val="nil"/>
              <w:right w:val="nil"/>
            </w:tcBorders>
            <w:shd w:val="clear" w:color="auto" w:fill="auto"/>
            <w:noWrap/>
            <w:vAlign w:val="center"/>
            <w:hideMark/>
          </w:tcPr>
          <w:p w14:paraId="43C1EFD9"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7.18 ± 0.19</w:t>
            </w:r>
          </w:p>
        </w:tc>
        <w:tc>
          <w:tcPr>
            <w:tcW w:w="1573" w:type="dxa"/>
            <w:tcBorders>
              <w:top w:val="nil"/>
              <w:left w:val="nil"/>
              <w:bottom w:val="nil"/>
              <w:right w:val="nil"/>
            </w:tcBorders>
            <w:shd w:val="clear" w:color="auto" w:fill="auto"/>
            <w:noWrap/>
            <w:vAlign w:val="center"/>
            <w:hideMark/>
          </w:tcPr>
          <w:p w14:paraId="021B25D6"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40.38 ± 1.66</w:t>
            </w:r>
          </w:p>
        </w:tc>
        <w:tc>
          <w:tcPr>
            <w:tcW w:w="2133" w:type="dxa"/>
            <w:tcBorders>
              <w:top w:val="nil"/>
              <w:left w:val="nil"/>
              <w:bottom w:val="nil"/>
              <w:right w:val="nil"/>
            </w:tcBorders>
            <w:shd w:val="clear" w:color="auto" w:fill="auto"/>
            <w:noWrap/>
            <w:vAlign w:val="center"/>
            <w:hideMark/>
          </w:tcPr>
          <w:p w14:paraId="66873996"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18.72 ± 22.41*</w:t>
            </w:r>
          </w:p>
        </w:tc>
        <w:tc>
          <w:tcPr>
            <w:tcW w:w="1575" w:type="dxa"/>
            <w:tcBorders>
              <w:top w:val="nil"/>
              <w:left w:val="nil"/>
              <w:bottom w:val="nil"/>
              <w:right w:val="nil"/>
            </w:tcBorders>
            <w:shd w:val="clear" w:color="auto" w:fill="auto"/>
            <w:noWrap/>
            <w:vAlign w:val="center"/>
            <w:hideMark/>
          </w:tcPr>
          <w:p w14:paraId="6CB92E32"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5.76 ± 6.89</w:t>
            </w:r>
          </w:p>
        </w:tc>
        <w:tc>
          <w:tcPr>
            <w:tcW w:w="1796" w:type="dxa"/>
            <w:tcBorders>
              <w:top w:val="nil"/>
              <w:left w:val="nil"/>
              <w:bottom w:val="nil"/>
              <w:right w:val="nil"/>
            </w:tcBorders>
            <w:shd w:val="clear" w:color="auto" w:fill="auto"/>
            <w:noWrap/>
            <w:vAlign w:val="center"/>
            <w:hideMark/>
          </w:tcPr>
          <w:p w14:paraId="172E2AEE"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21.84 ± 24.36*</w:t>
            </w:r>
          </w:p>
        </w:tc>
        <w:tc>
          <w:tcPr>
            <w:tcW w:w="2137" w:type="dxa"/>
            <w:tcBorders>
              <w:top w:val="nil"/>
              <w:left w:val="nil"/>
              <w:bottom w:val="nil"/>
              <w:right w:val="nil"/>
            </w:tcBorders>
            <w:shd w:val="clear" w:color="auto" w:fill="auto"/>
            <w:noWrap/>
            <w:vAlign w:val="center"/>
            <w:hideMark/>
          </w:tcPr>
          <w:p w14:paraId="61319C30"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6.72 ± 7.49</w:t>
            </w:r>
          </w:p>
        </w:tc>
      </w:tr>
      <w:tr w:rsidR="00344027" w:rsidRPr="00344027" w14:paraId="7BAD94DF" w14:textId="77777777" w:rsidTr="00672286">
        <w:trPr>
          <w:trHeight w:val="161"/>
        </w:trPr>
        <w:tc>
          <w:tcPr>
            <w:tcW w:w="2259" w:type="dxa"/>
            <w:tcBorders>
              <w:top w:val="nil"/>
              <w:left w:val="nil"/>
              <w:bottom w:val="nil"/>
              <w:right w:val="nil"/>
            </w:tcBorders>
            <w:shd w:val="clear" w:color="auto" w:fill="auto"/>
            <w:noWrap/>
            <w:vAlign w:val="center"/>
            <w:hideMark/>
          </w:tcPr>
          <w:p w14:paraId="432EA1C7"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Brazil</w:t>
            </w:r>
          </w:p>
        </w:tc>
        <w:tc>
          <w:tcPr>
            <w:tcW w:w="1796" w:type="dxa"/>
            <w:tcBorders>
              <w:top w:val="nil"/>
              <w:left w:val="nil"/>
              <w:bottom w:val="nil"/>
              <w:right w:val="nil"/>
            </w:tcBorders>
            <w:shd w:val="clear" w:color="auto" w:fill="auto"/>
            <w:noWrap/>
            <w:vAlign w:val="center"/>
            <w:hideMark/>
          </w:tcPr>
          <w:p w14:paraId="6F013126"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265.59 ± 32.94</w:t>
            </w:r>
          </w:p>
        </w:tc>
        <w:tc>
          <w:tcPr>
            <w:tcW w:w="1349" w:type="dxa"/>
            <w:tcBorders>
              <w:top w:val="nil"/>
              <w:left w:val="nil"/>
              <w:bottom w:val="nil"/>
              <w:right w:val="nil"/>
            </w:tcBorders>
            <w:shd w:val="clear" w:color="auto" w:fill="auto"/>
            <w:noWrap/>
            <w:vAlign w:val="center"/>
            <w:hideMark/>
          </w:tcPr>
          <w:p w14:paraId="1BC76130"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5.84 ± 0.03</w:t>
            </w:r>
          </w:p>
        </w:tc>
        <w:tc>
          <w:tcPr>
            <w:tcW w:w="1573" w:type="dxa"/>
            <w:tcBorders>
              <w:top w:val="nil"/>
              <w:left w:val="nil"/>
              <w:bottom w:val="nil"/>
              <w:right w:val="nil"/>
            </w:tcBorders>
            <w:shd w:val="clear" w:color="auto" w:fill="auto"/>
            <w:noWrap/>
            <w:vAlign w:val="center"/>
            <w:hideMark/>
          </w:tcPr>
          <w:p w14:paraId="4AE834F2"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46.22 ± 2.25</w:t>
            </w:r>
          </w:p>
        </w:tc>
        <w:tc>
          <w:tcPr>
            <w:tcW w:w="2133" w:type="dxa"/>
            <w:tcBorders>
              <w:top w:val="nil"/>
              <w:left w:val="nil"/>
              <w:bottom w:val="nil"/>
              <w:right w:val="nil"/>
            </w:tcBorders>
            <w:shd w:val="clear" w:color="auto" w:fill="auto"/>
            <w:noWrap/>
            <w:vAlign w:val="center"/>
            <w:hideMark/>
          </w:tcPr>
          <w:p w14:paraId="4943FED5"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11.36 ± 23.72*</w:t>
            </w:r>
          </w:p>
        </w:tc>
        <w:tc>
          <w:tcPr>
            <w:tcW w:w="1575" w:type="dxa"/>
            <w:tcBorders>
              <w:top w:val="nil"/>
              <w:left w:val="nil"/>
              <w:bottom w:val="nil"/>
              <w:right w:val="nil"/>
            </w:tcBorders>
            <w:shd w:val="clear" w:color="auto" w:fill="auto"/>
            <w:noWrap/>
            <w:vAlign w:val="center"/>
            <w:hideMark/>
          </w:tcPr>
          <w:p w14:paraId="5093FFD4"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4.28 ± 8.93</w:t>
            </w:r>
          </w:p>
        </w:tc>
        <w:tc>
          <w:tcPr>
            <w:tcW w:w="1796" w:type="dxa"/>
            <w:tcBorders>
              <w:top w:val="nil"/>
              <w:left w:val="nil"/>
              <w:bottom w:val="nil"/>
              <w:right w:val="nil"/>
            </w:tcBorders>
            <w:shd w:val="clear" w:color="auto" w:fill="auto"/>
            <w:noWrap/>
            <w:vAlign w:val="center"/>
            <w:hideMark/>
          </w:tcPr>
          <w:p w14:paraId="58CA48AC"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8.64 ± 24.24*</w:t>
            </w:r>
          </w:p>
        </w:tc>
        <w:tc>
          <w:tcPr>
            <w:tcW w:w="2137" w:type="dxa"/>
            <w:tcBorders>
              <w:top w:val="nil"/>
              <w:left w:val="nil"/>
              <w:bottom w:val="nil"/>
              <w:right w:val="nil"/>
            </w:tcBorders>
            <w:shd w:val="clear" w:color="auto" w:fill="auto"/>
            <w:noWrap/>
            <w:vAlign w:val="center"/>
            <w:hideMark/>
          </w:tcPr>
          <w:p w14:paraId="6352D476"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3.25 ± 9.13</w:t>
            </w:r>
          </w:p>
        </w:tc>
      </w:tr>
      <w:tr w:rsidR="00344027" w:rsidRPr="00344027" w14:paraId="0D943DCD" w14:textId="77777777" w:rsidTr="00672286">
        <w:trPr>
          <w:trHeight w:val="161"/>
        </w:trPr>
        <w:tc>
          <w:tcPr>
            <w:tcW w:w="2259" w:type="dxa"/>
            <w:tcBorders>
              <w:top w:val="nil"/>
              <w:left w:val="nil"/>
              <w:bottom w:val="nil"/>
              <w:right w:val="nil"/>
            </w:tcBorders>
            <w:shd w:val="clear" w:color="auto" w:fill="auto"/>
            <w:noWrap/>
            <w:vAlign w:val="center"/>
            <w:hideMark/>
          </w:tcPr>
          <w:p w14:paraId="4D351F54"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Mexico</w:t>
            </w:r>
          </w:p>
        </w:tc>
        <w:tc>
          <w:tcPr>
            <w:tcW w:w="1796" w:type="dxa"/>
            <w:tcBorders>
              <w:top w:val="nil"/>
              <w:left w:val="nil"/>
              <w:bottom w:val="nil"/>
              <w:right w:val="nil"/>
            </w:tcBorders>
            <w:shd w:val="clear" w:color="auto" w:fill="auto"/>
            <w:noWrap/>
            <w:vAlign w:val="center"/>
            <w:hideMark/>
          </w:tcPr>
          <w:p w14:paraId="09FFBE26"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174.14 ± 26.21</w:t>
            </w:r>
          </w:p>
        </w:tc>
        <w:tc>
          <w:tcPr>
            <w:tcW w:w="1349" w:type="dxa"/>
            <w:tcBorders>
              <w:top w:val="nil"/>
              <w:left w:val="nil"/>
              <w:bottom w:val="nil"/>
              <w:right w:val="nil"/>
            </w:tcBorders>
            <w:shd w:val="clear" w:color="auto" w:fill="auto"/>
            <w:noWrap/>
            <w:vAlign w:val="center"/>
            <w:hideMark/>
          </w:tcPr>
          <w:p w14:paraId="332E691C"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3.82 ± 0.12</w:t>
            </w:r>
          </w:p>
        </w:tc>
        <w:tc>
          <w:tcPr>
            <w:tcW w:w="1573" w:type="dxa"/>
            <w:tcBorders>
              <w:top w:val="nil"/>
              <w:left w:val="nil"/>
              <w:bottom w:val="nil"/>
              <w:right w:val="nil"/>
            </w:tcBorders>
            <w:shd w:val="clear" w:color="auto" w:fill="auto"/>
            <w:noWrap/>
            <w:vAlign w:val="center"/>
            <w:hideMark/>
          </w:tcPr>
          <w:p w14:paraId="16831E95"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50.04 ± 2.72</w:t>
            </w:r>
          </w:p>
        </w:tc>
        <w:tc>
          <w:tcPr>
            <w:tcW w:w="2133" w:type="dxa"/>
            <w:tcBorders>
              <w:top w:val="nil"/>
              <w:left w:val="nil"/>
              <w:bottom w:val="nil"/>
              <w:right w:val="nil"/>
            </w:tcBorders>
            <w:shd w:val="clear" w:color="auto" w:fill="auto"/>
            <w:noWrap/>
            <w:vAlign w:val="center"/>
            <w:hideMark/>
          </w:tcPr>
          <w:p w14:paraId="3F38F194"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8.83 ± 18.63*</w:t>
            </w:r>
          </w:p>
        </w:tc>
        <w:tc>
          <w:tcPr>
            <w:tcW w:w="1575" w:type="dxa"/>
            <w:tcBorders>
              <w:top w:val="nil"/>
              <w:left w:val="nil"/>
              <w:bottom w:val="nil"/>
              <w:right w:val="nil"/>
            </w:tcBorders>
            <w:shd w:val="clear" w:color="auto" w:fill="auto"/>
            <w:noWrap/>
            <w:vAlign w:val="center"/>
            <w:hideMark/>
          </w:tcPr>
          <w:p w14:paraId="06987E21"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5.07 ± 10.70</w:t>
            </w:r>
          </w:p>
        </w:tc>
        <w:tc>
          <w:tcPr>
            <w:tcW w:w="1796" w:type="dxa"/>
            <w:tcBorders>
              <w:top w:val="nil"/>
              <w:left w:val="nil"/>
              <w:bottom w:val="nil"/>
              <w:right w:val="nil"/>
            </w:tcBorders>
            <w:shd w:val="clear" w:color="auto" w:fill="auto"/>
            <w:noWrap/>
            <w:vAlign w:val="center"/>
            <w:hideMark/>
          </w:tcPr>
          <w:p w14:paraId="232B76C8"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10.70 ± 20.45*</w:t>
            </w:r>
          </w:p>
        </w:tc>
        <w:tc>
          <w:tcPr>
            <w:tcW w:w="2137" w:type="dxa"/>
            <w:tcBorders>
              <w:top w:val="nil"/>
              <w:left w:val="nil"/>
              <w:bottom w:val="nil"/>
              <w:right w:val="nil"/>
            </w:tcBorders>
            <w:shd w:val="clear" w:color="auto" w:fill="auto"/>
            <w:noWrap/>
            <w:vAlign w:val="center"/>
            <w:hideMark/>
          </w:tcPr>
          <w:p w14:paraId="55789260"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6.15 ± 11.75</w:t>
            </w:r>
          </w:p>
        </w:tc>
      </w:tr>
      <w:tr w:rsidR="00344027" w:rsidRPr="00344027" w14:paraId="00727776" w14:textId="77777777" w:rsidTr="00672286">
        <w:trPr>
          <w:trHeight w:val="161"/>
        </w:trPr>
        <w:tc>
          <w:tcPr>
            <w:tcW w:w="2259" w:type="dxa"/>
            <w:tcBorders>
              <w:top w:val="nil"/>
              <w:left w:val="nil"/>
              <w:bottom w:val="nil"/>
              <w:right w:val="nil"/>
            </w:tcBorders>
            <w:shd w:val="clear" w:color="auto" w:fill="auto"/>
            <w:noWrap/>
            <w:vAlign w:val="center"/>
            <w:hideMark/>
          </w:tcPr>
          <w:p w14:paraId="0B139B8C"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Malaysia</w:t>
            </w:r>
          </w:p>
        </w:tc>
        <w:tc>
          <w:tcPr>
            <w:tcW w:w="1796" w:type="dxa"/>
            <w:tcBorders>
              <w:top w:val="nil"/>
              <w:left w:val="nil"/>
              <w:bottom w:val="nil"/>
              <w:right w:val="nil"/>
            </w:tcBorders>
            <w:shd w:val="clear" w:color="auto" w:fill="auto"/>
            <w:noWrap/>
            <w:vAlign w:val="center"/>
            <w:hideMark/>
          </w:tcPr>
          <w:p w14:paraId="0A42F492"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170.47 ± 16.66</w:t>
            </w:r>
          </w:p>
        </w:tc>
        <w:tc>
          <w:tcPr>
            <w:tcW w:w="1349" w:type="dxa"/>
            <w:tcBorders>
              <w:top w:val="nil"/>
              <w:left w:val="nil"/>
              <w:bottom w:val="nil"/>
              <w:right w:val="nil"/>
            </w:tcBorders>
            <w:shd w:val="clear" w:color="auto" w:fill="auto"/>
            <w:noWrap/>
            <w:vAlign w:val="center"/>
            <w:hideMark/>
          </w:tcPr>
          <w:p w14:paraId="45AD4D0C"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3.76 ± 0.08</w:t>
            </w:r>
          </w:p>
        </w:tc>
        <w:tc>
          <w:tcPr>
            <w:tcW w:w="1573" w:type="dxa"/>
            <w:tcBorders>
              <w:top w:val="nil"/>
              <w:left w:val="nil"/>
              <w:bottom w:val="nil"/>
              <w:right w:val="nil"/>
            </w:tcBorders>
            <w:shd w:val="clear" w:color="auto" w:fill="auto"/>
            <w:noWrap/>
            <w:vAlign w:val="center"/>
            <w:hideMark/>
          </w:tcPr>
          <w:p w14:paraId="24718E31"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53.80 ± 3.27</w:t>
            </w:r>
          </w:p>
        </w:tc>
        <w:tc>
          <w:tcPr>
            <w:tcW w:w="2133" w:type="dxa"/>
            <w:tcBorders>
              <w:top w:val="nil"/>
              <w:left w:val="nil"/>
              <w:bottom w:val="nil"/>
              <w:right w:val="nil"/>
            </w:tcBorders>
            <w:shd w:val="clear" w:color="auto" w:fill="auto"/>
            <w:noWrap/>
            <w:vAlign w:val="center"/>
            <w:hideMark/>
          </w:tcPr>
          <w:p w14:paraId="3368B68F"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20.48 ± 12.54</w:t>
            </w:r>
          </w:p>
        </w:tc>
        <w:tc>
          <w:tcPr>
            <w:tcW w:w="1575" w:type="dxa"/>
            <w:tcBorders>
              <w:top w:val="nil"/>
              <w:left w:val="nil"/>
              <w:bottom w:val="nil"/>
              <w:right w:val="nil"/>
            </w:tcBorders>
            <w:shd w:val="clear" w:color="auto" w:fill="auto"/>
            <w:noWrap/>
            <w:vAlign w:val="center"/>
            <w:hideMark/>
          </w:tcPr>
          <w:p w14:paraId="53304DBC"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12.01 ± 7.35</w:t>
            </w:r>
          </w:p>
        </w:tc>
        <w:tc>
          <w:tcPr>
            <w:tcW w:w="1796" w:type="dxa"/>
            <w:tcBorders>
              <w:top w:val="nil"/>
              <w:left w:val="nil"/>
              <w:bottom w:val="nil"/>
              <w:right w:val="nil"/>
            </w:tcBorders>
            <w:shd w:val="clear" w:color="auto" w:fill="auto"/>
            <w:noWrap/>
            <w:vAlign w:val="center"/>
            <w:hideMark/>
          </w:tcPr>
          <w:p w14:paraId="7F231191"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18.61 ± 13.01</w:t>
            </w:r>
          </w:p>
        </w:tc>
        <w:tc>
          <w:tcPr>
            <w:tcW w:w="2137" w:type="dxa"/>
            <w:tcBorders>
              <w:top w:val="nil"/>
              <w:left w:val="nil"/>
              <w:bottom w:val="nil"/>
              <w:right w:val="nil"/>
            </w:tcBorders>
            <w:shd w:val="clear" w:color="auto" w:fill="auto"/>
            <w:noWrap/>
            <w:vAlign w:val="center"/>
            <w:hideMark/>
          </w:tcPr>
          <w:p w14:paraId="7F65D392"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10.92 ± 7.63</w:t>
            </w:r>
          </w:p>
        </w:tc>
      </w:tr>
      <w:tr w:rsidR="00344027" w:rsidRPr="00344027" w14:paraId="058A7DE4" w14:textId="77777777" w:rsidTr="00672286">
        <w:trPr>
          <w:trHeight w:val="161"/>
        </w:trPr>
        <w:tc>
          <w:tcPr>
            <w:tcW w:w="2259" w:type="dxa"/>
            <w:tcBorders>
              <w:top w:val="nil"/>
              <w:left w:val="nil"/>
              <w:bottom w:val="nil"/>
              <w:right w:val="nil"/>
            </w:tcBorders>
            <w:shd w:val="clear" w:color="auto" w:fill="auto"/>
            <w:noWrap/>
            <w:vAlign w:val="center"/>
            <w:hideMark/>
          </w:tcPr>
          <w:p w14:paraId="425DA13D"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Myanmar</w:t>
            </w:r>
          </w:p>
        </w:tc>
        <w:tc>
          <w:tcPr>
            <w:tcW w:w="1796" w:type="dxa"/>
            <w:tcBorders>
              <w:top w:val="nil"/>
              <w:left w:val="nil"/>
              <w:bottom w:val="nil"/>
              <w:right w:val="nil"/>
            </w:tcBorders>
            <w:shd w:val="clear" w:color="auto" w:fill="auto"/>
            <w:noWrap/>
            <w:vAlign w:val="center"/>
            <w:hideMark/>
          </w:tcPr>
          <w:p w14:paraId="1CFF83EB"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154.59 ± 33.68</w:t>
            </w:r>
          </w:p>
        </w:tc>
        <w:tc>
          <w:tcPr>
            <w:tcW w:w="1349" w:type="dxa"/>
            <w:tcBorders>
              <w:top w:val="nil"/>
              <w:left w:val="nil"/>
              <w:bottom w:val="nil"/>
              <w:right w:val="nil"/>
            </w:tcBorders>
            <w:shd w:val="clear" w:color="auto" w:fill="auto"/>
            <w:noWrap/>
            <w:vAlign w:val="center"/>
            <w:hideMark/>
          </w:tcPr>
          <w:p w14:paraId="11749CC0"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3.36 ± 0.34</w:t>
            </w:r>
          </w:p>
        </w:tc>
        <w:tc>
          <w:tcPr>
            <w:tcW w:w="1573" w:type="dxa"/>
            <w:tcBorders>
              <w:top w:val="nil"/>
              <w:left w:val="nil"/>
              <w:bottom w:val="nil"/>
              <w:right w:val="nil"/>
            </w:tcBorders>
            <w:shd w:val="clear" w:color="auto" w:fill="auto"/>
            <w:noWrap/>
            <w:vAlign w:val="center"/>
            <w:hideMark/>
          </w:tcPr>
          <w:p w14:paraId="41AE2513"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57.16 ± 3.48</w:t>
            </w:r>
          </w:p>
        </w:tc>
        <w:tc>
          <w:tcPr>
            <w:tcW w:w="2133" w:type="dxa"/>
            <w:tcBorders>
              <w:top w:val="nil"/>
              <w:left w:val="nil"/>
              <w:bottom w:val="nil"/>
              <w:right w:val="nil"/>
            </w:tcBorders>
            <w:shd w:val="clear" w:color="auto" w:fill="auto"/>
            <w:noWrap/>
            <w:vAlign w:val="center"/>
            <w:hideMark/>
          </w:tcPr>
          <w:p w14:paraId="50D13400"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-7.98 ± 21.32*</w:t>
            </w:r>
          </w:p>
        </w:tc>
        <w:tc>
          <w:tcPr>
            <w:tcW w:w="1575" w:type="dxa"/>
            <w:tcBorders>
              <w:top w:val="nil"/>
              <w:left w:val="nil"/>
              <w:bottom w:val="nil"/>
              <w:right w:val="nil"/>
            </w:tcBorders>
            <w:shd w:val="clear" w:color="auto" w:fill="auto"/>
            <w:noWrap/>
            <w:vAlign w:val="center"/>
            <w:hideMark/>
          </w:tcPr>
          <w:p w14:paraId="04C4C5A3"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-5.16 ± 13.79</w:t>
            </w:r>
          </w:p>
        </w:tc>
        <w:tc>
          <w:tcPr>
            <w:tcW w:w="1796" w:type="dxa"/>
            <w:tcBorders>
              <w:top w:val="nil"/>
              <w:left w:val="nil"/>
              <w:bottom w:val="nil"/>
              <w:right w:val="nil"/>
            </w:tcBorders>
            <w:shd w:val="clear" w:color="auto" w:fill="auto"/>
            <w:noWrap/>
            <w:vAlign w:val="center"/>
            <w:hideMark/>
          </w:tcPr>
          <w:p w14:paraId="0BDEA555"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-3.55 ± 21.73*</w:t>
            </w:r>
          </w:p>
        </w:tc>
        <w:tc>
          <w:tcPr>
            <w:tcW w:w="2137" w:type="dxa"/>
            <w:tcBorders>
              <w:top w:val="nil"/>
              <w:left w:val="nil"/>
              <w:bottom w:val="nil"/>
              <w:right w:val="nil"/>
            </w:tcBorders>
            <w:shd w:val="clear" w:color="auto" w:fill="auto"/>
            <w:noWrap/>
            <w:vAlign w:val="center"/>
            <w:hideMark/>
          </w:tcPr>
          <w:p w14:paraId="77795A4F"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-2.30 ± 14.06</w:t>
            </w:r>
          </w:p>
        </w:tc>
      </w:tr>
      <w:tr w:rsidR="00344027" w:rsidRPr="00344027" w14:paraId="0B02EB96" w14:textId="77777777" w:rsidTr="00672286">
        <w:trPr>
          <w:trHeight w:val="161"/>
        </w:trPr>
        <w:tc>
          <w:tcPr>
            <w:tcW w:w="2259" w:type="dxa"/>
            <w:tcBorders>
              <w:top w:val="nil"/>
              <w:left w:val="nil"/>
              <w:bottom w:val="nil"/>
              <w:right w:val="nil"/>
            </w:tcBorders>
            <w:shd w:val="clear" w:color="auto" w:fill="auto"/>
            <w:noWrap/>
            <w:vAlign w:val="center"/>
            <w:hideMark/>
          </w:tcPr>
          <w:p w14:paraId="2D0C4A9A"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Papua New Guinea</w:t>
            </w:r>
          </w:p>
        </w:tc>
        <w:tc>
          <w:tcPr>
            <w:tcW w:w="1796" w:type="dxa"/>
            <w:tcBorders>
              <w:top w:val="nil"/>
              <w:left w:val="nil"/>
              <w:bottom w:val="nil"/>
              <w:right w:val="nil"/>
            </w:tcBorders>
            <w:shd w:val="clear" w:color="auto" w:fill="auto"/>
            <w:noWrap/>
            <w:vAlign w:val="center"/>
            <w:hideMark/>
          </w:tcPr>
          <w:p w14:paraId="4B96C751"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143.14 ± 14.80</w:t>
            </w:r>
          </w:p>
        </w:tc>
        <w:tc>
          <w:tcPr>
            <w:tcW w:w="1349" w:type="dxa"/>
            <w:tcBorders>
              <w:top w:val="nil"/>
              <w:left w:val="nil"/>
              <w:bottom w:val="nil"/>
              <w:right w:val="nil"/>
            </w:tcBorders>
            <w:shd w:val="clear" w:color="auto" w:fill="auto"/>
            <w:noWrap/>
            <w:vAlign w:val="center"/>
            <w:hideMark/>
          </w:tcPr>
          <w:p w14:paraId="7269524D"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3.16 ± 0.05</w:t>
            </w:r>
          </w:p>
        </w:tc>
        <w:tc>
          <w:tcPr>
            <w:tcW w:w="1573" w:type="dxa"/>
            <w:tcBorders>
              <w:top w:val="nil"/>
              <w:left w:val="nil"/>
              <w:bottom w:val="nil"/>
              <w:right w:val="nil"/>
            </w:tcBorders>
            <w:shd w:val="clear" w:color="auto" w:fill="auto"/>
            <w:noWrap/>
            <w:vAlign w:val="center"/>
            <w:hideMark/>
          </w:tcPr>
          <w:p w14:paraId="4D87590B"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60.32 ± 3.74</w:t>
            </w:r>
          </w:p>
        </w:tc>
        <w:tc>
          <w:tcPr>
            <w:tcW w:w="2133" w:type="dxa"/>
            <w:tcBorders>
              <w:top w:val="nil"/>
              <w:left w:val="nil"/>
              <w:bottom w:val="nil"/>
              <w:right w:val="nil"/>
            </w:tcBorders>
            <w:shd w:val="clear" w:color="auto" w:fill="auto"/>
            <w:noWrap/>
            <w:vAlign w:val="center"/>
            <w:hideMark/>
          </w:tcPr>
          <w:p w14:paraId="5C6FEB9D"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9.44 ± 11.46*</w:t>
            </w:r>
          </w:p>
        </w:tc>
        <w:tc>
          <w:tcPr>
            <w:tcW w:w="1575" w:type="dxa"/>
            <w:tcBorders>
              <w:top w:val="nil"/>
              <w:left w:val="nil"/>
              <w:bottom w:val="nil"/>
              <w:right w:val="nil"/>
            </w:tcBorders>
            <w:shd w:val="clear" w:color="auto" w:fill="auto"/>
            <w:noWrap/>
            <w:vAlign w:val="center"/>
            <w:hideMark/>
          </w:tcPr>
          <w:p w14:paraId="4CAEC019"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6.60 ± 8.01</w:t>
            </w:r>
          </w:p>
        </w:tc>
        <w:tc>
          <w:tcPr>
            <w:tcW w:w="1796" w:type="dxa"/>
            <w:tcBorders>
              <w:top w:val="nil"/>
              <w:left w:val="nil"/>
              <w:bottom w:val="nil"/>
              <w:right w:val="nil"/>
            </w:tcBorders>
            <w:shd w:val="clear" w:color="auto" w:fill="auto"/>
            <w:noWrap/>
            <w:vAlign w:val="center"/>
            <w:hideMark/>
          </w:tcPr>
          <w:p w14:paraId="670C65A8"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13.46 ± 11.92</w:t>
            </w:r>
          </w:p>
        </w:tc>
        <w:tc>
          <w:tcPr>
            <w:tcW w:w="2137" w:type="dxa"/>
            <w:tcBorders>
              <w:top w:val="nil"/>
              <w:left w:val="nil"/>
              <w:bottom w:val="nil"/>
              <w:right w:val="nil"/>
            </w:tcBorders>
            <w:shd w:val="clear" w:color="auto" w:fill="auto"/>
            <w:noWrap/>
            <w:vAlign w:val="center"/>
            <w:hideMark/>
          </w:tcPr>
          <w:p w14:paraId="61A4D16B"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9.40 ± 8.33</w:t>
            </w:r>
          </w:p>
        </w:tc>
      </w:tr>
      <w:tr w:rsidR="00344027" w:rsidRPr="00344027" w14:paraId="1088F166" w14:textId="77777777" w:rsidTr="00672286">
        <w:trPr>
          <w:trHeight w:val="161"/>
        </w:trPr>
        <w:tc>
          <w:tcPr>
            <w:tcW w:w="2259" w:type="dxa"/>
            <w:tcBorders>
              <w:top w:val="nil"/>
              <w:left w:val="nil"/>
              <w:bottom w:val="nil"/>
              <w:right w:val="nil"/>
            </w:tcBorders>
            <w:shd w:val="clear" w:color="auto" w:fill="auto"/>
            <w:noWrap/>
            <w:vAlign w:val="center"/>
            <w:hideMark/>
          </w:tcPr>
          <w:p w14:paraId="0A149AAF"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Cuba</w:t>
            </w:r>
          </w:p>
        </w:tc>
        <w:tc>
          <w:tcPr>
            <w:tcW w:w="1796" w:type="dxa"/>
            <w:tcBorders>
              <w:top w:val="nil"/>
              <w:left w:val="nil"/>
              <w:bottom w:val="nil"/>
              <w:right w:val="nil"/>
            </w:tcBorders>
            <w:shd w:val="clear" w:color="auto" w:fill="auto"/>
            <w:noWrap/>
            <w:vAlign w:val="center"/>
            <w:hideMark/>
          </w:tcPr>
          <w:p w14:paraId="537EE019"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135.15 ± 13.29</w:t>
            </w:r>
          </w:p>
        </w:tc>
        <w:tc>
          <w:tcPr>
            <w:tcW w:w="1349" w:type="dxa"/>
            <w:tcBorders>
              <w:top w:val="nil"/>
              <w:left w:val="nil"/>
              <w:bottom w:val="nil"/>
              <w:right w:val="nil"/>
            </w:tcBorders>
            <w:shd w:val="clear" w:color="auto" w:fill="auto"/>
            <w:noWrap/>
            <w:vAlign w:val="center"/>
            <w:hideMark/>
          </w:tcPr>
          <w:p w14:paraId="45680595"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2.98 ± 0.06</w:t>
            </w:r>
          </w:p>
        </w:tc>
        <w:tc>
          <w:tcPr>
            <w:tcW w:w="1573" w:type="dxa"/>
            <w:tcBorders>
              <w:top w:val="nil"/>
              <w:left w:val="nil"/>
              <w:bottom w:val="nil"/>
              <w:right w:val="nil"/>
            </w:tcBorders>
            <w:shd w:val="clear" w:color="auto" w:fill="auto"/>
            <w:noWrap/>
            <w:vAlign w:val="center"/>
            <w:hideMark/>
          </w:tcPr>
          <w:p w14:paraId="42AB118D"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63.30 ± 4.06</w:t>
            </w:r>
          </w:p>
        </w:tc>
        <w:tc>
          <w:tcPr>
            <w:tcW w:w="2133" w:type="dxa"/>
            <w:tcBorders>
              <w:top w:val="nil"/>
              <w:left w:val="nil"/>
              <w:bottom w:val="nil"/>
              <w:right w:val="nil"/>
            </w:tcBorders>
            <w:shd w:val="clear" w:color="auto" w:fill="auto"/>
            <w:noWrap/>
            <w:vAlign w:val="center"/>
            <w:hideMark/>
          </w:tcPr>
          <w:p w14:paraId="37CD21B2"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19.37 ± 11.16</w:t>
            </w:r>
          </w:p>
        </w:tc>
        <w:tc>
          <w:tcPr>
            <w:tcW w:w="1575" w:type="dxa"/>
            <w:tcBorders>
              <w:top w:val="nil"/>
              <w:left w:val="nil"/>
              <w:bottom w:val="nil"/>
              <w:right w:val="nil"/>
            </w:tcBorders>
            <w:shd w:val="clear" w:color="auto" w:fill="auto"/>
            <w:noWrap/>
            <w:vAlign w:val="center"/>
            <w:hideMark/>
          </w:tcPr>
          <w:p w14:paraId="53926A7A"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14.33 ± 8.25</w:t>
            </w:r>
          </w:p>
        </w:tc>
        <w:tc>
          <w:tcPr>
            <w:tcW w:w="1796" w:type="dxa"/>
            <w:tcBorders>
              <w:top w:val="nil"/>
              <w:left w:val="nil"/>
              <w:bottom w:val="nil"/>
              <w:right w:val="nil"/>
            </w:tcBorders>
            <w:shd w:val="clear" w:color="auto" w:fill="auto"/>
            <w:noWrap/>
            <w:vAlign w:val="center"/>
            <w:hideMark/>
          </w:tcPr>
          <w:p w14:paraId="330BA8BB"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20.28 ± 13.20</w:t>
            </w:r>
          </w:p>
        </w:tc>
        <w:tc>
          <w:tcPr>
            <w:tcW w:w="2137" w:type="dxa"/>
            <w:tcBorders>
              <w:top w:val="nil"/>
              <w:left w:val="nil"/>
              <w:bottom w:val="nil"/>
              <w:right w:val="nil"/>
            </w:tcBorders>
            <w:shd w:val="clear" w:color="auto" w:fill="auto"/>
            <w:noWrap/>
            <w:vAlign w:val="center"/>
            <w:hideMark/>
          </w:tcPr>
          <w:p w14:paraId="6154E2AD"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15.00 ± 9.77</w:t>
            </w:r>
          </w:p>
        </w:tc>
      </w:tr>
      <w:tr w:rsidR="00344027" w:rsidRPr="00344027" w14:paraId="1145EEEA" w14:textId="77777777" w:rsidTr="00672286">
        <w:trPr>
          <w:trHeight w:val="161"/>
        </w:trPr>
        <w:tc>
          <w:tcPr>
            <w:tcW w:w="2259" w:type="dxa"/>
            <w:tcBorders>
              <w:top w:val="nil"/>
              <w:left w:val="nil"/>
              <w:bottom w:val="nil"/>
              <w:right w:val="nil"/>
            </w:tcBorders>
            <w:shd w:val="clear" w:color="auto" w:fill="auto"/>
            <w:noWrap/>
            <w:vAlign w:val="center"/>
            <w:hideMark/>
          </w:tcPr>
          <w:p w14:paraId="70A194C4"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Nigeria</w:t>
            </w:r>
          </w:p>
        </w:tc>
        <w:tc>
          <w:tcPr>
            <w:tcW w:w="1796" w:type="dxa"/>
            <w:tcBorders>
              <w:top w:val="nil"/>
              <w:left w:val="nil"/>
              <w:bottom w:val="nil"/>
              <w:right w:val="nil"/>
            </w:tcBorders>
            <w:shd w:val="clear" w:color="auto" w:fill="auto"/>
            <w:noWrap/>
            <w:vAlign w:val="center"/>
            <w:hideMark/>
          </w:tcPr>
          <w:p w14:paraId="01D524AF"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96.81 ± 10.66</w:t>
            </w:r>
          </w:p>
        </w:tc>
        <w:tc>
          <w:tcPr>
            <w:tcW w:w="1349" w:type="dxa"/>
            <w:tcBorders>
              <w:top w:val="nil"/>
              <w:left w:val="nil"/>
              <w:bottom w:val="nil"/>
              <w:right w:val="nil"/>
            </w:tcBorders>
            <w:shd w:val="clear" w:color="auto" w:fill="auto"/>
            <w:noWrap/>
            <w:vAlign w:val="center"/>
            <w:hideMark/>
          </w:tcPr>
          <w:p w14:paraId="68ECFC41"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2.13 ± 0.02</w:t>
            </w:r>
          </w:p>
        </w:tc>
        <w:tc>
          <w:tcPr>
            <w:tcW w:w="1573" w:type="dxa"/>
            <w:tcBorders>
              <w:top w:val="nil"/>
              <w:left w:val="nil"/>
              <w:bottom w:val="nil"/>
              <w:right w:val="nil"/>
            </w:tcBorders>
            <w:shd w:val="clear" w:color="auto" w:fill="auto"/>
            <w:noWrap/>
            <w:vAlign w:val="center"/>
            <w:hideMark/>
          </w:tcPr>
          <w:p w14:paraId="669629AC"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65.44 ± 4.41</w:t>
            </w:r>
          </w:p>
        </w:tc>
        <w:tc>
          <w:tcPr>
            <w:tcW w:w="2133" w:type="dxa"/>
            <w:tcBorders>
              <w:top w:val="nil"/>
              <w:left w:val="nil"/>
              <w:bottom w:val="nil"/>
              <w:right w:val="nil"/>
            </w:tcBorders>
            <w:shd w:val="clear" w:color="auto" w:fill="auto"/>
            <w:noWrap/>
            <w:vAlign w:val="center"/>
            <w:hideMark/>
          </w:tcPr>
          <w:p w14:paraId="29C99715"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10.06 ± 7.89</w:t>
            </w:r>
          </w:p>
        </w:tc>
        <w:tc>
          <w:tcPr>
            <w:tcW w:w="1575" w:type="dxa"/>
            <w:tcBorders>
              <w:top w:val="nil"/>
              <w:left w:val="nil"/>
              <w:bottom w:val="nil"/>
              <w:right w:val="nil"/>
            </w:tcBorders>
            <w:shd w:val="clear" w:color="auto" w:fill="auto"/>
            <w:noWrap/>
            <w:vAlign w:val="center"/>
            <w:hideMark/>
          </w:tcPr>
          <w:p w14:paraId="35B5D42D"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10.39 ± 8.15</w:t>
            </w:r>
          </w:p>
        </w:tc>
        <w:tc>
          <w:tcPr>
            <w:tcW w:w="1796" w:type="dxa"/>
            <w:tcBorders>
              <w:top w:val="nil"/>
              <w:left w:val="nil"/>
              <w:bottom w:val="nil"/>
              <w:right w:val="nil"/>
            </w:tcBorders>
            <w:shd w:val="clear" w:color="auto" w:fill="auto"/>
            <w:noWrap/>
            <w:vAlign w:val="center"/>
            <w:hideMark/>
          </w:tcPr>
          <w:p w14:paraId="1B998A22"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10.32 ± 8.22</w:t>
            </w:r>
          </w:p>
        </w:tc>
        <w:tc>
          <w:tcPr>
            <w:tcW w:w="2137" w:type="dxa"/>
            <w:tcBorders>
              <w:top w:val="nil"/>
              <w:left w:val="nil"/>
              <w:bottom w:val="nil"/>
              <w:right w:val="nil"/>
            </w:tcBorders>
            <w:shd w:val="clear" w:color="auto" w:fill="auto"/>
            <w:noWrap/>
            <w:vAlign w:val="center"/>
            <w:hideMark/>
          </w:tcPr>
          <w:p w14:paraId="6C54EE46"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10.66 ± 8.49</w:t>
            </w:r>
          </w:p>
        </w:tc>
      </w:tr>
      <w:tr w:rsidR="00344027" w:rsidRPr="00344027" w14:paraId="164D28D4" w14:textId="77777777" w:rsidTr="00672286">
        <w:trPr>
          <w:trHeight w:val="161"/>
        </w:trPr>
        <w:tc>
          <w:tcPr>
            <w:tcW w:w="2259" w:type="dxa"/>
            <w:tcBorders>
              <w:top w:val="nil"/>
              <w:left w:val="nil"/>
              <w:bottom w:val="nil"/>
              <w:right w:val="nil"/>
            </w:tcBorders>
            <w:shd w:val="clear" w:color="auto" w:fill="auto"/>
            <w:noWrap/>
            <w:vAlign w:val="center"/>
            <w:hideMark/>
          </w:tcPr>
          <w:p w14:paraId="42EB47AC"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Thailand</w:t>
            </w:r>
          </w:p>
        </w:tc>
        <w:tc>
          <w:tcPr>
            <w:tcW w:w="1796" w:type="dxa"/>
            <w:tcBorders>
              <w:top w:val="nil"/>
              <w:left w:val="nil"/>
              <w:bottom w:val="nil"/>
              <w:right w:val="nil"/>
            </w:tcBorders>
            <w:shd w:val="clear" w:color="auto" w:fill="auto"/>
            <w:noWrap/>
            <w:vAlign w:val="center"/>
            <w:hideMark/>
          </w:tcPr>
          <w:p w14:paraId="572961F5"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94.27 ± 9.37</w:t>
            </w:r>
          </w:p>
        </w:tc>
        <w:tc>
          <w:tcPr>
            <w:tcW w:w="1349" w:type="dxa"/>
            <w:tcBorders>
              <w:top w:val="nil"/>
              <w:left w:val="nil"/>
              <w:bottom w:val="nil"/>
              <w:right w:val="nil"/>
            </w:tcBorders>
            <w:shd w:val="clear" w:color="auto" w:fill="auto"/>
            <w:noWrap/>
            <w:vAlign w:val="center"/>
            <w:hideMark/>
          </w:tcPr>
          <w:p w14:paraId="699FD0FD"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2.08 ± 0.04</w:t>
            </w:r>
          </w:p>
        </w:tc>
        <w:tc>
          <w:tcPr>
            <w:tcW w:w="1573" w:type="dxa"/>
            <w:tcBorders>
              <w:top w:val="nil"/>
              <w:left w:val="nil"/>
              <w:bottom w:val="nil"/>
              <w:right w:val="nil"/>
            </w:tcBorders>
            <w:shd w:val="clear" w:color="auto" w:fill="auto"/>
            <w:noWrap/>
            <w:vAlign w:val="center"/>
            <w:hideMark/>
          </w:tcPr>
          <w:p w14:paraId="332163B6"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67.52 ± 4.79</w:t>
            </w:r>
          </w:p>
        </w:tc>
        <w:tc>
          <w:tcPr>
            <w:tcW w:w="2133" w:type="dxa"/>
            <w:tcBorders>
              <w:top w:val="nil"/>
              <w:left w:val="nil"/>
              <w:bottom w:val="nil"/>
              <w:right w:val="nil"/>
            </w:tcBorders>
            <w:shd w:val="clear" w:color="auto" w:fill="auto"/>
            <w:noWrap/>
            <w:vAlign w:val="center"/>
            <w:hideMark/>
          </w:tcPr>
          <w:p w14:paraId="22FB02E1"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-2.46 ± 6.94*</w:t>
            </w:r>
          </w:p>
        </w:tc>
        <w:tc>
          <w:tcPr>
            <w:tcW w:w="1575" w:type="dxa"/>
            <w:tcBorders>
              <w:top w:val="nil"/>
              <w:left w:val="nil"/>
              <w:bottom w:val="nil"/>
              <w:right w:val="nil"/>
            </w:tcBorders>
            <w:shd w:val="clear" w:color="auto" w:fill="auto"/>
            <w:noWrap/>
            <w:vAlign w:val="center"/>
            <w:hideMark/>
          </w:tcPr>
          <w:p w14:paraId="12AA2957"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-2.61 ± 7.36</w:t>
            </w:r>
          </w:p>
        </w:tc>
        <w:tc>
          <w:tcPr>
            <w:tcW w:w="1796" w:type="dxa"/>
            <w:tcBorders>
              <w:top w:val="nil"/>
              <w:left w:val="nil"/>
              <w:bottom w:val="nil"/>
              <w:right w:val="nil"/>
            </w:tcBorders>
            <w:shd w:val="clear" w:color="auto" w:fill="auto"/>
            <w:noWrap/>
            <w:vAlign w:val="center"/>
            <w:hideMark/>
          </w:tcPr>
          <w:p w14:paraId="2500998B"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-3.67 ± 7.59*</w:t>
            </w:r>
          </w:p>
        </w:tc>
        <w:tc>
          <w:tcPr>
            <w:tcW w:w="2137" w:type="dxa"/>
            <w:tcBorders>
              <w:top w:val="nil"/>
              <w:left w:val="nil"/>
              <w:bottom w:val="nil"/>
              <w:right w:val="nil"/>
            </w:tcBorders>
            <w:shd w:val="clear" w:color="auto" w:fill="auto"/>
            <w:noWrap/>
            <w:vAlign w:val="center"/>
            <w:hideMark/>
          </w:tcPr>
          <w:p w14:paraId="230F200C"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-3.89 ± 8.05</w:t>
            </w:r>
          </w:p>
        </w:tc>
      </w:tr>
      <w:tr w:rsidR="00344027" w:rsidRPr="00344027" w14:paraId="170069A0" w14:textId="77777777" w:rsidTr="00672286">
        <w:trPr>
          <w:trHeight w:val="161"/>
        </w:trPr>
        <w:tc>
          <w:tcPr>
            <w:tcW w:w="2259" w:type="dxa"/>
            <w:tcBorders>
              <w:top w:val="nil"/>
              <w:left w:val="nil"/>
              <w:bottom w:val="nil"/>
              <w:right w:val="nil"/>
            </w:tcBorders>
            <w:shd w:val="clear" w:color="auto" w:fill="auto"/>
            <w:noWrap/>
            <w:vAlign w:val="center"/>
            <w:hideMark/>
          </w:tcPr>
          <w:p w14:paraId="292416E6"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Guinea-Bissau</w:t>
            </w:r>
          </w:p>
        </w:tc>
        <w:tc>
          <w:tcPr>
            <w:tcW w:w="1796" w:type="dxa"/>
            <w:tcBorders>
              <w:top w:val="nil"/>
              <w:left w:val="nil"/>
              <w:bottom w:val="nil"/>
              <w:right w:val="nil"/>
            </w:tcBorders>
            <w:shd w:val="clear" w:color="auto" w:fill="auto"/>
            <w:noWrap/>
            <w:vAlign w:val="center"/>
            <w:hideMark/>
          </w:tcPr>
          <w:p w14:paraId="688F2CC6"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92.21 ± 12.75</w:t>
            </w:r>
          </w:p>
        </w:tc>
        <w:tc>
          <w:tcPr>
            <w:tcW w:w="1349" w:type="dxa"/>
            <w:tcBorders>
              <w:top w:val="nil"/>
              <w:left w:val="nil"/>
              <w:bottom w:val="nil"/>
              <w:right w:val="nil"/>
            </w:tcBorders>
            <w:shd w:val="clear" w:color="auto" w:fill="auto"/>
            <w:noWrap/>
            <w:vAlign w:val="center"/>
            <w:hideMark/>
          </w:tcPr>
          <w:p w14:paraId="57B5A31C"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2.02 ± 0.03</w:t>
            </w:r>
          </w:p>
        </w:tc>
        <w:tc>
          <w:tcPr>
            <w:tcW w:w="1573" w:type="dxa"/>
            <w:tcBorders>
              <w:top w:val="nil"/>
              <w:left w:val="nil"/>
              <w:bottom w:val="nil"/>
              <w:right w:val="nil"/>
            </w:tcBorders>
            <w:shd w:val="clear" w:color="auto" w:fill="auto"/>
            <w:noWrap/>
            <w:vAlign w:val="center"/>
            <w:hideMark/>
          </w:tcPr>
          <w:p w14:paraId="6E3F5AB0"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69.54 ± 5.14</w:t>
            </w:r>
          </w:p>
        </w:tc>
        <w:tc>
          <w:tcPr>
            <w:tcW w:w="2133" w:type="dxa"/>
            <w:tcBorders>
              <w:top w:val="nil"/>
              <w:left w:val="nil"/>
              <w:bottom w:val="nil"/>
              <w:right w:val="nil"/>
            </w:tcBorders>
            <w:shd w:val="clear" w:color="auto" w:fill="auto"/>
            <w:noWrap/>
            <w:vAlign w:val="center"/>
            <w:hideMark/>
          </w:tcPr>
          <w:p w14:paraId="0F86F2E6"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2.18 ± 9.89*</w:t>
            </w:r>
          </w:p>
        </w:tc>
        <w:tc>
          <w:tcPr>
            <w:tcW w:w="1575" w:type="dxa"/>
            <w:tcBorders>
              <w:top w:val="nil"/>
              <w:left w:val="nil"/>
              <w:bottom w:val="nil"/>
              <w:right w:val="nil"/>
            </w:tcBorders>
            <w:shd w:val="clear" w:color="auto" w:fill="auto"/>
            <w:noWrap/>
            <w:vAlign w:val="center"/>
            <w:hideMark/>
          </w:tcPr>
          <w:p w14:paraId="472116D4"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2.36 ± 10.72</w:t>
            </w:r>
          </w:p>
        </w:tc>
        <w:tc>
          <w:tcPr>
            <w:tcW w:w="1796" w:type="dxa"/>
            <w:tcBorders>
              <w:top w:val="nil"/>
              <w:left w:val="nil"/>
              <w:bottom w:val="nil"/>
              <w:right w:val="nil"/>
            </w:tcBorders>
            <w:shd w:val="clear" w:color="auto" w:fill="auto"/>
            <w:noWrap/>
            <w:vAlign w:val="center"/>
            <w:hideMark/>
          </w:tcPr>
          <w:p w14:paraId="5B75A279"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6.20 ± 10.13*</w:t>
            </w:r>
          </w:p>
        </w:tc>
        <w:tc>
          <w:tcPr>
            <w:tcW w:w="2137" w:type="dxa"/>
            <w:tcBorders>
              <w:top w:val="nil"/>
              <w:left w:val="nil"/>
              <w:bottom w:val="nil"/>
              <w:right w:val="nil"/>
            </w:tcBorders>
            <w:shd w:val="clear" w:color="auto" w:fill="auto"/>
            <w:noWrap/>
            <w:vAlign w:val="center"/>
            <w:hideMark/>
          </w:tcPr>
          <w:p w14:paraId="4AE6E588"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6.73 ± 10.98</w:t>
            </w:r>
          </w:p>
        </w:tc>
      </w:tr>
      <w:tr w:rsidR="00344027" w:rsidRPr="00344027" w14:paraId="1F80A2CD" w14:textId="77777777" w:rsidTr="00672286">
        <w:trPr>
          <w:trHeight w:val="161"/>
        </w:trPr>
        <w:tc>
          <w:tcPr>
            <w:tcW w:w="2259" w:type="dxa"/>
            <w:tcBorders>
              <w:top w:val="nil"/>
              <w:left w:val="nil"/>
              <w:bottom w:val="nil"/>
              <w:right w:val="nil"/>
            </w:tcBorders>
            <w:shd w:val="clear" w:color="auto" w:fill="auto"/>
            <w:noWrap/>
            <w:vAlign w:val="center"/>
            <w:hideMark/>
          </w:tcPr>
          <w:p w14:paraId="05E0E317"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India</w:t>
            </w:r>
          </w:p>
        </w:tc>
        <w:tc>
          <w:tcPr>
            <w:tcW w:w="1796" w:type="dxa"/>
            <w:tcBorders>
              <w:top w:val="nil"/>
              <w:left w:val="nil"/>
              <w:bottom w:val="nil"/>
              <w:right w:val="nil"/>
            </w:tcBorders>
            <w:shd w:val="clear" w:color="auto" w:fill="auto"/>
            <w:noWrap/>
            <w:vAlign w:val="center"/>
            <w:hideMark/>
          </w:tcPr>
          <w:p w14:paraId="1F74932B"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87.16 ± 11.72</w:t>
            </w:r>
          </w:p>
        </w:tc>
        <w:tc>
          <w:tcPr>
            <w:tcW w:w="1349" w:type="dxa"/>
            <w:tcBorders>
              <w:top w:val="nil"/>
              <w:left w:val="nil"/>
              <w:bottom w:val="nil"/>
              <w:right w:val="nil"/>
            </w:tcBorders>
            <w:shd w:val="clear" w:color="auto" w:fill="auto"/>
            <w:noWrap/>
            <w:vAlign w:val="center"/>
            <w:hideMark/>
          </w:tcPr>
          <w:p w14:paraId="563E99BC"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1.92 ± 0.03</w:t>
            </w:r>
          </w:p>
        </w:tc>
        <w:tc>
          <w:tcPr>
            <w:tcW w:w="1573" w:type="dxa"/>
            <w:tcBorders>
              <w:top w:val="nil"/>
              <w:left w:val="nil"/>
              <w:bottom w:val="nil"/>
              <w:right w:val="nil"/>
            </w:tcBorders>
            <w:shd w:val="clear" w:color="auto" w:fill="auto"/>
            <w:noWrap/>
            <w:vAlign w:val="center"/>
            <w:hideMark/>
          </w:tcPr>
          <w:p w14:paraId="3A9C9538"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71.45 ± 5.47</w:t>
            </w:r>
          </w:p>
        </w:tc>
        <w:tc>
          <w:tcPr>
            <w:tcW w:w="2133" w:type="dxa"/>
            <w:tcBorders>
              <w:top w:val="nil"/>
              <w:left w:val="nil"/>
              <w:bottom w:val="nil"/>
              <w:right w:val="nil"/>
            </w:tcBorders>
            <w:shd w:val="clear" w:color="auto" w:fill="auto"/>
            <w:noWrap/>
            <w:vAlign w:val="center"/>
            <w:hideMark/>
          </w:tcPr>
          <w:p w14:paraId="2415499B"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-1.20 ± 8.91*</w:t>
            </w:r>
          </w:p>
        </w:tc>
        <w:tc>
          <w:tcPr>
            <w:tcW w:w="1575" w:type="dxa"/>
            <w:tcBorders>
              <w:top w:val="nil"/>
              <w:left w:val="nil"/>
              <w:bottom w:val="nil"/>
              <w:right w:val="nil"/>
            </w:tcBorders>
            <w:shd w:val="clear" w:color="auto" w:fill="auto"/>
            <w:noWrap/>
            <w:vAlign w:val="center"/>
            <w:hideMark/>
          </w:tcPr>
          <w:p w14:paraId="5FB584FE"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-1.37 ± 10.22</w:t>
            </w:r>
          </w:p>
        </w:tc>
        <w:tc>
          <w:tcPr>
            <w:tcW w:w="1796" w:type="dxa"/>
            <w:tcBorders>
              <w:top w:val="nil"/>
              <w:left w:val="nil"/>
              <w:bottom w:val="nil"/>
              <w:right w:val="nil"/>
            </w:tcBorders>
            <w:shd w:val="clear" w:color="auto" w:fill="auto"/>
            <w:noWrap/>
            <w:vAlign w:val="center"/>
            <w:hideMark/>
          </w:tcPr>
          <w:p w14:paraId="51BBDB44"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2.70 ± 9.63*</w:t>
            </w:r>
          </w:p>
        </w:tc>
        <w:tc>
          <w:tcPr>
            <w:tcW w:w="2137" w:type="dxa"/>
            <w:tcBorders>
              <w:top w:val="nil"/>
              <w:left w:val="nil"/>
              <w:bottom w:val="nil"/>
              <w:right w:val="nil"/>
            </w:tcBorders>
            <w:shd w:val="clear" w:color="auto" w:fill="auto"/>
            <w:noWrap/>
            <w:vAlign w:val="center"/>
            <w:hideMark/>
          </w:tcPr>
          <w:p w14:paraId="2ED7951F"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3.10 ± 11.04</w:t>
            </w:r>
          </w:p>
        </w:tc>
      </w:tr>
      <w:tr w:rsidR="00344027" w:rsidRPr="00344027" w14:paraId="3882B27D" w14:textId="77777777" w:rsidTr="00672286">
        <w:trPr>
          <w:trHeight w:val="161"/>
        </w:trPr>
        <w:tc>
          <w:tcPr>
            <w:tcW w:w="2259" w:type="dxa"/>
            <w:tcBorders>
              <w:top w:val="nil"/>
              <w:left w:val="nil"/>
              <w:bottom w:val="nil"/>
              <w:right w:val="nil"/>
            </w:tcBorders>
            <w:shd w:val="clear" w:color="auto" w:fill="auto"/>
            <w:noWrap/>
            <w:vAlign w:val="center"/>
            <w:hideMark/>
          </w:tcPr>
          <w:p w14:paraId="24F25277"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Madagascar</w:t>
            </w:r>
          </w:p>
        </w:tc>
        <w:tc>
          <w:tcPr>
            <w:tcW w:w="1796" w:type="dxa"/>
            <w:tcBorders>
              <w:top w:val="nil"/>
              <w:left w:val="nil"/>
              <w:bottom w:val="nil"/>
              <w:right w:val="nil"/>
            </w:tcBorders>
            <w:shd w:val="clear" w:color="auto" w:fill="auto"/>
            <w:noWrap/>
            <w:vAlign w:val="center"/>
            <w:hideMark/>
          </w:tcPr>
          <w:p w14:paraId="7F525759"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82.27 ± 11.22</w:t>
            </w:r>
          </w:p>
        </w:tc>
        <w:tc>
          <w:tcPr>
            <w:tcW w:w="1349" w:type="dxa"/>
            <w:tcBorders>
              <w:top w:val="nil"/>
              <w:left w:val="nil"/>
              <w:bottom w:val="nil"/>
              <w:right w:val="nil"/>
            </w:tcBorders>
            <w:shd w:val="clear" w:color="auto" w:fill="auto"/>
            <w:noWrap/>
            <w:vAlign w:val="center"/>
            <w:hideMark/>
          </w:tcPr>
          <w:p w14:paraId="14EDF369"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1.81 ± 0.03</w:t>
            </w:r>
          </w:p>
        </w:tc>
        <w:tc>
          <w:tcPr>
            <w:tcW w:w="1573" w:type="dxa"/>
            <w:tcBorders>
              <w:top w:val="nil"/>
              <w:left w:val="nil"/>
              <w:bottom w:val="nil"/>
              <w:right w:val="nil"/>
            </w:tcBorders>
            <w:shd w:val="clear" w:color="auto" w:fill="auto"/>
            <w:noWrap/>
            <w:vAlign w:val="center"/>
            <w:hideMark/>
          </w:tcPr>
          <w:p w14:paraId="079FC336"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73.27 ± 5.76</w:t>
            </w:r>
          </w:p>
        </w:tc>
        <w:tc>
          <w:tcPr>
            <w:tcW w:w="2133" w:type="dxa"/>
            <w:tcBorders>
              <w:top w:val="nil"/>
              <w:left w:val="nil"/>
              <w:bottom w:val="nil"/>
              <w:right w:val="nil"/>
            </w:tcBorders>
            <w:shd w:val="clear" w:color="auto" w:fill="auto"/>
            <w:noWrap/>
            <w:vAlign w:val="center"/>
            <w:hideMark/>
          </w:tcPr>
          <w:p w14:paraId="1710ADB6"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-0.03 ± 7.70*</w:t>
            </w:r>
          </w:p>
        </w:tc>
        <w:tc>
          <w:tcPr>
            <w:tcW w:w="1575" w:type="dxa"/>
            <w:tcBorders>
              <w:top w:val="nil"/>
              <w:left w:val="nil"/>
              <w:bottom w:val="nil"/>
              <w:right w:val="nil"/>
            </w:tcBorders>
            <w:shd w:val="clear" w:color="auto" w:fill="auto"/>
            <w:noWrap/>
            <w:vAlign w:val="center"/>
            <w:hideMark/>
          </w:tcPr>
          <w:p w14:paraId="75E4D058"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-0.03 ± 9.36</w:t>
            </w:r>
          </w:p>
        </w:tc>
        <w:tc>
          <w:tcPr>
            <w:tcW w:w="1796" w:type="dxa"/>
            <w:tcBorders>
              <w:top w:val="nil"/>
              <w:left w:val="nil"/>
              <w:bottom w:val="nil"/>
              <w:right w:val="nil"/>
            </w:tcBorders>
            <w:shd w:val="clear" w:color="auto" w:fill="auto"/>
            <w:noWrap/>
            <w:vAlign w:val="center"/>
            <w:hideMark/>
          </w:tcPr>
          <w:p w14:paraId="6619A6C5"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0.81 ± 7.77*</w:t>
            </w:r>
          </w:p>
        </w:tc>
        <w:tc>
          <w:tcPr>
            <w:tcW w:w="2137" w:type="dxa"/>
            <w:tcBorders>
              <w:top w:val="nil"/>
              <w:left w:val="nil"/>
              <w:bottom w:val="nil"/>
              <w:right w:val="nil"/>
            </w:tcBorders>
            <w:shd w:val="clear" w:color="auto" w:fill="auto"/>
            <w:noWrap/>
            <w:vAlign w:val="center"/>
            <w:hideMark/>
          </w:tcPr>
          <w:p w14:paraId="011FB580"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0.98 ± 9.44</w:t>
            </w:r>
          </w:p>
        </w:tc>
      </w:tr>
      <w:tr w:rsidR="00344027" w:rsidRPr="00344027" w14:paraId="18030865" w14:textId="77777777" w:rsidTr="00672286">
        <w:trPr>
          <w:trHeight w:val="161"/>
        </w:trPr>
        <w:tc>
          <w:tcPr>
            <w:tcW w:w="2259" w:type="dxa"/>
            <w:tcBorders>
              <w:top w:val="nil"/>
              <w:left w:val="nil"/>
              <w:bottom w:val="nil"/>
              <w:right w:val="nil"/>
            </w:tcBorders>
            <w:shd w:val="clear" w:color="auto" w:fill="auto"/>
            <w:noWrap/>
            <w:vAlign w:val="center"/>
            <w:hideMark/>
          </w:tcPr>
          <w:p w14:paraId="090627BA"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United States</w:t>
            </w:r>
          </w:p>
        </w:tc>
        <w:tc>
          <w:tcPr>
            <w:tcW w:w="1796" w:type="dxa"/>
            <w:tcBorders>
              <w:top w:val="nil"/>
              <w:left w:val="nil"/>
              <w:bottom w:val="nil"/>
              <w:right w:val="nil"/>
            </w:tcBorders>
            <w:shd w:val="clear" w:color="auto" w:fill="auto"/>
            <w:noWrap/>
            <w:vAlign w:val="center"/>
            <w:hideMark/>
          </w:tcPr>
          <w:p w14:paraId="4C2EBFFE"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69.20 ± 8.55</w:t>
            </w:r>
          </w:p>
        </w:tc>
        <w:tc>
          <w:tcPr>
            <w:tcW w:w="1349" w:type="dxa"/>
            <w:tcBorders>
              <w:top w:val="nil"/>
              <w:left w:val="nil"/>
              <w:bottom w:val="nil"/>
              <w:right w:val="nil"/>
            </w:tcBorders>
            <w:shd w:val="clear" w:color="auto" w:fill="auto"/>
            <w:noWrap/>
            <w:vAlign w:val="center"/>
            <w:hideMark/>
          </w:tcPr>
          <w:p w14:paraId="388860AB"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1.52 ± 0.00</w:t>
            </w:r>
          </w:p>
        </w:tc>
        <w:tc>
          <w:tcPr>
            <w:tcW w:w="1573" w:type="dxa"/>
            <w:tcBorders>
              <w:top w:val="nil"/>
              <w:left w:val="nil"/>
              <w:bottom w:val="nil"/>
              <w:right w:val="nil"/>
            </w:tcBorders>
            <w:shd w:val="clear" w:color="auto" w:fill="auto"/>
            <w:noWrap/>
            <w:vAlign w:val="center"/>
            <w:hideMark/>
          </w:tcPr>
          <w:p w14:paraId="62F16173"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74.79 ± 6.05</w:t>
            </w:r>
          </w:p>
        </w:tc>
        <w:tc>
          <w:tcPr>
            <w:tcW w:w="2133" w:type="dxa"/>
            <w:tcBorders>
              <w:top w:val="nil"/>
              <w:left w:val="nil"/>
              <w:bottom w:val="nil"/>
              <w:right w:val="nil"/>
            </w:tcBorders>
            <w:shd w:val="clear" w:color="auto" w:fill="auto"/>
            <w:noWrap/>
            <w:vAlign w:val="center"/>
            <w:hideMark/>
          </w:tcPr>
          <w:p w14:paraId="6134771B"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6.54 ± 6.84*</w:t>
            </w:r>
          </w:p>
        </w:tc>
        <w:tc>
          <w:tcPr>
            <w:tcW w:w="1575" w:type="dxa"/>
            <w:tcBorders>
              <w:top w:val="nil"/>
              <w:left w:val="nil"/>
              <w:bottom w:val="nil"/>
              <w:right w:val="nil"/>
            </w:tcBorders>
            <w:shd w:val="clear" w:color="auto" w:fill="auto"/>
            <w:noWrap/>
            <w:vAlign w:val="center"/>
            <w:hideMark/>
          </w:tcPr>
          <w:p w14:paraId="34CA2A17"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9.45 ± 9.88</w:t>
            </w:r>
          </w:p>
        </w:tc>
        <w:tc>
          <w:tcPr>
            <w:tcW w:w="1796" w:type="dxa"/>
            <w:tcBorders>
              <w:top w:val="nil"/>
              <w:left w:val="nil"/>
              <w:bottom w:val="nil"/>
              <w:right w:val="nil"/>
            </w:tcBorders>
            <w:shd w:val="clear" w:color="auto" w:fill="auto"/>
            <w:noWrap/>
            <w:vAlign w:val="center"/>
            <w:hideMark/>
          </w:tcPr>
          <w:p w14:paraId="4ABD81AE"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9.94 ± 7.75*</w:t>
            </w:r>
          </w:p>
        </w:tc>
        <w:tc>
          <w:tcPr>
            <w:tcW w:w="2137" w:type="dxa"/>
            <w:tcBorders>
              <w:top w:val="nil"/>
              <w:left w:val="nil"/>
              <w:bottom w:val="nil"/>
              <w:right w:val="nil"/>
            </w:tcBorders>
            <w:shd w:val="clear" w:color="auto" w:fill="auto"/>
            <w:noWrap/>
            <w:vAlign w:val="center"/>
            <w:hideMark/>
          </w:tcPr>
          <w:p w14:paraId="6324DB6E"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14.37 ± 11.20</w:t>
            </w:r>
          </w:p>
        </w:tc>
      </w:tr>
      <w:tr w:rsidR="00344027" w:rsidRPr="00344027" w14:paraId="3BC80A77" w14:textId="77777777" w:rsidTr="00672286">
        <w:trPr>
          <w:trHeight w:val="161"/>
        </w:trPr>
        <w:tc>
          <w:tcPr>
            <w:tcW w:w="2259" w:type="dxa"/>
            <w:tcBorders>
              <w:top w:val="nil"/>
              <w:left w:val="nil"/>
              <w:bottom w:val="nil"/>
              <w:right w:val="nil"/>
            </w:tcBorders>
            <w:shd w:val="clear" w:color="auto" w:fill="auto"/>
            <w:noWrap/>
            <w:vAlign w:val="center"/>
            <w:hideMark/>
          </w:tcPr>
          <w:p w14:paraId="4765C0B7"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Mozambique</w:t>
            </w:r>
          </w:p>
        </w:tc>
        <w:tc>
          <w:tcPr>
            <w:tcW w:w="1796" w:type="dxa"/>
            <w:tcBorders>
              <w:top w:val="nil"/>
              <w:left w:val="nil"/>
              <w:bottom w:val="nil"/>
              <w:right w:val="nil"/>
            </w:tcBorders>
            <w:shd w:val="clear" w:color="auto" w:fill="auto"/>
            <w:noWrap/>
            <w:vAlign w:val="center"/>
            <w:hideMark/>
          </w:tcPr>
          <w:p w14:paraId="259F04E6"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68.76 ± 8.78</w:t>
            </w:r>
          </w:p>
        </w:tc>
        <w:tc>
          <w:tcPr>
            <w:tcW w:w="1349" w:type="dxa"/>
            <w:tcBorders>
              <w:top w:val="nil"/>
              <w:left w:val="nil"/>
              <w:bottom w:val="nil"/>
              <w:right w:val="nil"/>
            </w:tcBorders>
            <w:shd w:val="clear" w:color="auto" w:fill="auto"/>
            <w:noWrap/>
            <w:vAlign w:val="center"/>
            <w:hideMark/>
          </w:tcPr>
          <w:p w14:paraId="608BABEB"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1.51 ± 0.01</w:t>
            </w:r>
          </w:p>
        </w:tc>
        <w:tc>
          <w:tcPr>
            <w:tcW w:w="1573" w:type="dxa"/>
            <w:tcBorders>
              <w:top w:val="nil"/>
              <w:left w:val="nil"/>
              <w:bottom w:val="nil"/>
              <w:right w:val="nil"/>
            </w:tcBorders>
            <w:shd w:val="clear" w:color="auto" w:fill="auto"/>
            <w:noWrap/>
            <w:vAlign w:val="center"/>
            <w:hideMark/>
          </w:tcPr>
          <w:p w14:paraId="694F3155"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76.30 ± 6.33</w:t>
            </w:r>
          </w:p>
        </w:tc>
        <w:tc>
          <w:tcPr>
            <w:tcW w:w="2133" w:type="dxa"/>
            <w:tcBorders>
              <w:top w:val="nil"/>
              <w:left w:val="nil"/>
              <w:bottom w:val="nil"/>
              <w:right w:val="nil"/>
            </w:tcBorders>
            <w:shd w:val="clear" w:color="auto" w:fill="auto"/>
            <w:noWrap/>
            <w:vAlign w:val="center"/>
            <w:hideMark/>
          </w:tcPr>
          <w:p w14:paraId="1E24775A"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3.62 ± 6.27*</w:t>
            </w:r>
          </w:p>
        </w:tc>
        <w:tc>
          <w:tcPr>
            <w:tcW w:w="1575" w:type="dxa"/>
            <w:tcBorders>
              <w:top w:val="nil"/>
              <w:left w:val="nil"/>
              <w:bottom w:val="nil"/>
              <w:right w:val="nil"/>
            </w:tcBorders>
            <w:shd w:val="clear" w:color="auto" w:fill="auto"/>
            <w:noWrap/>
            <w:vAlign w:val="center"/>
            <w:hideMark/>
          </w:tcPr>
          <w:p w14:paraId="780379A1"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5.26 ± 9.12</w:t>
            </w:r>
          </w:p>
        </w:tc>
        <w:tc>
          <w:tcPr>
            <w:tcW w:w="1796" w:type="dxa"/>
            <w:tcBorders>
              <w:top w:val="nil"/>
              <w:left w:val="nil"/>
              <w:bottom w:val="nil"/>
              <w:right w:val="nil"/>
            </w:tcBorders>
            <w:shd w:val="clear" w:color="auto" w:fill="auto"/>
            <w:noWrap/>
            <w:vAlign w:val="center"/>
            <w:hideMark/>
          </w:tcPr>
          <w:p w14:paraId="385E0FB2"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4.59 ± 6.82*</w:t>
            </w:r>
          </w:p>
        </w:tc>
        <w:tc>
          <w:tcPr>
            <w:tcW w:w="2137" w:type="dxa"/>
            <w:tcBorders>
              <w:top w:val="nil"/>
              <w:left w:val="nil"/>
              <w:bottom w:val="nil"/>
              <w:right w:val="nil"/>
            </w:tcBorders>
            <w:shd w:val="clear" w:color="auto" w:fill="auto"/>
            <w:noWrap/>
            <w:vAlign w:val="center"/>
            <w:hideMark/>
          </w:tcPr>
          <w:p w14:paraId="0B8D0366"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6.68 ± 9.91</w:t>
            </w:r>
          </w:p>
        </w:tc>
      </w:tr>
      <w:tr w:rsidR="00344027" w:rsidRPr="00344027" w14:paraId="7C5FD86D" w14:textId="77777777" w:rsidTr="00672286">
        <w:trPr>
          <w:trHeight w:val="161"/>
        </w:trPr>
        <w:tc>
          <w:tcPr>
            <w:tcW w:w="2259" w:type="dxa"/>
            <w:tcBorders>
              <w:top w:val="nil"/>
              <w:left w:val="nil"/>
              <w:bottom w:val="nil"/>
              <w:right w:val="nil"/>
            </w:tcBorders>
            <w:shd w:val="clear" w:color="auto" w:fill="auto"/>
            <w:noWrap/>
            <w:vAlign w:val="center"/>
            <w:hideMark/>
          </w:tcPr>
          <w:p w14:paraId="044649BB"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Colombia</w:t>
            </w:r>
          </w:p>
        </w:tc>
        <w:tc>
          <w:tcPr>
            <w:tcW w:w="1796" w:type="dxa"/>
            <w:tcBorders>
              <w:top w:val="nil"/>
              <w:left w:val="nil"/>
              <w:bottom w:val="nil"/>
              <w:right w:val="nil"/>
            </w:tcBorders>
            <w:shd w:val="clear" w:color="auto" w:fill="auto"/>
            <w:noWrap/>
            <w:vAlign w:val="center"/>
            <w:hideMark/>
          </w:tcPr>
          <w:p w14:paraId="17873DE3"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68.08 ± 12.23</w:t>
            </w:r>
          </w:p>
        </w:tc>
        <w:tc>
          <w:tcPr>
            <w:tcW w:w="1349" w:type="dxa"/>
            <w:tcBorders>
              <w:top w:val="nil"/>
              <w:left w:val="nil"/>
              <w:bottom w:val="nil"/>
              <w:right w:val="nil"/>
            </w:tcBorders>
            <w:shd w:val="clear" w:color="auto" w:fill="auto"/>
            <w:noWrap/>
            <w:vAlign w:val="center"/>
            <w:hideMark/>
          </w:tcPr>
          <w:p w14:paraId="3A5DF4B9"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1.49 ± 0.09</w:t>
            </w:r>
          </w:p>
        </w:tc>
        <w:tc>
          <w:tcPr>
            <w:tcW w:w="1573" w:type="dxa"/>
            <w:tcBorders>
              <w:top w:val="nil"/>
              <w:left w:val="nil"/>
              <w:bottom w:val="nil"/>
              <w:right w:val="nil"/>
            </w:tcBorders>
            <w:shd w:val="clear" w:color="auto" w:fill="auto"/>
            <w:noWrap/>
            <w:vAlign w:val="center"/>
            <w:hideMark/>
          </w:tcPr>
          <w:p w14:paraId="41822D15"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77.79 ± 6.52</w:t>
            </w:r>
          </w:p>
        </w:tc>
        <w:tc>
          <w:tcPr>
            <w:tcW w:w="2133" w:type="dxa"/>
            <w:tcBorders>
              <w:top w:val="nil"/>
              <w:left w:val="nil"/>
              <w:bottom w:val="nil"/>
              <w:right w:val="nil"/>
            </w:tcBorders>
            <w:shd w:val="clear" w:color="auto" w:fill="auto"/>
            <w:noWrap/>
            <w:vAlign w:val="center"/>
            <w:hideMark/>
          </w:tcPr>
          <w:p w14:paraId="3A084A3B"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1.17 ± 8.78*</w:t>
            </w:r>
          </w:p>
        </w:tc>
        <w:tc>
          <w:tcPr>
            <w:tcW w:w="1575" w:type="dxa"/>
            <w:tcBorders>
              <w:top w:val="nil"/>
              <w:left w:val="nil"/>
              <w:bottom w:val="nil"/>
              <w:right w:val="nil"/>
            </w:tcBorders>
            <w:shd w:val="clear" w:color="auto" w:fill="auto"/>
            <w:noWrap/>
            <w:vAlign w:val="center"/>
            <w:hideMark/>
          </w:tcPr>
          <w:p w14:paraId="6B149DD6"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1.73 ± 12.89</w:t>
            </w:r>
          </w:p>
        </w:tc>
        <w:tc>
          <w:tcPr>
            <w:tcW w:w="1796" w:type="dxa"/>
            <w:tcBorders>
              <w:top w:val="nil"/>
              <w:left w:val="nil"/>
              <w:bottom w:val="nil"/>
              <w:right w:val="nil"/>
            </w:tcBorders>
            <w:shd w:val="clear" w:color="auto" w:fill="auto"/>
            <w:noWrap/>
            <w:vAlign w:val="center"/>
            <w:hideMark/>
          </w:tcPr>
          <w:p w14:paraId="10F803DF"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-1.07 ± 8.53*</w:t>
            </w:r>
          </w:p>
        </w:tc>
        <w:tc>
          <w:tcPr>
            <w:tcW w:w="2137" w:type="dxa"/>
            <w:tcBorders>
              <w:top w:val="nil"/>
              <w:left w:val="nil"/>
              <w:bottom w:val="nil"/>
              <w:right w:val="nil"/>
            </w:tcBorders>
            <w:shd w:val="clear" w:color="auto" w:fill="auto"/>
            <w:noWrap/>
            <w:vAlign w:val="center"/>
            <w:hideMark/>
          </w:tcPr>
          <w:p w14:paraId="15B92F7F"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-1.57 ± 12.53</w:t>
            </w:r>
          </w:p>
        </w:tc>
      </w:tr>
      <w:tr w:rsidR="00344027" w:rsidRPr="00344027" w14:paraId="423C95E8" w14:textId="77777777" w:rsidTr="00672286">
        <w:trPr>
          <w:trHeight w:val="161"/>
        </w:trPr>
        <w:tc>
          <w:tcPr>
            <w:tcW w:w="2259" w:type="dxa"/>
            <w:tcBorders>
              <w:top w:val="nil"/>
              <w:left w:val="nil"/>
              <w:bottom w:val="nil"/>
              <w:right w:val="nil"/>
            </w:tcBorders>
            <w:shd w:val="clear" w:color="auto" w:fill="auto"/>
            <w:noWrap/>
            <w:vAlign w:val="center"/>
            <w:hideMark/>
          </w:tcPr>
          <w:p w14:paraId="03FEBDC5"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Vietnam</w:t>
            </w:r>
          </w:p>
        </w:tc>
        <w:tc>
          <w:tcPr>
            <w:tcW w:w="1796" w:type="dxa"/>
            <w:tcBorders>
              <w:top w:val="nil"/>
              <w:left w:val="nil"/>
              <w:bottom w:val="nil"/>
              <w:right w:val="nil"/>
            </w:tcBorders>
            <w:shd w:val="clear" w:color="auto" w:fill="auto"/>
            <w:noWrap/>
            <w:vAlign w:val="center"/>
            <w:hideMark/>
          </w:tcPr>
          <w:p w14:paraId="5EC2DEE5"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61.15 ± 6.74</w:t>
            </w:r>
          </w:p>
        </w:tc>
        <w:tc>
          <w:tcPr>
            <w:tcW w:w="1349" w:type="dxa"/>
            <w:tcBorders>
              <w:top w:val="nil"/>
              <w:left w:val="nil"/>
              <w:bottom w:val="nil"/>
              <w:right w:val="nil"/>
            </w:tcBorders>
            <w:shd w:val="clear" w:color="auto" w:fill="auto"/>
            <w:noWrap/>
            <w:vAlign w:val="center"/>
            <w:hideMark/>
          </w:tcPr>
          <w:p w14:paraId="74EDD719"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1.35 ± 0.01</w:t>
            </w:r>
          </w:p>
        </w:tc>
        <w:tc>
          <w:tcPr>
            <w:tcW w:w="1573" w:type="dxa"/>
            <w:tcBorders>
              <w:top w:val="nil"/>
              <w:left w:val="nil"/>
              <w:bottom w:val="nil"/>
              <w:right w:val="nil"/>
            </w:tcBorders>
            <w:shd w:val="clear" w:color="auto" w:fill="auto"/>
            <w:noWrap/>
            <w:vAlign w:val="center"/>
            <w:hideMark/>
          </w:tcPr>
          <w:p w14:paraId="6361C71A"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79.14 ± 6.72</w:t>
            </w:r>
          </w:p>
        </w:tc>
        <w:tc>
          <w:tcPr>
            <w:tcW w:w="2133" w:type="dxa"/>
            <w:tcBorders>
              <w:top w:val="nil"/>
              <w:left w:val="nil"/>
              <w:bottom w:val="nil"/>
              <w:right w:val="nil"/>
            </w:tcBorders>
            <w:shd w:val="clear" w:color="auto" w:fill="auto"/>
            <w:noWrap/>
            <w:vAlign w:val="center"/>
            <w:hideMark/>
          </w:tcPr>
          <w:p w14:paraId="39201560"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-1.58 ± 5.20*</w:t>
            </w:r>
          </w:p>
        </w:tc>
        <w:tc>
          <w:tcPr>
            <w:tcW w:w="1575" w:type="dxa"/>
            <w:tcBorders>
              <w:top w:val="nil"/>
              <w:left w:val="nil"/>
              <w:bottom w:val="nil"/>
              <w:right w:val="nil"/>
            </w:tcBorders>
            <w:shd w:val="clear" w:color="auto" w:fill="auto"/>
            <w:noWrap/>
            <w:vAlign w:val="center"/>
            <w:hideMark/>
          </w:tcPr>
          <w:p w14:paraId="1EE0D10E"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-2.58 ± 8.51</w:t>
            </w:r>
          </w:p>
        </w:tc>
        <w:tc>
          <w:tcPr>
            <w:tcW w:w="1796" w:type="dxa"/>
            <w:tcBorders>
              <w:top w:val="nil"/>
              <w:left w:val="nil"/>
              <w:bottom w:val="nil"/>
              <w:right w:val="nil"/>
            </w:tcBorders>
            <w:shd w:val="clear" w:color="auto" w:fill="auto"/>
            <w:noWrap/>
            <w:vAlign w:val="center"/>
            <w:hideMark/>
          </w:tcPr>
          <w:p w14:paraId="31C0BD02"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-0.23 ± 5.61*</w:t>
            </w:r>
          </w:p>
        </w:tc>
        <w:tc>
          <w:tcPr>
            <w:tcW w:w="2137" w:type="dxa"/>
            <w:tcBorders>
              <w:top w:val="nil"/>
              <w:left w:val="nil"/>
              <w:bottom w:val="nil"/>
              <w:right w:val="nil"/>
            </w:tcBorders>
            <w:shd w:val="clear" w:color="auto" w:fill="auto"/>
            <w:noWrap/>
            <w:vAlign w:val="center"/>
            <w:hideMark/>
          </w:tcPr>
          <w:p w14:paraId="4A1FD509"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-0.37 ± 9.17</w:t>
            </w:r>
          </w:p>
        </w:tc>
      </w:tr>
      <w:tr w:rsidR="00344027" w:rsidRPr="00344027" w14:paraId="087271C3" w14:textId="77777777" w:rsidTr="00672286">
        <w:trPr>
          <w:trHeight w:val="161"/>
        </w:trPr>
        <w:tc>
          <w:tcPr>
            <w:tcW w:w="2259" w:type="dxa"/>
            <w:tcBorders>
              <w:top w:val="nil"/>
              <w:left w:val="nil"/>
              <w:bottom w:val="nil"/>
              <w:right w:val="nil"/>
            </w:tcBorders>
            <w:shd w:val="clear" w:color="auto" w:fill="auto"/>
            <w:noWrap/>
            <w:vAlign w:val="center"/>
            <w:hideMark/>
          </w:tcPr>
          <w:p w14:paraId="294FC4BE"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Venezuela</w:t>
            </w:r>
          </w:p>
        </w:tc>
        <w:tc>
          <w:tcPr>
            <w:tcW w:w="1796" w:type="dxa"/>
            <w:tcBorders>
              <w:top w:val="nil"/>
              <w:left w:val="nil"/>
              <w:bottom w:val="nil"/>
              <w:right w:val="nil"/>
            </w:tcBorders>
            <w:shd w:val="clear" w:color="auto" w:fill="auto"/>
            <w:noWrap/>
            <w:vAlign w:val="center"/>
            <w:hideMark/>
          </w:tcPr>
          <w:p w14:paraId="743B703B"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61.10 ± 7.26</w:t>
            </w:r>
          </w:p>
        </w:tc>
        <w:tc>
          <w:tcPr>
            <w:tcW w:w="1349" w:type="dxa"/>
            <w:tcBorders>
              <w:top w:val="nil"/>
              <w:left w:val="nil"/>
              <w:bottom w:val="nil"/>
              <w:right w:val="nil"/>
            </w:tcBorders>
            <w:shd w:val="clear" w:color="auto" w:fill="auto"/>
            <w:noWrap/>
            <w:vAlign w:val="center"/>
            <w:hideMark/>
          </w:tcPr>
          <w:p w14:paraId="274D8504"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1.35 ± 0.01</w:t>
            </w:r>
          </w:p>
        </w:tc>
        <w:tc>
          <w:tcPr>
            <w:tcW w:w="1573" w:type="dxa"/>
            <w:tcBorders>
              <w:top w:val="nil"/>
              <w:left w:val="nil"/>
              <w:bottom w:val="nil"/>
              <w:right w:val="nil"/>
            </w:tcBorders>
            <w:shd w:val="clear" w:color="auto" w:fill="auto"/>
            <w:noWrap/>
            <w:vAlign w:val="center"/>
            <w:hideMark/>
          </w:tcPr>
          <w:p w14:paraId="63F4AE69"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80.48 ± 6.93</w:t>
            </w:r>
          </w:p>
        </w:tc>
        <w:tc>
          <w:tcPr>
            <w:tcW w:w="2133" w:type="dxa"/>
            <w:tcBorders>
              <w:top w:val="nil"/>
              <w:left w:val="nil"/>
              <w:bottom w:val="nil"/>
              <w:right w:val="nil"/>
            </w:tcBorders>
            <w:shd w:val="clear" w:color="auto" w:fill="auto"/>
            <w:noWrap/>
            <w:vAlign w:val="center"/>
            <w:hideMark/>
          </w:tcPr>
          <w:p w14:paraId="3CD3E8AE"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2.50 ± 5.44*</w:t>
            </w:r>
          </w:p>
        </w:tc>
        <w:tc>
          <w:tcPr>
            <w:tcW w:w="1575" w:type="dxa"/>
            <w:tcBorders>
              <w:top w:val="nil"/>
              <w:left w:val="nil"/>
              <w:bottom w:val="nil"/>
              <w:right w:val="nil"/>
            </w:tcBorders>
            <w:shd w:val="clear" w:color="auto" w:fill="auto"/>
            <w:noWrap/>
            <w:vAlign w:val="center"/>
            <w:hideMark/>
          </w:tcPr>
          <w:p w14:paraId="289242B0"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4.10 ± 8.91</w:t>
            </w:r>
          </w:p>
        </w:tc>
        <w:tc>
          <w:tcPr>
            <w:tcW w:w="1796" w:type="dxa"/>
            <w:tcBorders>
              <w:top w:val="nil"/>
              <w:left w:val="nil"/>
              <w:bottom w:val="nil"/>
              <w:right w:val="nil"/>
            </w:tcBorders>
            <w:shd w:val="clear" w:color="auto" w:fill="auto"/>
            <w:noWrap/>
            <w:vAlign w:val="center"/>
            <w:hideMark/>
          </w:tcPr>
          <w:p w14:paraId="0E152DDC"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0.28 ± 5.87*</w:t>
            </w:r>
          </w:p>
        </w:tc>
        <w:tc>
          <w:tcPr>
            <w:tcW w:w="2137" w:type="dxa"/>
            <w:tcBorders>
              <w:top w:val="nil"/>
              <w:left w:val="nil"/>
              <w:bottom w:val="nil"/>
              <w:right w:val="nil"/>
            </w:tcBorders>
            <w:shd w:val="clear" w:color="auto" w:fill="auto"/>
            <w:noWrap/>
            <w:vAlign w:val="center"/>
            <w:hideMark/>
          </w:tcPr>
          <w:p w14:paraId="5D8D152E"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0.45 ± 9.61</w:t>
            </w:r>
          </w:p>
        </w:tc>
      </w:tr>
      <w:tr w:rsidR="00344027" w:rsidRPr="00344027" w14:paraId="6A24CC32" w14:textId="77777777" w:rsidTr="00672286">
        <w:trPr>
          <w:trHeight w:val="161"/>
        </w:trPr>
        <w:tc>
          <w:tcPr>
            <w:tcW w:w="2259" w:type="dxa"/>
            <w:tcBorders>
              <w:top w:val="nil"/>
              <w:left w:val="nil"/>
              <w:bottom w:val="single" w:sz="4" w:space="0" w:color="auto"/>
              <w:right w:val="nil"/>
            </w:tcBorders>
            <w:shd w:val="clear" w:color="auto" w:fill="auto"/>
            <w:noWrap/>
            <w:vAlign w:val="center"/>
            <w:hideMark/>
          </w:tcPr>
          <w:p w14:paraId="2982F678"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Solomon Is.</w:t>
            </w:r>
          </w:p>
        </w:tc>
        <w:tc>
          <w:tcPr>
            <w:tcW w:w="1796" w:type="dxa"/>
            <w:tcBorders>
              <w:top w:val="nil"/>
              <w:left w:val="nil"/>
              <w:bottom w:val="single" w:sz="4" w:space="0" w:color="auto"/>
              <w:right w:val="nil"/>
            </w:tcBorders>
            <w:shd w:val="clear" w:color="auto" w:fill="auto"/>
            <w:noWrap/>
            <w:vAlign w:val="center"/>
            <w:hideMark/>
          </w:tcPr>
          <w:p w14:paraId="20362F04"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55.98 ± 5.74</w:t>
            </w:r>
          </w:p>
        </w:tc>
        <w:tc>
          <w:tcPr>
            <w:tcW w:w="1349" w:type="dxa"/>
            <w:tcBorders>
              <w:top w:val="nil"/>
              <w:left w:val="nil"/>
              <w:bottom w:val="single" w:sz="4" w:space="0" w:color="auto"/>
              <w:right w:val="nil"/>
            </w:tcBorders>
            <w:shd w:val="clear" w:color="auto" w:fill="auto"/>
            <w:noWrap/>
            <w:vAlign w:val="center"/>
            <w:hideMark/>
          </w:tcPr>
          <w:p w14:paraId="59B662A0"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1.23 ± 0.02</w:t>
            </w:r>
          </w:p>
        </w:tc>
        <w:tc>
          <w:tcPr>
            <w:tcW w:w="1573" w:type="dxa"/>
            <w:tcBorders>
              <w:top w:val="nil"/>
              <w:left w:val="nil"/>
              <w:bottom w:val="single" w:sz="4" w:space="0" w:color="auto"/>
              <w:right w:val="nil"/>
            </w:tcBorders>
            <w:shd w:val="clear" w:color="auto" w:fill="auto"/>
            <w:noWrap/>
            <w:vAlign w:val="center"/>
            <w:hideMark/>
          </w:tcPr>
          <w:p w14:paraId="44F27A7A"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81.72 ± 7.16</w:t>
            </w:r>
          </w:p>
        </w:tc>
        <w:tc>
          <w:tcPr>
            <w:tcW w:w="2133" w:type="dxa"/>
            <w:tcBorders>
              <w:top w:val="nil"/>
              <w:left w:val="nil"/>
              <w:bottom w:val="single" w:sz="4" w:space="0" w:color="auto"/>
              <w:right w:val="nil"/>
            </w:tcBorders>
            <w:shd w:val="clear" w:color="auto" w:fill="auto"/>
            <w:noWrap/>
            <w:vAlign w:val="center"/>
            <w:hideMark/>
          </w:tcPr>
          <w:p w14:paraId="255178CF"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2.87 ± 4.78*</w:t>
            </w:r>
          </w:p>
        </w:tc>
        <w:tc>
          <w:tcPr>
            <w:tcW w:w="1575" w:type="dxa"/>
            <w:tcBorders>
              <w:top w:val="nil"/>
              <w:left w:val="nil"/>
              <w:bottom w:val="single" w:sz="4" w:space="0" w:color="auto"/>
              <w:right w:val="nil"/>
            </w:tcBorders>
            <w:shd w:val="clear" w:color="auto" w:fill="auto"/>
            <w:noWrap/>
            <w:vAlign w:val="center"/>
            <w:hideMark/>
          </w:tcPr>
          <w:p w14:paraId="4194528C"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5.13 ± 8.55</w:t>
            </w:r>
          </w:p>
        </w:tc>
        <w:tc>
          <w:tcPr>
            <w:tcW w:w="1796" w:type="dxa"/>
            <w:tcBorders>
              <w:top w:val="nil"/>
              <w:left w:val="nil"/>
              <w:bottom w:val="single" w:sz="4" w:space="0" w:color="auto"/>
              <w:right w:val="nil"/>
            </w:tcBorders>
            <w:shd w:val="clear" w:color="auto" w:fill="auto"/>
            <w:noWrap/>
            <w:vAlign w:val="center"/>
            <w:hideMark/>
          </w:tcPr>
          <w:p w14:paraId="722FAB49"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3.54 ± 5.01*</w:t>
            </w:r>
          </w:p>
        </w:tc>
        <w:tc>
          <w:tcPr>
            <w:tcW w:w="2137" w:type="dxa"/>
            <w:tcBorders>
              <w:top w:val="nil"/>
              <w:left w:val="nil"/>
              <w:bottom w:val="single" w:sz="4" w:space="0" w:color="auto"/>
              <w:right w:val="nil"/>
            </w:tcBorders>
            <w:shd w:val="clear" w:color="auto" w:fill="auto"/>
            <w:noWrap/>
            <w:vAlign w:val="center"/>
            <w:hideMark/>
          </w:tcPr>
          <w:p w14:paraId="29CAF4F9"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 xml:space="preserve"> 6.32 ± 8.95</w:t>
            </w:r>
          </w:p>
        </w:tc>
      </w:tr>
    </w:tbl>
    <w:p w14:paraId="20BA8EE8" w14:textId="77777777" w:rsidR="00344027" w:rsidRPr="00334248" w:rsidRDefault="00344027" w:rsidP="00344027">
      <w:pPr>
        <w:keepNext/>
        <w:pBdr>
          <w:top w:val="nil"/>
          <w:left w:val="nil"/>
          <w:bottom w:val="nil"/>
          <w:right w:val="nil"/>
          <w:between w:val="nil"/>
        </w:pBdr>
        <w:spacing w:before="240" w:after="60"/>
        <w:contextualSpacing/>
        <w:rPr>
          <w:rFonts w:cstheme="minorHAnsi"/>
          <w:b/>
          <w:sz w:val="20"/>
          <w:szCs w:val="20"/>
        </w:rPr>
        <w:sectPr w:rsidR="00344027" w:rsidRPr="00334248" w:rsidSect="00392131">
          <w:pgSz w:w="15840" w:h="12240" w:orient="landscape"/>
          <w:pgMar w:top="720" w:right="720" w:bottom="720" w:left="720" w:header="720" w:footer="720" w:gutter="0"/>
          <w:cols w:space="720"/>
          <w:docGrid w:linePitch="326"/>
        </w:sectPr>
      </w:pPr>
      <w:r w:rsidRPr="00334248">
        <w:rPr>
          <w:rFonts w:cstheme="minorHAnsi"/>
          <w:b/>
          <w:color w:val="000000"/>
          <w:sz w:val="20"/>
          <w:szCs w:val="20"/>
        </w:rPr>
        <w:t xml:space="preserve">Table </w:t>
      </w:r>
      <w:r>
        <w:rPr>
          <w:rFonts w:cstheme="minorHAnsi"/>
          <w:b/>
          <w:color w:val="000000"/>
          <w:sz w:val="20"/>
          <w:szCs w:val="20"/>
        </w:rPr>
        <w:t>5.</w:t>
      </w:r>
      <w:r w:rsidRPr="00334248">
        <w:rPr>
          <w:rFonts w:cstheme="minorHAnsi"/>
          <w:b/>
          <w:color w:val="000000"/>
          <w:sz w:val="20"/>
          <w:szCs w:val="20"/>
        </w:rPr>
        <w:t>1</w:t>
      </w:r>
      <w:r>
        <w:rPr>
          <w:rFonts w:cstheme="minorHAnsi"/>
          <w:b/>
          <w:color w:val="000000"/>
          <w:sz w:val="20"/>
          <w:szCs w:val="20"/>
        </w:rPr>
        <w:t>:</w:t>
      </w:r>
      <w:r w:rsidRPr="00334248">
        <w:rPr>
          <w:rFonts w:cstheme="minorHAnsi"/>
          <w:b/>
          <w:color w:val="000000"/>
          <w:sz w:val="20"/>
          <w:szCs w:val="20"/>
        </w:rPr>
        <w:t xml:space="preserve"> </w:t>
      </w:r>
      <w:r w:rsidRPr="00334248">
        <w:rPr>
          <w:rFonts w:cstheme="minorHAnsi"/>
          <w:b/>
          <w:sz w:val="20"/>
          <w:szCs w:val="20"/>
        </w:rPr>
        <w:t>Mean ± 2 standard errors mangrove C stocks held by the 20 most mangrove-rich countries, and their forecasted gains under two climate scenarios (SSP245 and SSP585) based on bias-corrected and means-weighted forecasted climate data. Negative values imply losses in carbon, * denotes gains, losses or no change may be predicted.</w:t>
      </w:r>
    </w:p>
    <w:p w14:paraId="30090D9C" w14:textId="77777777" w:rsidR="00344027" w:rsidRPr="00C57A68" w:rsidRDefault="00344027" w:rsidP="00344027">
      <w:pPr>
        <w:spacing w:line="480" w:lineRule="auto"/>
        <w:rPr>
          <w:rFonts w:cstheme="minorHAnsi"/>
        </w:rPr>
      </w:pPr>
      <w:r w:rsidRPr="00C57A68">
        <w:rPr>
          <w:rFonts w:cstheme="minorHAnsi"/>
        </w:rPr>
        <w:lastRenderedPageBreak/>
        <w:t>When aggregated by country, changes in CSR were spatially heterogeneous and declines under scenario SSP245 were experienced in countries with predicted decreases in mean temperatures of the wettest quarter of the year (Binomial GLM: SE=0.18, p=0.05, Figure 5.2a). Changes in total C stocks were also spatially heterogeneous for both climate scenarios (SSP245 and SSP585). Under the business-as-usual scenario, reductions in total C stocks were predicted in countries that saw declines in precipitation. Decreases in precipitation of the wettest quarter (Binomial GLM: SE=0.003, p=0.01, Figure 5.2b) and the wettest month (Binomial GLM: SE=0.001, p=0.01, Figure 5.2c) were significant predictors of declines in countries’ total C stocks. Egypt, Taiwan and Myanmar were predicted to have the three greatest reductions in precipitation in the wettest month of the year (-197.76mm, -172.58mm and -166.66mm, respectively) and wettest quarter of the year (-446.83mm, -224.82mm and -576.60mm, respectively). Under a high-end scenario (SSP585), it was an elevation in mean temperature or temperature ranges that caused the greatest reduction in C stocks. Countries forecast to experience significant increases in temperature seasonality (Binomial GLM: SE=0.43, p=0.02, Figure 5.2d) and higher mean</w:t>
      </w:r>
      <w:r w:rsidRPr="00C57A68">
        <w:rPr>
          <w:rFonts w:cstheme="minorHAnsi"/>
          <w:color w:val="000000"/>
        </w:rPr>
        <w:t xml:space="preserve"> annual temperatures </w:t>
      </w:r>
      <w:r w:rsidRPr="00C57A68">
        <w:rPr>
          <w:rFonts w:cstheme="minorHAnsi"/>
        </w:rPr>
        <w:t xml:space="preserve">(Binomial GLM: SE=0.08, p=0.01, Figure 5.2e) were also predicted to have diminished C stocks by 2095. Qatar, Bahrain and Sudan were predicted to have the three greatest changes in temperature seasonality (1.14°C, 1.08°C and 0.94°C, respectively), with New Zealand, South Africa and Morocco experiencing the greatest increases in mean annual temperatures (7.77°C, 5.07°C and 4.25°C, respectively). </w:t>
      </w:r>
    </w:p>
    <w:p w14:paraId="665BDD68" w14:textId="77777777" w:rsidR="00344027" w:rsidRDefault="00344027" w:rsidP="00344027">
      <w:pPr>
        <w:spacing w:line="480" w:lineRule="auto"/>
        <w:rPr>
          <w:rFonts w:cstheme="minorHAnsi"/>
          <w:sz w:val="22"/>
        </w:rPr>
        <w:sectPr w:rsidR="00344027" w:rsidSect="007667E1">
          <w:pgSz w:w="12240" w:h="15840"/>
          <w:pgMar w:top="1440" w:right="1440" w:bottom="1440" w:left="1440" w:header="720" w:footer="720" w:gutter="0"/>
          <w:cols w:space="720"/>
          <w:docGrid w:linePitch="326"/>
        </w:sectPr>
      </w:pPr>
    </w:p>
    <w:p w14:paraId="57C2FF4B" w14:textId="3F19EA4A" w:rsidR="00917A87" w:rsidRDefault="00917A87" w:rsidP="00344027">
      <w:pPr>
        <w:spacing w:line="480" w:lineRule="auto"/>
        <w:jc w:val="center"/>
        <w:rPr>
          <w:rFonts w:cstheme="minorHAnsi"/>
          <w:b/>
          <w:bCs/>
          <w:color w:val="000000"/>
          <w:sz w:val="20"/>
          <w:szCs w:val="20"/>
        </w:rPr>
      </w:pPr>
      <w:r>
        <w:rPr>
          <w:b/>
          <w:bCs/>
          <w:noProof/>
          <w:sz w:val="18"/>
          <w:szCs w:val="18"/>
        </w:rPr>
        <w:lastRenderedPageBreak/>
        <mc:AlternateContent>
          <mc:Choice Requires="wps">
            <w:drawing>
              <wp:anchor distT="0" distB="0" distL="114300" distR="114300" simplePos="0" relativeHeight="251727872" behindDoc="0" locked="0" layoutInCell="1" allowOverlap="1" wp14:anchorId="7EFC9DDF" wp14:editId="18617465">
                <wp:simplePos x="0" y="0"/>
                <wp:positionH relativeFrom="column">
                  <wp:posOffset>121920</wp:posOffset>
                </wp:positionH>
                <wp:positionV relativeFrom="paragraph">
                  <wp:posOffset>-149024</wp:posOffset>
                </wp:positionV>
                <wp:extent cx="606425" cy="633730"/>
                <wp:effectExtent l="0" t="0" r="3175" b="1270"/>
                <wp:wrapNone/>
                <wp:docPr id="31" name="Text Box 31"/>
                <wp:cNvGraphicFramePr/>
                <a:graphic xmlns:a="http://schemas.openxmlformats.org/drawingml/2006/main">
                  <a:graphicData uri="http://schemas.microsoft.com/office/word/2010/wordprocessingShape">
                    <wps:wsp>
                      <wps:cNvSpPr txBox="1"/>
                      <wps:spPr>
                        <a:xfrm>
                          <a:off x="0" y="0"/>
                          <a:ext cx="606425" cy="633730"/>
                        </a:xfrm>
                        <a:prstGeom prst="rect">
                          <a:avLst/>
                        </a:prstGeom>
                        <a:solidFill>
                          <a:schemeClr val="bg1"/>
                        </a:solidFill>
                        <a:ln w="6350">
                          <a:noFill/>
                        </a:ln>
                      </wps:spPr>
                      <wps:txbx>
                        <w:txbxContent>
                          <w:p w14:paraId="32A0ED2D" w14:textId="77777777" w:rsidR="007F1083" w:rsidRPr="00D04E5C" w:rsidRDefault="007F1083" w:rsidP="007F1083">
                            <w:pPr>
                              <w:rPr>
                                <w:sz w:val="72"/>
                                <w:szCs w:val="72"/>
                              </w:rPr>
                            </w:pPr>
                            <w:r w:rsidRPr="00D04E5C">
                              <w:rPr>
                                <w:sz w:val="72"/>
                                <w:szCs w:val="7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FC9DDF" id="Text Box 31" o:spid="_x0000_s1049" type="#_x0000_t202" style="position:absolute;left:0;text-align:left;margin-left:9.6pt;margin-top:-11.75pt;width:47.75pt;height:49.9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" fillcolor="white [3212]" stroked="f" strokeweight=".5pt">
                <v:textbox>
                  <w:txbxContent>
                    <w:p w14:paraId="32A0ED2D" w14:textId="77777777" w:rsidR="007F1083" w:rsidRPr="00D04E5C" w:rsidRDefault="007F1083" w:rsidP="007F1083">
                      <w:pPr>
                        <w:rPr>
                          <w:sz w:val="72"/>
                          <w:szCs w:val="72"/>
                        </w:rPr>
                      </w:pPr>
                      <w:r w:rsidRPr="00D04E5C">
                        <w:rPr>
                          <w:sz w:val="72"/>
                          <w:szCs w:val="72"/>
                        </w:rPr>
                        <w:t>a)</w:t>
                      </w:r>
                    </w:p>
                  </w:txbxContent>
                </v:textbox>
              </v:shape>
            </w:pict>
          </mc:Fallback>
        </mc:AlternateContent>
      </w:r>
      <w:r>
        <w:rPr>
          <w:b/>
          <w:bCs/>
          <w:noProof/>
          <w:sz w:val="18"/>
          <w:szCs w:val="18"/>
        </w:rPr>
        <mc:AlternateContent>
          <mc:Choice Requires="wps">
            <w:drawing>
              <wp:anchor distT="0" distB="0" distL="114300" distR="114300" simplePos="0" relativeHeight="251729920" behindDoc="0" locked="0" layoutInCell="1" allowOverlap="1" wp14:anchorId="6C4BC065" wp14:editId="529EBAD1">
                <wp:simplePos x="0" y="0"/>
                <wp:positionH relativeFrom="column">
                  <wp:posOffset>47625</wp:posOffset>
                </wp:positionH>
                <wp:positionV relativeFrom="paragraph">
                  <wp:posOffset>2565783</wp:posOffset>
                </wp:positionV>
                <wp:extent cx="606425" cy="633730"/>
                <wp:effectExtent l="0" t="0" r="3175" b="1270"/>
                <wp:wrapNone/>
                <wp:docPr id="64" name="Text Box 64"/>
                <wp:cNvGraphicFramePr/>
                <a:graphic xmlns:a="http://schemas.openxmlformats.org/drawingml/2006/main">
                  <a:graphicData uri="http://schemas.microsoft.com/office/word/2010/wordprocessingShape">
                    <wps:wsp>
                      <wps:cNvSpPr txBox="1"/>
                      <wps:spPr>
                        <a:xfrm>
                          <a:off x="0" y="0"/>
                          <a:ext cx="606425" cy="633730"/>
                        </a:xfrm>
                        <a:prstGeom prst="rect">
                          <a:avLst/>
                        </a:prstGeom>
                        <a:solidFill>
                          <a:schemeClr val="lt1"/>
                        </a:solidFill>
                        <a:ln w="6350">
                          <a:noFill/>
                        </a:ln>
                      </wps:spPr>
                      <wps:txbx>
                        <w:txbxContent>
                          <w:p w14:paraId="54C72AFC" w14:textId="18E246A0" w:rsidR="007F1083" w:rsidRPr="00D04E5C" w:rsidRDefault="007F1083" w:rsidP="007F1083">
                            <w:pPr>
                              <w:rPr>
                                <w:sz w:val="72"/>
                                <w:szCs w:val="72"/>
                              </w:rPr>
                            </w:pPr>
                            <w:r>
                              <w:rPr>
                                <w:sz w:val="72"/>
                                <w:szCs w:val="72"/>
                              </w:rPr>
                              <w:t>b</w:t>
                            </w:r>
                            <w:r w:rsidRPr="00D04E5C">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BC065" id="Text Box 64" o:spid="_x0000_s1050" type="#_x0000_t202" style="position:absolute;left:0;text-align:left;margin-left:3.75pt;margin-top:202.05pt;width:47.75pt;height:49.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" fillcolor="white [3201]" stroked="f" strokeweight=".5pt">
                <v:textbox>
                  <w:txbxContent>
                    <w:p w14:paraId="54C72AFC" w14:textId="18E246A0" w:rsidR="007F1083" w:rsidRPr="00D04E5C" w:rsidRDefault="007F1083" w:rsidP="007F1083">
                      <w:pPr>
                        <w:rPr>
                          <w:sz w:val="72"/>
                          <w:szCs w:val="72"/>
                        </w:rPr>
                      </w:pPr>
                      <w:r>
                        <w:rPr>
                          <w:sz w:val="72"/>
                          <w:szCs w:val="72"/>
                        </w:rPr>
                        <w:t>b</w:t>
                      </w:r>
                      <w:r w:rsidRPr="00D04E5C">
                        <w:rPr>
                          <w:sz w:val="72"/>
                          <w:szCs w:val="72"/>
                        </w:rPr>
                        <w:t>)</w:t>
                      </w:r>
                    </w:p>
                  </w:txbxContent>
                </v:textbox>
              </v:shape>
            </w:pict>
          </mc:Fallback>
        </mc:AlternateContent>
      </w:r>
      <w:r>
        <w:rPr>
          <w:b/>
          <w:bCs/>
          <w:noProof/>
          <w:sz w:val="18"/>
          <w:szCs w:val="18"/>
        </w:rPr>
        <mc:AlternateContent>
          <mc:Choice Requires="wps">
            <w:drawing>
              <wp:anchor distT="0" distB="0" distL="114300" distR="114300" simplePos="0" relativeHeight="251731968" behindDoc="0" locked="0" layoutInCell="1" allowOverlap="1" wp14:anchorId="55C2FF44" wp14:editId="66A26902">
                <wp:simplePos x="0" y="0"/>
                <wp:positionH relativeFrom="column">
                  <wp:posOffset>120053</wp:posOffset>
                </wp:positionH>
                <wp:positionV relativeFrom="paragraph">
                  <wp:posOffset>5318364</wp:posOffset>
                </wp:positionV>
                <wp:extent cx="606425" cy="633730"/>
                <wp:effectExtent l="0" t="0" r="3175" b="1270"/>
                <wp:wrapNone/>
                <wp:docPr id="65" name="Text Box 65"/>
                <wp:cNvGraphicFramePr/>
                <a:graphic xmlns:a="http://schemas.openxmlformats.org/drawingml/2006/main">
                  <a:graphicData uri="http://schemas.microsoft.com/office/word/2010/wordprocessingShape">
                    <wps:wsp>
                      <wps:cNvSpPr txBox="1"/>
                      <wps:spPr>
                        <a:xfrm>
                          <a:off x="0" y="0"/>
                          <a:ext cx="606425" cy="633730"/>
                        </a:xfrm>
                        <a:prstGeom prst="rect">
                          <a:avLst/>
                        </a:prstGeom>
                        <a:solidFill>
                          <a:schemeClr val="lt1"/>
                        </a:solidFill>
                        <a:ln w="6350">
                          <a:noFill/>
                        </a:ln>
                      </wps:spPr>
                      <wps:txbx>
                        <w:txbxContent>
                          <w:p w14:paraId="74C793AD" w14:textId="3967C108" w:rsidR="007F1083" w:rsidRPr="00D04E5C" w:rsidRDefault="007F1083" w:rsidP="007F1083">
                            <w:pPr>
                              <w:rPr>
                                <w:sz w:val="72"/>
                                <w:szCs w:val="72"/>
                              </w:rPr>
                            </w:pPr>
                            <w:r>
                              <w:rPr>
                                <w:sz w:val="72"/>
                                <w:szCs w:val="72"/>
                              </w:rPr>
                              <w:t>c</w:t>
                            </w:r>
                            <w:r w:rsidRPr="00D04E5C">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2FF44" id="Text Box 65" o:spid="_x0000_s1051" type="#_x0000_t202" style="position:absolute;left:0;text-align:left;margin-left:9.45pt;margin-top:418.75pt;width:47.75pt;height:49.9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" fillcolor="white [3201]" stroked="f" strokeweight=".5pt">
                <v:textbox>
                  <w:txbxContent>
                    <w:p w14:paraId="74C793AD" w14:textId="3967C108" w:rsidR="007F1083" w:rsidRPr="00D04E5C" w:rsidRDefault="007F1083" w:rsidP="007F1083">
                      <w:pPr>
                        <w:rPr>
                          <w:sz w:val="72"/>
                          <w:szCs w:val="72"/>
                        </w:rPr>
                      </w:pPr>
                      <w:r>
                        <w:rPr>
                          <w:sz w:val="72"/>
                          <w:szCs w:val="72"/>
                        </w:rPr>
                        <w:t>c</w:t>
                      </w:r>
                      <w:r w:rsidRPr="00D04E5C">
                        <w:rPr>
                          <w:sz w:val="72"/>
                          <w:szCs w:val="72"/>
                        </w:rPr>
                        <w:t>)</w:t>
                      </w:r>
                    </w:p>
                  </w:txbxContent>
                </v:textbox>
              </v:shape>
            </w:pict>
          </mc:Fallback>
        </mc:AlternateContent>
      </w:r>
      <w:r w:rsidRPr="00917A87">
        <w:rPr>
          <w:rFonts w:cstheme="minorHAnsi"/>
          <w:b/>
          <w:bCs/>
          <w:noProof/>
          <w:color w:val="000000"/>
          <w:sz w:val="20"/>
          <w:szCs w:val="20"/>
        </w:rPr>
        <w:drawing>
          <wp:inline distT="0" distB="0" distL="0" distR="0" wp14:anchorId="294C7F02" wp14:editId="606B28A0">
            <wp:extent cx="6445885" cy="8213593"/>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450818" cy="8219879"/>
                    </a:xfrm>
                    <a:prstGeom prst="rect">
                      <a:avLst/>
                    </a:prstGeom>
                  </pic:spPr>
                </pic:pic>
              </a:graphicData>
            </a:graphic>
          </wp:inline>
        </w:drawing>
      </w:r>
    </w:p>
    <w:p w14:paraId="6D49C069" w14:textId="6C1409A5" w:rsidR="00344027" w:rsidRPr="008224F9" w:rsidRDefault="00344027" w:rsidP="00344027">
      <w:pPr>
        <w:spacing w:line="480" w:lineRule="auto"/>
        <w:jc w:val="center"/>
        <w:rPr>
          <w:rFonts w:cstheme="minorHAnsi"/>
          <w:sz w:val="22"/>
        </w:rPr>
        <w:sectPr w:rsidR="00344027" w:rsidRPr="008224F9" w:rsidSect="00392131">
          <w:pgSz w:w="12240" w:h="15840"/>
          <w:pgMar w:top="720" w:right="720" w:bottom="720" w:left="720" w:header="720" w:footer="720" w:gutter="0"/>
          <w:cols w:space="720"/>
          <w:docGrid w:linePitch="326"/>
        </w:sectPr>
      </w:pPr>
      <w:r w:rsidRPr="00A17253">
        <w:rPr>
          <w:rFonts w:cstheme="minorHAnsi"/>
          <w:b/>
          <w:bCs/>
          <w:color w:val="000000"/>
          <w:sz w:val="20"/>
          <w:szCs w:val="20"/>
        </w:rPr>
        <w:t xml:space="preserve">Figure 5.3: </w:t>
      </w:r>
      <w:r w:rsidRPr="00A17253">
        <w:rPr>
          <w:rFonts w:cstheme="minorHAnsi"/>
          <w:b/>
          <w:bCs/>
          <w:sz w:val="20"/>
          <w:szCs w:val="20"/>
        </w:rPr>
        <w:t>Decadal global CO</w:t>
      </w:r>
      <w:r w:rsidRPr="00A17253">
        <w:rPr>
          <w:rFonts w:cstheme="minorHAnsi"/>
          <w:b/>
          <w:bCs/>
          <w:sz w:val="20"/>
          <w:szCs w:val="20"/>
          <w:vertAlign w:val="subscript"/>
        </w:rPr>
        <w:t>2</w:t>
      </w:r>
      <w:r w:rsidRPr="00A17253">
        <w:rPr>
          <w:rFonts w:cstheme="minorHAnsi"/>
          <w:b/>
          <w:bCs/>
          <w:sz w:val="20"/>
          <w:szCs w:val="20"/>
        </w:rPr>
        <w:t xml:space="preserve">e emissions from mangrove deforestation from </w:t>
      </w:r>
      <w:r w:rsidR="002240CA">
        <w:rPr>
          <w:rFonts w:cstheme="minorHAnsi"/>
          <w:b/>
          <w:bCs/>
          <w:sz w:val="20"/>
          <w:szCs w:val="20"/>
        </w:rPr>
        <w:t>a</w:t>
      </w:r>
      <w:r w:rsidRPr="00A17253">
        <w:rPr>
          <w:rFonts w:cstheme="minorHAnsi"/>
          <w:b/>
          <w:bCs/>
          <w:sz w:val="20"/>
          <w:szCs w:val="20"/>
        </w:rPr>
        <w:t xml:space="preserve">) 1980; </w:t>
      </w:r>
      <w:r w:rsidR="002240CA">
        <w:rPr>
          <w:rFonts w:cstheme="minorHAnsi"/>
          <w:b/>
          <w:bCs/>
          <w:sz w:val="20"/>
          <w:szCs w:val="20"/>
        </w:rPr>
        <w:t>b</w:t>
      </w:r>
      <w:r w:rsidRPr="00A17253">
        <w:rPr>
          <w:rFonts w:cstheme="minorHAnsi"/>
          <w:b/>
          <w:bCs/>
          <w:sz w:val="20"/>
          <w:szCs w:val="20"/>
        </w:rPr>
        <w:t xml:space="preserve">) 1990 and </w:t>
      </w:r>
      <w:r w:rsidR="002240CA">
        <w:rPr>
          <w:rFonts w:cstheme="minorHAnsi"/>
          <w:b/>
          <w:bCs/>
          <w:sz w:val="20"/>
          <w:szCs w:val="20"/>
        </w:rPr>
        <w:t>c</w:t>
      </w:r>
      <w:r w:rsidRPr="00A17253">
        <w:rPr>
          <w:rFonts w:cstheme="minorHAnsi"/>
          <w:b/>
          <w:bCs/>
          <w:sz w:val="20"/>
          <w:szCs w:val="20"/>
        </w:rPr>
        <w:t>) 2000.</w:t>
      </w:r>
    </w:p>
    <w:p w14:paraId="41676FFC" w14:textId="390EF761" w:rsidR="00344027" w:rsidRPr="007B3BFC" w:rsidRDefault="00344027" w:rsidP="00344027">
      <w:pPr>
        <w:pStyle w:val="Heading3"/>
        <w:ind w:left="567" w:hanging="567"/>
        <w:rPr>
          <w:rFonts w:asciiTheme="minorHAnsi" w:hAnsiTheme="minorHAnsi" w:cstheme="minorHAnsi"/>
          <w:b/>
          <w:bCs/>
          <w:color w:val="000000" w:themeColor="text1"/>
        </w:rPr>
      </w:pPr>
      <w:bookmarkStart w:id="65" w:name="_Toc120622153"/>
      <w:r w:rsidRPr="007B3BFC">
        <w:rPr>
          <w:rFonts w:asciiTheme="minorHAnsi" w:hAnsiTheme="minorHAnsi" w:cstheme="minorHAnsi"/>
          <w:b/>
          <w:bCs/>
          <w:color w:val="000000" w:themeColor="text1"/>
        </w:rPr>
        <w:lastRenderedPageBreak/>
        <w:t>5.4.2</w:t>
      </w:r>
      <w:r w:rsidRPr="007B3BFC">
        <w:rPr>
          <w:rFonts w:asciiTheme="minorHAnsi" w:hAnsiTheme="minorHAnsi" w:cstheme="minorHAnsi"/>
          <w:b/>
          <w:bCs/>
          <w:color w:val="000000" w:themeColor="text1"/>
        </w:rPr>
        <w:tab/>
        <w:t>Emissions from mangrove deforestation</w:t>
      </w:r>
      <w:bookmarkEnd w:id="65"/>
    </w:p>
    <w:p w14:paraId="383FE97E" w14:textId="77777777" w:rsidR="00344027" w:rsidRPr="00C57A68" w:rsidRDefault="00344027" w:rsidP="00344027">
      <w:pPr>
        <w:spacing w:line="480" w:lineRule="auto"/>
        <w:rPr>
          <w:rFonts w:cstheme="minorHAnsi"/>
        </w:rPr>
      </w:pPr>
      <w:r w:rsidRPr="00C57A68">
        <w:rPr>
          <w:rFonts w:cstheme="minorHAnsi"/>
        </w:rPr>
        <w:t xml:space="preserve">Global emissions from mangrove deforestation from 1980 to 2000 were more than three-times higher than those estimated from 2000 onwards (Figure 5.3). Annual rates of mangrove deforestation dropped from 0.99% in the 1980’s to 0.83% from in the 1990’s, resulting in global emissions of 193.2 ±44.4 </w:t>
      </w:r>
      <w:proofErr w:type="spellStart"/>
      <w:r w:rsidRPr="00C57A68">
        <w:rPr>
          <w:rFonts w:cstheme="minorHAnsi"/>
        </w:rPr>
        <w:t>Tg</w:t>
      </w:r>
      <w:proofErr w:type="spellEnd"/>
      <w:r w:rsidRPr="00C57A68">
        <w:rPr>
          <w:rFonts w:cstheme="minorHAnsi"/>
        </w:rPr>
        <w:t xml:space="preserve"> CO</w:t>
      </w:r>
      <w:r w:rsidRPr="00C57A68">
        <w:rPr>
          <w:rFonts w:cstheme="minorHAnsi"/>
          <w:vertAlign w:val="subscript"/>
        </w:rPr>
        <w:t>2</w:t>
      </w:r>
      <w:r w:rsidRPr="00C57A68">
        <w:rPr>
          <w:rFonts w:cstheme="minorHAnsi"/>
        </w:rPr>
        <w:t>e yr</w:t>
      </w:r>
      <w:r w:rsidRPr="00C57A68">
        <w:rPr>
          <w:rFonts w:cstheme="minorHAnsi"/>
          <w:vertAlign w:val="superscript"/>
        </w:rPr>
        <w:t>-1</w:t>
      </w:r>
      <w:r w:rsidRPr="00C57A68">
        <w:rPr>
          <w:rFonts w:cstheme="minorHAnsi"/>
        </w:rPr>
        <w:t xml:space="preserve"> and 149.6 ±33.3 </w:t>
      </w:r>
      <w:proofErr w:type="spellStart"/>
      <w:r w:rsidRPr="00C57A68">
        <w:rPr>
          <w:rFonts w:cstheme="minorHAnsi"/>
        </w:rPr>
        <w:t>Tg</w:t>
      </w:r>
      <w:proofErr w:type="spellEnd"/>
      <w:r w:rsidRPr="00C57A68">
        <w:rPr>
          <w:rFonts w:cstheme="minorHAnsi"/>
        </w:rPr>
        <w:t xml:space="preserve"> CO</w:t>
      </w:r>
      <w:r w:rsidRPr="00C57A68">
        <w:rPr>
          <w:rFonts w:cstheme="minorHAnsi"/>
          <w:vertAlign w:val="subscript"/>
        </w:rPr>
        <w:t>2</w:t>
      </w:r>
      <w:r w:rsidRPr="00C57A68">
        <w:rPr>
          <w:rFonts w:cstheme="minorHAnsi"/>
        </w:rPr>
        <w:t>e yr</w:t>
      </w:r>
      <w:r w:rsidRPr="00C57A68">
        <w:rPr>
          <w:rFonts w:cstheme="minorHAnsi"/>
          <w:vertAlign w:val="superscript"/>
        </w:rPr>
        <w:t>-1</w:t>
      </w:r>
      <w:r w:rsidRPr="00C57A68">
        <w:rPr>
          <w:rFonts w:cstheme="minorHAnsi"/>
        </w:rPr>
        <w:t xml:space="preserve"> respectively (Figs. 3a and 3b). Emissions then dropped to 8.8 ±2.0 </w:t>
      </w:r>
      <w:proofErr w:type="spellStart"/>
      <w:r w:rsidRPr="00C57A68">
        <w:rPr>
          <w:rFonts w:cstheme="minorHAnsi"/>
        </w:rPr>
        <w:t>Tg</w:t>
      </w:r>
      <w:proofErr w:type="spellEnd"/>
      <w:r w:rsidRPr="00C57A68">
        <w:rPr>
          <w:rFonts w:cstheme="minorHAnsi"/>
        </w:rPr>
        <w:t xml:space="preserve"> CO</w:t>
      </w:r>
      <w:r w:rsidRPr="00C57A68">
        <w:rPr>
          <w:rFonts w:cstheme="minorHAnsi"/>
          <w:vertAlign w:val="subscript"/>
        </w:rPr>
        <w:t>2</w:t>
      </w:r>
      <w:r w:rsidRPr="00C57A68">
        <w:rPr>
          <w:rFonts w:cstheme="minorHAnsi"/>
        </w:rPr>
        <w:t>e yr</w:t>
      </w:r>
      <w:r w:rsidRPr="00C57A68">
        <w:rPr>
          <w:rFonts w:cstheme="minorHAnsi"/>
          <w:vertAlign w:val="superscript"/>
        </w:rPr>
        <w:t>-1</w:t>
      </w:r>
      <w:r w:rsidRPr="00C57A68">
        <w:rPr>
          <w:rFonts w:cstheme="minorHAnsi"/>
        </w:rPr>
        <w:t xml:space="preserve"> (0.24% annual deforestation) between 2000 and 2010 (Figure 5.3c). To put that value into perspective, annual emissions from mangrove deforestation from 2000 to 2010 were 5.44 to 11.97% of total </w:t>
      </w:r>
      <w:proofErr w:type="gramStart"/>
      <w:r w:rsidRPr="00C57A68">
        <w:rPr>
          <w:rFonts w:cstheme="minorHAnsi"/>
        </w:rPr>
        <w:t>present day</w:t>
      </w:r>
      <w:proofErr w:type="gramEnd"/>
      <w:r w:rsidRPr="00C57A68">
        <w:rPr>
          <w:rFonts w:cstheme="minorHAnsi"/>
        </w:rPr>
        <w:t xml:space="preserve"> CSR. If countries continue current rates of mangrove deforestation (global average of 0.19%) from 2012 to 2095, a total of 678.50 ±151.32 </w:t>
      </w:r>
      <w:proofErr w:type="spellStart"/>
      <w:r w:rsidRPr="00C57A68">
        <w:rPr>
          <w:rFonts w:cstheme="minorHAnsi"/>
        </w:rPr>
        <w:t>Tg</w:t>
      </w:r>
      <w:proofErr w:type="spellEnd"/>
      <w:r w:rsidRPr="00C57A68">
        <w:rPr>
          <w:rFonts w:cstheme="minorHAnsi"/>
        </w:rPr>
        <w:t xml:space="preserve"> CO</w:t>
      </w:r>
      <w:r w:rsidRPr="00C57A68">
        <w:rPr>
          <w:rFonts w:cstheme="minorHAnsi"/>
          <w:vertAlign w:val="subscript"/>
        </w:rPr>
        <w:t>2</w:t>
      </w:r>
      <w:r w:rsidRPr="00C57A68">
        <w:rPr>
          <w:rFonts w:cstheme="minorHAnsi"/>
        </w:rPr>
        <w:t xml:space="preserve">e will be emitted due to mangrove deforestation, equivalent to mean global emissions of 8.18 ±1.83 </w:t>
      </w:r>
      <w:proofErr w:type="spellStart"/>
      <w:r w:rsidRPr="00C57A68">
        <w:rPr>
          <w:rFonts w:cstheme="minorHAnsi"/>
        </w:rPr>
        <w:t>Tg</w:t>
      </w:r>
      <w:proofErr w:type="spellEnd"/>
      <w:r w:rsidRPr="00C57A68">
        <w:rPr>
          <w:rFonts w:cstheme="minorHAnsi"/>
        </w:rPr>
        <w:t xml:space="preserve"> CO</w:t>
      </w:r>
      <w:r w:rsidRPr="00C57A68">
        <w:rPr>
          <w:rFonts w:cstheme="minorHAnsi"/>
          <w:vertAlign w:val="subscript"/>
        </w:rPr>
        <w:t>2</w:t>
      </w:r>
      <w:r w:rsidRPr="00C57A68">
        <w:rPr>
          <w:rFonts w:cstheme="minorHAnsi"/>
        </w:rPr>
        <w:t>e yr</w:t>
      </w:r>
      <w:r w:rsidRPr="00C57A68">
        <w:rPr>
          <w:rFonts w:cstheme="minorHAnsi"/>
          <w:vertAlign w:val="superscript"/>
        </w:rPr>
        <w:t>-1</w:t>
      </w:r>
      <w:r w:rsidRPr="00C57A68">
        <w:rPr>
          <w:rFonts w:cstheme="minorHAnsi"/>
        </w:rPr>
        <w:t>. From 2012 to 2095, the top 23 emitting countries could account for over 90% of predicted global emissions from mangrove deforestation (Table A3), with four countries (Indonesia, Brazil, Papua New Guinea and Malaysia) accounting for over 50% of all future emissions (Table A3).</w:t>
      </w:r>
    </w:p>
    <w:p w14:paraId="06ED638A" w14:textId="77777777" w:rsidR="00344027" w:rsidRDefault="00344027" w:rsidP="00344027">
      <w:pPr>
        <w:spacing w:line="480" w:lineRule="auto"/>
        <w:rPr>
          <w:rFonts w:cstheme="minorHAnsi"/>
          <w:sz w:val="22"/>
        </w:rPr>
        <w:sectPr w:rsidR="00344027" w:rsidSect="007667E1">
          <w:pgSz w:w="12240" w:h="15840"/>
          <w:pgMar w:top="1440" w:right="1440" w:bottom="1440" w:left="1440" w:header="720" w:footer="720" w:gutter="0"/>
          <w:cols w:space="720"/>
          <w:docGrid w:linePitch="326"/>
        </w:sectPr>
      </w:pPr>
    </w:p>
    <w:tbl>
      <w:tblPr>
        <w:tblpPr w:leftFromText="180" w:rightFromText="180" w:vertAnchor="page" w:horzAnchor="margin" w:tblpY="2192"/>
        <w:tblW w:w="14768" w:type="dxa"/>
        <w:tblLook w:val="04A0" w:firstRow="1" w:lastRow="0" w:firstColumn="1" w:lastColumn="0" w:noHBand="0" w:noVBand="1"/>
      </w:tblPr>
      <w:tblGrid>
        <w:gridCol w:w="2031"/>
        <w:gridCol w:w="1489"/>
        <w:gridCol w:w="1354"/>
        <w:gridCol w:w="1957"/>
        <w:gridCol w:w="2016"/>
        <w:gridCol w:w="1784"/>
        <w:gridCol w:w="2016"/>
        <w:gridCol w:w="2121"/>
      </w:tblGrid>
      <w:tr w:rsidR="00344027" w:rsidRPr="00002B66" w14:paraId="6935D8A5" w14:textId="77777777" w:rsidTr="009A399F">
        <w:trPr>
          <w:trHeight w:val="317"/>
        </w:trPr>
        <w:tc>
          <w:tcPr>
            <w:tcW w:w="2031" w:type="dxa"/>
            <w:vMerge w:val="restart"/>
            <w:tcBorders>
              <w:top w:val="single" w:sz="4" w:space="0" w:color="auto"/>
              <w:left w:val="nil"/>
              <w:bottom w:val="nil"/>
              <w:right w:val="nil"/>
            </w:tcBorders>
            <w:shd w:val="clear" w:color="auto" w:fill="auto"/>
            <w:vAlign w:val="center"/>
            <w:hideMark/>
          </w:tcPr>
          <w:p w14:paraId="5C1053A9" w14:textId="77777777" w:rsidR="00344027" w:rsidRPr="00002B66" w:rsidRDefault="00344027" w:rsidP="009A399F">
            <w:pPr>
              <w:jc w:val="center"/>
              <w:rPr>
                <w:rFonts w:cstheme="minorHAnsi"/>
                <w:b/>
                <w:bCs/>
                <w:color w:val="000000"/>
                <w:sz w:val="20"/>
                <w:szCs w:val="20"/>
              </w:rPr>
            </w:pPr>
            <w:r w:rsidRPr="00002B66">
              <w:rPr>
                <w:rFonts w:cstheme="minorHAnsi"/>
                <w:b/>
                <w:bCs/>
                <w:color w:val="000000"/>
                <w:sz w:val="20"/>
                <w:szCs w:val="20"/>
              </w:rPr>
              <w:lastRenderedPageBreak/>
              <w:t>Country</w:t>
            </w:r>
          </w:p>
        </w:tc>
        <w:tc>
          <w:tcPr>
            <w:tcW w:w="1489" w:type="dxa"/>
            <w:vMerge w:val="restart"/>
            <w:tcBorders>
              <w:top w:val="single" w:sz="4" w:space="0" w:color="auto"/>
              <w:left w:val="nil"/>
              <w:bottom w:val="nil"/>
              <w:right w:val="nil"/>
            </w:tcBorders>
            <w:shd w:val="clear" w:color="auto" w:fill="auto"/>
            <w:vAlign w:val="center"/>
            <w:hideMark/>
          </w:tcPr>
          <w:p w14:paraId="796672E0" w14:textId="77777777" w:rsidR="00344027" w:rsidRPr="00002B66" w:rsidRDefault="00344027" w:rsidP="009A399F">
            <w:pPr>
              <w:jc w:val="center"/>
              <w:rPr>
                <w:rFonts w:cstheme="minorHAnsi"/>
                <w:b/>
                <w:bCs/>
                <w:color w:val="000000"/>
                <w:sz w:val="20"/>
                <w:szCs w:val="20"/>
              </w:rPr>
            </w:pPr>
            <w:r w:rsidRPr="00002B66">
              <w:rPr>
                <w:rFonts w:cstheme="minorHAnsi"/>
                <w:b/>
                <w:bCs/>
                <w:color w:val="000000"/>
                <w:sz w:val="20"/>
                <w:szCs w:val="20"/>
              </w:rPr>
              <w:t>Current Total Soil Sequestration</w:t>
            </w:r>
          </w:p>
          <w:p w14:paraId="6A51FE92" w14:textId="77777777" w:rsidR="00344027" w:rsidRPr="00002B66" w:rsidRDefault="00344027" w:rsidP="009A399F">
            <w:pPr>
              <w:jc w:val="center"/>
              <w:rPr>
                <w:rFonts w:cstheme="minorHAnsi"/>
                <w:b/>
                <w:bCs/>
                <w:color w:val="000000"/>
                <w:sz w:val="20"/>
                <w:szCs w:val="20"/>
              </w:rPr>
            </w:pPr>
            <w:r w:rsidRPr="00002B66">
              <w:rPr>
                <w:rFonts w:cstheme="minorHAnsi"/>
                <w:b/>
                <w:bCs/>
                <w:color w:val="000000"/>
                <w:sz w:val="20"/>
                <w:szCs w:val="20"/>
              </w:rPr>
              <w:t>(</w:t>
            </w:r>
            <w:proofErr w:type="spellStart"/>
            <w:r w:rsidRPr="00002B66">
              <w:rPr>
                <w:rFonts w:cstheme="minorHAnsi"/>
                <w:b/>
                <w:bCs/>
                <w:color w:val="000000"/>
                <w:sz w:val="20"/>
                <w:szCs w:val="20"/>
              </w:rPr>
              <w:t>Tg</w:t>
            </w:r>
            <w:proofErr w:type="spellEnd"/>
            <w:r w:rsidRPr="00002B66">
              <w:rPr>
                <w:rFonts w:cstheme="minorHAnsi"/>
                <w:b/>
                <w:bCs/>
                <w:color w:val="000000"/>
                <w:sz w:val="20"/>
                <w:szCs w:val="20"/>
              </w:rPr>
              <w:t xml:space="preserve"> C yr</w:t>
            </w:r>
            <w:r w:rsidRPr="00002B66">
              <w:rPr>
                <w:rFonts w:cstheme="minorHAnsi"/>
                <w:b/>
                <w:bCs/>
                <w:color w:val="000000"/>
                <w:sz w:val="20"/>
                <w:szCs w:val="20"/>
                <w:vertAlign w:val="superscript"/>
              </w:rPr>
              <w:t>-1</w:t>
            </w:r>
            <w:r w:rsidRPr="00002B66">
              <w:rPr>
                <w:rFonts w:cstheme="minorHAnsi"/>
                <w:b/>
                <w:bCs/>
                <w:color w:val="000000"/>
                <w:sz w:val="20"/>
                <w:szCs w:val="20"/>
              </w:rPr>
              <w:t>)</w:t>
            </w:r>
          </w:p>
        </w:tc>
        <w:tc>
          <w:tcPr>
            <w:tcW w:w="1354" w:type="dxa"/>
            <w:vMerge w:val="restart"/>
            <w:tcBorders>
              <w:top w:val="single" w:sz="4" w:space="0" w:color="auto"/>
              <w:left w:val="nil"/>
              <w:bottom w:val="nil"/>
              <w:right w:val="nil"/>
            </w:tcBorders>
            <w:shd w:val="clear" w:color="auto" w:fill="auto"/>
            <w:vAlign w:val="center"/>
            <w:hideMark/>
          </w:tcPr>
          <w:p w14:paraId="66A02956" w14:textId="77777777" w:rsidR="00344027" w:rsidRPr="00002B66" w:rsidRDefault="00344027" w:rsidP="009A399F">
            <w:pPr>
              <w:jc w:val="center"/>
              <w:rPr>
                <w:rFonts w:cstheme="minorHAnsi"/>
                <w:b/>
                <w:bCs/>
                <w:color w:val="000000"/>
                <w:sz w:val="20"/>
                <w:szCs w:val="20"/>
              </w:rPr>
            </w:pPr>
            <w:r w:rsidRPr="00002B66">
              <w:rPr>
                <w:rFonts w:cstheme="minorHAnsi"/>
                <w:b/>
                <w:bCs/>
                <w:color w:val="000000"/>
                <w:sz w:val="20"/>
                <w:szCs w:val="20"/>
              </w:rPr>
              <w:t xml:space="preserve">% </w:t>
            </w:r>
            <w:proofErr w:type="gramStart"/>
            <w:r w:rsidRPr="00002B66">
              <w:rPr>
                <w:rFonts w:cstheme="minorHAnsi"/>
                <w:b/>
                <w:bCs/>
                <w:color w:val="000000"/>
                <w:sz w:val="20"/>
                <w:szCs w:val="20"/>
              </w:rPr>
              <w:t>of</w:t>
            </w:r>
            <w:proofErr w:type="gramEnd"/>
            <w:r w:rsidRPr="00002B66">
              <w:rPr>
                <w:rFonts w:cstheme="minorHAnsi"/>
                <w:b/>
                <w:bCs/>
                <w:color w:val="000000"/>
                <w:sz w:val="20"/>
                <w:szCs w:val="20"/>
              </w:rPr>
              <w:t xml:space="preserve"> Global Total</w:t>
            </w:r>
          </w:p>
        </w:tc>
        <w:tc>
          <w:tcPr>
            <w:tcW w:w="1957" w:type="dxa"/>
            <w:vMerge w:val="restart"/>
            <w:tcBorders>
              <w:top w:val="single" w:sz="4" w:space="0" w:color="auto"/>
              <w:left w:val="nil"/>
              <w:bottom w:val="nil"/>
              <w:right w:val="nil"/>
            </w:tcBorders>
            <w:shd w:val="clear" w:color="auto" w:fill="auto"/>
            <w:vAlign w:val="center"/>
            <w:hideMark/>
          </w:tcPr>
          <w:p w14:paraId="295EC393" w14:textId="77777777" w:rsidR="00344027" w:rsidRPr="00002B66" w:rsidRDefault="00344027" w:rsidP="009A399F">
            <w:pPr>
              <w:jc w:val="center"/>
              <w:rPr>
                <w:rFonts w:cstheme="minorHAnsi"/>
                <w:b/>
                <w:bCs/>
                <w:color w:val="000000"/>
                <w:sz w:val="20"/>
                <w:szCs w:val="20"/>
              </w:rPr>
            </w:pPr>
            <w:r w:rsidRPr="00002B66">
              <w:rPr>
                <w:rFonts w:cstheme="minorHAnsi"/>
                <w:b/>
                <w:bCs/>
                <w:color w:val="000000"/>
                <w:sz w:val="20"/>
                <w:szCs w:val="20"/>
              </w:rPr>
              <w:t>Global Cumulative %</w:t>
            </w:r>
          </w:p>
        </w:tc>
        <w:tc>
          <w:tcPr>
            <w:tcW w:w="3800" w:type="dxa"/>
            <w:gridSpan w:val="2"/>
            <w:tcBorders>
              <w:top w:val="single" w:sz="4" w:space="0" w:color="auto"/>
              <w:left w:val="nil"/>
              <w:bottom w:val="single" w:sz="4" w:space="0" w:color="auto"/>
              <w:right w:val="nil"/>
            </w:tcBorders>
            <w:shd w:val="clear" w:color="auto" w:fill="auto"/>
            <w:vAlign w:val="center"/>
            <w:hideMark/>
          </w:tcPr>
          <w:p w14:paraId="3381B77E" w14:textId="77777777" w:rsidR="00344027" w:rsidRPr="00002B66" w:rsidRDefault="00344027" w:rsidP="009A399F">
            <w:pPr>
              <w:jc w:val="center"/>
              <w:rPr>
                <w:rFonts w:cstheme="minorHAnsi"/>
                <w:b/>
                <w:bCs/>
                <w:color w:val="000000"/>
                <w:sz w:val="20"/>
                <w:szCs w:val="20"/>
              </w:rPr>
            </w:pPr>
            <w:r w:rsidRPr="00002B66">
              <w:rPr>
                <w:rFonts w:cstheme="minorHAnsi"/>
                <w:b/>
                <w:bCs/>
                <w:color w:val="000000"/>
                <w:sz w:val="20"/>
                <w:szCs w:val="20"/>
              </w:rPr>
              <w:t>SSP245</w:t>
            </w:r>
          </w:p>
        </w:tc>
        <w:tc>
          <w:tcPr>
            <w:tcW w:w="4137" w:type="dxa"/>
            <w:gridSpan w:val="2"/>
            <w:tcBorders>
              <w:top w:val="single" w:sz="4" w:space="0" w:color="auto"/>
              <w:left w:val="nil"/>
              <w:bottom w:val="single" w:sz="4" w:space="0" w:color="auto"/>
              <w:right w:val="nil"/>
            </w:tcBorders>
            <w:shd w:val="clear" w:color="auto" w:fill="auto"/>
            <w:vAlign w:val="center"/>
            <w:hideMark/>
          </w:tcPr>
          <w:p w14:paraId="1269357E" w14:textId="77777777" w:rsidR="00344027" w:rsidRPr="00002B66" w:rsidRDefault="00344027" w:rsidP="009A399F">
            <w:pPr>
              <w:jc w:val="center"/>
              <w:rPr>
                <w:rFonts w:cstheme="minorHAnsi"/>
                <w:b/>
                <w:bCs/>
                <w:color w:val="000000"/>
                <w:sz w:val="20"/>
                <w:szCs w:val="20"/>
              </w:rPr>
            </w:pPr>
            <w:r w:rsidRPr="00002B66">
              <w:rPr>
                <w:rFonts w:cstheme="minorHAnsi"/>
                <w:b/>
                <w:bCs/>
                <w:color w:val="000000"/>
                <w:sz w:val="20"/>
                <w:szCs w:val="20"/>
              </w:rPr>
              <w:t>SSP585</w:t>
            </w:r>
          </w:p>
        </w:tc>
      </w:tr>
      <w:tr w:rsidR="00344027" w:rsidRPr="00002B66" w14:paraId="2B785882" w14:textId="77777777" w:rsidTr="009A399F">
        <w:trPr>
          <w:trHeight w:val="951"/>
        </w:trPr>
        <w:tc>
          <w:tcPr>
            <w:tcW w:w="2031" w:type="dxa"/>
            <w:vMerge/>
            <w:tcBorders>
              <w:top w:val="single" w:sz="4" w:space="0" w:color="auto"/>
              <w:left w:val="nil"/>
              <w:bottom w:val="single" w:sz="4" w:space="0" w:color="auto"/>
              <w:right w:val="nil"/>
            </w:tcBorders>
            <w:vAlign w:val="center"/>
            <w:hideMark/>
          </w:tcPr>
          <w:p w14:paraId="51C522C8" w14:textId="77777777" w:rsidR="00344027" w:rsidRPr="00002B66" w:rsidRDefault="00344027" w:rsidP="009A399F">
            <w:pPr>
              <w:rPr>
                <w:rFonts w:cstheme="minorHAnsi"/>
                <w:b/>
                <w:bCs/>
                <w:color w:val="000000"/>
                <w:sz w:val="20"/>
                <w:szCs w:val="20"/>
              </w:rPr>
            </w:pPr>
          </w:p>
        </w:tc>
        <w:tc>
          <w:tcPr>
            <w:tcW w:w="1489" w:type="dxa"/>
            <w:vMerge/>
            <w:tcBorders>
              <w:top w:val="single" w:sz="4" w:space="0" w:color="auto"/>
              <w:left w:val="nil"/>
              <w:bottom w:val="single" w:sz="4" w:space="0" w:color="auto"/>
              <w:right w:val="nil"/>
            </w:tcBorders>
            <w:vAlign w:val="center"/>
            <w:hideMark/>
          </w:tcPr>
          <w:p w14:paraId="12D441A1" w14:textId="77777777" w:rsidR="00344027" w:rsidRPr="00002B66" w:rsidRDefault="00344027" w:rsidP="009A399F">
            <w:pPr>
              <w:rPr>
                <w:rFonts w:cstheme="minorHAnsi"/>
                <w:b/>
                <w:bCs/>
                <w:color w:val="000000"/>
                <w:sz w:val="20"/>
                <w:szCs w:val="20"/>
              </w:rPr>
            </w:pPr>
          </w:p>
        </w:tc>
        <w:tc>
          <w:tcPr>
            <w:tcW w:w="1354" w:type="dxa"/>
            <w:vMerge/>
            <w:tcBorders>
              <w:top w:val="single" w:sz="4" w:space="0" w:color="auto"/>
              <w:left w:val="nil"/>
              <w:bottom w:val="single" w:sz="4" w:space="0" w:color="auto"/>
              <w:right w:val="nil"/>
            </w:tcBorders>
            <w:vAlign w:val="center"/>
            <w:hideMark/>
          </w:tcPr>
          <w:p w14:paraId="73E67156" w14:textId="77777777" w:rsidR="00344027" w:rsidRPr="00002B66" w:rsidRDefault="00344027" w:rsidP="009A399F">
            <w:pPr>
              <w:rPr>
                <w:rFonts w:cstheme="minorHAnsi"/>
                <w:b/>
                <w:bCs/>
                <w:color w:val="000000"/>
                <w:sz w:val="20"/>
                <w:szCs w:val="20"/>
              </w:rPr>
            </w:pPr>
          </w:p>
        </w:tc>
        <w:tc>
          <w:tcPr>
            <w:tcW w:w="1957" w:type="dxa"/>
            <w:vMerge/>
            <w:tcBorders>
              <w:top w:val="single" w:sz="4" w:space="0" w:color="auto"/>
              <w:left w:val="nil"/>
              <w:bottom w:val="single" w:sz="4" w:space="0" w:color="auto"/>
              <w:right w:val="nil"/>
            </w:tcBorders>
            <w:vAlign w:val="center"/>
            <w:hideMark/>
          </w:tcPr>
          <w:p w14:paraId="6A96E4C1" w14:textId="77777777" w:rsidR="00344027" w:rsidRPr="00002B66" w:rsidRDefault="00344027" w:rsidP="009A399F">
            <w:pPr>
              <w:rPr>
                <w:rFonts w:cstheme="minorHAnsi"/>
                <w:b/>
                <w:bCs/>
                <w:color w:val="000000"/>
                <w:sz w:val="20"/>
                <w:szCs w:val="20"/>
              </w:rPr>
            </w:pPr>
          </w:p>
        </w:tc>
        <w:tc>
          <w:tcPr>
            <w:tcW w:w="2016" w:type="dxa"/>
            <w:tcBorders>
              <w:top w:val="nil"/>
              <w:left w:val="nil"/>
              <w:bottom w:val="single" w:sz="4" w:space="0" w:color="auto"/>
              <w:right w:val="nil"/>
            </w:tcBorders>
            <w:shd w:val="clear" w:color="auto" w:fill="auto"/>
            <w:vAlign w:val="center"/>
            <w:hideMark/>
          </w:tcPr>
          <w:p w14:paraId="39D2AB56" w14:textId="77777777" w:rsidR="00344027" w:rsidRPr="00002B66" w:rsidRDefault="00344027" w:rsidP="009A399F">
            <w:pPr>
              <w:jc w:val="center"/>
              <w:rPr>
                <w:rFonts w:cstheme="minorHAnsi"/>
                <w:b/>
                <w:bCs/>
                <w:color w:val="000000"/>
                <w:sz w:val="20"/>
                <w:szCs w:val="20"/>
              </w:rPr>
            </w:pPr>
            <w:r w:rsidRPr="00002B66">
              <w:rPr>
                <w:rFonts w:cstheme="minorHAnsi"/>
                <w:b/>
                <w:bCs/>
                <w:color w:val="000000"/>
                <w:sz w:val="20"/>
                <w:szCs w:val="20"/>
              </w:rPr>
              <w:t>Potential Change in Soil Sequestration (</w:t>
            </w:r>
            <w:proofErr w:type="spellStart"/>
            <w:r w:rsidRPr="00002B66">
              <w:rPr>
                <w:rFonts w:cstheme="minorHAnsi"/>
                <w:b/>
                <w:bCs/>
                <w:color w:val="000000"/>
                <w:sz w:val="20"/>
                <w:szCs w:val="20"/>
              </w:rPr>
              <w:t>Tg</w:t>
            </w:r>
            <w:proofErr w:type="spellEnd"/>
            <w:r w:rsidRPr="00002B66">
              <w:rPr>
                <w:rFonts w:cstheme="minorHAnsi"/>
                <w:b/>
                <w:bCs/>
                <w:color w:val="000000"/>
                <w:sz w:val="20"/>
                <w:szCs w:val="20"/>
              </w:rPr>
              <w:t xml:space="preserve"> C yr</w:t>
            </w:r>
            <w:r w:rsidRPr="00002B66">
              <w:rPr>
                <w:rFonts w:cstheme="minorHAnsi"/>
                <w:b/>
                <w:bCs/>
                <w:color w:val="000000"/>
                <w:sz w:val="20"/>
                <w:szCs w:val="20"/>
                <w:vertAlign w:val="superscript"/>
              </w:rPr>
              <w:t>-1</w:t>
            </w:r>
            <w:r w:rsidRPr="00002B66">
              <w:rPr>
                <w:rFonts w:cstheme="minorHAnsi"/>
                <w:b/>
                <w:bCs/>
                <w:color w:val="000000"/>
                <w:sz w:val="20"/>
                <w:szCs w:val="20"/>
              </w:rPr>
              <w:t>)</w:t>
            </w:r>
          </w:p>
        </w:tc>
        <w:tc>
          <w:tcPr>
            <w:tcW w:w="1784" w:type="dxa"/>
            <w:tcBorders>
              <w:top w:val="nil"/>
              <w:left w:val="nil"/>
              <w:bottom w:val="single" w:sz="4" w:space="0" w:color="auto"/>
              <w:right w:val="nil"/>
            </w:tcBorders>
            <w:shd w:val="clear" w:color="auto" w:fill="auto"/>
            <w:vAlign w:val="center"/>
            <w:hideMark/>
          </w:tcPr>
          <w:p w14:paraId="6203D94F" w14:textId="77777777" w:rsidR="00344027" w:rsidRPr="00002B66" w:rsidRDefault="00344027" w:rsidP="009A399F">
            <w:pPr>
              <w:jc w:val="center"/>
              <w:rPr>
                <w:rFonts w:cstheme="minorHAnsi"/>
                <w:b/>
                <w:bCs/>
                <w:color w:val="000000"/>
                <w:sz w:val="20"/>
                <w:szCs w:val="20"/>
              </w:rPr>
            </w:pPr>
            <w:r w:rsidRPr="00002B66">
              <w:rPr>
                <w:rFonts w:cstheme="minorHAnsi"/>
                <w:b/>
                <w:bCs/>
                <w:color w:val="000000"/>
                <w:sz w:val="20"/>
                <w:szCs w:val="20"/>
              </w:rPr>
              <w:t xml:space="preserve">% </w:t>
            </w:r>
            <w:proofErr w:type="gramStart"/>
            <w:r w:rsidRPr="00002B66">
              <w:rPr>
                <w:rFonts w:cstheme="minorHAnsi"/>
                <w:b/>
                <w:bCs/>
                <w:color w:val="000000"/>
                <w:sz w:val="20"/>
                <w:szCs w:val="20"/>
              </w:rPr>
              <w:t>of</w:t>
            </w:r>
            <w:proofErr w:type="gramEnd"/>
            <w:r w:rsidRPr="00002B66">
              <w:rPr>
                <w:rFonts w:cstheme="minorHAnsi"/>
                <w:b/>
                <w:bCs/>
                <w:color w:val="000000"/>
                <w:sz w:val="20"/>
                <w:szCs w:val="20"/>
              </w:rPr>
              <w:t xml:space="preserve"> Total Country Change</w:t>
            </w:r>
          </w:p>
        </w:tc>
        <w:tc>
          <w:tcPr>
            <w:tcW w:w="2016" w:type="dxa"/>
            <w:tcBorders>
              <w:top w:val="nil"/>
              <w:left w:val="nil"/>
              <w:bottom w:val="single" w:sz="4" w:space="0" w:color="auto"/>
              <w:right w:val="nil"/>
            </w:tcBorders>
            <w:shd w:val="clear" w:color="auto" w:fill="auto"/>
            <w:vAlign w:val="center"/>
            <w:hideMark/>
          </w:tcPr>
          <w:p w14:paraId="48B48816" w14:textId="77777777" w:rsidR="00344027" w:rsidRPr="00002B66" w:rsidRDefault="00344027" w:rsidP="009A399F">
            <w:pPr>
              <w:jc w:val="center"/>
              <w:rPr>
                <w:rFonts w:cstheme="minorHAnsi"/>
                <w:b/>
                <w:bCs/>
                <w:color w:val="000000"/>
                <w:sz w:val="20"/>
                <w:szCs w:val="20"/>
              </w:rPr>
            </w:pPr>
            <w:r w:rsidRPr="00002B66">
              <w:rPr>
                <w:rFonts w:cstheme="minorHAnsi"/>
                <w:b/>
                <w:bCs/>
                <w:color w:val="000000"/>
                <w:sz w:val="20"/>
                <w:szCs w:val="20"/>
              </w:rPr>
              <w:t>Potential Change in Soil Sequestration (</w:t>
            </w:r>
            <w:proofErr w:type="spellStart"/>
            <w:r w:rsidRPr="00002B66">
              <w:rPr>
                <w:rFonts w:cstheme="minorHAnsi"/>
                <w:b/>
                <w:bCs/>
                <w:color w:val="000000"/>
                <w:sz w:val="20"/>
                <w:szCs w:val="20"/>
              </w:rPr>
              <w:t>Tg</w:t>
            </w:r>
            <w:proofErr w:type="spellEnd"/>
            <w:r w:rsidRPr="00002B66">
              <w:rPr>
                <w:rFonts w:cstheme="minorHAnsi"/>
                <w:b/>
                <w:bCs/>
                <w:color w:val="000000"/>
                <w:sz w:val="20"/>
                <w:szCs w:val="20"/>
              </w:rPr>
              <w:t xml:space="preserve"> C yr</w:t>
            </w:r>
            <w:r w:rsidRPr="00002B66">
              <w:rPr>
                <w:rFonts w:cstheme="minorHAnsi"/>
                <w:b/>
                <w:bCs/>
                <w:color w:val="000000"/>
                <w:sz w:val="20"/>
                <w:szCs w:val="20"/>
                <w:vertAlign w:val="superscript"/>
              </w:rPr>
              <w:t>-1</w:t>
            </w:r>
            <w:r w:rsidRPr="00002B66">
              <w:rPr>
                <w:rFonts w:cstheme="minorHAnsi"/>
                <w:b/>
                <w:bCs/>
                <w:color w:val="000000"/>
                <w:sz w:val="20"/>
                <w:szCs w:val="20"/>
              </w:rPr>
              <w:t>)</w:t>
            </w:r>
          </w:p>
        </w:tc>
        <w:tc>
          <w:tcPr>
            <w:tcW w:w="2121" w:type="dxa"/>
            <w:tcBorders>
              <w:top w:val="nil"/>
              <w:left w:val="nil"/>
              <w:bottom w:val="single" w:sz="4" w:space="0" w:color="auto"/>
              <w:right w:val="nil"/>
            </w:tcBorders>
            <w:shd w:val="clear" w:color="auto" w:fill="auto"/>
            <w:vAlign w:val="center"/>
            <w:hideMark/>
          </w:tcPr>
          <w:p w14:paraId="50D58C68" w14:textId="77777777" w:rsidR="00344027" w:rsidRPr="00002B66" w:rsidRDefault="00344027" w:rsidP="009A399F">
            <w:pPr>
              <w:jc w:val="center"/>
              <w:rPr>
                <w:rFonts w:cstheme="minorHAnsi"/>
                <w:b/>
                <w:bCs/>
                <w:color w:val="000000"/>
                <w:sz w:val="20"/>
                <w:szCs w:val="20"/>
              </w:rPr>
            </w:pPr>
            <w:r w:rsidRPr="00002B66">
              <w:rPr>
                <w:rFonts w:cstheme="minorHAnsi"/>
                <w:b/>
                <w:bCs/>
                <w:color w:val="000000"/>
                <w:sz w:val="20"/>
                <w:szCs w:val="20"/>
              </w:rPr>
              <w:t xml:space="preserve">% </w:t>
            </w:r>
            <w:proofErr w:type="gramStart"/>
            <w:r w:rsidRPr="00002B66">
              <w:rPr>
                <w:rFonts w:cstheme="minorHAnsi"/>
                <w:b/>
                <w:bCs/>
                <w:color w:val="000000"/>
                <w:sz w:val="20"/>
                <w:szCs w:val="20"/>
              </w:rPr>
              <w:t>of</w:t>
            </w:r>
            <w:proofErr w:type="gramEnd"/>
            <w:r w:rsidRPr="00002B66">
              <w:rPr>
                <w:rFonts w:cstheme="minorHAnsi"/>
                <w:b/>
                <w:bCs/>
                <w:color w:val="000000"/>
                <w:sz w:val="20"/>
                <w:szCs w:val="20"/>
              </w:rPr>
              <w:t xml:space="preserve"> Total Country Change</w:t>
            </w:r>
          </w:p>
        </w:tc>
      </w:tr>
      <w:tr w:rsidR="00344027" w:rsidRPr="00002B66" w14:paraId="4A840B15" w14:textId="77777777" w:rsidTr="009A399F">
        <w:trPr>
          <w:trHeight w:val="317"/>
        </w:trPr>
        <w:tc>
          <w:tcPr>
            <w:tcW w:w="2031" w:type="dxa"/>
            <w:tcBorders>
              <w:top w:val="single" w:sz="4" w:space="0" w:color="auto"/>
              <w:left w:val="nil"/>
              <w:bottom w:val="nil"/>
              <w:right w:val="nil"/>
            </w:tcBorders>
            <w:shd w:val="clear" w:color="auto" w:fill="auto"/>
            <w:noWrap/>
            <w:vAlign w:val="center"/>
            <w:hideMark/>
          </w:tcPr>
          <w:p w14:paraId="42E84E31"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Indonesia</w:t>
            </w:r>
          </w:p>
        </w:tc>
        <w:tc>
          <w:tcPr>
            <w:tcW w:w="1489" w:type="dxa"/>
            <w:tcBorders>
              <w:top w:val="single" w:sz="4" w:space="0" w:color="auto"/>
              <w:left w:val="nil"/>
              <w:bottom w:val="nil"/>
              <w:right w:val="nil"/>
            </w:tcBorders>
            <w:shd w:val="clear" w:color="auto" w:fill="auto"/>
            <w:noWrap/>
            <w:vAlign w:val="center"/>
            <w:hideMark/>
          </w:tcPr>
          <w:p w14:paraId="650C74E8"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4.34 ± 0.19</w:t>
            </w:r>
          </w:p>
        </w:tc>
        <w:tc>
          <w:tcPr>
            <w:tcW w:w="1354" w:type="dxa"/>
            <w:tcBorders>
              <w:top w:val="single" w:sz="4" w:space="0" w:color="auto"/>
              <w:left w:val="nil"/>
              <w:bottom w:val="nil"/>
              <w:right w:val="nil"/>
            </w:tcBorders>
            <w:shd w:val="clear" w:color="auto" w:fill="auto"/>
            <w:noWrap/>
            <w:vAlign w:val="center"/>
            <w:hideMark/>
          </w:tcPr>
          <w:p w14:paraId="29EDD095"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23.72 ± 0.09</w:t>
            </w:r>
          </w:p>
        </w:tc>
        <w:tc>
          <w:tcPr>
            <w:tcW w:w="1957" w:type="dxa"/>
            <w:tcBorders>
              <w:top w:val="single" w:sz="4" w:space="0" w:color="auto"/>
              <w:left w:val="nil"/>
              <w:bottom w:val="nil"/>
              <w:right w:val="nil"/>
            </w:tcBorders>
            <w:shd w:val="clear" w:color="auto" w:fill="auto"/>
            <w:noWrap/>
            <w:vAlign w:val="center"/>
            <w:hideMark/>
          </w:tcPr>
          <w:p w14:paraId="2367B7FA"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23.72 ± 0.09</w:t>
            </w:r>
          </w:p>
        </w:tc>
        <w:tc>
          <w:tcPr>
            <w:tcW w:w="2016" w:type="dxa"/>
            <w:tcBorders>
              <w:top w:val="single" w:sz="4" w:space="0" w:color="auto"/>
              <w:left w:val="nil"/>
              <w:bottom w:val="nil"/>
              <w:right w:val="nil"/>
            </w:tcBorders>
            <w:shd w:val="clear" w:color="auto" w:fill="auto"/>
            <w:noWrap/>
            <w:vAlign w:val="center"/>
            <w:hideMark/>
          </w:tcPr>
          <w:p w14:paraId="5D09AF1C"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-0.08 ± 0.14*</w:t>
            </w:r>
          </w:p>
        </w:tc>
        <w:tc>
          <w:tcPr>
            <w:tcW w:w="1784" w:type="dxa"/>
            <w:tcBorders>
              <w:top w:val="single" w:sz="4" w:space="0" w:color="auto"/>
              <w:left w:val="nil"/>
              <w:bottom w:val="nil"/>
              <w:right w:val="nil"/>
            </w:tcBorders>
            <w:shd w:val="clear" w:color="auto" w:fill="auto"/>
            <w:noWrap/>
            <w:vAlign w:val="center"/>
            <w:hideMark/>
          </w:tcPr>
          <w:p w14:paraId="578FB557"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-1.95 ± 3.29</w:t>
            </w:r>
          </w:p>
        </w:tc>
        <w:tc>
          <w:tcPr>
            <w:tcW w:w="2016" w:type="dxa"/>
            <w:tcBorders>
              <w:top w:val="single" w:sz="4" w:space="0" w:color="auto"/>
              <w:left w:val="nil"/>
              <w:bottom w:val="nil"/>
              <w:right w:val="nil"/>
            </w:tcBorders>
            <w:shd w:val="clear" w:color="auto" w:fill="auto"/>
            <w:noWrap/>
            <w:vAlign w:val="center"/>
            <w:hideMark/>
          </w:tcPr>
          <w:p w14:paraId="3F2CA139"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-0.37 ± 0.14</w:t>
            </w:r>
          </w:p>
        </w:tc>
        <w:tc>
          <w:tcPr>
            <w:tcW w:w="2121" w:type="dxa"/>
            <w:tcBorders>
              <w:top w:val="single" w:sz="4" w:space="0" w:color="auto"/>
              <w:left w:val="nil"/>
              <w:bottom w:val="nil"/>
              <w:right w:val="nil"/>
            </w:tcBorders>
            <w:shd w:val="clear" w:color="auto" w:fill="auto"/>
            <w:noWrap/>
            <w:vAlign w:val="center"/>
            <w:hideMark/>
          </w:tcPr>
          <w:p w14:paraId="2E31E0A6"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-8.55 ± 3.26</w:t>
            </w:r>
          </w:p>
        </w:tc>
      </w:tr>
      <w:tr w:rsidR="00344027" w:rsidRPr="00002B66" w14:paraId="50E8852F" w14:textId="77777777" w:rsidTr="009A399F">
        <w:trPr>
          <w:trHeight w:val="317"/>
        </w:trPr>
        <w:tc>
          <w:tcPr>
            <w:tcW w:w="2031" w:type="dxa"/>
            <w:tcBorders>
              <w:top w:val="nil"/>
              <w:left w:val="nil"/>
              <w:bottom w:val="nil"/>
              <w:right w:val="nil"/>
            </w:tcBorders>
            <w:shd w:val="clear" w:color="auto" w:fill="auto"/>
            <w:noWrap/>
            <w:vAlign w:val="center"/>
            <w:hideMark/>
          </w:tcPr>
          <w:p w14:paraId="46AA091C"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Australia</w:t>
            </w:r>
          </w:p>
        </w:tc>
        <w:tc>
          <w:tcPr>
            <w:tcW w:w="1489" w:type="dxa"/>
            <w:tcBorders>
              <w:top w:val="nil"/>
              <w:left w:val="nil"/>
              <w:bottom w:val="nil"/>
              <w:right w:val="nil"/>
            </w:tcBorders>
            <w:shd w:val="clear" w:color="auto" w:fill="auto"/>
            <w:noWrap/>
            <w:vAlign w:val="center"/>
            <w:hideMark/>
          </w:tcPr>
          <w:p w14:paraId="042C40E8"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1.43 ± 0.08</w:t>
            </w:r>
          </w:p>
        </w:tc>
        <w:tc>
          <w:tcPr>
            <w:tcW w:w="1354" w:type="dxa"/>
            <w:tcBorders>
              <w:top w:val="nil"/>
              <w:left w:val="nil"/>
              <w:bottom w:val="nil"/>
              <w:right w:val="nil"/>
            </w:tcBorders>
            <w:shd w:val="clear" w:color="auto" w:fill="auto"/>
            <w:noWrap/>
            <w:vAlign w:val="center"/>
            <w:hideMark/>
          </w:tcPr>
          <w:p w14:paraId="30C2AD91"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7.80 ± 0.04</w:t>
            </w:r>
          </w:p>
        </w:tc>
        <w:tc>
          <w:tcPr>
            <w:tcW w:w="1957" w:type="dxa"/>
            <w:tcBorders>
              <w:top w:val="nil"/>
              <w:left w:val="nil"/>
              <w:bottom w:val="nil"/>
              <w:right w:val="nil"/>
            </w:tcBorders>
            <w:shd w:val="clear" w:color="auto" w:fill="auto"/>
            <w:noWrap/>
            <w:vAlign w:val="center"/>
            <w:hideMark/>
          </w:tcPr>
          <w:p w14:paraId="378970BD"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31.51 ± 0.15</w:t>
            </w:r>
          </w:p>
        </w:tc>
        <w:tc>
          <w:tcPr>
            <w:tcW w:w="2016" w:type="dxa"/>
            <w:tcBorders>
              <w:top w:val="nil"/>
              <w:left w:val="nil"/>
              <w:bottom w:val="nil"/>
              <w:right w:val="nil"/>
            </w:tcBorders>
            <w:shd w:val="clear" w:color="auto" w:fill="auto"/>
            <w:noWrap/>
            <w:vAlign w:val="center"/>
            <w:hideMark/>
          </w:tcPr>
          <w:p w14:paraId="2EB6CD11"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0.03 ± 0.06*</w:t>
            </w:r>
          </w:p>
        </w:tc>
        <w:tc>
          <w:tcPr>
            <w:tcW w:w="1784" w:type="dxa"/>
            <w:tcBorders>
              <w:top w:val="nil"/>
              <w:left w:val="nil"/>
              <w:bottom w:val="nil"/>
              <w:right w:val="nil"/>
            </w:tcBorders>
            <w:shd w:val="clear" w:color="auto" w:fill="auto"/>
            <w:noWrap/>
            <w:vAlign w:val="center"/>
            <w:hideMark/>
          </w:tcPr>
          <w:p w14:paraId="35E5C6D0"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2.29 ± 4.06</w:t>
            </w:r>
          </w:p>
        </w:tc>
        <w:tc>
          <w:tcPr>
            <w:tcW w:w="2016" w:type="dxa"/>
            <w:tcBorders>
              <w:top w:val="nil"/>
              <w:left w:val="nil"/>
              <w:bottom w:val="nil"/>
              <w:right w:val="nil"/>
            </w:tcBorders>
            <w:shd w:val="clear" w:color="auto" w:fill="auto"/>
            <w:noWrap/>
            <w:vAlign w:val="center"/>
            <w:hideMark/>
          </w:tcPr>
          <w:p w14:paraId="4B08F7E6"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0.05 ± 0.06*</w:t>
            </w:r>
          </w:p>
        </w:tc>
        <w:tc>
          <w:tcPr>
            <w:tcW w:w="2121" w:type="dxa"/>
            <w:tcBorders>
              <w:top w:val="nil"/>
              <w:left w:val="nil"/>
              <w:bottom w:val="nil"/>
              <w:right w:val="nil"/>
            </w:tcBorders>
            <w:shd w:val="clear" w:color="auto" w:fill="auto"/>
            <w:noWrap/>
            <w:vAlign w:val="center"/>
            <w:hideMark/>
          </w:tcPr>
          <w:p w14:paraId="321B0055"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3.44 ± 4.18</w:t>
            </w:r>
          </w:p>
        </w:tc>
      </w:tr>
      <w:tr w:rsidR="00344027" w:rsidRPr="00002B66" w14:paraId="50CE818D" w14:textId="77777777" w:rsidTr="009A399F">
        <w:trPr>
          <w:trHeight w:val="317"/>
        </w:trPr>
        <w:tc>
          <w:tcPr>
            <w:tcW w:w="2031" w:type="dxa"/>
            <w:tcBorders>
              <w:top w:val="nil"/>
              <w:left w:val="nil"/>
              <w:bottom w:val="nil"/>
              <w:right w:val="nil"/>
            </w:tcBorders>
            <w:shd w:val="clear" w:color="auto" w:fill="auto"/>
            <w:noWrap/>
            <w:vAlign w:val="center"/>
            <w:hideMark/>
          </w:tcPr>
          <w:p w14:paraId="034A40C8"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Philippines</w:t>
            </w:r>
          </w:p>
        </w:tc>
        <w:tc>
          <w:tcPr>
            <w:tcW w:w="1489" w:type="dxa"/>
            <w:tcBorders>
              <w:top w:val="nil"/>
              <w:left w:val="nil"/>
              <w:bottom w:val="nil"/>
              <w:right w:val="nil"/>
            </w:tcBorders>
            <w:shd w:val="clear" w:color="auto" w:fill="auto"/>
            <w:noWrap/>
            <w:vAlign w:val="center"/>
            <w:hideMark/>
          </w:tcPr>
          <w:p w14:paraId="52A3F0ED"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1.20 ± 0.06</w:t>
            </w:r>
          </w:p>
        </w:tc>
        <w:tc>
          <w:tcPr>
            <w:tcW w:w="1354" w:type="dxa"/>
            <w:tcBorders>
              <w:top w:val="nil"/>
              <w:left w:val="nil"/>
              <w:bottom w:val="nil"/>
              <w:right w:val="nil"/>
            </w:tcBorders>
            <w:shd w:val="clear" w:color="auto" w:fill="auto"/>
            <w:noWrap/>
            <w:vAlign w:val="center"/>
            <w:hideMark/>
          </w:tcPr>
          <w:p w14:paraId="765E9DBF"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6.56 ± 0.01</w:t>
            </w:r>
          </w:p>
        </w:tc>
        <w:tc>
          <w:tcPr>
            <w:tcW w:w="1957" w:type="dxa"/>
            <w:tcBorders>
              <w:top w:val="nil"/>
              <w:left w:val="nil"/>
              <w:bottom w:val="nil"/>
              <w:right w:val="nil"/>
            </w:tcBorders>
            <w:shd w:val="clear" w:color="auto" w:fill="auto"/>
            <w:noWrap/>
            <w:vAlign w:val="center"/>
            <w:hideMark/>
          </w:tcPr>
          <w:p w14:paraId="26D69D94"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38.06 ± 0.23</w:t>
            </w:r>
          </w:p>
        </w:tc>
        <w:tc>
          <w:tcPr>
            <w:tcW w:w="2016" w:type="dxa"/>
            <w:tcBorders>
              <w:top w:val="nil"/>
              <w:left w:val="nil"/>
              <w:bottom w:val="nil"/>
              <w:right w:val="nil"/>
            </w:tcBorders>
            <w:shd w:val="clear" w:color="auto" w:fill="auto"/>
            <w:noWrap/>
            <w:vAlign w:val="center"/>
            <w:hideMark/>
          </w:tcPr>
          <w:p w14:paraId="1267ED8B"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-0.08 ± 0.04*</w:t>
            </w:r>
          </w:p>
        </w:tc>
        <w:tc>
          <w:tcPr>
            <w:tcW w:w="1784" w:type="dxa"/>
            <w:tcBorders>
              <w:top w:val="nil"/>
              <w:left w:val="nil"/>
              <w:bottom w:val="nil"/>
              <w:right w:val="nil"/>
            </w:tcBorders>
            <w:shd w:val="clear" w:color="auto" w:fill="auto"/>
            <w:noWrap/>
            <w:vAlign w:val="center"/>
            <w:hideMark/>
          </w:tcPr>
          <w:p w14:paraId="38109881"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-6.53 ± 3.35</w:t>
            </w:r>
          </w:p>
        </w:tc>
        <w:tc>
          <w:tcPr>
            <w:tcW w:w="2016" w:type="dxa"/>
            <w:tcBorders>
              <w:top w:val="nil"/>
              <w:left w:val="nil"/>
              <w:bottom w:val="nil"/>
              <w:right w:val="nil"/>
            </w:tcBorders>
            <w:shd w:val="clear" w:color="auto" w:fill="auto"/>
            <w:noWrap/>
            <w:vAlign w:val="center"/>
            <w:hideMark/>
          </w:tcPr>
          <w:p w14:paraId="6FB770BD"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-0.09 ± 0.04</w:t>
            </w:r>
          </w:p>
        </w:tc>
        <w:tc>
          <w:tcPr>
            <w:tcW w:w="2121" w:type="dxa"/>
            <w:tcBorders>
              <w:top w:val="nil"/>
              <w:left w:val="nil"/>
              <w:bottom w:val="nil"/>
              <w:right w:val="nil"/>
            </w:tcBorders>
            <w:shd w:val="clear" w:color="auto" w:fill="auto"/>
            <w:noWrap/>
            <w:vAlign w:val="center"/>
            <w:hideMark/>
          </w:tcPr>
          <w:p w14:paraId="6B6D07BB"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-7.55 ± 3.38</w:t>
            </w:r>
          </w:p>
        </w:tc>
      </w:tr>
      <w:tr w:rsidR="00344027" w:rsidRPr="00002B66" w14:paraId="20B29D8D" w14:textId="77777777" w:rsidTr="009A399F">
        <w:trPr>
          <w:trHeight w:val="317"/>
        </w:trPr>
        <w:tc>
          <w:tcPr>
            <w:tcW w:w="2031" w:type="dxa"/>
            <w:tcBorders>
              <w:top w:val="nil"/>
              <w:left w:val="nil"/>
              <w:bottom w:val="nil"/>
              <w:right w:val="nil"/>
            </w:tcBorders>
            <w:shd w:val="clear" w:color="auto" w:fill="auto"/>
            <w:noWrap/>
            <w:vAlign w:val="center"/>
            <w:hideMark/>
          </w:tcPr>
          <w:p w14:paraId="1D4CD85D"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Brazil</w:t>
            </w:r>
          </w:p>
        </w:tc>
        <w:tc>
          <w:tcPr>
            <w:tcW w:w="1489" w:type="dxa"/>
            <w:tcBorders>
              <w:top w:val="nil"/>
              <w:left w:val="nil"/>
              <w:bottom w:val="nil"/>
              <w:right w:val="nil"/>
            </w:tcBorders>
            <w:shd w:val="clear" w:color="auto" w:fill="auto"/>
            <w:noWrap/>
            <w:vAlign w:val="center"/>
            <w:hideMark/>
          </w:tcPr>
          <w:p w14:paraId="28152EF8"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1.03 ± 0.05</w:t>
            </w:r>
          </w:p>
        </w:tc>
        <w:tc>
          <w:tcPr>
            <w:tcW w:w="1354" w:type="dxa"/>
            <w:tcBorders>
              <w:top w:val="nil"/>
              <w:left w:val="nil"/>
              <w:bottom w:val="nil"/>
              <w:right w:val="nil"/>
            </w:tcBorders>
            <w:shd w:val="clear" w:color="auto" w:fill="auto"/>
            <w:noWrap/>
            <w:vAlign w:val="center"/>
            <w:hideMark/>
          </w:tcPr>
          <w:p w14:paraId="4FB7A900"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5.62 ± 0.00</w:t>
            </w:r>
          </w:p>
        </w:tc>
        <w:tc>
          <w:tcPr>
            <w:tcW w:w="1957" w:type="dxa"/>
            <w:tcBorders>
              <w:top w:val="nil"/>
              <w:left w:val="nil"/>
              <w:bottom w:val="nil"/>
              <w:right w:val="nil"/>
            </w:tcBorders>
            <w:shd w:val="clear" w:color="auto" w:fill="auto"/>
            <w:noWrap/>
            <w:vAlign w:val="center"/>
            <w:hideMark/>
          </w:tcPr>
          <w:p w14:paraId="53DB34B9"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43.69 ± 0.30</w:t>
            </w:r>
          </w:p>
        </w:tc>
        <w:tc>
          <w:tcPr>
            <w:tcW w:w="2016" w:type="dxa"/>
            <w:tcBorders>
              <w:top w:val="nil"/>
              <w:left w:val="nil"/>
              <w:bottom w:val="nil"/>
              <w:right w:val="nil"/>
            </w:tcBorders>
            <w:shd w:val="clear" w:color="auto" w:fill="auto"/>
            <w:noWrap/>
            <w:vAlign w:val="center"/>
            <w:hideMark/>
          </w:tcPr>
          <w:p w14:paraId="1B82813D"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0.02 ± 0.04*</w:t>
            </w:r>
          </w:p>
        </w:tc>
        <w:tc>
          <w:tcPr>
            <w:tcW w:w="1784" w:type="dxa"/>
            <w:tcBorders>
              <w:top w:val="nil"/>
              <w:left w:val="nil"/>
              <w:bottom w:val="nil"/>
              <w:right w:val="nil"/>
            </w:tcBorders>
            <w:shd w:val="clear" w:color="auto" w:fill="auto"/>
            <w:noWrap/>
            <w:vAlign w:val="center"/>
            <w:hideMark/>
          </w:tcPr>
          <w:p w14:paraId="78A4C771"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1.53 ± 3.71</w:t>
            </w:r>
          </w:p>
        </w:tc>
        <w:tc>
          <w:tcPr>
            <w:tcW w:w="2016" w:type="dxa"/>
            <w:tcBorders>
              <w:top w:val="nil"/>
              <w:left w:val="nil"/>
              <w:bottom w:val="nil"/>
              <w:right w:val="nil"/>
            </w:tcBorders>
            <w:shd w:val="clear" w:color="auto" w:fill="auto"/>
            <w:noWrap/>
            <w:vAlign w:val="center"/>
            <w:hideMark/>
          </w:tcPr>
          <w:p w14:paraId="6484226D"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-0.08 ± 0.04</w:t>
            </w:r>
          </w:p>
        </w:tc>
        <w:tc>
          <w:tcPr>
            <w:tcW w:w="2121" w:type="dxa"/>
            <w:tcBorders>
              <w:top w:val="nil"/>
              <w:left w:val="nil"/>
              <w:bottom w:val="nil"/>
              <w:right w:val="nil"/>
            </w:tcBorders>
            <w:shd w:val="clear" w:color="auto" w:fill="auto"/>
            <w:noWrap/>
            <w:vAlign w:val="center"/>
            <w:hideMark/>
          </w:tcPr>
          <w:p w14:paraId="3C298A7C"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-8.06 ± 3.57</w:t>
            </w:r>
          </w:p>
        </w:tc>
      </w:tr>
      <w:tr w:rsidR="00344027" w:rsidRPr="00002B66" w14:paraId="3C9A582B" w14:textId="77777777" w:rsidTr="009A399F">
        <w:trPr>
          <w:trHeight w:val="317"/>
        </w:trPr>
        <w:tc>
          <w:tcPr>
            <w:tcW w:w="2031" w:type="dxa"/>
            <w:tcBorders>
              <w:top w:val="nil"/>
              <w:left w:val="nil"/>
              <w:bottom w:val="nil"/>
              <w:right w:val="nil"/>
            </w:tcBorders>
            <w:shd w:val="clear" w:color="auto" w:fill="auto"/>
            <w:noWrap/>
            <w:vAlign w:val="center"/>
            <w:hideMark/>
          </w:tcPr>
          <w:p w14:paraId="7F52F047"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Myanmar</w:t>
            </w:r>
          </w:p>
        </w:tc>
        <w:tc>
          <w:tcPr>
            <w:tcW w:w="1489" w:type="dxa"/>
            <w:tcBorders>
              <w:top w:val="nil"/>
              <w:left w:val="nil"/>
              <w:bottom w:val="nil"/>
              <w:right w:val="nil"/>
            </w:tcBorders>
            <w:shd w:val="clear" w:color="auto" w:fill="auto"/>
            <w:noWrap/>
            <w:vAlign w:val="center"/>
            <w:hideMark/>
          </w:tcPr>
          <w:p w14:paraId="2BD8CDA1"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0.94 ± 0.05</w:t>
            </w:r>
          </w:p>
        </w:tc>
        <w:tc>
          <w:tcPr>
            <w:tcW w:w="1354" w:type="dxa"/>
            <w:tcBorders>
              <w:top w:val="nil"/>
              <w:left w:val="nil"/>
              <w:bottom w:val="nil"/>
              <w:right w:val="nil"/>
            </w:tcBorders>
            <w:shd w:val="clear" w:color="auto" w:fill="auto"/>
            <w:noWrap/>
            <w:vAlign w:val="center"/>
            <w:hideMark/>
          </w:tcPr>
          <w:p w14:paraId="37555A74"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5.14 ± 0.05</w:t>
            </w:r>
          </w:p>
        </w:tc>
        <w:tc>
          <w:tcPr>
            <w:tcW w:w="1957" w:type="dxa"/>
            <w:tcBorders>
              <w:top w:val="nil"/>
              <w:left w:val="nil"/>
              <w:bottom w:val="nil"/>
              <w:right w:val="nil"/>
            </w:tcBorders>
            <w:shd w:val="clear" w:color="auto" w:fill="auto"/>
            <w:noWrap/>
            <w:vAlign w:val="center"/>
            <w:hideMark/>
          </w:tcPr>
          <w:p w14:paraId="607BDA1F"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48.83 ± 0.32</w:t>
            </w:r>
          </w:p>
        </w:tc>
        <w:tc>
          <w:tcPr>
            <w:tcW w:w="2016" w:type="dxa"/>
            <w:tcBorders>
              <w:top w:val="nil"/>
              <w:left w:val="nil"/>
              <w:bottom w:val="nil"/>
              <w:right w:val="nil"/>
            </w:tcBorders>
            <w:shd w:val="clear" w:color="auto" w:fill="auto"/>
            <w:noWrap/>
            <w:vAlign w:val="center"/>
            <w:hideMark/>
          </w:tcPr>
          <w:p w14:paraId="0A6BCA21"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-0.13 ± 0.04</w:t>
            </w:r>
          </w:p>
        </w:tc>
        <w:tc>
          <w:tcPr>
            <w:tcW w:w="1784" w:type="dxa"/>
            <w:tcBorders>
              <w:top w:val="nil"/>
              <w:left w:val="nil"/>
              <w:bottom w:val="nil"/>
              <w:right w:val="nil"/>
            </w:tcBorders>
            <w:shd w:val="clear" w:color="auto" w:fill="auto"/>
            <w:noWrap/>
            <w:vAlign w:val="center"/>
            <w:hideMark/>
          </w:tcPr>
          <w:p w14:paraId="643618EC"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-13.52 ± 4.12</w:t>
            </w:r>
          </w:p>
        </w:tc>
        <w:tc>
          <w:tcPr>
            <w:tcW w:w="2016" w:type="dxa"/>
            <w:tcBorders>
              <w:top w:val="nil"/>
              <w:left w:val="nil"/>
              <w:bottom w:val="nil"/>
              <w:right w:val="nil"/>
            </w:tcBorders>
            <w:shd w:val="clear" w:color="auto" w:fill="auto"/>
            <w:noWrap/>
            <w:vAlign w:val="center"/>
            <w:hideMark/>
          </w:tcPr>
          <w:p w14:paraId="0A66F3C6"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-0.17 ± 0.04</w:t>
            </w:r>
          </w:p>
        </w:tc>
        <w:tc>
          <w:tcPr>
            <w:tcW w:w="2121" w:type="dxa"/>
            <w:tcBorders>
              <w:top w:val="nil"/>
              <w:left w:val="nil"/>
              <w:bottom w:val="nil"/>
              <w:right w:val="nil"/>
            </w:tcBorders>
            <w:shd w:val="clear" w:color="auto" w:fill="auto"/>
            <w:noWrap/>
            <w:vAlign w:val="center"/>
            <w:hideMark/>
          </w:tcPr>
          <w:p w14:paraId="2AA2A4D5"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-17.96 ± 4.13</w:t>
            </w:r>
          </w:p>
        </w:tc>
      </w:tr>
      <w:tr w:rsidR="00344027" w:rsidRPr="00002B66" w14:paraId="3CA47C41" w14:textId="77777777" w:rsidTr="009A399F">
        <w:trPr>
          <w:trHeight w:val="317"/>
        </w:trPr>
        <w:tc>
          <w:tcPr>
            <w:tcW w:w="2031" w:type="dxa"/>
            <w:tcBorders>
              <w:top w:val="nil"/>
              <w:left w:val="nil"/>
              <w:bottom w:val="nil"/>
              <w:right w:val="nil"/>
            </w:tcBorders>
            <w:shd w:val="clear" w:color="auto" w:fill="auto"/>
            <w:noWrap/>
            <w:vAlign w:val="center"/>
            <w:hideMark/>
          </w:tcPr>
          <w:p w14:paraId="08354CD4"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Malaysia</w:t>
            </w:r>
          </w:p>
        </w:tc>
        <w:tc>
          <w:tcPr>
            <w:tcW w:w="1489" w:type="dxa"/>
            <w:tcBorders>
              <w:top w:val="nil"/>
              <w:left w:val="nil"/>
              <w:bottom w:val="nil"/>
              <w:right w:val="nil"/>
            </w:tcBorders>
            <w:shd w:val="clear" w:color="auto" w:fill="auto"/>
            <w:noWrap/>
            <w:vAlign w:val="center"/>
            <w:hideMark/>
          </w:tcPr>
          <w:p w14:paraId="7FD1275F"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0.80 ± 0.04</w:t>
            </w:r>
          </w:p>
        </w:tc>
        <w:tc>
          <w:tcPr>
            <w:tcW w:w="1354" w:type="dxa"/>
            <w:tcBorders>
              <w:top w:val="nil"/>
              <w:left w:val="nil"/>
              <w:bottom w:val="nil"/>
              <w:right w:val="nil"/>
            </w:tcBorders>
            <w:shd w:val="clear" w:color="auto" w:fill="auto"/>
            <w:noWrap/>
            <w:vAlign w:val="center"/>
            <w:hideMark/>
          </w:tcPr>
          <w:p w14:paraId="15E056DC"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4.36 ± 0.01</w:t>
            </w:r>
          </w:p>
        </w:tc>
        <w:tc>
          <w:tcPr>
            <w:tcW w:w="1957" w:type="dxa"/>
            <w:tcBorders>
              <w:top w:val="nil"/>
              <w:left w:val="nil"/>
              <w:bottom w:val="nil"/>
              <w:right w:val="nil"/>
            </w:tcBorders>
            <w:shd w:val="clear" w:color="auto" w:fill="auto"/>
            <w:noWrap/>
            <w:vAlign w:val="center"/>
            <w:hideMark/>
          </w:tcPr>
          <w:p w14:paraId="5A70E666"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53.19 ± 0.34</w:t>
            </w:r>
          </w:p>
        </w:tc>
        <w:tc>
          <w:tcPr>
            <w:tcW w:w="2016" w:type="dxa"/>
            <w:tcBorders>
              <w:top w:val="nil"/>
              <w:left w:val="nil"/>
              <w:bottom w:val="nil"/>
              <w:right w:val="nil"/>
            </w:tcBorders>
            <w:shd w:val="clear" w:color="auto" w:fill="auto"/>
            <w:noWrap/>
            <w:vAlign w:val="center"/>
            <w:hideMark/>
          </w:tcPr>
          <w:p w14:paraId="3843C4E6"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-0.14 ± 0.03</w:t>
            </w:r>
          </w:p>
        </w:tc>
        <w:tc>
          <w:tcPr>
            <w:tcW w:w="1784" w:type="dxa"/>
            <w:tcBorders>
              <w:top w:val="nil"/>
              <w:left w:val="nil"/>
              <w:bottom w:val="nil"/>
              <w:right w:val="nil"/>
            </w:tcBorders>
            <w:shd w:val="clear" w:color="auto" w:fill="auto"/>
            <w:noWrap/>
            <w:vAlign w:val="center"/>
            <w:hideMark/>
          </w:tcPr>
          <w:p w14:paraId="1AE59056"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-17.12 ± 3.15</w:t>
            </w:r>
          </w:p>
        </w:tc>
        <w:tc>
          <w:tcPr>
            <w:tcW w:w="2016" w:type="dxa"/>
            <w:tcBorders>
              <w:top w:val="nil"/>
              <w:left w:val="nil"/>
              <w:bottom w:val="nil"/>
              <w:right w:val="nil"/>
            </w:tcBorders>
            <w:shd w:val="clear" w:color="auto" w:fill="auto"/>
            <w:noWrap/>
            <w:vAlign w:val="center"/>
            <w:hideMark/>
          </w:tcPr>
          <w:p w14:paraId="73DEF27B"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-0.17 ± 0.02</w:t>
            </w:r>
          </w:p>
        </w:tc>
        <w:tc>
          <w:tcPr>
            <w:tcW w:w="2121" w:type="dxa"/>
            <w:tcBorders>
              <w:top w:val="nil"/>
              <w:left w:val="nil"/>
              <w:bottom w:val="nil"/>
              <w:right w:val="nil"/>
            </w:tcBorders>
            <w:shd w:val="clear" w:color="auto" w:fill="auto"/>
            <w:noWrap/>
            <w:vAlign w:val="center"/>
            <w:hideMark/>
          </w:tcPr>
          <w:p w14:paraId="4B093E36"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-21.43 ± 3.13</w:t>
            </w:r>
          </w:p>
        </w:tc>
      </w:tr>
      <w:tr w:rsidR="00344027" w:rsidRPr="00002B66" w14:paraId="2F143F3B" w14:textId="77777777" w:rsidTr="009A399F">
        <w:trPr>
          <w:trHeight w:val="317"/>
        </w:trPr>
        <w:tc>
          <w:tcPr>
            <w:tcW w:w="2031" w:type="dxa"/>
            <w:tcBorders>
              <w:top w:val="nil"/>
              <w:left w:val="nil"/>
              <w:bottom w:val="nil"/>
              <w:right w:val="nil"/>
            </w:tcBorders>
            <w:shd w:val="clear" w:color="auto" w:fill="auto"/>
            <w:noWrap/>
            <w:vAlign w:val="center"/>
            <w:hideMark/>
          </w:tcPr>
          <w:p w14:paraId="0D3F8CE7"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Mexico</w:t>
            </w:r>
          </w:p>
        </w:tc>
        <w:tc>
          <w:tcPr>
            <w:tcW w:w="1489" w:type="dxa"/>
            <w:tcBorders>
              <w:top w:val="nil"/>
              <w:left w:val="nil"/>
              <w:bottom w:val="nil"/>
              <w:right w:val="nil"/>
            </w:tcBorders>
            <w:shd w:val="clear" w:color="auto" w:fill="auto"/>
            <w:noWrap/>
            <w:vAlign w:val="center"/>
            <w:hideMark/>
          </w:tcPr>
          <w:p w14:paraId="5A0D31BD"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0.68 ± 0.04</w:t>
            </w:r>
          </w:p>
        </w:tc>
        <w:tc>
          <w:tcPr>
            <w:tcW w:w="1354" w:type="dxa"/>
            <w:tcBorders>
              <w:top w:val="nil"/>
              <w:left w:val="nil"/>
              <w:bottom w:val="nil"/>
              <w:right w:val="nil"/>
            </w:tcBorders>
            <w:shd w:val="clear" w:color="auto" w:fill="auto"/>
            <w:noWrap/>
            <w:vAlign w:val="center"/>
            <w:hideMark/>
          </w:tcPr>
          <w:p w14:paraId="473A05DD"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3.71 ± 0.02</w:t>
            </w:r>
          </w:p>
        </w:tc>
        <w:tc>
          <w:tcPr>
            <w:tcW w:w="1957" w:type="dxa"/>
            <w:tcBorders>
              <w:top w:val="nil"/>
              <w:left w:val="nil"/>
              <w:bottom w:val="nil"/>
              <w:right w:val="nil"/>
            </w:tcBorders>
            <w:shd w:val="clear" w:color="auto" w:fill="auto"/>
            <w:noWrap/>
            <w:vAlign w:val="center"/>
            <w:hideMark/>
          </w:tcPr>
          <w:p w14:paraId="17FFBFD6"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56.89 ± 0.35</w:t>
            </w:r>
          </w:p>
        </w:tc>
        <w:tc>
          <w:tcPr>
            <w:tcW w:w="2016" w:type="dxa"/>
            <w:tcBorders>
              <w:top w:val="nil"/>
              <w:left w:val="nil"/>
              <w:bottom w:val="nil"/>
              <w:right w:val="nil"/>
            </w:tcBorders>
            <w:shd w:val="clear" w:color="auto" w:fill="auto"/>
            <w:noWrap/>
            <w:vAlign w:val="center"/>
            <w:hideMark/>
          </w:tcPr>
          <w:p w14:paraId="496F3255"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-0.08 ± 0.03</w:t>
            </w:r>
          </w:p>
        </w:tc>
        <w:tc>
          <w:tcPr>
            <w:tcW w:w="1784" w:type="dxa"/>
            <w:tcBorders>
              <w:top w:val="nil"/>
              <w:left w:val="nil"/>
              <w:bottom w:val="nil"/>
              <w:right w:val="nil"/>
            </w:tcBorders>
            <w:shd w:val="clear" w:color="auto" w:fill="auto"/>
            <w:noWrap/>
            <w:vAlign w:val="center"/>
            <w:hideMark/>
          </w:tcPr>
          <w:p w14:paraId="49EACC8E"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-11.74 ± 3.81</w:t>
            </w:r>
          </w:p>
        </w:tc>
        <w:tc>
          <w:tcPr>
            <w:tcW w:w="2016" w:type="dxa"/>
            <w:tcBorders>
              <w:top w:val="nil"/>
              <w:left w:val="nil"/>
              <w:bottom w:val="nil"/>
              <w:right w:val="nil"/>
            </w:tcBorders>
            <w:shd w:val="clear" w:color="auto" w:fill="auto"/>
            <w:noWrap/>
            <w:vAlign w:val="center"/>
            <w:hideMark/>
          </w:tcPr>
          <w:p w14:paraId="4FB65015"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-0.09 ± 0.03</w:t>
            </w:r>
          </w:p>
        </w:tc>
        <w:tc>
          <w:tcPr>
            <w:tcW w:w="2121" w:type="dxa"/>
            <w:tcBorders>
              <w:top w:val="nil"/>
              <w:left w:val="nil"/>
              <w:bottom w:val="nil"/>
              <w:right w:val="nil"/>
            </w:tcBorders>
            <w:shd w:val="clear" w:color="auto" w:fill="auto"/>
            <w:noWrap/>
            <w:vAlign w:val="center"/>
            <w:hideMark/>
          </w:tcPr>
          <w:p w14:paraId="202B1012"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-12.78 ± 4.15</w:t>
            </w:r>
          </w:p>
        </w:tc>
      </w:tr>
      <w:tr w:rsidR="00344027" w:rsidRPr="00002B66" w14:paraId="1ED6531B" w14:textId="77777777" w:rsidTr="009A399F">
        <w:trPr>
          <w:trHeight w:val="317"/>
        </w:trPr>
        <w:tc>
          <w:tcPr>
            <w:tcW w:w="2031" w:type="dxa"/>
            <w:tcBorders>
              <w:top w:val="nil"/>
              <w:left w:val="nil"/>
              <w:bottom w:val="nil"/>
              <w:right w:val="nil"/>
            </w:tcBorders>
            <w:shd w:val="clear" w:color="auto" w:fill="auto"/>
            <w:noWrap/>
            <w:vAlign w:val="center"/>
            <w:hideMark/>
          </w:tcPr>
          <w:p w14:paraId="36CA9938"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Papua New Guinea</w:t>
            </w:r>
          </w:p>
        </w:tc>
        <w:tc>
          <w:tcPr>
            <w:tcW w:w="1489" w:type="dxa"/>
            <w:tcBorders>
              <w:top w:val="nil"/>
              <w:left w:val="nil"/>
              <w:bottom w:val="nil"/>
              <w:right w:val="nil"/>
            </w:tcBorders>
            <w:shd w:val="clear" w:color="auto" w:fill="auto"/>
            <w:noWrap/>
            <w:vAlign w:val="center"/>
            <w:hideMark/>
          </w:tcPr>
          <w:p w14:paraId="1564CA92"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0.62 ± 0.03</w:t>
            </w:r>
          </w:p>
        </w:tc>
        <w:tc>
          <w:tcPr>
            <w:tcW w:w="1354" w:type="dxa"/>
            <w:tcBorders>
              <w:top w:val="nil"/>
              <w:left w:val="nil"/>
              <w:bottom w:val="nil"/>
              <w:right w:val="nil"/>
            </w:tcBorders>
            <w:shd w:val="clear" w:color="auto" w:fill="auto"/>
            <w:noWrap/>
            <w:vAlign w:val="center"/>
            <w:hideMark/>
          </w:tcPr>
          <w:p w14:paraId="56BBF29E"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3.38 ± 0.00</w:t>
            </w:r>
          </w:p>
        </w:tc>
        <w:tc>
          <w:tcPr>
            <w:tcW w:w="1957" w:type="dxa"/>
            <w:tcBorders>
              <w:top w:val="nil"/>
              <w:left w:val="nil"/>
              <w:bottom w:val="nil"/>
              <w:right w:val="nil"/>
            </w:tcBorders>
            <w:shd w:val="clear" w:color="auto" w:fill="auto"/>
            <w:noWrap/>
            <w:vAlign w:val="center"/>
            <w:hideMark/>
          </w:tcPr>
          <w:p w14:paraId="03577E5B"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60.27 ± 0.35</w:t>
            </w:r>
          </w:p>
        </w:tc>
        <w:tc>
          <w:tcPr>
            <w:tcW w:w="2016" w:type="dxa"/>
            <w:tcBorders>
              <w:top w:val="nil"/>
              <w:left w:val="nil"/>
              <w:bottom w:val="nil"/>
              <w:right w:val="nil"/>
            </w:tcBorders>
            <w:shd w:val="clear" w:color="auto" w:fill="auto"/>
            <w:noWrap/>
            <w:vAlign w:val="center"/>
            <w:hideMark/>
          </w:tcPr>
          <w:p w14:paraId="4E970C33"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0.06 ± 0.02</w:t>
            </w:r>
          </w:p>
        </w:tc>
        <w:tc>
          <w:tcPr>
            <w:tcW w:w="1784" w:type="dxa"/>
            <w:tcBorders>
              <w:top w:val="nil"/>
              <w:left w:val="nil"/>
              <w:bottom w:val="nil"/>
              <w:right w:val="nil"/>
            </w:tcBorders>
            <w:shd w:val="clear" w:color="auto" w:fill="auto"/>
            <w:noWrap/>
            <w:vAlign w:val="center"/>
            <w:hideMark/>
          </w:tcPr>
          <w:p w14:paraId="13BBE1A3"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10.36 ± 3.60</w:t>
            </w:r>
          </w:p>
        </w:tc>
        <w:tc>
          <w:tcPr>
            <w:tcW w:w="2016" w:type="dxa"/>
            <w:tcBorders>
              <w:top w:val="nil"/>
              <w:left w:val="nil"/>
              <w:bottom w:val="nil"/>
              <w:right w:val="nil"/>
            </w:tcBorders>
            <w:shd w:val="clear" w:color="auto" w:fill="auto"/>
            <w:noWrap/>
            <w:vAlign w:val="center"/>
            <w:hideMark/>
          </w:tcPr>
          <w:p w14:paraId="29CBED47"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0.06 ± 0.02</w:t>
            </w:r>
          </w:p>
        </w:tc>
        <w:tc>
          <w:tcPr>
            <w:tcW w:w="2121" w:type="dxa"/>
            <w:tcBorders>
              <w:top w:val="nil"/>
              <w:left w:val="nil"/>
              <w:bottom w:val="nil"/>
              <w:right w:val="nil"/>
            </w:tcBorders>
            <w:shd w:val="clear" w:color="auto" w:fill="auto"/>
            <w:noWrap/>
            <w:vAlign w:val="center"/>
            <w:hideMark/>
          </w:tcPr>
          <w:p w14:paraId="0F5A8613"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8.98 ± 3.67</w:t>
            </w:r>
          </w:p>
        </w:tc>
      </w:tr>
      <w:tr w:rsidR="00344027" w:rsidRPr="00002B66" w14:paraId="0CA30301" w14:textId="77777777" w:rsidTr="009A399F">
        <w:trPr>
          <w:trHeight w:val="317"/>
        </w:trPr>
        <w:tc>
          <w:tcPr>
            <w:tcW w:w="2031" w:type="dxa"/>
            <w:tcBorders>
              <w:top w:val="nil"/>
              <w:left w:val="nil"/>
              <w:bottom w:val="nil"/>
              <w:right w:val="nil"/>
            </w:tcBorders>
            <w:shd w:val="clear" w:color="auto" w:fill="auto"/>
            <w:noWrap/>
            <w:vAlign w:val="center"/>
            <w:hideMark/>
          </w:tcPr>
          <w:p w14:paraId="1F3F023C"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Colombia</w:t>
            </w:r>
          </w:p>
        </w:tc>
        <w:tc>
          <w:tcPr>
            <w:tcW w:w="1489" w:type="dxa"/>
            <w:tcBorders>
              <w:top w:val="nil"/>
              <w:left w:val="nil"/>
              <w:bottom w:val="nil"/>
              <w:right w:val="nil"/>
            </w:tcBorders>
            <w:shd w:val="clear" w:color="auto" w:fill="auto"/>
            <w:noWrap/>
            <w:vAlign w:val="center"/>
            <w:hideMark/>
          </w:tcPr>
          <w:p w14:paraId="4F457FF4"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0.43 ± 0.02</w:t>
            </w:r>
          </w:p>
        </w:tc>
        <w:tc>
          <w:tcPr>
            <w:tcW w:w="1354" w:type="dxa"/>
            <w:tcBorders>
              <w:top w:val="nil"/>
              <w:left w:val="nil"/>
              <w:bottom w:val="nil"/>
              <w:right w:val="nil"/>
            </w:tcBorders>
            <w:shd w:val="clear" w:color="auto" w:fill="auto"/>
            <w:noWrap/>
            <w:vAlign w:val="center"/>
            <w:hideMark/>
          </w:tcPr>
          <w:p w14:paraId="384A8A69"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2.33 ± 0.03</w:t>
            </w:r>
          </w:p>
        </w:tc>
        <w:tc>
          <w:tcPr>
            <w:tcW w:w="1957" w:type="dxa"/>
            <w:tcBorders>
              <w:top w:val="nil"/>
              <w:left w:val="nil"/>
              <w:bottom w:val="nil"/>
              <w:right w:val="nil"/>
            </w:tcBorders>
            <w:shd w:val="clear" w:color="auto" w:fill="auto"/>
            <w:noWrap/>
            <w:vAlign w:val="center"/>
            <w:hideMark/>
          </w:tcPr>
          <w:p w14:paraId="1EAC9EA9"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62.59 ± 0.37</w:t>
            </w:r>
          </w:p>
        </w:tc>
        <w:tc>
          <w:tcPr>
            <w:tcW w:w="2016" w:type="dxa"/>
            <w:tcBorders>
              <w:top w:val="nil"/>
              <w:left w:val="nil"/>
              <w:bottom w:val="nil"/>
              <w:right w:val="nil"/>
            </w:tcBorders>
            <w:shd w:val="clear" w:color="auto" w:fill="auto"/>
            <w:noWrap/>
            <w:vAlign w:val="center"/>
            <w:hideMark/>
          </w:tcPr>
          <w:p w14:paraId="5F4F7BEE"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0.01 ± 0.01*</w:t>
            </w:r>
          </w:p>
        </w:tc>
        <w:tc>
          <w:tcPr>
            <w:tcW w:w="1784" w:type="dxa"/>
            <w:tcBorders>
              <w:top w:val="nil"/>
              <w:left w:val="nil"/>
              <w:bottom w:val="nil"/>
              <w:right w:val="nil"/>
            </w:tcBorders>
            <w:shd w:val="clear" w:color="auto" w:fill="auto"/>
            <w:noWrap/>
            <w:vAlign w:val="center"/>
            <w:hideMark/>
          </w:tcPr>
          <w:p w14:paraId="07523EB1"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2.39 ± 2.61</w:t>
            </w:r>
          </w:p>
        </w:tc>
        <w:tc>
          <w:tcPr>
            <w:tcW w:w="2016" w:type="dxa"/>
            <w:tcBorders>
              <w:top w:val="nil"/>
              <w:left w:val="nil"/>
              <w:bottom w:val="nil"/>
              <w:right w:val="nil"/>
            </w:tcBorders>
            <w:shd w:val="clear" w:color="auto" w:fill="auto"/>
            <w:noWrap/>
            <w:vAlign w:val="center"/>
            <w:hideMark/>
          </w:tcPr>
          <w:p w14:paraId="793BCEFC"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-0.01 ± 0.01*</w:t>
            </w:r>
          </w:p>
        </w:tc>
        <w:tc>
          <w:tcPr>
            <w:tcW w:w="2121" w:type="dxa"/>
            <w:tcBorders>
              <w:top w:val="nil"/>
              <w:left w:val="nil"/>
              <w:bottom w:val="nil"/>
              <w:right w:val="nil"/>
            </w:tcBorders>
            <w:shd w:val="clear" w:color="auto" w:fill="auto"/>
            <w:noWrap/>
            <w:vAlign w:val="center"/>
            <w:hideMark/>
          </w:tcPr>
          <w:p w14:paraId="06808CB7"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-1.26 ± 2.63</w:t>
            </w:r>
          </w:p>
        </w:tc>
      </w:tr>
      <w:tr w:rsidR="00344027" w:rsidRPr="00002B66" w14:paraId="2248E812" w14:textId="77777777" w:rsidTr="009A399F">
        <w:trPr>
          <w:trHeight w:val="317"/>
        </w:trPr>
        <w:tc>
          <w:tcPr>
            <w:tcW w:w="2031" w:type="dxa"/>
            <w:tcBorders>
              <w:top w:val="nil"/>
              <w:left w:val="nil"/>
              <w:bottom w:val="nil"/>
              <w:right w:val="nil"/>
            </w:tcBorders>
            <w:shd w:val="clear" w:color="auto" w:fill="auto"/>
            <w:noWrap/>
            <w:vAlign w:val="center"/>
            <w:hideMark/>
          </w:tcPr>
          <w:p w14:paraId="64B6EB84"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Nigeria</w:t>
            </w:r>
          </w:p>
        </w:tc>
        <w:tc>
          <w:tcPr>
            <w:tcW w:w="1489" w:type="dxa"/>
            <w:tcBorders>
              <w:top w:val="nil"/>
              <w:left w:val="nil"/>
              <w:bottom w:val="nil"/>
              <w:right w:val="nil"/>
            </w:tcBorders>
            <w:shd w:val="clear" w:color="auto" w:fill="auto"/>
            <w:noWrap/>
            <w:vAlign w:val="center"/>
            <w:hideMark/>
          </w:tcPr>
          <w:p w14:paraId="587622F5"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0.42 ± 0.02</w:t>
            </w:r>
          </w:p>
        </w:tc>
        <w:tc>
          <w:tcPr>
            <w:tcW w:w="1354" w:type="dxa"/>
            <w:tcBorders>
              <w:top w:val="nil"/>
              <w:left w:val="nil"/>
              <w:bottom w:val="nil"/>
              <w:right w:val="nil"/>
            </w:tcBorders>
            <w:shd w:val="clear" w:color="auto" w:fill="auto"/>
            <w:noWrap/>
            <w:vAlign w:val="center"/>
            <w:hideMark/>
          </w:tcPr>
          <w:p w14:paraId="47280272"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2.30 ± 0.01</w:t>
            </w:r>
          </w:p>
        </w:tc>
        <w:tc>
          <w:tcPr>
            <w:tcW w:w="1957" w:type="dxa"/>
            <w:tcBorders>
              <w:top w:val="nil"/>
              <w:left w:val="nil"/>
              <w:bottom w:val="nil"/>
              <w:right w:val="nil"/>
            </w:tcBorders>
            <w:shd w:val="clear" w:color="auto" w:fill="auto"/>
            <w:noWrap/>
            <w:vAlign w:val="center"/>
            <w:hideMark/>
          </w:tcPr>
          <w:p w14:paraId="64F2A967"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64.90 ± 0.38</w:t>
            </w:r>
          </w:p>
        </w:tc>
        <w:tc>
          <w:tcPr>
            <w:tcW w:w="2016" w:type="dxa"/>
            <w:tcBorders>
              <w:top w:val="nil"/>
              <w:left w:val="nil"/>
              <w:bottom w:val="nil"/>
              <w:right w:val="nil"/>
            </w:tcBorders>
            <w:shd w:val="clear" w:color="auto" w:fill="auto"/>
            <w:noWrap/>
            <w:vAlign w:val="center"/>
            <w:hideMark/>
          </w:tcPr>
          <w:p w14:paraId="4C59B407"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-0.04 ± 0.02</w:t>
            </w:r>
          </w:p>
        </w:tc>
        <w:tc>
          <w:tcPr>
            <w:tcW w:w="1784" w:type="dxa"/>
            <w:tcBorders>
              <w:top w:val="nil"/>
              <w:left w:val="nil"/>
              <w:bottom w:val="nil"/>
              <w:right w:val="nil"/>
            </w:tcBorders>
            <w:shd w:val="clear" w:color="auto" w:fill="auto"/>
            <w:noWrap/>
            <w:vAlign w:val="center"/>
            <w:hideMark/>
          </w:tcPr>
          <w:p w14:paraId="285C41B1"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-9.28 ± 3.57</w:t>
            </w:r>
          </w:p>
        </w:tc>
        <w:tc>
          <w:tcPr>
            <w:tcW w:w="2016" w:type="dxa"/>
            <w:tcBorders>
              <w:top w:val="nil"/>
              <w:left w:val="nil"/>
              <w:bottom w:val="nil"/>
              <w:right w:val="nil"/>
            </w:tcBorders>
            <w:shd w:val="clear" w:color="auto" w:fill="auto"/>
            <w:noWrap/>
            <w:vAlign w:val="center"/>
            <w:hideMark/>
          </w:tcPr>
          <w:p w14:paraId="7650F246"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-0.08 ± 0.01</w:t>
            </w:r>
          </w:p>
        </w:tc>
        <w:tc>
          <w:tcPr>
            <w:tcW w:w="2121" w:type="dxa"/>
            <w:tcBorders>
              <w:top w:val="nil"/>
              <w:left w:val="nil"/>
              <w:bottom w:val="nil"/>
              <w:right w:val="nil"/>
            </w:tcBorders>
            <w:shd w:val="clear" w:color="auto" w:fill="auto"/>
            <w:noWrap/>
            <w:vAlign w:val="center"/>
            <w:hideMark/>
          </w:tcPr>
          <w:p w14:paraId="1A6B5281"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-19.14 ± 3.46</w:t>
            </w:r>
          </w:p>
        </w:tc>
      </w:tr>
      <w:tr w:rsidR="00344027" w:rsidRPr="00002B66" w14:paraId="718B5306" w14:textId="77777777" w:rsidTr="009A399F">
        <w:trPr>
          <w:trHeight w:val="317"/>
        </w:trPr>
        <w:tc>
          <w:tcPr>
            <w:tcW w:w="2031" w:type="dxa"/>
            <w:tcBorders>
              <w:top w:val="nil"/>
              <w:left w:val="nil"/>
              <w:bottom w:val="nil"/>
              <w:right w:val="nil"/>
            </w:tcBorders>
            <w:shd w:val="clear" w:color="auto" w:fill="auto"/>
            <w:noWrap/>
            <w:vAlign w:val="center"/>
            <w:hideMark/>
          </w:tcPr>
          <w:p w14:paraId="61FBBFC5"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Cuba</w:t>
            </w:r>
          </w:p>
        </w:tc>
        <w:tc>
          <w:tcPr>
            <w:tcW w:w="1489" w:type="dxa"/>
            <w:tcBorders>
              <w:top w:val="nil"/>
              <w:left w:val="nil"/>
              <w:bottom w:val="nil"/>
              <w:right w:val="nil"/>
            </w:tcBorders>
            <w:shd w:val="clear" w:color="auto" w:fill="auto"/>
            <w:noWrap/>
            <w:vAlign w:val="center"/>
            <w:hideMark/>
          </w:tcPr>
          <w:p w14:paraId="11F8E27A"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0.41 ± 0.02</w:t>
            </w:r>
          </w:p>
        </w:tc>
        <w:tc>
          <w:tcPr>
            <w:tcW w:w="1354" w:type="dxa"/>
            <w:tcBorders>
              <w:top w:val="nil"/>
              <w:left w:val="nil"/>
              <w:bottom w:val="nil"/>
              <w:right w:val="nil"/>
            </w:tcBorders>
            <w:shd w:val="clear" w:color="auto" w:fill="auto"/>
            <w:noWrap/>
            <w:vAlign w:val="center"/>
            <w:hideMark/>
          </w:tcPr>
          <w:p w14:paraId="14152A1B"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2.24 ± 0.01</w:t>
            </w:r>
          </w:p>
        </w:tc>
        <w:tc>
          <w:tcPr>
            <w:tcW w:w="1957" w:type="dxa"/>
            <w:tcBorders>
              <w:top w:val="nil"/>
              <w:left w:val="nil"/>
              <w:bottom w:val="nil"/>
              <w:right w:val="nil"/>
            </w:tcBorders>
            <w:shd w:val="clear" w:color="auto" w:fill="auto"/>
            <w:noWrap/>
            <w:vAlign w:val="center"/>
            <w:hideMark/>
          </w:tcPr>
          <w:p w14:paraId="0AFD01BD"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67.14 ± 0.40</w:t>
            </w:r>
          </w:p>
        </w:tc>
        <w:tc>
          <w:tcPr>
            <w:tcW w:w="2016" w:type="dxa"/>
            <w:tcBorders>
              <w:top w:val="nil"/>
              <w:left w:val="nil"/>
              <w:bottom w:val="nil"/>
              <w:right w:val="nil"/>
            </w:tcBorders>
            <w:shd w:val="clear" w:color="auto" w:fill="auto"/>
            <w:noWrap/>
            <w:vAlign w:val="center"/>
            <w:hideMark/>
          </w:tcPr>
          <w:p w14:paraId="27385E6B"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0.07 ± 0.01</w:t>
            </w:r>
          </w:p>
        </w:tc>
        <w:tc>
          <w:tcPr>
            <w:tcW w:w="1784" w:type="dxa"/>
            <w:tcBorders>
              <w:top w:val="nil"/>
              <w:left w:val="nil"/>
              <w:bottom w:val="nil"/>
              <w:right w:val="nil"/>
            </w:tcBorders>
            <w:shd w:val="clear" w:color="auto" w:fill="auto"/>
            <w:noWrap/>
            <w:vAlign w:val="center"/>
            <w:hideMark/>
          </w:tcPr>
          <w:p w14:paraId="388AEF89"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17.82 ± 3.59</w:t>
            </w:r>
          </w:p>
        </w:tc>
        <w:tc>
          <w:tcPr>
            <w:tcW w:w="2016" w:type="dxa"/>
            <w:tcBorders>
              <w:top w:val="nil"/>
              <w:left w:val="nil"/>
              <w:bottom w:val="nil"/>
              <w:right w:val="nil"/>
            </w:tcBorders>
            <w:shd w:val="clear" w:color="auto" w:fill="auto"/>
            <w:noWrap/>
            <w:vAlign w:val="center"/>
            <w:hideMark/>
          </w:tcPr>
          <w:p w14:paraId="45142B3E"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0.05 ± 0.02</w:t>
            </w:r>
          </w:p>
        </w:tc>
        <w:tc>
          <w:tcPr>
            <w:tcW w:w="2121" w:type="dxa"/>
            <w:tcBorders>
              <w:top w:val="nil"/>
              <w:left w:val="nil"/>
              <w:bottom w:val="nil"/>
              <w:right w:val="nil"/>
            </w:tcBorders>
            <w:shd w:val="clear" w:color="auto" w:fill="auto"/>
            <w:noWrap/>
            <w:vAlign w:val="center"/>
            <w:hideMark/>
          </w:tcPr>
          <w:p w14:paraId="31CBC683"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11.88 ± 3.92</w:t>
            </w:r>
          </w:p>
        </w:tc>
      </w:tr>
      <w:tr w:rsidR="00344027" w:rsidRPr="00002B66" w14:paraId="78287FF9" w14:textId="77777777" w:rsidTr="009A399F">
        <w:trPr>
          <w:trHeight w:val="317"/>
        </w:trPr>
        <w:tc>
          <w:tcPr>
            <w:tcW w:w="2031" w:type="dxa"/>
            <w:tcBorders>
              <w:top w:val="nil"/>
              <w:left w:val="nil"/>
              <w:bottom w:val="nil"/>
              <w:right w:val="nil"/>
            </w:tcBorders>
            <w:shd w:val="clear" w:color="auto" w:fill="auto"/>
            <w:noWrap/>
            <w:vAlign w:val="center"/>
            <w:hideMark/>
          </w:tcPr>
          <w:p w14:paraId="08FCF94E"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India</w:t>
            </w:r>
          </w:p>
        </w:tc>
        <w:tc>
          <w:tcPr>
            <w:tcW w:w="1489" w:type="dxa"/>
            <w:tcBorders>
              <w:top w:val="nil"/>
              <w:left w:val="nil"/>
              <w:bottom w:val="nil"/>
              <w:right w:val="nil"/>
            </w:tcBorders>
            <w:shd w:val="clear" w:color="auto" w:fill="auto"/>
            <w:noWrap/>
            <w:vAlign w:val="center"/>
            <w:hideMark/>
          </w:tcPr>
          <w:p w14:paraId="6BF4DD01"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0.36 ± 0.02</w:t>
            </w:r>
          </w:p>
        </w:tc>
        <w:tc>
          <w:tcPr>
            <w:tcW w:w="1354" w:type="dxa"/>
            <w:tcBorders>
              <w:top w:val="nil"/>
              <w:left w:val="nil"/>
              <w:bottom w:val="nil"/>
              <w:right w:val="nil"/>
            </w:tcBorders>
            <w:shd w:val="clear" w:color="auto" w:fill="auto"/>
            <w:noWrap/>
            <w:vAlign w:val="center"/>
            <w:hideMark/>
          </w:tcPr>
          <w:p w14:paraId="2BCF6DFE"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1.99 ± 0.02</w:t>
            </w:r>
          </w:p>
        </w:tc>
        <w:tc>
          <w:tcPr>
            <w:tcW w:w="1957" w:type="dxa"/>
            <w:tcBorders>
              <w:top w:val="nil"/>
              <w:left w:val="nil"/>
              <w:bottom w:val="nil"/>
              <w:right w:val="nil"/>
            </w:tcBorders>
            <w:shd w:val="clear" w:color="auto" w:fill="auto"/>
            <w:noWrap/>
            <w:vAlign w:val="center"/>
            <w:hideMark/>
          </w:tcPr>
          <w:p w14:paraId="4FBB8236"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69.13 ± 0.40</w:t>
            </w:r>
          </w:p>
        </w:tc>
        <w:tc>
          <w:tcPr>
            <w:tcW w:w="2016" w:type="dxa"/>
            <w:tcBorders>
              <w:top w:val="nil"/>
              <w:left w:val="nil"/>
              <w:bottom w:val="nil"/>
              <w:right w:val="nil"/>
            </w:tcBorders>
            <w:shd w:val="clear" w:color="auto" w:fill="auto"/>
            <w:noWrap/>
            <w:vAlign w:val="center"/>
            <w:hideMark/>
          </w:tcPr>
          <w:p w14:paraId="677F42C2"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-0.02 ± 0.02*</w:t>
            </w:r>
          </w:p>
        </w:tc>
        <w:tc>
          <w:tcPr>
            <w:tcW w:w="1784" w:type="dxa"/>
            <w:tcBorders>
              <w:top w:val="nil"/>
              <w:left w:val="nil"/>
              <w:bottom w:val="nil"/>
              <w:right w:val="nil"/>
            </w:tcBorders>
            <w:shd w:val="clear" w:color="auto" w:fill="auto"/>
            <w:noWrap/>
            <w:vAlign w:val="center"/>
            <w:hideMark/>
          </w:tcPr>
          <w:p w14:paraId="1830F0F5"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-5.29 ± 4.47</w:t>
            </w:r>
          </w:p>
        </w:tc>
        <w:tc>
          <w:tcPr>
            <w:tcW w:w="2016" w:type="dxa"/>
            <w:tcBorders>
              <w:top w:val="nil"/>
              <w:left w:val="nil"/>
              <w:bottom w:val="nil"/>
              <w:right w:val="nil"/>
            </w:tcBorders>
            <w:shd w:val="clear" w:color="auto" w:fill="auto"/>
            <w:noWrap/>
            <w:vAlign w:val="center"/>
            <w:hideMark/>
          </w:tcPr>
          <w:p w14:paraId="2898B0BC"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0.00 ± 0.02*</w:t>
            </w:r>
          </w:p>
        </w:tc>
        <w:tc>
          <w:tcPr>
            <w:tcW w:w="2121" w:type="dxa"/>
            <w:tcBorders>
              <w:top w:val="nil"/>
              <w:left w:val="nil"/>
              <w:bottom w:val="nil"/>
              <w:right w:val="nil"/>
            </w:tcBorders>
            <w:shd w:val="clear" w:color="auto" w:fill="auto"/>
            <w:noWrap/>
            <w:vAlign w:val="center"/>
            <w:hideMark/>
          </w:tcPr>
          <w:p w14:paraId="04C0EBF3"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-0.02 ± 4.65</w:t>
            </w:r>
          </w:p>
        </w:tc>
      </w:tr>
      <w:tr w:rsidR="00344027" w:rsidRPr="00002B66" w14:paraId="1AFBDC48" w14:textId="77777777" w:rsidTr="009A399F">
        <w:trPr>
          <w:trHeight w:val="317"/>
        </w:trPr>
        <w:tc>
          <w:tcPr>
            <w:tcW w:w="2031" w:type="dxa"/>
            <w:tcBorders>
              <w:top w:val="nil"/>
              <w:left w:val="nil"/>
              <w:bottom w:val="nil"/>
              <w:right w:val="nil"/>
            </w:tcBorders>
            <w:shd w:val="clear" w:color="auto" w:fill="auto"/>
            <w:noWrap/>
            <w:vAlign w:val="center"/>
            <w:hideMark/>
          </w:tcPr>
          <w:p w14:paraId="44C26439"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Thailand</w:t>
            </w:r>
          </w:p>
        </w:tc>
        <w:tc>
          <w:tcPr>
            <w:tcW w:w="1489" w:type="dxa"/>
            <w:tcBorders>
              <w:top w:val="nil"/>
              <w:left w:val="nil"/>
              <w:bottom w:val="nil"/>
              <w:right w:val="nil"/>
            </w:tcBorders>
            <w:shd w:val="clear" w:color="auto" w:fill="auto"/>
            <w:noWrap/>
            <w:vAlign w:val="center"/>
            <w:hideMark/>
          </w:tcPr>
          <w:p w14:paraId="708BC6C8"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0.36 ± 0.02</w:t>
            </w:r>
          </w:p>
        </w:tc>
        <w:tc>
          <w:tcPr>
            <w:tcW w:w="1354" w:type="dxa"/>
            <w:tcBorders>
              <w:top w:val="nil"/>
              <w:left w:val="nil"/>
              <w:bottom w:val="nil"/>
              <w:right w:val="nil"/>
            </w:tcBorders>
            <w:shd w:val="clear" w:color="auto" w:fill="auto"/>
            <w:noWrap/>
            <w:vAlign w:val="center"/>
            <w:hideMark/>
          </w:tcPr>
          <w:p w14:paraId="3D55CBF6"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1.96 ± 0.00</w:t>
            </w:r>
          </w:p>
        </w:tc>
        <w:tc>
          <w:tcPr>
            <w:tcW w:w="1957" w:type="dxa"/>
            <w:tcBorders>
              <w:top w:val="nil"/>
              <w:left w:val="nil"/>
              <w:bottom w:val="nil"/>
              <w:right w:val="nil"/>
            </w:tcBorders>
            <w:shd w:val="clear" w:color="auto" w:fill="auto"/>
            <w:noWrap/>
            <w:vAlign w:val="center"/>
            <w:hideMark/>
          </w:tcPr>
          <w:p w14:paraId="1F7E6606"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71.10 ± 0.41</w:t>
            </w:r>
          </w:p>
        </w:tc>
        <w:tc>
          <w:tcPr>
            <w:tcW w:w="2016" w:type="dxa"/>
            <w:tcBorders>
              <w:top w:val="nil"/>
              <w:left w:val="nil"/>
              <w:bottom w:val="nil"/>
              <w:right w:val="nil"/>
            </w:tcBorders>
            <w:shd w:val="clear" w:color="auto" w:fill="auto"/>
            <w:noWrap/>
            <w:vAlign w:val="center"/>
            <w:hideMark/>
          </w:tcPr>
          <w:p w14:paraId="4F1CBCDC"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-0.01 ± 0.01</w:t>
            </w:r>
          </w:p>
        </w:tc>
        <w:tc>
          <w:tcPr>
            <w:tcW w:w="1784" w:type="dxa"/>
            <w:tcBorders>
              <w:top w:val="nil"/>
              <w:left w:val="nil"/>
              <w:bottom w:val="nil"/>
              <w:right w:val="nil"/>
            </w:tcBorders>
            <w:shd w:val="clear" w:color="auto" w:fill="auto"/>
            <w:noWrap/>
            <w:vAlign w:val="center"/>
            <w:hideMark/>
          </w:tcPr>
          <w:p w14:paraId="1C86251B"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-1.53 ± 3.42</w:t>
            </w:r>
          </w:p>
        </w:tc>
        <w:tc>
          <w:tcPr>
            <w:tcW w:w="2016" w:type="dxa"/>
            <w:tcBorders>
              <w:top w:val="nil"/>
              <w:left w:val="nil"/>
              <w:bottom w:val="nil"/>
              <w:right w:val="nil"/>
            </w:tcBorders>
            <w:shd w:val="clear" w:color="auto" w:fill="auto"/>
            <w:noWrap/>
            <w:vAlign w:val="center"/>
            <w:hideMark/>
          </w:tcPr>
          <w:p w14:paraId="614A46D6"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-0.02 ± 0.01</w:t>
            </w:r>
          </w:p>
        </w:tc>
        <w:tc>
          <w:tcPr>
            <w:tcW w:w="2121" w:type="dxa"/>
            <w:tcBorders>
              <w:top w:val="nil"/>
              <w:left w:val="nil"/>
              <w:bottom w:val="nil"/>
              <w:right w:val="nil"/>
            </w:tcBorders>
            <w:shd w:val="clear" w:color="auto" w:fill="auto"/>
            <w:noWrap/>
            <w:vAlign w:val="center"/>
            <w:hideMark/>
          </w:tcPr>
          <w:p w14:paraId="798C6B43"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-6.67 ± 3.47</w:t>
            </w:r>
          </w:p>
        </w:tc>
      </w:tr>
      <w:tr w:rsidR="00344027" w:rsidRPr="00002B66" w14:paraId="7B10A132" w14:textId="77777777" w:rsidTr="009A399F">
        <w:trPr>
          <w:trHeight w:val="317"/>
        </w:trPr>
        <w:tc>
          <w:tcPr>
            <w:tcW w:w="2031" w:type="dxa"/>
            <w:tcBorders>
              <w:top w:val="nil"/>
              <w:left w:val="nil"/>
              <w:bottom w:val="nil"/>
              <w:right w:val="nil"/>
            </w:tcBorders>
            <w:shd w:val="clear" w:color="auto" w:fill="auto"/>
            <w:noWrap/>
            <w:vAlign w:val="center"/>
            <w:hideMark/>
          </w:tcPr>
          <w:p w14:paraId="4B3E8235"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Guinea-Bissau</w:t>
            </w:r>
          </w:p>
        </w:tc>
        <w:tc>
          <w:tcPr>
            <w:tcW w:w="1489" w:type="dxa"/>
            <w:tcBorders>
              <w:top w:val="nil"/>
              <w:left w:val="nil"/>
              <w:bottom w:val="nil"/>
              <w:right w:val="nil"/>
            </w:tcBorders>
            <w:shd w:val="clear" w:color="auto" w:fill="auto"/>
            <w:noWrap/>
            <w:vAlign w:val="center"/>
            <w:hideMark/>
          </w:tcPr>
          <w:p w14:paraId="3816131B"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0.32 ± 0.02</w:t>
            </w:r>
          </w:p>
        </w:tc>
        <w:tc>
          <w:tcPr>
            <w:tcW w:w="1354" w:type="dxa"/>
            <w:tcBorders>
              <w:top w:val="nil"/>
              <w:left w:val="nil"/>
              <w:bottom w:val="nil"/>
              <w:right w:val="nil"/>
            </w:tcBorders>
            <w:shd w:val="clear" w:color="auto" w:fill="auto"/>
            <w:noWrap/>
            <w:vAlign w:val="center"/>
            <w:hideMark/>
          </w:tcPr>
          <w:p w14:paraId="41E7C335"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1.75 ± 0.01</w:t>
            </w:r>
          </w:p>
        </w:tc>
        <w:tc>
          <w:tcPr>
            <w:tcW w:w="1957" w:type="dxa"/>
            <w:tcBorders>
              <w:top w:val="nil"/>
              <w:left w:val="nil"/>
              <w:bottom w:val="nil"/>
              <w:right w:val="nil"/>
            </w:tcBorders>
            <w:shd w:val="clear" w:color="auto" w:fill="auto"/>
            <w:noWrap/>
            <w:vAlign w:val="center"/>
            <w:hideMark/>
          </w:tcPr>
          <w:p w14:paraId="73389E45"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72.84 ± 0.41</w:t>
            </w:r>
          </w:p>
        </w:tc>
        <w:tc>
          <w:tcPr>
            <w:tcW w:w="2016" w:type="dxa"/>
            <w:tcBorders>
              <w:top w:val="nil"/>
              <w:left w:val="nil"/>
              <w:bottom w:val="nil"/>
              <w:right w:val="nil"/>
            </w:tcBorders>
            <w:shd w:val="clear" w:color="auto" w:fill="auto"/>
            <w:noWrap/>
            <w:vAlign w:val="center"/>
            <w:hideMark/>
          </w:tcPr>
          <w:p w14:paraId="5E1CAAFC"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0.09 ± 0.02</w:t>
            </w:r>
          </w:p>
        </w:tc>
        <w:tc>
          <w:tcPr>
            <w:tcW w:w="1784" w:type="dxa"/>
            <w:tcBorders>
              <w:top w:val="nil"/>
              <w:left w:val="nil"/>
              <w:bottom w:val="nil"/>
              <w:right w:val="nil"/>
            </w:tcBorders>
            <w:shd w:val="clear" w:color="auto" w:fill="auto"/>
            <w:noWrap/>
            <w:vAlign w:val="center"/>
            <w:hideMark/>
          </w:tcPr>
          <w:p w14:paraId="0CD8715F"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27.51 ± 5.20</w:t>
            </w:r>
          </w:p>
        </w:tc>
        <w:tc>
          <w:tcPr>
            <w:tcW w:w="2016" w:type="dxa"/>
            <w:tcBorders>
              <w:top w:val="nil"/>
              <w:left w:val="nil"/>
              <w:bottom w:val="nil"/>
              <w:right w:val="nil"/>
            </w:tcBorders>
            <w:shd w:val="clear" w:color="auto" w:fill="auto"/>
            <w:noWrap/>
            <w:vAlign w:val="center"/>
            <w:hideMark/>
          </w:tcPr>
          <w:p w14:paraId="66820B99"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0.08 ± 0.02</w:t>
            </w:r>
          </w:p>
        </w:tc>
        <w:tc>
          <w:tcPr>
            <w:tcW w:w="2121" w:type="dxa"/>
            <w:tcBorders>
              <w:top w:val="nil"/>
              <w:left w:val="nil"/>
              <w:bottom w:val="nil"/>
              <w:right w:val="nil"/>
            </w:tcBorders>
            <w:shd w:val="clear" w:color="auto" w:fill="auto"/>
            <w:noWrap/>
            <w:vAlign w:val="center"/>
            <w:hideMark/>
          </w:tcPr>
          <w:p w14:paraId="2603CE5E"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24.73 ± 5.09</w:t>
            </w:r>
          </w:p>
        </w:tc>
      </w:tr>
      <w:tr w:rsidR="00344027" w:rsidRPr="00002B66" w14:paraId="24C73E99" w14:textId="77777777" w:rsidTr="009A399F">
        <w:trPr>
          <w:trHeight w:val="317"/>
        </w:trPr>
        <w:tc>
          <w:tcPr>
            <w:tcW w:w="2031" w:type="dxa"/>
            <w:tcBorders>
              <w:top w:val="nil"/>
              <w:left w:val="nil"/>
              <w:bottom w:val="nil"/>
              <w:right w:val="nil"/>
            </w:tcBorders>
            <w:shd w:val="clear" w:color="auto" w:fill="auto"/>
            <w:noWrap/>
            <w:vAlign w:val="center"/>
            <w:hideMark/>
          </w:tcPr>
          <w:p w14:paraId="4804EC15"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Madagascar</w:t>
            </w:r>
          </w:p>
        </w:tc>
        <w:tc>
          <w:tcPr>
            <w:tcW w:w="1489" w:type="dxa"/>
            <w:tcBorders>
              <w:top w:val="nil"/>
              <w:left w:val="nil"/>
              <w:bottom w:val="nil"/>
              <w:right w:val="nil"/>
            </w:tcBorders>
            <w:shd w:val="clear" w:color="auto" w:fill="auto"/>
            <w:noWrap/>
            <w:vAlign w:val="center"/>
            <w:hideMark/>
          </w:tcPr>
          <w:p w14:paraId="7FE1B146"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0.28 ± 0.01</w:t>
            </w:r>
          </w:p>
        </w:tc>
        <w:tc>
          <w:tcPr>
            <w:tcW w:w="1354" w:type="dxa"/>
            <w:tcBorders>
              <w:top w:val="nil"/>
              <w:left w:val="nil"/>
              <w:bottom w:val="nil"/>
              <w:right w:val="nil"/>
            </w:tcBorders>
            <w:shd w:val="clear" w:color="auto" w:fill="auto"/>
            <w:noWrap/>
            <w:vAlign w:val="center"/>
            <w:hideMark/>
          </w:tcPr>
          <w:p w14:paraId="105ACDDB"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1.56 ± 0.01</w:t>
            </w:r>
          </w:p>
        </w:tc>
        <w:tc>
          <w:tcPr>
            <w:tcW w:w="1957" w:type="dxa"/>
            <w:tcBorders>
              <w:top w:val="nil"/>
              <w:left w:val="nil"/>
              <w:bottom w:val="nil"/>
              <w:right w:val="nil"/>
            </w:tcBorders>
            <w:shd w:val="clear" w:color="auto" w:fill="auto"/>
            <w:noWrap/>
            <w:vAlign w:val="center"/>
            <w:hideMark/>
          </w:tcPr>
          <w:p w14:paraId="0698151E"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74.40 ± 0.41</w:t>
            </w:r>
          </w:p>
        </w:tc>
        <w:tc>
          <w:tcPr>
            <w:tcW w:w="2016" w:type="dxa"/>
            <w:tcBorders>
              <w:top w:val="nil"/>
              <w:left w:val="nil"/>
              <w:bottom w:val="nil"/>
              <w:right w:val="nil"/>
            </w:tcBorders>
            <w:shd w:val="clear" w:color="auto" w:fill="auto"/>
            <w:noWrap/>
            <w:vAlign w:val="center"/>
            <w:hideMark/>
          </w:tcPr>
          <w:p w14:paraId="136EC91D"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0.00 ± 0.01*</w:t>
            </w:r>
          </w:p>
        </w:tc>
        <w:tc>
          <w:tcPr>
            <w:tcW w:w="1784" w:type="dxa"/>
            <w:tcBorders>
              <w:top w:val="nil"/>
              <w:left w:val="nil"/>
              <w:bottom w:val="nil"/>
              <w:right w:val="nil"/>
            </w:tcBorders>
            <w:shd w:val="clear" w:color="auto" w:fill="auto"/>
            <w:noWrap/>
            <w:vAlign w:val="center"/>
            <w:hideMark/>
          </w:tcPr>
          <w:p w14:paraId="1C260D44"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-0.72 ± 4.33</w:t>
            </w:r>
          </w:p>
        </w:tc>
        <w:tc>
          <w:tcPr>
            <w:tcW w:w="2016" w:type="dxa"/>
            <w:tcBorders>
              <w:top w:val="nil"/>
              <w:left w:val="nil"/>
              <w:bottom w:val="nil"/>
              <w:right w:val="nil"/>
            </w:tcBorders>
            <w:shd w:val="clear" w:color="auto" w:fill="auto"/>
            <w:noWrap/>
            <w:vAlign w:val="center"/>
            <w:hideMark/>
          </w:tcPr>
          <w:p w14:paraId="7AD7B83A"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-0.03 ± 0.01</w:t>
            </w:r>
          </w:p>
        </w:tc>
        <w:tc>
          <w:tcPr>
            <w:tcW w:w="2121" w:type="dxa"/>
            <w:tcBorders>
              <w:top w:val="nil"/>
              <w:left w:val="nil"/>
              <w:bottom w:val="nil"/>
              <w:right w:val="nil"/>
            </w:tcBorders>
            <w:shd w:val="clear" w:color="auto" w:fill="auto"/>
            <w:noWrap/>
            <w:vAlign w:val="center"/>
            <w:hideMark/>
          </w:tcPr>
          <w:p w14:paraId="40C370B2"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-10.99 ± 4.33</w:t>
            </w:r>
          </w:p>
        </w:tc>
      </w:tr>
      <w:tr w:rsidR="00344027" w:rsidRPr="00002B66" w14:paraId="7DC5CD14" w14:textId="77777777" w:rsidTr="009A399F">
        <w:trPr>
          <w:trHeight w:val="317"/>
        </w:trPr>
        <w:tc>
          <w:tcPr>
            <w:tcW w:w="2031" w:type="dxa"/>
            <w:tcBorders>
              <w:top w:val="nil"/>
              <w:left w:val="nil"/>
              <w:bottom w:val="nil"/>
              <w:right w:val="nil"/>
            </w:tcBorders>
            <w:shd w:val="clear" w:color="auto" w:fill="auto"/>
            <w:noWrap/>
            <w:vAlign w:val="center"/>
            <w:hideMark/>
          </w:tcPr>
          <w:p w14:paraId="0AB93692"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Guinea</w:t>
            </w:r>
          </w:p>
        </w:tc>
        <w:tc>
          <w:tcPr>
            <w:tcW w:w="1489" w:type="dxa"/>
            <w:tcBorders>
              <w:top w:val="nil"/>
              <w:left w:val="nil"/>
              <w:bottom w:val="nil"/>
              <w:right w:val="nil"/>
            </w:tcBorders>
            <w:shd w:val="clear" w:color="auto" w:fill="auto"/>
            <w:noWrap/>
            <w:vAlign w:val="center"/>
            <w:hideMark/>
          </w:tcPr>
          <w:p w14:paraId="7E6F4159"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0.28 ± 0.02</w:t>
            </w:r>
          </w:p>
        </w:tc>
        <w:tc>
          <w:tcPr>
            <w:tcW w:w="1354" w:type="dxa"/>
            <w:tcBorders>
              <w:top w:val="nil"/>
              <w:left w:val="nil"/>
              <w:bottom w:val="nil"/>
              <w:right w:val="nil"/>
            </w:tcBorders>
            <w:shd w:val="clear" w:color="auto" w:fill="auto"/>
            <w:noWrap/>
            <w:vAlign w:val="center"/>
            <w:hideMark/>
          </w:tcPr>
          <w:p w14:paraId="0D2AEA06"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1.52 ± 0.02</w:t>
            </w:r>
          </w:p>
        </w:tc>
        <w:tc>
          <w:tcPr>
            <w:tcW w:w="1957" w:type="dxa"/>
            <w:tcBorders>
              <w:top w:val="nil"/>
              <w:left w:val="nil"/>
              <w:bottom w:val="nil"/>
              <w:right w:val="nil"/>
            </w:tcBorders>
            <w:shd w:val="clear" w:color="auto" w:fill="auto"/>
            <w:noWrap/>
            <w:vAlign w:val="center"/>
            <w:hideMark/>
          </w:tcPr>
          <w:p w14:paraId="426090DE"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75.92 ± 0.43</w:t>
            </w:r>
          </w:p>
        </w:tc>
        <w:tc>
          <w:tcPr>
            <w:tcW w:w="2016" w:type="dxa"/>
            <w:tcBorders>
              <w:top w:val="nil"/>
              <w:left w:val="nil"/>
              <w:bottom w:val="nil"/>
              <w:right w:val="nil"/>
            </w:tcBorders>
            <w:shd w:val="clear" w:color="auto" w:fill="auto"/>
            <w:noWrap/>
            <w:vAlign w:val="center"/>
            <w:hideMark/>
          </w:tcPr>
          <w:p w14:paraId="0DA26054"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0.00 ± 0.01*</w:t>
            </w:r>
          </w:p>
        </w:tc>
        <w:tc>
          <w:tcPr>
            <w:tcW w:w="1784" w:type="dxa"/>
            <w:tcBorders>
              <w:top w:val="nil"/>
              <w:left w:val="nil"/>
              <w:bottom w:val="nil"/>
              <w:right w:val="nil"/>
            </w:tcBorders>
            <w:shd w:val="clear" w:color="auto" w:fill="auto"/>
            <w:noWrap/>
            <w:vAlign w:val="center"/>
            <w:hideMark/>
          </w:tcPr>
          <w:p w14:paraId="29563B87"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1.66 ± 3.44</w:t>
            </w:r>
          </w:p>
        </w:tc>
        <w:tc>
          <w:tcPr>
            <w:tcW w:w="2016" w:type="dxa"/>
            <w:tcBorders>
              <w:top w:val="nil"/>
              <w:left w:val="nil"/>
              <w:bottom w:val="nil"/>
              <w:right w:val="nil"/>
            </w:tcBorders>
            <w:shd w:val="clear" w:color="auto" w:fill="auto"/>
            <w:noWrap/>
            <w:vAlign w:val="center"/>
            <w:hideMark/>
          </w:tcPr>
          <w:p w14:paraId="6C3668AE"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0.01 ± 0.01*</w:t>
            </w:r>
          </w:p>
        </w:tc>
        <w:tc>
          <w:tcPr>
            <w:tcW w:w="2121" w:type="dxa"/>
            <w:tcBorders>
              <w:top w:val="nil"/>
              <w:left w:val="nil"/>
              <w:bottom w:val="nil"/>
              <w:right w:val="nil"/>
            </w:tcBorders>
            <w:shd w:val="clear" w:color="auto" w:fill="auto"/>
            <w:noWrap/>
            <w:vAlign w:val="center"/>
            <w:hideMark/>
          </w:tcPr>
          <w:p w14:paraId="7E5AD5B7"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2.65 ± 3.80</w:t>
            </w:r>
          </w:p>
        </w:tc>
      </w:tr>
      <w:tr w:rsidR="00344027" w:rsidRPr="00002B66" w14:paraId="5F2C99DB" w14:textId="77777777" w:rsidTr="009A399F">
        <w:trPr>
          <w:trHeight w:val="317"/>
        </w:trPr>
        <w:tc>
          <w:tcPr>
            <w:tcW w:w="2031" w:type="dxa"/>
            <w:tcBorders>
              <w:top w:val="nil"/>
              <w:left w:val="nil"/>
              <w:bottom w:val="nil"/>
              <w:right w:val="nil"/>
            </w:tcBorders>
            <w:shd w:val="clear" w:color="auto" w:fill="auto"/>
            <w:noWrap/>
            <w:vAlign w:val="center"/>
            <w:hideMark/>
          </w:tcPr>
          <w:p w14:paraId="2859855B"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Mozambique</w:t>
            </w:r>
          </w:p>
        </w:tc>
        <w:tc>
          <w:tcPr>
            <w:tcW w:w="1489" w:type="dxa"/>
            <w:tcBorders>
              <w:top w:val="nil"/>
              <w:left w:val="nil"/>
              <w:bottom w:val="nil"/>
              <w:right w:val="nil"/>
            </w:tcBorders>
            <w:shd w:val="clear" w:color="auto" w:fill="auto"/>
            <w:noWrap/>
            <w:vAlign w:val="center"/>
            <w:hideMark/>
          </w:tcPr>
          <w:p w14:paraId="0D5DCF1A"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0.25 ± 0.01</w:t>
            </w:r>
          </w:p>
        </w:tc>
        <w:tc>
          <w:tcPr>
            <w:tcW w:w="1354" w:type="dxa"/>
            <w:tcBorders>
              <w:top w:val="nil"/>
              <w:left w:val="nil"/>
              <w:bottom w:val="nil"/>
              <w:right w:val="nil"/>
            </w:tcBorders>
            <w:shd w:val="clear" w:color="auto" w:fill="auto"/>
            <w:noWrap/>
            <w:vAlign w:val="center"/>
            <w:hideMark/>
          </w:tcPr>
          <w:p w14:paraId="62DEC028"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1.35 ± 0.01</w:t>
            </w:r>
          </w:p>
        </w:tc>
        <w:tc>
          <w:tcPr>
            <w:tcW w:w="1957" w:type="dxa"/>
            <w:tcBorders>
              <w:top w:val="nil"/>
              <w:left w:val="nil"/>
              <w:bottom w:val="nil"/>
              <w:right w:val="nil"/>
            </w:tcBorders>
            <w:shd w:val="clear" w:color="auto" w:fill="auto"/>
            <w:noWrap/>
            <w:vAlign w:val="center"/>
            <w:hideMark/>
          </w:tcPr>
          <w:p w14:paraId="167EA2B7"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77.27 ± 0.44</w:t>
            </w:r>
          </w:p>
        </w:tc>
        <w:tc>
          <w:tcPr>
            <w:tcW w:w="2016" w:type="dxa"/>
            <w:tcBorders>
              <w:top w:val="nil"/>
              <w:left w:val="nil"/>
              <w:bottom w:val="nil"/>
              <w:right w:val="nil"/>
            </w:tcBorders>
            <w:shd w:val="clear" w:color="auto" w:fill="auto"/>
            <w:noWrap/>
            <w:vAlign w:val="center"/>
            <w:hideMark/>
          </w:tcPr>
          <w:p w14:paraId="1334F457"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-0.03 ± 0.01</w:t>
            </w:r>
          </w:p>
        </w:tc>
        <w:tc>
          <w:tcPr>
            <w:tcW w:w="1784" w:type="dxa"/>
            <w:tcBorders>
              <w:top w:val="nil"/>
              <w:left w:val="nil"/>
              <w:bottom w:val="nil"/>
              <w:right w:val="nil"/>
            </w:tcBorders>
            <w:shd w:val="clear" w:color="auto" w:fill="auto"/>
            <w:noWrap/>
            <w:vAlign w:val="center"/>
            <w:hideMark/>
          </w:tcPr>
          <w:p w14:paraId="718E675F"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-10.24 ± 3.33</w:t>
            </w:r>
          </w:p>
        </w:tc>
        <w:tc>
          <w:tcPr>
            <w:tcW w:w="2016" w:type="dxa"/>
            <w:tcBorders>
              <w:top w:val="nil"/>
              <w:left w:val="nil"/>
              <w:bottom w:val="nil"/>
              <w:right w:val="nil"/>
            </w:tcBorders>
            <w:shd w:val="clear" w:color="auto" w:fill="auto"/>
            <w:noWrap/>
            <w:vAlign w:val="center"/>
            <w:hideMark/>
          </w:tcPr>
          <w:p w14:paraId="7F20A96F"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-0.01 ± 0.01*</w:t>
            </w:r>
          </w:p>
        </w:tc>
        <w:tc>
          <w:tcPr>
            <w:tcW w:w="2121" w:type="dxa"/>
            <w:tcBorders>
              <w:top w:val="nil"/>
              <w:left w:val="nil"/>
              <w:bottom w:val="nil"/>
              <w:right w:val="nil"/>
            </w:tcBorders>
            <w:shd w:val="clear" w:color="auto" w:fill="auto"/>
            <w:noWrap/>
            <w:vAlign w:val="center"/>
            <w:hideMark/>
          </w:tcPr>
          <w:p w14:paraId="23110654"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-5.73 ± 3.84</w:t>
            </w:r>
          </w:p>
        </w:tc>
      </w:tr>
      <w:tr w:rsidR="00344027" w:rsidRPr="00002B66" w14:paraId="16053AE2" w14:textId="77777777" w:rsidTr="009A399F">
        <w:trPr>
          <w:trHeight w:val="317"/>
        </w:trPr>
        <w:tc>
          <w:tcPr>
            <w:tcW w:w="2031" w:type="dxa"/>
            <w:tcBorders>
              <w:top w:val="nil"/>
              <w:left w:val="nil"/>
              <w:bottom w:val="nil"/>
              <w:right w:val="nil"/>
            </w:tcBorders>
            <w:shd w:val="clear" w:color="auto" w:fill="auto"/>
            <w:noWrap/>
            <w:vAlign w:val="center"/>
            <w:hideMark/>
          </w:tcPr>
          <w:p w14:paraId="4D17627D"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United States</w:t>
            </w:r>
          </w:p>
        </w:tc>
        <w:tc>
          <w:tcPr>
            <w:tcW w:w="1489" w:type="dxa"/>
            <w:tcBorders>
              <w:top w:val="nil"/>
              <w:left w:val="nil"/>
              <w:bottom w:val="nil"/>
              <w:right w:val="nil"/>
            </w:tcBorders>
            <w:shd w:val="clear" w:color="auto" w:fill="auto"/>
            <w:noWrap/>
            <w:vAlign w:val="center"/>
            <w:hideMark/>
          </w:tcPr>
          <w:p w14:paraId="152A3FE3"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0.24 ± 0.01</w:t>
            </w:r>
          </w:p>
        </w:tc>
        <w:tc>
          <w:tcPr>
            <w:tcW w:w="1354" w:type="dxa"/>
            <w:tcBorders>
              <w:top w:val="nil"/>
              <w:left w:val="nil"/>
              <w:bottom w:val="nil"/>
              <w:right w:val="nil"/>
            </w:tcBorders>
            <w:shd w:val="clear" w:color="auto" w:fill="auto"/>
            <w:noWrap/>
            <w:vAlign w:val="center"/>
            <w:hideMark/>
          </w:tcPr>
          <w:p w14:paraId="10E19F37"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1.34 ± 0.01</w:t>
            </w:r>
          </w:p>
        </w:tc>
        <w:tc>
          <w:tcPr>
            <w:tcW w:w="1957" w:type="dxa"/>
            <w:tcBorders>
              <w:top w:val="nil"/>
              <w:left w:val="nil"/>
              <w:bottom w:val="nil"/>
              <w:right w:val="nil"/>
            </w:tcBorders>
            <w:shd w:val="clear" w:color="auto" w:fill="auto"/>
            <w:noWrap/>
            <w:vAlign w:val="center"/>
            <w:hideMark/>
          </w:tcPr>
          <w:p w14:paraId="3AA5B9DA"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78.61 ± 0.44</w:t>
            </w:r>
          </w:p>
        </w:tc>
        <w:tc>
          <w:tcPr>
            <w:tcW w:w="2016" w:type="dxa"/>
            <w:tcBorders>
              <w:top w:val="nil"/>
              <w:left w:val="nil"/>
              <w:bottom w:val="nil"/>
              <w:right w:val="nil"/>
            </w:tcBorders>
            <w:shd w:val="clear" w:color="auto" w:fill="auto"/>
            <w:noWrap/>
            <w:vAlign w:val="center"/>
            <w:hideMark/>
          </w:tcPr>
          <w:p w14:paraId="02D7B4DE"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0.01 ± 0.01*</w:t>
            </w:r>
          </w:p>
        </w:tc>
        <w:tc>
          <w:tcPr>
            <w:tcW w:w="1784" w:type="dxa"/>
            <w:tcBorders>
              <w:top w:val="nil"/>
              <w:left w:val="nil"/>
              <w:bottom w:val="nil"/>
              <w:right w:val="nil"/>
            </w:tcBorders>
            <w:shd w:val="clear" w:color="auto" w:fill="auto"/>
            <w:noWrap/>
            <w:vAlign w:val="center"/>
            <w:hideMark/>
          </w:tcPr>
          <w:p w14:paraId="284265DE"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3.57 ± 4.13</w:t>
            </w:r>
          </w:p>
        </w:tc>
        <w:tc>
          <w:tcPr>
            <w:tcW w:w="2016" w:type="dxa"/>
            <w:tcBorders>
              <w:top w:val="nil"/>
              <w:left w:val="nil"/>
              <w:bottom w:val="nil"/>
              <w:right w:val="nil"/>
            </w:tcBorders>
            <w:shd w:val="clear" w:color="auto" w:fill="auto"/>
            <w:noWrap/>
            <w:vAlign w:val="center"/>
            <w:hideMark/>
          </w:tcPr>
          <w:p w14:paraId="164AB87D"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-0.01 ± 0.01*</w:t>
            </w:r>
          </w:p>
        </w:tc>
        <w:tc>
          <w:tcPr>
            <w:tcW w:w="2121" w:type="dxa"/>
            <w:tcBorders>
              <w:top w:val="nil"/>
              <w:left w:val="nil"/>
              <w:bottom w:val="nil"/>
              <w:right w:val="nil"/>
            </w:tcBorders>
            <w:shd w:val="clear" w:color="auto" w:fill="auto"/>
            <w:noWrap/>
            <w:vAlign w:val="center"/>
            <w:hideMark/>
          </w:tcPr>
          <w:p w14:paraId="4B945ECA"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-2.98 ± 4.14</w:t>
            </w:r>
          </w:p>
        </w:tc>
      </w:tr>
      <w:tr w:rsidR="00344027" w:rsidRPr="00002B66" w14:paraId="5081BFE7" w14:textId="77777777" w:rsidTr="009A399F">
        <w:trPr>
          <w:trHeight w:val="317"/>
        </w:trPr>
        <w:tc>
          <w:tcPr>
            <w:tcW w:w="2031" w:type="dxa"/>
            <w:tcBorders>
              <w:top w:val="nil"/>
              <w:left w:val="nil"/>
              <w:bottom w:val="nil"/>
              <w:right w:val="nil"/>
            </w:tcBorders>
            <w:shd w:val="clear" w:color="auto" w:fill="auto"/>
            <w:noWrap/>
            <w:vAlign w:val="center"/>
            <w:hideMark/>
          </w:tcPr>
          <w:p w14:paraId="61B0BF39"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Sierra Leone</w:t>
            </w:r>
          </w:p>
        </w:tc>
        <w:tc>
          <w:tcPr>
            <w:tcW w:w="1489" w:type="dxa"/>
            <w:tcBorders>
              <w:top w:val="nil"/>
              <w:left w:val="nil"/>
              <w:bottom w:val="nil"/>
              <w:right w:val="nil"/>
            </w:tcBorders>
            <w:shd w:val="clear" w:color="auto" w:fill="auto"/>
            <w:noWrap/>
            <w:vAlign w:val="center"/>
            <w:hideMark/>
          </w:tcPr>
          <w:p w14:paraId="54A4E6B7"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0.24 ± 0.01</w:t>
            </w:r>
          </w:p>
        </w:tc>
        <w:tc>
          <w:tcPr>
            <w:tcW w:w="1354" w:type="dxa"/>
            <w:tcBorders>
              <w:top w:val="nil"/>
              <w:left w:val="nil"/>
              <w:bottom w:val="nil"/>
              <w:right w:val="nil"/>
            </w:tcBorders>
            <w:shd w:val="clear" w:color="auto" w:fill="auto"/>
            <w:noWrap/>
            <w:vAlign w:val="center"/>
            <w:hideMark/>
          </w:tcPr>
          <w:p w14:paraId="5533E1BB"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1.29 ± 0.02</w:t>
            </w:r>
          </w:p>
        </w:tc>
        <w:tc>
          <w:tcPr>
            <w:tcW w:w="1957" w:type="dxa"/>
            <w:tcBorders>
              <w:top w:val="nil"/>
              <w:left w:val="nil"/>
              <w:bottom w:val="nil"/>
              <w:right w:val="nil"/>
            </w:tcBorders>
            <w:shd w:val="clear" w:color="auto" w:fill="auto"/>
            <w:noWrap/>
            <w:vAlign w:val="center"/>
            <w:hideMark/>
          </w:tcPr>
          <w:p w14:paraId="4267A850"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79.89 ± 0.46</w:t>
            </w:r>
          </w:p>
        </w:tc>
        <w:tc>
          <w:tcPr>
            <w:tcW w:w="2016" w:type="dxa"/>
            <w:tcBorders>
              <w:top w:val="nil"/>
              <w:left w:val="nil"/>
              <w:bottom w:val="nil"/>
              <w:right w:val="nil"/>
            </w:tcBorders>
            <w:shd w:val="clear" w:color="auto" w:fill="auto"/>
            <w:noWrap/>
            <w:vAlign w:val="center"/>
            <w:hideMark/>
          </w:tcPr>
          <w:p w14:paraId="1DB0D5B0"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-0.01 ± 0.01*</w:t>
            </w:r>
          </w:p>
        </w:tc>
        <w:tc>
          <w:tcPr>
            <w:tcW w:w="1784" w:type="dxa"/>
            <w:tcBorders>
              <w:top w:val="nil"/>
              <w:left w:val="nil"/>
              <w:bottom w:val="nil"/>
              <w:right w:val="nil"/>
            </w:tcBorders>
            <w:shd w:val="clear" w:color="auto" w:fill="auto"/>
            <w:noWrap/>
            <w:vAlign w:val="center"/>
            <w:hideMark/>
          </w:tcPr>
          <w:p w14:paraId="24028580"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-2.71 ± 3.20</w:t>
            </w:r>
          </w:p>
        </w:tc>
        <w:tc>
          <w:tcPr>
            <w:tcW w:w="2016" w:type="dxa"/>
            <w:tcBorders>
              <w:top w:val="nil"/>
              <w:left w:val="nil"/>
              <w:bottom w:val="nil"/>
              <w:right w:val="nil"/>
            </w:tcBorders>
            <w:shd w:val="clear" w:color="auto" w:fill="auto"/>
            <w:noWrap/>
            <w:vAlign w:val="center"/>
            <w:hideMark/>
          </w:tcPr>
          <w:p w14:paraId="0FC83AB2"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0.01 ± 0.01*</w:t>
            </w:r>
          </w:p>
        </w:tc>
        <w:tc>
          <w:tcPr>
            <w:tcW w:w="2121" w:type="dxa"/>
            <w:tcBorders>
              <w:top w:val="nil"/>
              <w:left w:val="nil"/>
              <w:bottom w:val="nil"/>
              <w:right w:val="nil"/>
            </w:tcBorders>
            <w:shd w:val="clear" w:color="auto" w:fill="auto"/>
            <w:noWrap/>
            <w:vAlign w:val="center"/>
            <w:hideMark/>
          </w:tcPr>
          <w:p w14:paraId="0F80852D"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2.93 ± 3.66</w:t>
            </w:r>
          </w:p>
        </w:tc>
      </w:tr>
      <w:tr w:rsidR="00344027" w:rsidRPr="00002B66" w14:paraId="0AFC972A" w14:textId="77777777" w:rsidTr="009A399F">
        <w:trPr>
          <w:trHeight w:val="60"/>
        </w:trPr>
        <w:tc>
          <w:tcPr>
            <w:tcW w:w="2031" w:type="dxa"/>
            <w:tcBorders>
              <w:top w:val="nil"/>
              <w:left w:val="nil"/>
              <w:bottom w:val="single" w:sz="4" w:space="0" w:color="auto"/>
              <w:right w:val="nil"/>
            </w:tcBorders>
            <w:shd w:val="clear" w:color="auto" w:fill="auto"/>
            <w:noWrap/>
            <w:vAlign w:val="center"/>
            <w:hideMark/>
          </w:tcPr>
          <w:p w14:paraId="1CABCF5F"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Panama</w:t>
            </w:r>
          </w:p>
        </w:tc>
        <w:tc>
          <w:tcPr>
            <w:tcW w:w="1489" w:type="dxa"/>
            <w:tcBorders>
              <w:top w:val="nil"/>
              <w:left w:val="nil"/>
              <w:bottom w:val="single" w:sz="4" w:space="0" w:color="auto"/>
              <w:right w:val="nil"/>
            </w:tcBorders>
            <w:shd w:val="clear" w:color="auto" w:fill="auto"/>
            <w:noWrap/>
            <w:vAlign w:val="center"/>
            <w:hideMark/>
          </w:tcPr>
          <w:p w14:paraId="063F29CF"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0.23 ± 0.01</w:t>
            </w:r>
          </w:p>
        </w:tc>
        <w:tc>
          <w:tcPr>
            <w:tcW w:w="1354" w:type="dxa"/>
            <w:tcBorders>
              <w:top w:val="nil"/>
              <w:left w:val="nil"/>
              <w:bottom w:val="single" w:sz="4" w:space="0" w:color="auto"/>
              <w:right w:val="nil"/>
            </w:tcBorders>
            <w:shd w:val="clear" w:color="auto" w:fill="auto"/>
            <w:noWrap/>
            <w:vAlign w:val="center"/>
            <w:hideMark/>
          </w:tcPr>
          <w:p w14:paraId="4033A9D0"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 xml:space="preserve"> 1.27 ± 0.00</w:t>
            </w:r>
          </w:p>
        </w:tc>
        <w:tc>
          <w:tcPr>
            <w:tcW w:w="1957" w:type="dxa"/>
            <w:tcBorders>
              <w:top w:val="nil"/>
              <w:left w:val="nil"/>
              <w:bottom w:val="single" w:sz="4" w:space="0" w:color="auto"/>
              <w:right w:val="nil"/>
            </w:tcBorders>
            <w:shd w:val="clear" w:color="auto" w:fill="auto"/>
            <w:noWrap/>
            <w:vAlign w:val="center"/>
            <w:hideMark/>
          </w:tcPr>
          <w:p w14:paraId="19067292"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81.17 ± 0.47</w:t>
            </w:r>
          </w:p>
        </w:tc>
        <w:tc>
          <w:tcPr>
            <w:tcW w:w="2016" w:type="dxa"/>
            <w:tcBorders>
              <w:top w:val="nil"/>
              <w:left w:val="nil"/>
              <w:bottom w:val="single" w:sz="4" w:space="0" w:color="auto"/>
              <w:right w:val="nil"/>
            </w:tcBorders>
            <w:shd w:val="clear" w:color="auto" w:fill="auto"/>
            <w:noWrap/>
            <w:vAlign w:val="center"/>
            <w:hideMark/>
          </w:tcPr>
          <w:p w14:paraId="276614FF"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-0.05 ± 0.01</w:t>
            </w:r>
          </w:p>
        </w:tc>
        <w:tc>
          <w:tcPr>
            <w:tcW w:w="1784" w:type="dxa"/>
            <w:tcBorders>
              <w:top w:val="nil"/>
              <w:left w:val="nil"/>
              <w:bottom w:val="single" w:sz="4" w:space="0" w:color="auto"/>
              <w:right w:val="nil"/>
            </w:tcBorders>
            <w:shd w:val="clear" w:color="auto" w:fill="auto"/>
            <w:noWrap/>
            <w:vAlign w:val="center"/>
            <w:hideMark/>
          </w:tcPr>
          <w:p w14:paraId="124038D5"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-20.93 ± 2.83</w:t>
            </w:r>
          </w:p>
        </w:tc>
        <w:tc>
          <w:tcPr>
            <w:tcW w:w="2016" w:type="dxa"/>
            <w:tcBorders>
              <w:top w:val="nil"/>
              <w:left w:val="nil"/>
              <w:bottom w:val="single" w:sz="4" w:space="0" w:color="auto"/>
              <w:right w:val="nil"/>
            </w:tcBorders>
            <w:shd w:val="clear" w:color="auto" w:fill="auto"/>
            <w:noWrap/>
            <w:vAlign w:val="center"/>
            <w:hideMark/>
          </w:tcPr>
          <w:p w14:paraId="44D0EDB7"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-0.06 ± 0.01</w:t>
            </w:r>
          </w:p>
        </w:tc>
        <w:tc>
          <w:tcPr>
            <w:tcW w:w="2121" w:type="dxa"/>
            <w:tcBorders>
              <w:top w:val="nil"/>
              <w:left w:val="nil"/>
              <w:bottom w:val="single" w:sz="4" w:space="0" w:color="auto"/>
              <w:right w:val="nil"/>
            </w:tcBorders>
            <w:shd w:val="clear" w:color="auto" w:fill="auto"/>
            <w:noWrap/>
            <w:vAlign w:val="center"/>
            <w:hideMark/>
          </w:tcPr>
          <w:p w14:paraId="1E3C5103" w14:textId="77777777" w:rsidR="00344027" w:rsidRPr="00002B66" w:rsidRDefault="00344027" w:rsidP="009A399F">
            <w:pPr>
              <w:contextualSpacing/>
              <w:jc w:val="center"/>
              <w:rPr>
                <w:rFonts w:cstheme="minorHAnsi"/>
                <w:color w:val="000000"/>
                <w:sz w:val="20"/>
                <w:szCs w:val="20"/>
              </w:rPr>
            </w:pPr>
            <w:r w:rsidRPr="00002B66">
              <w:rPr>
                <w:rFonts w:cstheme="minorHAnsi"/>
                <w:color w:val="000000"/>
                <w:sz w:val="20"/>
                <w:szCs w:val="20"/>
              </w:rPr>
              <w:t>-25.77 ± 2.92</w:t>
            </w:r>
          </w:p>
        </w:tc>
      </w:tr>
    </w:tbl>
    <w:p w14:paraId="173FED25" w14:textId="77777777" w:rsidR="00344027" w:rsidRPr="009F5C72" w:rsidRDefault="00344027" w:rsidP="00344027">
      <w:pPr>
        <w:rPr>
          <w:rFonts w:cstheme="minorHAnsi"/>
          <w:b/>
          <w:bCs/>
          <w:sz w:val="20"/>
          <w:szCs w:val="20"/>
        </w:rPr>
      </w:pPr>
      <w:r w:rsidRPr="009F5C72">
        <w:rPr>
          <w:rFonts w:cstheme="minorHAnsi"/>
          <w:b/>
          <w:bCs/>
          <w:sz w:val="20"/>
          <w:szCs w:val="20"/>
        </w:rPr>
        <w:t xml:space="preserve">Table </w:t>
      </w:r>
      <w:r>
        <w:rPr>
          <w:rFonts w:cstheme="minorHAnsi"/>
          <w:b/>
          <w:bCs/>
          <w:sz w:val="20"/>
          <w:szCs w:val="20"/>
        </w:rPr>
        <w:t>5.2</w:t>
      </w:r>
      <w:r w:rsidRPr="009F5C72">
        <w:rPr>
          <w:rFonts w:cstheme="minorHAnsi"/>
          <w:b/>
          <w:bCs/>
          <w:sz w:val="20"/>
          <w:szCs w:val="20"/>
        </w:rPr>
        <w:t>: Mean ± 2 standard errors mangrove C sequestration rates of the 20 highest sequestering countries, and their forecasted gains under two climate scenarios (SSP245 and SSP585) based on bias-corrected and means-weighted forecasted climate data. Negative values imply declines in sequestration rates, * denotes gains, losses or no change may be predicted.</w:t>
      </w:r>
    </w:p>
    <w:p w14:paraId="0A79517A" w14:textId="77777777" w:rsidR="00344027" w:rsidRDefault="00344027" w:rsidP="00344027">
      <w:pPr>
        <w:spacing w:line="480" w:lineRule="auto"/>
        <w:rPr>
          <w:rFonts w:cstheme="minorHAnsi"/>
          <w:sz w:val="22"/>
        </w:rPr>
        <w:sectPr w:rsidR="00344027" w:rsidSect="00392131">
          <w:pgSz w:w="15840" w:h="12240" w:orient="landscape"/>
          <w:pgMar w:top="720" w:right="720" w:bottom="720" w:left="720" w:header="720" w:footer="720" w:gutter="0"/>
          <w:cols w:space="720"/>
          <w:docGrid w:linePitch="326"/>
        </w:sectPr>
      </w:pPr>
    </w:p>
    <w:p w14:paraId="6B376F2A" w14:textId="42D22108" w:rsidR="00344027" w:rsidRPr="007B3BFC" w:rsidRDefault="00344027" w:rsidP="00344027">
      <w:pPr>
        <w:pStyle w:val="Heading3"/>
        <w:ind w:left="567" w:hanging="567"/>
        <w:rPr>
          <w:rFonts w:asciiTheme="minorHAnsi" w:hAnsiTheme="minorHAnsi" w:cstheme="minorHAnsi"/>
          <w:b/>
          <w:bCs/>
          <w:color w:val="000000" w:themeColor="text1"/>
        </w:rPr>
      </w:pPr>
      <w:bookmarkStart w:id="66" w:name="_Toc120622154"/>
      <w:r w:rsidRPr="007B3BFC">
        <w:rPr>
          <w:rFonts w:asciiTheme="minorHAnsi" w:hAnsiTheme="minorHAnsi" w:cstheme="minorHAnsi"/>
          <w:b/>
          <w:bCs/>
          <w:color w:val="000000" w:themeColor="text1"/>
        </w:rPr>
        <w:lastRenderedPageBreak/>
        <w:t>5.4.3</w:t>
      </w:r>
      <w:r w:rsidRPr="007B3BFC">
        <w:rPr>
          <w:rFonts w:asciiTheme="minorHAnsi" w:hAnsiTheme="minorHAnsi" w:cstheme="minorHAnsi"/>
          <w:b/>
          <w:bCs/>
          <w:color w:val="000000" w:themeColor="text1"/>
        </w:rPr>
        <w:tab/>
        <w:t>Net change in global carbon stocks and sequestration rates</w:t>
      </w:r>
      <w:bookmarkEnd w:id="66"/>
    </w:p>
    <w:p w14:paraId="48B080CA" w14:textId="77777777" w:rsidR="00344027" w:rsidRPr="00C57A68" w:rsidRDefault="00344027" w:rsidP="00344027">
      <w:pPr>
        <w:spacing w:line="480" w:lineRule="auto"/>
        <w:rPr>
          <w:rFonts w:cstheme="minorHAnsi"/>
        </w:rPr>
      </w:pPr>
      <w:r w:rsidRPr="00C57A68">
        <w:rPr>
          <w:rFonts w:cstheme="minorHAnsi"/>
        </w:rPr>
        <w:t>Our projections showed that, globally, increases in total C stocks (biomass + soil) induced by climate change would exceed emissions from mangrove deforestation between 2012 and 2095 (Table 5.3). Under a ‘business as usual’ climate scenario these net gains represent an increase of 7.05 ±7.89% (SSP245) or 7.71 ±9.47% under a high-end scenario (SSP585) of present day global total C stocks. Total global losses from mangrove deforestation from 2012 to 2095 (Table 5.3) were estimated to be 61.4 ±10.1% (SSP245) or 55.6 ±9.1% (SSP585) of the potential gains in C stocks due to climate change. In contrast, CSR were forecast to decline by 2.60 ±3.57% under scenario SSP245 and by 6.44 ±3.63% under scenario SSP585 (Table 5.3).</w:t>
      </w:r>
    </w:p>
    <w:p w14:paraId="364999D4" w14:textId="77777777" w:rsidR="00344027" w:rsidRDefault="00344027" w:rsidP="00344027">
      <w:pPr>
        <w:keepNext/>
        <w:pBdr>
          <w:top w:val="nil"/>
          <w:left w:val="nil"/>
          <w:bottom w:val="nil"/>
          <w:right w:val="nil"/>
          <w:between w:val="nil"/>
        </w:pBdr>
        <w:spacing w:before="240" w:after="60" w:line="480" w:lineRule="auto"/>
        <w:jc w:val="both"/>
        <w:rPr>
          <w:rFonts w:cstheme="minorHAnsi"/>
          <w:color w:val="000000"/>
          <w:sz w:val="22"/>
        </w:rPr>
        <w:sectPr w:rsidR="00344027" w:rsidSect="007667E1">
          <w:pgSz w:w="12240" w:h="15840"/>
          <w:pgMar w:top="1440" w:right="1440" w:bottom="1440" w:left="1440" w:header="720" w:footer="720" w:gutter="0"/>
          <w:cols w:space="720"/>
          <w:docGrid w:linePitch="326"/>
        </w:sectPr>
      </w:pPr>
    </w:p>
    <w:tbl>
      <w:tblPr>
        <w:tblpPr w:leftFromText="180" w:rightFromText="180" w:vertAnchor="page" w:horzAnchor="margin" w:tblpY="2207"/>
        <w:tblW w:w="12445" w:type="dxa"/>
        <w:tblLook w:val="04A0" w:firstRow="1" w:lastRow="0" w:firstColumn="1" w:lastColumn="0" w:noHBand="0" w:noVBand="1"/>
      </w:tblPr>
      <w:tblGrid>
        <w:gridCol w:w="1179"/>
        <w:gridCol w:w="1700"/>
        <w:gridCol w:w="2638"/>
        <w:gridCol w:w="1655"/>
        <w:gridCol w:w="1809"/>
        <w:gridCol w:w="1756"/>
        <w:gridCol w:w="1708"/>
      </w:tblGrid>
      <w:tr w:rsidR="00344027" w:rsidRPr="00344027" w14:paraId="34E8DD80" w14:textId="77777777" w:rsidTr="00672286">
        <w:trPr>
          <w:trHeight w:val="128"/>
        </w:trPr>
        <w:tc>
          <w:tcPr>
            <w:tcW w:w="12445" w:type="dxa"/>
            <w:gridSpan w:val="7"/>
            <w:tcBorders>
              <w:top w:val="nil"/>
              <w:left w:val="nil"/>
              <w:bottom w:val="single" w:sz="4" w:space="0" w:color="auto"/>
              <w:right w:val="nil"/>
            </w:tcBorders>
            <w:shd w:val="clear" w:color="auto" w:fill="auto"/>
            <w:noWrap/>
            <w:vAlign w:val="center"/>
            <w:hideMark/>
          </w:tcPr>
          <w:p w14:paraId="409F28B1"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lastRenderedPageBreak/>
              <w:t>Global Total Stocks (</w:t>
            </w:r>
            <w:proofErr w:type="spellStart"/>
            <w:r w:rsidRPr="00344027">
              <w:rPr>
                <w:rFonts w:cstheme="minorHAnsi"/>
                <w:b/>
                <w:bCs/>
                <w:color w:val="000000"/>
                <w:sz w:val="22"/>
                <w:szCs w:val="22"/>
              </w:rPr>
              <w:t>Tg</w:t>
            </w:r>
            <w:proofErr w:type="spellEnd"/>
            <w:r w:rsidRPr="00344027">
              <w:rPr>
                <w:rFonts w:cstheme="minorHAnsi"/>
                <w:b/>
                <w:bCs/>
                <w:color w:val="000000"/>
                <w:sz w:val="22"/>
                <w:szCs w:val="22"/>
              </w:rPr>
              <w:t xml:space="preserve"> C)</w:t>
            </w:r>
          </w:p>
        </w:tc>
      </w:tr>
      <w:tr w:rsidR="00344027" w:rsidRPr="00344027" w14:paraId="18605DD5" w14:textId="77777777" w:rsidTr="00672286">
        <w:trPr>
          <w:trHeight w:val="128"/>
        </w:trPr>
        <w:tc>
          <w:tcPr>
            <w:tcW w:w="1179" w:type="dxa"/>
            <w:tcBorders>
              <w:top w:val="nil"/>
              <w:left w:val="nil"/>
              <w:bottom w:val="nil"/>
              <w:right w:val="nil"/>
            </w:tcBorders>
            <w:shd w:val="clear" w:color="auto" w:fill="auto"/>
            <w:noWrap/>
            <w:vAlign w:val="center"/>
            <w:hideMark/>
          </w:tcPr>
          <w:p w14:paraId="6486511D" w14:textId="77777777" w:rsidR="00344027" w:rsidRPr="00344027" w:rsidRDefault="00344027" w:rsidP="00672286">
            <w:pPr>
              <w:jc w:val="center"/>
              <w:rPr>
                <w:rFonts w:cstheme="minorHAnsi"/>
                <w:color w:val="000000"/>
                <w:sz w:val="22"/>
                <w:szCs w:val="22"/>
              </w:rPr>
            </w:pPr>
          </w:p>
        </w:tc>
        <w:tc>
          <w:tcPr>
            <w:tcW w:w="4338" w:type="dxa"/>
            <w:gridSpan w:val="2"/>
            <w:tcBorders>
              <w:top w:val="single" w:sz="4" w:space="0" w:color="auto"/>
              <w:left w:val="nil"/>
              <w:bottom w:val="nil"/>
              <w:right w:val="nil"/>
            </w:tcBorders>
            <w:shd w:val="clear" w:color="auto" w:fill="auto"/>
            <w:noWrap/>
            <w:vAlign w:val="center"/>
            <w:hideMark/>
          </w:tcPr>
          <w:p w14:paraId="0FE2A8AB"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Current day</w:t>
            </w:r>
          </w:p>
        </w:tc>
        <w:tc>
          <w:tcPr>
            <w:tcW w:w="3464" w:type="dxa"/>
            <w:gridSpan w:val="2"/>
            <w:tcBorders>
              <w:top w:val="single" w:sz="4" w:space="0" w:color="auto"/>
              <w:left w:val="nil"/>
              <w:bottom w:val="nil"/>
              <w:right w:val="nil"/>
            </w:tcBorders>
            <w:shd w:val="clear" w:color="auto" w:fill="auto"/>
            <w:noWrap/>
            <w:vAlign w:val="center"/>
            <w:hideMark/>
          </w:tcPr>
          <w:p w14:paraId="056D6784"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Forecasted</w:t>
            </w:r>
          </w:p>
        </w:tc>
        <w:tc>
          <w:tcPr>
            <w:tcW w:w="1756" w:type="dxa"/>
            <w:vMerge w:val="restart"/>
            <w:tcBorders>
              <w:top w:val="nil"/>
              <w:left w:val="nil"/>
              <w:bottom w:val="single" w:sz="4" w:space="0" w:color="000000"/>
              <w:right w:val="nil"/>
            </w:tcBorders>
            <w:shd w:val="clear" w:color="auto" w:fill="auto"/>
            <w:vAlign w:val="center"/>
            <w:hideMark/>
          </w:tcPr>
          <w:p w14:paraId="5128D9B1"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Losses from deforestation</w:t>
            </w:r>
          </w:p>
        </w:tc>
        <w:tc>
          <w:tcPr>
            <w:tcW w:w="1708" w:type="dxa"/>
            <w:vMerge w:val="restart"/>
            <w:tcBorders>
              <w:top w:val="nil"/>
              <w:left w:val="nil"/>
              <w:bottom w:val="single" w:sz="4" w:space="0" w:color="000000"/>
              <w:right w:val="nil"/>
            </w:tcBorders>
            <w:shd w:val="clear" w:color="auto" w:fill="auto"/>
            <w:noWrap/>
            <w:vAlign w:val="center"/>
            <w:hideMark/>
          </w:tcPr>
          <w:p w14:paraId="2734319F"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Net change</w:t>
            </w:r>
          </w:p>
        </w:tc>
      </w:tr>
      <w:tr w:rsidR="00344027" w:rsidRPr="00344027" w14:paraId="1112833D" w14:textId="77777777" w:rsidTr="00672286">
        <w:trPr>
          <w:trHeight w:val="128"/>
        </w:trPr>
        <w:tc>
          <w:tcPr>
            <w:tcW w:w="1179" w:type="dxa"/>
            <w:tcBorders>
              <w:top w:val="nil"/>
              <w:left w:val="nil"/>
              <w:bottom w:val="nil"/>
              <w:right w:val="nil"/>
            </w:tcBorders>
            <w:shd w:val="clear" w:color="auto" w:fill="auto"/>
            <w:noWrap/>
            <w:vAlign w:val="center"/>
            <w:hideMark/>
          </w:tcPr>
          <w:p w14:paraId="43FC6947" w14:textId="77777777" w:rsidR="00344027" w:rsidRPr="00344027" w:rsidRDefault="00344027" w:rsidP="00672286">
            <w:pPr>
              <w:jc w:val="center"/>
              <w:rPr>
                <w:rFonts w:cstheme="minorHAnsi"/>
                <w:color w:val="000000"/>
                <w:sz w:val="22"/>
                <w:szCs w:val="22"/>
              </w:rPr>
            </w:pPr>
          </w:p>
        </w:tc>
        <w:tc>
          <w:tcPr>
            <w:tcW w:w="1700" w:type="dxa"/>
            <w:tcBorders>
              <w:top w:val="nil"/>
              <w:left w:val="nil"/>
              <w:bottom w:val="single" w:sz="4" w:space="0" w:color="auto"/>
              <w:right w:val="nil"/>
            </w:tcBorders>
            <w:shd w:val="clear" w:color="auto" w:fill="auto"/>
            <w:noWrap/>
            <w:vAlign w:val="center"/>
            <w:hideMark/>
          </w:tcPr>
          <w:p w14:paraId="455FABC6"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Tree C stocks</w:t>
            </w:r>
          </w:p>
        </w:tc>
        <w:tc>
          <w:tcPr>
            <w:tcW w:w="2638" w:type="dxa"/>
            <w:tcBorders>
              <w:top w:val="nil"/>
              <w:left w:val="nil"/>
              <w:bottom w:val="single" w:sz="4" w:space="0" w:color="auto"/>
              <w:right w:val="nil"/>
            </w:tcBorders>
            <w:shd w:val="clear" w:color="auto" w:fill="auto"/>
            <w:noWrap/>
            <w:vAlign w:val="center"/>
            <w:hideMark/>
          </w:tcPr>
          <w:p w14:paraId="024DA2C0"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Soil C stocks</w:t>
            </w:r>
          </w:p>
        </w:tc>
        <w:tc>
          <w:tcPr>
            <w:tcW w:w="1655" w:type="dxa"/>
            <w:tcBorders>
              <w:top w:val="nil"/>
              <w:left w:val="nil"/>
              <w:bottom w:val="single" w:sz="4" w:space="0" w:color="auto"/>
              <w:right w:val="nil"/>
            </w:tcBorders>
            <w:shd w:val="clear" w:color="auto" w:fill="auto"/>
            <w:noWrap/>
            <w:vAlign w:val="center"/>
            <w:hideMark/>
          </w:tcPr>
          <w:p w14:paraId="77694EBA"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Tree C stocks</w:t>
            </w:r>
          </w:p>
        </w:tc>
        <w:tc>
          <w:tcPr>
            <w:tcW w:w="1809" w:type="dxa"/>
            <w:tcBorders>
              <w:top w:val="nil"/>
              <w:left w:val="nil"/>
              <w:bottom w:val="single" w:sz="4" w:space="0" w:color="auto"/>
              <w:right w:val="nil"/>
            </w:tcBorders>
            <w:shd w:val="clear" w:color="auto" w:fill="auto"/>
            <w:noWrap/>
            <w:vAlign w:val="center"/>
            <w:hideMark/>
          </w:tcPr>
          <w:p w14:paraId="1DFE3182"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Soil C stocks</w:t>
            </w:r>
          </w:p>
        </w:tc>
        <w:tc>
          <w:tcPr>
            <w:tcW w:w="1756" w:type="dxa"/>
            <w:vMerge/>
            <w:tcBorders>
              <w:top w:val="nil"/>
              <w:left w:val="nil"/>
              <w:bottom w:val="single" w:sz="4" w:space="0" w:color="000000"/>
              <w:right w:val="nil"/>
            </w:tcBorders>
            <w:vAlign w:val="center"/>
            <w:hideMark/>
          </w:tcPr>
          <w:p w14:paraId="3BBDFD0D" w14:textId="77777777" w:rsidR="00344027" w:rsidRPr="00344027" w:rsidRDefault="00344027" w:rsidP="00672286">
            <w:pPr>
              <w:jc w:val="center"/>
              <w:rPr>
                <w:rFonts w:cstheme="minorHAnsi"/>
                <w:b/>
                <w:bCs/>
                <w:color w:val="000000"/>
                <w:sz w:val="22"/>
                <w:szCs w:val="22"/>
              </w:rPr>
            </w:pPr>
          </w:p>
        </w:tc>
        <w:tc>
          <w:tcPr>
            <w:tcW w:w="1708" w:type="dxa"/>
            <w:vMerge/>
            <w:tcBorders>
              <w:top w:val="nil"/>
              <w:left w:val="nil"/>
              <w:bottom w:val="single" w:sz="4" w:space="0" w:color="000000"/>
              <w:right w:val="nil"/>
            </w:tcBorders>
            <w:vAlign w:val="center"/>
            <w:hideMark/>
          </w:tcPr>
          <w:p w14:paraId="02A1B7BD" w14:textId="77777777" w:rsidR="00344027" w:rsidRPr="00344027" w:rsidRDefault="00344027" w:rsidP="00672286">
            <w:pPr>
              <w:jc w:val="center"/>
              <w:rPr>
                <w:rFonts w:cstheme="minorHAnsi"/>
                <w:b/>
                <w:bCs/>
                <w:color w:val="000000"/>
                <w:sz w:val="22"/>
                <w:szCs w:val="22"/>
              </w:rPr>
            </w:pPr>
          </w:p>
        </w:tc>
      </w:tr>
      <w:tr w:rsidR="00344027" w:rsidRPr="00344027" w14:paraId="1107C059" w14:textId="77777777" w:rsidTr="00672286">
        <w:trPr>
          <w:trHeight w:val="128"/>
        </w:trPr>
        <w:tc>
          <w:tcPr>
            <w:tcW w:w="1179" w:type="dxa"/>
            <w:tcBorders>
              <w:top w:val="nil"/>
              <w:left w:val="nil"/>
              <w:bottom w:val="nil"/>
              <w:right w:val="nil"/>
            </w:tcBorders>
            <w:shd w:val="clear" w:color="auto" w:fill="auto"/>
            <w:noWrap/>
            <w:vAlign w:val="center"/>
            <w:hideMark/>
          </w:tcPr>
          <w:p w14:paraId="0E4169C5"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SSP245</w:t>
            </w:r>
          </w:p>
        </w:tc>
        <w:tc>
          <w:tcPr>
            <w:tcW w:w="1700" w:type="dxa"/>
            <w:vMerge w:val="restart"/>
            <w:tcBorders>
              <w:top w:val="nil"/>
              <w:left w:val="nil"/>
              <w:bottom w:val="single" w:sz="4" w:space="0" w:color="000000"/>
              <w:right w:val="nil"/>
            </w:tcBorders>
            <w:shd w:val="clear" w:color="auto" w:fill="auto"/>
            <w:noWrap/>
            <w:vAlign w:val="center"/>
            <w:hideMark/>
          </w:tcPr>
          <w:p w14:paraId="7E83744B"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1246.9 ±427.1</w:t>
            </w:r>
          </w:p>
        </w:tc>
        <w:tc>
          <w:tcPr>
            <w:tcW w:w="2638" w:type="dxa"/>
            <w:vMerge w:val="restart"/>
            <w:tcBorders>
              <w:top w:val="nil"/>
              <w:left w:val="nil"/>
              <w:bottom w:val="single" w:sz="4" w:space="0" w:color="000000"/>
              <w:right w:val="nil"/>
            </w:tcBorders>
            <w:shd w:val="clear" w:color="auto" w:fill="auto"/>
            <w:noWrap/>
            <w:vAlign w:val="center"/>
            <w:hideMark/>
          </w:tcPr>
          <w:p w14:paraId="14115743"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3296.1 ±114.8</w:t>
            </w:r>
          </w:p>
        </w:tc>
        <w:tc>
          <w:tcPr>
            <w:tcW w:w="1655" w:type="dxa"/>
            <w:tcBorders>
              <w:top w:val="nil"/>
              <w:left w:val="nil"/>
              <w:bottom w:val="nil"/>
              <w:right w:val="nil"/>
            </w:tcBorders>
            <w:shd w:val="clear" w:color="auto" w:fill="auto"/>
            <w:noWrap/>
            <w:vAlign w:val="center"/>
            <w:hideMark/>
          </w:tcPr>
          <w:p w14:paraId="784D5C1C"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1382.0 ±450.6</w:t>
            </w:r>
          </w:p>
        </w:tc>
        <w:tc>
          <w:tcPr>
            <w:tcW w:w="1809" w:type="dxa"/>
            <w:tcBorders>
              <w:top w:val="nil"/>
              <w:left w:val="nil"/>
              <w:bottom w:val="nil"/>
              <w:right w:val="nil"/>
            </w:tcBorders>
            <w:shd w:val="clear" w:color="auto" w:fill="auto"/>
            <w:vAlign w:val="center"/>
            <w:hideMark/>
          </w:tcPr>
          <w:p w14:paraId="4AD395E8"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3481.4 ±121.3</w:t>
            </w:r>
          </w:p>
        </w:tc>
        <w:tc>
          <w:tcPr>
            <w:tcW w:w="1756" w:type="dxa"/>
            <w:vMerge w:val="restart"/>
            <w:tcBorders>
              <w:top w:val="nil"/>
              <w:left w:val="nil"/>
              <w:bottom w:val="single" w:sz="4" w:space="0" w:color="000000"/>
              <w:right w:val="nil"/>
            </w:tcBorders>
            <w:shd w:val="clear" w:color="auto" w:fill="auto"/>
            <w:vAlign w:val="center"/>
            <w:hideMark/>
          </w:tcPr>
          <w:p w14:paraId="322AC950"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196.7 ±32.3</w:t>
            </w:r>
          </w:p>
        </w:tc>
        <w:tc>
          <w:tcPr>
            <w:tcW w:w="1708" w:type="dxa"/>
            <w:tcBorders>
              <w:top w:val="nil"/>
              <w:left w:val="nil"/>
              <w:bottom w:val="nil"/>
              <w:right w:val="nil"/>
            </w:tcBorders>
            <w:shd w:val="clear" w:color="auto" w:fill="auto"/>
            <w:noWrap/>
            <w:vAlign w:val="center"/>
            <w:hideMark/>
          </w:tcPr>
          <w:p w14:paraId="2E79C859"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123.7 ±1146.1</w:t>
            </w:r>
          </w:p>
        </w:tc>
      </w:tr>
      <w:tr w:rsidR="00344027" w:rsidRPr="00344027" w14:paraId="494A0771" w14:textId="77777777" w:rsidTr="00672286">
        <w:trPr>
          <w:trHeight w:val="128"/>
        </w:trPr>
        <w:tc>
          <w:tcPr>
            <w:tcW w:w="1179" w:type="dxa"/>
            <w:tcBorders>
              <w:top w:val="nil"/>
              <w:left w:val="nil"/>
              <w:bottom w:val="single" w:sz="4" w:space="0" w:color="auto"/>
              <w:right w:val="nil"/>
            </w:tcBorders>
            <w:shd w:val="clear" w:color="auto" w:fill="auto"/>
            <w:noWrap/>
            <w:vAlign w:val="center"/>
            <w:hideMark/>
          </w:tcPr>
          <w:p w14:paraId="716ACAC7"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SSP585</w:t>
            </w:r>
          </w:p>
        </w:tc>
        <w:tc>
          <w:tcPr>
            <w:tcW w:w="1700" w:type="dxa"/>
            <w:vMerge/>
            <w:tcBorders>
              <w:top w:val="nil"/>
              <w:left w:val="nil"/>
              <w:bottom w:val="single" w:sz="4" w:space="0" w:color="000000"/>
              <w:right w:val="nil"/>
            </w:tcBorders>
            <w:vAlign w:val="center"/>
            <w:hideMark/>
          </w:tcPr>
          <w:p w14:paraId="28F23A31" w14:textId="77777777" w:rsidR="00344027" w:rsidRPr="00344027" w:rsidRDefault="00344027" w:rsidP="00672286">
            <w:pPr>
              <w:jc w:val="center"/>
              <w:rPr>
                <w:rFonts w:cstheme="minorHAnsi"/>
                <w:color w:val="000000"/>
                <w:sz w:val="22"/>
                <w:szCs w:val="22"/>
              </w:rPr>
            </w:pPr>
          </w:p>
        </w:tc>
        <w:tc>
          <w:tcPr>
            <w:tcW w:w="2638" w:type="dxa"/>
            <w:vMerge/>
            <w:tcBorders>
              <w:top w:val="nil"/>
              <w:left w:val="nil"/>
              <w:bottom w:val="single" w:sz="4" w:space="0" w:color="000000"/>
              <w:right w:val="nil"/>
            </w:tcBorders>
            <w:vAlign w:val="center"/>
            <w:hideMark/>
          </w:tcPr>
          <w:p w14:paraId="6FAF340D" w14:textId="77777777" w:rsidR="00344027" w:rsidRPr="00344027" w:rsidRDefault="00344027" w:rsidP="00672286">
            <w:pPr>
              <w:jc w:val="center"/>
              <w:rPr>
                <w:rFonts w:cstheme="minorHAnsi"/>
                <w:color w:val="000000"/>
                <w:sz w:val="22"/>
                <w:szCs w:val="22"/>
              </w:rPr>
            </w:pPr>
          </w:p>
        </w:tc>
        <w:tc>
          <w:tcPr>
            <w:tcW w:w="1655" w:type="dxa"/>
            <w:tcBorders>
              <w:top w:val="nil"/>
              <w:left w:val="nil"/>
              <w:bottom w:val="single" w:sz="4" w:space="0" w:color="auto"/>
              <w:right w:val="nil"/>
            </w:tcBorders>
            <w:shd w:val="clear" w:color="auto" w:fill="auto"/>
            <w:noWrap/>
            <w:vAlign w:val="center"/>
            <w:hideMark/>
          </w:tcPr>
          <w:p w14:paraId="2F6CD727"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1439.8 ±502.5</w:t>
            </w:r>
          </w:p>
        </w:tc>
        <w:tc>
          <w:tcPr>
            <w:tcW w:w="1809" w:type="dxa"/>
            <w:tcBorders>
              <w:top w:val="nil"/>
              <w:left w:val="nil"/>
              <w:bottom w:val="single" w:sz="4" w:space="0" w:color="auto"/>
              <w:right w:val="nil"/>
            </w:tcBorders>
            <w:shd w:val="clear" w:color="auto" w:fill="auto"/>
            <w:noWrap/>
            <w:vAlign w:val="center"/>
            <w:hideMark/>
          </w:tcPr>
          <w:p w14:paraId="7D86B387"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3457.0 ±125.6</w:t>
            </w:r>
          </w:p>
        </w:tc>
        <w:tc>
          <w:tcPr>
            <w:tcW w:w="1756" w:type="dxa"/>
            <w:vMerge/>
            <w:tcBorders>
              <w:top w:val="nil"/>
              <w:left w:val="nil"/>
              <w:bottom w:val="single" w:sz="4" w:space="0" w:color="000000"/>
              <w:right w:val="nil"/>
            </w:tcBorders>
            <w:vAlign w:val="center"/>
            <w:hideMark/>
          </w:tcPr>
          <w:p w14:paraId="33A2435F" w14:textId="77777777" w:rsidR="00344027" w:rsidRPr="00344027" w:rsidRDefault="00344027" w:rsidP="00672286">
            <w:pPr>
              <w:jc w:val="center"/>
              <w:rPr>
                <w:rFonts w:cstheme="minorHAnsi"/>
                <w:color w:val="000000"/>
                <w:sz w:val="22"/>
                <w:szCs w:val="22"/>
              </w:rPr>
            </w:pPr>
          </w:p>
        </w:tc>
        <w:tc>
          <w:tcPr>
            <w:tcW w:w="1708" w:type="dxa"/>
            <w:tcBorders>
              <w:top w:val="nil"/>
              <w:left w:val="nil"/>
              <w:bottom w:val="single" w:sz="4" w:space="0" w:color="auto"/>
              <w:right w:val="nil"/>
            </w:tcBorders>
            <w:shd w:val="clear" w:color="auto" w:fill="auto"/>
            <w:noWrap/>
            <w:vAlign w:val="center"/>
            <w:hideMark/>
          </w:tcPr>
          <w:p w14:paraId="72FF5AC4"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157.1 ±1202.3</w:t>
            </w:r>
          </w:p>
        </w:tc>
      </w:tr>
      <w:tr w:rsidR="00344027" w:rsidRPr="00344027" w14:paraId="5BF58A9E" w14:textId="77777777" w:rsidTr="00672286">
        <w:trPr>
          <w:trHeight w:val="128"/>
        </w:trPr>
        <w:tc>
          <w:tcPr>
            <w:tcW w:w="1179" w:type="dxa"/>
            <w:tcBorders>
              <w:top w:val="nil"/>
              <w:left w:val="nil"/>
              <w:bottom w:val="nil"/>
              <w:right w:val="nil"/>
            </w:tcBorders>
            <w:shd w:val="clear" w:color="auto" w:fill="auto"/>
            <w:noWrap/>
            <w:vAlign w:val="bottom"/>
            <w:hideMark/>
          </w:tcPr>
          <w:p w14:paraId="380C45CE" w14:textId="77777777" w:rsidR="00344027" w:rsidRPr="00344027" w:rsidRDefault="00344027" w:rsidP="00672286">
            <w:pPr>
              <w:rPr>
                <w:rFonts w:cstheme="minorHAnsi"/>
                <w:color w:val="000000"/>
                <w:sz w:val="22"/>
                <w:szCs w:val="22"/>
              </w:rPr>
            </w:pPr>
          </w:p>
        </w:tc>
        <w:tc>
          <w:tcPr>
            <w:tcW w:w="1700" w:type="dxa"/>
            <w:tcBorders>
              <w:top w:val="nil"/>
              <w:left w:val="nil"/>
              <w:bottom w:val="nil"/>
              <w:right w:val="nil"/>
            </w:tcBorders>
            <w:shd w:val="clear" w:color="auto" w:fill="auto"/>
            <w:noWrap/>
            <w:vAlign w:val="bottom"/>
            <w:hideMark/>
          </w:tcPr>
          <w:p w14:paraId="49DEBBD0" w14:textId="77777777" w:rsidR="00344027" w:rsidRPr="00344027" w:rsidRDefault="00344027" w:rsidP="00672286">
            <w:pPr>
              <w:rPr>
                <w:rFonts w:cstheme="minorHAnsi"/>
                <w:color w:val="000000"/>
                <w:sz w:val="22"/>
                <w:szCs w:val="22"/>
              </w:rPr>
            </w:pPr>
          </w:p>
        </w:tc>
        <w:tc>
          <w:tcPr>
            <w:tcW w:w="2638" w:type="dxa"/>
            <w:tcBorders>
              <w:top w:val="nil"/>
              <w:left w:val="nil"/>
              <w:bottom w:val="nil"/>
              <w:right w:val="nil"/>
            </w:tcBorders>
            <w:shd w:val="clear" w:color="auto" w:fill="auto"/>
            <w:noWrap/>
            <w:vAlign w:val="bottom"/>
            <w:hideMark/>
          </w:tcPr>
          <w:p w14:paraId="00D7FB73" w14:textId="77777777" w:rsidR="00344027" w:rsidRPr="00344027" w:rsidRDefault="00344027" w:rsidP="00672286">
            <w:pPr>
              <w:rPr>
                <w:rFonts w:cstheme="minorHAnsi"/>
                <w:color w:val="000000"/>
                <w:sz w:val="22"/>
                <w:szCs w:val="22"/>
              </w:rPr>
            </w:pPr>
          </w:p>
        </w:tc>
        <w:tc>
          <w:tcPr>
            <w:tcW w:w="1655" w:type="dxa"/>
            <w:tcBorders>
              <w:top w:val="nil"/>
              <w:left w:val="nil"/>
              <w:bottom w:val="nil"/>
              <w:right w:val="nil"/>
            </w:tcBorders>
            <w:shd w:val="clear" w:color="auto" w:fill="auto"/>
            <w:noWrap/>
            <w:vAlign w:val="bottom"/>
            <w:hideMark/>
          </w:tcPr>
          <w:p w14:paraId="78D618EE" w14:textId="77777777" w:rsidR="00344027" w:rsidRPr="00344027" w:rsidRDefault="00344027" w:rsidP="00672286">
            <w:pPr>
              <w:rPr>
                <w:rFonts w:cstheme="minorHAnsi"/>
                <w:color w:val="000000"/>
                <w:sz w:val="22"/>
                <w:szCs w:val="22"/>
              </w:rPr>
            </w:pPr>
          </w:p>
        </w:tc>
        <w:tc>
          <w:tcPr>
            <w:tcW w:w="1809" w:type="dxa"/>
            <w:tcBorders>
              <w:top w:val="nil"/>
              <w:left w:val="nil"/>
              <w:bottom w:val="nil"/>
              <w:right w:val="nil"/>
            </w:tcBorders>
            <w:shd w:val="clear" w:color="auto" w:fill="auto"/>
            <w:noWrap/>
            <w:vAlign w:val="bottom"/>
            <w:hideMark/>
          </w:tcPr>
          <w:p w14:paraId="48875E78" w14:textId="77777777" w:rsidR="00344027" w:rsidRPr="00344027" w:rsidRDefault="00344027" w:rsidP="00672286">
            <w:pPr>
              <w:rPr>
                <w:rFonts w:cstheme="minorHAnsi"/>
                <w:color w:val="000000"/>
                <w:sz w:val="22"/>
                <w:szCs w:val="22"/>
              </w:rPr>
            </w:pPr>
          </w:p>
        </w:tc>
        <w:tc>
          <w:tcPr>
            <w:tcW w:w="1756" w:type="dxa"/>
            <w:tcBorders>
              <w:top w:val="nil"/>
              <w:left w:val="nil"/>
              <w:bottom w:val="nil"/>
              <w:right w:val="nil"/>
            </w:tcBorders>
            <w:shd w:val="clear" w:color="auto" w:fill="auto"/>
            <w:noWrap/>
            <w:vAlign w:val="bottom"/>
            <w:hideMark/>
          </w:tcPr>
          <w:p w14:paraId="0C3FF84A" w14:textId="77777777" w:rsidR="00344027" w:rsidRPr="00344027" w:rsidRDefault="00344027" w:rsidP="00672286">
            <w:pPr>
              <w:rPr>
                <w:rFonts w:cstheme="minorHAnsi"/>
                <w:color w:val="000000"/>
                <w:sz w:val="22"/>
                <w:szCs w:val="22"/>
              </w:rPr>
            </w:pPr>
          </w:p>
        </w:tc>
        <w:tc>
          <w:tcPr>
            <w:tcW w:w="1708" w:type="dxa"/>
            <w:tcBorders>
              <w:top w:val="nil"/>
              <w:left w:val="nil"/>
              <w:bottom w:val="nil"/>
              <w:right w:val="nil"/>
            </w:tcBorders>
            <w:shd w:val="clear" w:color="auto" w:fill="auto"/>
            <w:noWrap/>
            <w:vAlign w:val="bottom"/>
            <w:hideMark/>
          </w:tcPr>
          <w:p w14:paraId="0D24E86E" w14:textId="77777777" w:rsidR="00344027" w:rsidRPr="00344027" w:rsidRDefault="00344027" w:rsidP="00672286">
            <w:pPr>
              <w:rPr>
                <w:rFonts w:cstheme="minorHAnsi"/>
                <w:color w:val="000000"/>
                <w:sz w:val="22"/>
                <w:szCs w:val="22"/>
              </w:rPr>
            </w:pPr>
          </w:p>
        </w:tc>
      </w:tr>
      <w:tr w:rsidR="00344027" w:rsidRPr="00344027" w14:paraId="35FB19A2" w14:textId="77777777" w:rsidTr="00672286">
        <w:trPr>
          <w:trHeight w:val="128"/>
        </w:trPr>
        <w:tc>
          <w:tcPr>
            <w:tcW w:w="7172" w:type="dxa"/>
            <w:gridSpan w:val="4"/>
            <w:tcBorders>
              <w:top w:val="nil"/>
              <w:left w:val="nil"/>
              <w:bottom w:val="single" w:sz="4" w:space="0" w:color="auto"/>
              <w:right w:val="nil"/>
            </w:tcBorders>
            <w:shd w:val="clear" w:color="auto" w:fill="auto"/>
            <w:noWrap/>
            <w:vAlign w:val="center"/>
            <w:hideMark/>
          </w:tcPr>
          <w:p w14:paraId="75D3B440"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Global Sequestration Rates (</w:t>
            </w:r>
            <w:proofErr w:type="spellStart"/>
            <w:r w:rsidRPr="00344027">
              <w:rPr>
                <w:rFonts w:cstheme="minorHAnsi"/>
                <w:b/>
                <w:bCs/>
                <w:color w:val="000000"/>
                <w:sz w:val="22"/>
                <w:szCs w:val="22"/>
              </w:rPr>
              <w:t>Tg</w:t>
            </w:r>
            <w:proofErr w:type="spellEnd"/>
            <w:r w:rsidRPr="00344027">
              <w:rPr>
                <w:rFonts w:cstheme="minorHAnsi"/>
                <w:b/>
                <w:bCs/>
                <w:color w:val="000000"/>
                <w:sz w:val="22"/>
                <w:szCs w:val="22"/>
              </w:rPr>
              <w:t xml:space="preserve"> C yr</w:t>
            </w:r>
            <w:r w:rsidRPr="00344027">
              <w:rPr>
                <w:rFonts w:cstheme="minorHAnsi"/>
                <w:b/>
                <w:bCs/>
                <w:color w:val="000000"/>
                <w:sz w:val="22"/>
                <w:szCs w:val="22"/>
                <w:vertAlign w:val="superscript"/>
              </w:rPr>
              <w:t>-1</w:t>
            </w:r>
            <w:r w:rsidRPr="00344027">
              <w:rPr>
                <w:rFonts w:cstheme="minorHAnsi"/>
                <w:b/>
                <w:bCs/>
                <w:color w:val="000000"/>
                <w:sz w:val="22"/>
                <w:szCs w:val="22"/>
              </w:rPr>
              <w:t>)</w:t>
            </w:r>
          </w:p>
        </w:tc>
        <w:tc>
          <w:tcPr>
            <w:tcW w:w="1809" w:type="dxa"/>
            <w:tcBorders>
              <w:top w:val="nil"/>
              <w:left w:val="nil"/>
              <w:bottom w:val="nil"/>
              <w:right w:val="nil"/>
            </w:tcBorders>
            <w:shd w:val="clear" w:color="auto" w:fill="auto"/>
            <w:noWrap/>
            <w:vAlign w:val="center"/>
            <w:hideMark/>
          </w:tcPr>
          <w:p w14:paraId="55B6E7D2" w14:textId="77777777" w:rsidR="00344027" w:rsidRPr="00344027" w:rsidRDefault="00344027" w:rsidP="00672286">
            <w:pPr>
              <w:rPr>
                <w:rFonts w:cstheme="minorHAnsi"/>
                <w:b/>
                <w:bCs/>
                <w:color w:val="000000"/>
                <w:sz w:val="22"/>
                <w:szCs w:val="22"/>
              </w:rPr>
            </w:pPr>
          </w:p>
        </w:tc>
        <w:tc>
          <w:tcPr>
            <w:tcW w:w="1756" w:type="dxa"/>
            <w:tcBorders>
              <w:top w:val="nil"/>
              <w:left w:val="nil"/>
              <w:bottom w:val="nil"/>
              <w:right w:val="nil"/>
            </w:tcBorders>
            <w:shd w:val="clear" w:color="auto" w:fill="auto"/>
            <w:noWrap/>
            <w:vAlign w:val="bottom"/>
            <w:hideMark/>
          </w:tcPr>
          <w:p w14:paraId="64E844C5" w14:textId="77777777" w:rsidR="00344027" w:rsidRPr="00344027" w:rsidRDefault="00344027" w:rsidP="00672286">
            <w:pPr>
              <w:rPr>
                <w:rFonts w:cstheme="minorHAnsi"/>
                <w:color w:val="000000"/>
                <w:sz w:val="22"/>
                <w:szCs w:val="22"/>
              </w:rPr>
            </w:pPr>
          </w:p>
        </w:tc>
        <w:tc>
          <w:tcPr>
            <w:tcW w:w="1708" w:type="dxa"/>
            <w:tcBorders>
              <w:top w:val="nil"/>
              <w:left w:val="nil"/>
              <w:bottom w:val="nil"/>
              <w:right w:val="nil"/>
            </w:tcBorders>
            <w:shd w:val="clear" w:color="auto" w:fill="auto"/>
            <w:noWrap/>
            <w:vAlign w:val="bottom"/>
            <w:hideMark/>
          </w:tcPr>
          <w:p w14:paraId="3DA31F78" w14:textId="77777777" w:rsidR="00344027" w:rsidRPr="00344027" w:rsidRDefault="00344027" w:rsidP="00672286">
            <w:pPr>
              <w:rPr>
                <w:rFonts w:cstheme="minorHAnsi"/>
                <w:color w:val="000000"/>
                <w:sz w:val="22"/>
                <w:szCs w:val="22"/>
              </w:rPr>
            </w:pPr>
          </w:p>
        </w:tc>
      </w:tr>
      <w:tr w:rsidR="00344027" w:rsidRPr="00344027" w14:paraId="7B6429A5" w14:textId="77777777" w:rsidTr="00672286">
        <w:trPr>
          <w:trHeight w:val="128"/>
        </w:trPr>
        <w:tc>
          <w:tcPr>
            <w:tcW w:w="1179" w:type="dxa"/>
            <w:tcBorders>
              <w:top w:val="nil"/>
              <w:left w:val="nil"/>
              <w:bottom w:val="nil"/>
              <w:right w:val="nil"/>
            </w:tcBorders>
            <w:shd w:val="clear" w:color="auto" w:fill="auto"/>
            <w:noWrap/>
            <w:vAlign w:val="center"/>
            <w:hideMark/>
          </w:tcPr>
          <w:p w14:paraId="7D1329EC" w14:textId="77777777" w:rsidR="00344027" w:rsidRPr="00344027" w:rsidRDefault="00344027" w:rsidP="00672286">
            <w:pPr>
              <w:jc w:val="center"/>
              <w:rPr>
                <w:rFonts w:cstheme="minorHAnsi"/>
                <w:color w:val="000000"/>
                <w:sz w:val="22"/>
                <w:szCs w:val="22"/>
              </w:rPr>
            </w:pPr>
          </w:p>
        </w:tc>
        <w:tc>
          <w:tcPr>
            <w:tcW w:w="1700" w:type="dxa"/>
            <w:tcBorders>
              <w:top w:val="nil"/>
              <w:left w:val="nil"/>
              <w:bottom w:val="single" w:sz="4" w:space="0" w:color="auto"/>
              <w:right w:val="nil"/>
            </w:tcBorders>
            <w:shd w:val="clear" w:color="auto" w:fill="auto"/>
            <w:noWrap/>
            <w:vAlign w:val="center"/>
            <w:hideMark/>
          </w:tcPr>
          <w:p w14:paraId="633C4D46"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Current day</w:t>
            </w:r>
          </w:p>
        </w:tc>
        <w:tc>
          <w:tcPr>
            <w:tcW w:w="2638" w:type="dxa"/>
            <w:tcBorders>
              <w:top w:val="nil"/>
              <w:left w:val="nil"/>
              <w:bottom w:val="single" w:sz="4" w:space="0" w:color="auto"/>
              <w:right w:val="nil"/>
            </w:tcBorders>
            <w:shd w:val="clear" w:color="auto" w:fill="auto"/>
            <w:noWrap/>
            <w:vAlign w:val="center"/>
            <w:hideMark/>
          </w:tcPr>
          <w:p w14:paraId="1B6D7117"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Forecasted</w:t>
            </w:r>
          </w:p>
        </w:tc>
        <w:tc>
          <w:tcPr>
            <w:tcW w:w="1655" w:type="dxa"/>
            <w:tcBorders>
              <w:top w:val="nil"/>
              <w:left w:val="nil"/>
              <w:bottom w:val="single" w:sz="4" w:space="0" w:color="auto"/>
              <w:right w:val="nil"/>
            </w:tcBorders>
            <w:shd w:val="clear" w:color="auto" w:fill="auto"/>
            <w:noWrap/>
            <w:vAlign w:val="center"/>
            <w:hideMark/>
          </w:tcPr>
          <w:p w14:paraId="50984018"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Net change</w:t>
            </w:r>
          </w:p>
        </w:tc>
        <w:tc>
          <w:tcPr>
            <w:tcW w:w="1809" w:type="dxa"/>
            <w:tcBorders>
              <w:top w:val="nil"/>
              <w:left w:val="nil"/>
              <w:bottom w:val="nil"/>
              <w:right w:val="nil"/>
            </w:tcBorders>
            <w:shd w:val="clear" w:color="auto" w:fill="auto"/>
            <w:noWrap/>
            <w:vAlign w:val="center"/>
            <w:hideMark/>
          </w:tcPr>
          <w:p w14:paraId="7BDFB028" w14:textId="77777777" w:rsidR="00344027" w:rsidRPr="00344027" w:rsidRDefault="00344027" w:rsidP="00672286">
            <w:pPr>
              <w:jc w:val="center"/>
              <w:rPr>
                <w:rFonts w:cstheme="minorHAnsi"/>
                <w:color w:val="000000"/>
                <w:sz w:val="22"/>
                <w:szCs w:val="22"/>
              </w:rPr>
            </w:pPr>
          </w:p>
        </w:tc>
        <w:tc>
          <w:tcPr>
            <w:tcW w:w="1756" w:type="dxa"/>
            <w:tcBorders>
              <w:top w:val="nil"/>
              <w:left w:val="nil"/>
              <w:bottom w:val="nil"/>
              <w:right w:val="nil"/>
            </w:tcBorders>
            <w:shd w:val="clear" w:color="auto" w:fill="auto"/>
            <w:noWrap/>
            <w:vAlign w:val="bottom"/>
            <w:hideMark/>
          </w:tcPr>
          <w:p w14:paraId="4F75EDC2" w14:textId="77777777" w:rsidR="00344027" w:rsidRPr="00344027" w:rsidRDefault="00344027" w:rsidP="00672286">
            <w:pPr>
              <w:rPr>
                <w:rFonts w:cstheme="minorHAnsi"/>
                <w:color w:val="000000"/>
                <w:sz w:val="22"/>
                <w:szCs w:val="22"/>
              </w:rPr>
            </w:pPr>
          </w:p>
        </w:tc>
        <w:tc>
          <w:tcPr>
            <w:tcW w:w="1708" w:type="dxa"/>
            <w:tcBorders>
              <w:top w:val="nil"/>
              <w:left w:val="nil"/>
              <w:bottom w:val="nil"/>
              <w:right w:val="nil"/>
            </w:tcBorders>
            <w:shd w:val="clear" w:color="auto" w:fill="auto"/>
            <w:noWrap/>
            <w:vAlign w:val="bottom"/>
            <w:hideMark/>
          </w:tcPr>
          <w:p w14:paraId="7A2F15CC" w14:textId="77777777" w:rsidR="00344027" w:rsidRPr="00344027" w:rsidRDefault="00344027" w:rsidP="00672286">
            <w:pPr>
              <w:rPr>
                <w:rFonts w:cstheme="minorHAnsi"/>
                <w:color w:val="000000"/>
                <w:sz w:val="22"/>
                <w:szCs w:val="22"/>
              </w:rPr>
            </w:pPr>
          </w:p>
        </w:tc>
      </w:tr>
      <w:tr w:rsidR="00344027" w:rsidRPr="00344027" w14:paraId="71D36680" w14:textId="77777777" w:rsidTr="00672286">
        <w:trPr>
          <w:trHeight w:val="128"/>
        </w:trPr>
        <w:tc>
          <w:tcPr>
            <w:tcW w:w="1179" w:type="dxa"/>
            <w:tcBorders>
              <w:top w:val="nil"/>
              <w:left w:val="nil"/>
              <w:bottom w:val="nil"/>
              <w:right w:val="nil"/>
            </w:tcBorders>
            <w:shd w:val="clear" w:color="auto" w:fill="auto"/>
            <w:noWrap/>
            <w:vAlign w:val="center"/>
            <w:hideMark/>
          </w:tcPr>
          <w:p w14:paraId="4C9E8691"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SSP245</w:t>
            </w:r>
          </w:p>
        </w:tc>
        <w:tc>
          <w:tcPr>
            <w:tcW w:w="1700" w:type="dxa"/>
            <w:vMerge w:val="restart"/>
            <w:tcBorders>
              <w:top w:val="nil"/>
              <w:left w:val="nil"/>
              <w:bottom w:val="single" w:sz="4" w:space="0" w:color="000000"/>
              <w:right w:val="nil"/>
            </w:tcBorders>
            <w:shd w:val="clear" w:color="auto" w:fill="auto"/>
            <w:vAlign w:val="center"/>
            <w:hideMark/>
          </w:tcPr>
          <w:p w14:paraId="789D4A9B"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18.3 ±0.9</w:t>
            </w:r>
          </w:p>
        </w:tc>
        <w:tc>
          <w:tcPr>
            <w:tcW w:w="2638" w:type="dxa"/>
            <w:tcBorders>
              <w:top w:val="nil"/>
              <w:left w:val="nil"/>
              <w:bottom w:val="nil"/>
              <w:right w:val="nil"/>
            </w:tcBorders>
            <w:shd w:val="clear" w:color="auto" w:fill="auto"/>
            <w:noWrap/>
            <w:vAlign w:val="center"/>
            <w:hideMark/>
          </w:tcPr>
          <w:p w14:paraId="454405A8"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17.8 ±0.9</w:t>
            </w:r>
          </w:p>
        </w:tc>
        <w:tc>
          <w:tcPr>
            <w:tcW w:w="1655" w:type="dxa"/>
            <w:tcBorders>
              <w:top w:val="nil"/>
              <w:left w:val="nil"/>
              <w:bottom w:val="nil"/>
              <w:right w:val="nil"/>
            </w:tcBorders>
            <w:shd w:val="clear" w:color="auto" w:fill="auto"/>
            <w:noWrap/>
            <w:vAlign w:val="center"/>
            <w:hideMark/>
          </w:tcPr>
          <w:p w14:paraId="5D99E6DB"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-0.5 ±1.8</w:t>
            </w:r>
          </w:p>
        </w:tc>
        <w:tc>
          <w:tcPr>
            <w:tcW w:w="1809" w:type="dxa"/>
            <w:tcBorders>
              <w:top w:val="nil"/>
              <w:left w:val="nil"/>
              <w:bottom w:val="nil"/>
              <w:right w:val="nil"/>
            </w:tcBorders>
            <w:shd w:val="clear" w:color="auto" w:fill="auto"/>
            <w:noWrap/>
            <w:vAlign w:val="center"/>
            <w:hideMark/>
          </w:tcPr>
          <w:p w14:paraId="743A3DD1" w14:textId="77777777" w:rsidR="00344027" w:rsidRPr="00344027" w:rsidRDefault="00344027" w:rsidP="00672286">
            <w:pPr>
              <w:jc w:val="center"/>
              <w:rPr>
                <w:rFonts w:cstheme="minorHAnsi"/>
                <w:color w:val="000000"/>
                <w:sz w:val="22"/>
                <w:szCs w:val="22"/>
              </w:rPr>
            </w:pPr>
          </w:p>
        </w:tc>
        <w:tc>
          <w:tcPr>
            <w:tcW w:w="1756" w:type="dxa"/>
            <w:tcBorders>
              <w:top w:val="nil"/>
              <w:left w:val="nil"/>
              <w:bottom w:val="nil"/>
              <w:right w:val="nil"/>
            </w:tcBorders>
            <w:shd w:val="clear" w:color="auto" w:fill="auto"/>
            <w:noWrap/>
            <w:vAlign w:val="bottom"/>
            <w:hideMark/>
          </w:tcPr>
          <w:p w14:paraId="79626818" w14:textId="77777777" w:rsidR="00344027" w:rsidRPr="00344027" w:rsidRDefault="00344027" w:rsidP="00672286">
            <w:pPr>
              <w:rPr>
                <w:rFonts w:cstheme="minorHAnsi"/>
                <w:color w:val="000000"/>
                <w:sz w:val="22"/>
                <w:szCs w:val="22"/>
              </w:rPr>
            </w:pPr>
          </w:p>
        </w:tc>
        <w:tc>
          <w:tcPr>
            <w:tcW w:w="1708" w:type="dxa"/>
            <w:tcBorders>
              <w:top w:val="nil"/>
              <w:left w:val="nil"/>
              <w:bottom w:val="nil"/>
              <w:right w:val="nil"/>
            </w:tcBorders>
            <w:shd w:val="clear" w:color="auto" w:fill="auto"/>
            <w:noWrap/>
            <w:vAlign w:val="bottom"/>
            <w:hideMark/>
          </w:tcPr>
          <w:p w14:paraId="4F405395" w14:textId="77777777" w:rsidR="00344027" w:rsidRPr="00344027" w:rsidRDefault="00344027" w:rsidP="00672286">
            <w:pPr>
              <w:rPr>
                <w:rFonts w:cstheme="minorHAnsi"/>
                <w:color w:val="000000"/>
                <w:sz w:val="22"/>
                <w:szCs w:val="22"/>
              </w:rPr>
            </w:pPr>
          </w:p>
        </w:tc>
      </w:tr>
      <w:tr w:rsidR="00344027" w:rsidRPr="00344027" w14:paraId="2AC68116" w14:textId="77777777" w:rsidTr="00672286">
        <w:trPr>
          <w:trHeight w:val="128"/>
        </w:trPr>
        <w:tc>
          <w:tcPr>
            <w:tcW w:w="1179" w:type="dxa"/>
            <w:tcBorders>
              <w:top w:val="nil"/>
              <w:left w:val="nil"/>
              <w:bottom w:val="single" w:sz="4" w:space="0" w:color="auto"/>
              <w:right w:val="nil"/>
            </w:tcBorders>
            <w:shd w:val="clear" w:color="auto" w:fill="auto"/>
            <w:noWrap/>
            <w:vAlign w:val="center"/>
            <w:hideMark/>
          </w:tcPr>
          <w:p w14:paraId="56102181" w14:textId="77777777" w:rsidR="00344027" w:rsidRPr="00344027" w:rsidRDefault="00344027" w:rsidP="00672286">
            <w:pPr>
              <w:jc w:val="center"/>
              <w:rPr>
                <w:rFonts w:cstheme="minorHAnsi"/>
                <w:b/>
                <w:bCs/>
                <w:color w:val="000000"/>
                <w:sz w:val="22"/>
                <w:szCs w:val="22"/>
              </w:rPr>
            </w:pPr>
            <w:r w:rsidRPr="00344027">
              <w:rPr>
                <w:rFonts w:cstheme="minorHAnsi"/>
                <w:b/>
                <w:bCs/>
                <w:color w:val="000000"/>
                <w:sz w:val="22"/>
                <w:szCs w:val="22"/>
              </w:rPr>
              <w:t>SSP585</w:t>
            </w:r>
          </w:p>
        </w:tc>
        <w:tc>
          <w:tcPr>
            <w:tcW w:w="1700" w:type="dxa"/>
            <w:vMerge/>
            <w:tcBorders>
              <w:top w:val="nil"/>
              <w:left w:val="nil"/>
              <w:bottom w:val="single" w:sz="4" w:space="0" w:color="000000"/>
              <w:right w:val="nil"/>
            </w:tcBorders>
            <w:vAlign w:val="center"/>
            <w:hideMark/>
          </w:tcPr>
          <w:p w14:paraId="43E22602" w14:textId="77777777" w:rsidR="00344027" w:rsidRPr="00344027" w:rsidRDefault="00344027" w:rsidP="00672286">
            <w:pPr>
              <w:rPr>
                <w:rFonts w:cstheme="minorHAnsi"/>
                <w:color w:val="000000"/>
                <w:sz w:val="22"/>
                <w:szCs w:val="22"/>
              </w:rPr>
            </w:pPr>
          </w:p>
        </w:tc>
        <w:tc>
          <w:tcPr>
            <w:tcW w:w="2638" w:type="dxa"/>
            <w:tcBorders>
              <w:top w:val="nil"/>
              <w:left w:val="nil"/>
              <w:bottom w:val="single" w:sz="4" w:space="0" w:color="auto"/>
              <w:right w:val="nil"/>
            </w:tcBorders>
            <w:shd w:val="clear" w:color="auto" w:fill="auto"/>
            <w:noWrap/>
            <w:vAlign w:val="center"/>
            <w:hideMark/>
          </w:tcPr>
          <w:p w14:paraId="55D8F3E4"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17.1 ±0.9</w:t>
            </w:r>
          </w:p>
        </w:tc>
        <w:tc>
          <w:tcPr>
            <w:tcW w:w="1655" w:type="dxa"/>
            <w:tcBorders>
              <w:top w:val="nil"/>
              <w:left w:val="nil"/>
              <w:bottom w:val="single" w:sz="4" w:space="0" w:color="auto"/>
              <w:right w:val="nil"/>
            </w:tcBorders>
            <w:shd w:val="clear" w:color="auto" w:fill="auto"/>
            <w:noWrap/>
            <w:vAlign w:val="center"/>
            <w:hideMark/>
          </w:tcPr>
          <w:p w14:paraId="7F115182" w14:textId="77777777" w:rsidR="00344027" w:rsidRPr="00344027" w:rsidRDefault="00344027" w:rsidP="00672286">
            <w:pPr>
              <w:jc w:val="center"/>
              <w:rPr>
                <w:rFonts w:cstheme="minorHAnsi"/>
                <w:color w:val="000000"/>
                <w:sz w:val="22"/>
                <w:szCs w:val="22"/>
              </w:rPr>
            </w:pPr>
            <w:r w:rsidRPr="00344027">
              <w:rPr>
                <w:rFonts w:cstheme="minorHAnsi"/>
                <w:color w:val="000000"/>
                <w:sz w:val="22"/>
                <w:szCs w:val="22"/>
              </w:rPr>
              <w:t>-1.2 ±1.8</w:t>
            </w:r>
          </w:p>
        </w:tc>
        <w:tc>
          <w:tcPr>
            <w:tcW w:w="1809" w:type="dxa"/>
            <w:tcBorders>
              <w:top w:val="nil"/>
              <w:left w:val="nil"/>
              <w:bottom w:val="nil"/>
              <w:right w:val="nil"/>
            </w:tcBorders>
            <w:shd w:val="clear" w:color="auto" w:fill="auto"/>
            <w:noWrap/>
            <w:vAlign w:val="center"/>
            <w:hideMark/>
          </w:tcPr>
          <w:p w14:paraId="5670E6B4" w14:textId="77777777" w:rsidR="00344027" w:rsidRPr="00344027" w:rsidRDefault="00344027" w:rsidP="00672286">
            <w:pPr>
              <w:jc w:val="center"/>
              <w:rPr>
                <w:rFonts w:cstheme="minorHAnsi"/>
                <w:color w:val="000000"/>
                <w:sz w:val="22"/>
                <w:szCs w:val="22"/>
              </w:rPr>
            </w:pPr>
          </w:p>
        </w:tc>
        <w:tc>
          <w:tcPr>
            <w:tcW w:w="1756" w:type="dxa"/>
            <w:tcBorders>
              <w:top w:val="nil"/>
              <w:left w:val="nil"/>
              <w:bottom w:val="nil"/>
              <w:right w:val="nil"/>
            </w:tcBorders>
            <w:shd w:val="clear" w:color="auto" w:fill="auto"/>
            <w:noWrap/>
            <w:vAlign w:val="bottom"/>
            <w:hideMark/>
          </w:tcPr>
          <w:p w14:paraId="444F789B" w14:textId="77777777" w:rsidR="00344027" w:rsidRPr="00344027" w:rsidRDefault="00344027" w:rsidP="00672286">
            <w:pPr>
              <w:rPr>
                <w:rFonts w:cstheme="minorHAnsi"/>
                <w:color w:val="000000"/>
                <w:sz w:val="22"/>
                <w:szCs w:val="22"/>
              </w:rPr>
            </w:pPr>
          </w:p>
        </w:tc>
        <w:tc>
          <w:tcPr>
            <w:tcW w:w="1708" w:type="dxa"/>
            <w:tcBorders>
              <w:top w:val="nil"/>
              <w:left w:val="nil"/>
              <w:bottom w:val="nil"/>
              <w:right w:val="nil"/>
            </w:tcBorders>
            <w:shd w:val="clear" w:color="auto" w:fill="auto"/>
            <w:noWrap/>
            <w:vAlign w:val="bottom"/>
            <w:hideMark/>
          </w:tcPr>
          <w:p w14:paraId="37D2BDC2" w14:textId="77777777" w:rsidR="00344027" w:rsidRPr="00344027" w:rsidRDefault="00344027" w:rsidP="00672286">
            <w:pPr>
              <w:rPr>
                <w:rFonts w:cstheme="minorHAnsi"/>
                <w:color w:val="000000"/>
                <w:sz w:val="22"/>
                <w:szCs w:val="22"/>
              </w:rPr>
            </w:pPr>
          </w:p>
        </w:tc>
      </w:tr>
    </w:tbl>
    <w:p w14:paraId="1C52F905" w14:textId="77777777" w:rsidR="00344027" w:rsidRPr="00486F41" w:rsidRDefault="00344027" w:rsidP="00344027">
      <w:pPr>
        <w:keepNext/>
        <w:pBdr>
          <w:top w:val="nil"/>
          <w:left w:val="nil"/>
          <w:bottom w:val="nil"/>
          <w:right w:val="nil"/>
          <w:between w:val="nil"/>
        </w:pBdr>
        <w:spacing w:before="240" w:after="60"/>
        <w:contextualSpacing/>
        <w:rPr>
          <w:rFonts w:cstheme="minorHAnsi"/>
          <w:b/>
          <w:sz w:val="20"/>
          <w:szCs w:val="20"/>
        </w:rPr>
      </w:pPr>
      <w:r w:rsidRPr="00486F41">
        <w:rPr>
          <w:rFonts w:cstheme="minorHAnsi"/>
          <w:b/>
          <w:color w:val="000000"/>
          <w:sz w:val="20"/>
          <w:szCs w:val="20"/>
        </w:rPr>
        <w:t xml:space="preserve">Table </w:t>
      </w:r>
      <w:r>
        <w:rPr>
          <w:rFonts w:cstheme="minorHAnsi"/>
          <w:b/>
          <w:color w:val="000000"/>
          <w:sz w:val="20"/>
          <w:szCs w:val="20"/>
        </w:rPr>
        <w:t>5.</w:t>
      </w:r>
      <w:r w:rsidRPr="00486F41">
        <w:rPr>
          <w:rFonts w:cstheme="minorHAnsi"/>
          <w:b/>
          <w:color w:val="000000"/>
          <w:sz w:val="20"/>
          <w:szCs w:val="20"/>
        </w:rPr>
        <w:t xml:space="preserve">3: </w:t>
      </w:r>
      <w:r w:rsidRPr="00486F41">
        <w:rPr>
          <w:rFonts w:cstheme="minorHAnsi"/>
          <w:b/>
          <w:sz w:val="20"/>
          <w:szCs w:val="20"/>
        </w:rPr>
        <w:t>Mean ± 2 standard errors of the net effects of climate change and mangrove deforestation on total global mangrove carbon stocks and sequestration rates. Forecasted stocks and sequestration rates represent global estimates for the year 2095. Soil C stocks are estimated to 1m soil depth. Net change is forecasted stocks/sequestration rates minus current day stocks/sequestration rates minus losses from deforestation.</w:t>
      </w:r>
    </w:p>
    <w:p w14:paraId="3627E7FE" w14:textId="77777777" w:rsidR="00344027" w:rsidRDefault="00344027" w:rsidP="00344027">
      <w:pPr>
        <w:keepNext/>
        <w:pBdr>
          <w:top w:val="nil"/>
          <w:left w:val="nil"/>
          <w:bottom w:val="nil"/>
          <w:right w:val="nil"/>
          <w:between w:val="nil"/>
        </w:pBdr>
        <w:spacing w:before="240" w:after="60" w:line="480" w:lineRule="auto"/>
        <w:jc w:val="both"/>
        <w:rPr>
          <w:rFonts w:cstheme="minorHAnsi"/>
          <w:color w:val="000000"/>
          <w:sz w:val="22"/>
        </w:rPr>
        <w:sectPr w:rsidR="00344027" w:rsidSect="00392131">
          <w:pgSz w:w="15840" w:h="12240" w:orient="landscape"/>
          <w:pgMar w:top="720" w:right="720" w:bottom="720" w:left="720" w:header="720" w:footer="720" w:gutter="0"/>
          <w:cols w:space="720"/>
          <w:docGrid w:linePitch="326"/>
        </w:sectPr>
      </w:pPr>
    </w:p>
    <w:p w14:paraId="33FBD770" w14:textId="4EE5B480" w:rsidR="00344027" w:rsidRPr="004E5738" w:rsidRDefault="00344027" w:rsidP="004E5738">
      <w:pPr>
        <w:pStyle w:val="Heading2"/>
        <w:rPr>
          <w:rFonts w:asciiTheme="minorHAnsi" w:hAnsiTheme="minorHAnsi" w:cstheme="minorHAnsi"/>
          <w:b/>
          <w:bCs/>
          <w:color w:val="000000" w:themeColor="text1"/>
        </w:rPr>
      </w:pPr>
      <w:bookmarkStart w:id="67" w:name="_Toc120622155"/>
      <w:r w:rsidRPr="004E5738">
        <w:rPr>
          <w:rFonts w:asciiTheme="minorHAnsi" w:hAnsiTheme="minorHAnsi" w:cstheme="minorHAnsi"/>
          <w:b/>
          <w:bCs/>
          <w:color w:val="000000" w:themeColor="text1"/>
        </w:rPr>
        <w:lastRenderedPageBreak/>
        <w:t>5.5</w:t>
      </w:r>
      <w:r w:rsidRPr="004E5738">
        <w:rPr>
          <w:rFonts w:asciiTheme="minorHAnsi" w:hAnsiTheme="minorHAnsi" w:cstheme="minorHAnsi"/>
          <w:b/>
          <w:bCs/>
          <w:color w:val="000000" w:themeColor="text1"/>
        </w:rPr>
        <w:tab/>
        <w:t>Discussion</w:t>
      </w:r>
      <w:bookmarkEnd w:id="67"/>
    </w:p>
    <w:p w14:paraId="5F84A732" w14:textId="77777777" w:rsidR="00344027" w:rsidRPr="00C57A68" w:rsidRDefault="00344027" w:rsidP="00344027">
      <w:pPr>
        <w:spacing w:line="480" w:lineRule="auto"/>
        <w:rPr>
          <w:rFonts w:cstheme="minorHAnsi"/>
        </w:rPr>
      </w:pPr>
      <w:r w:rsidRPr="00C57A68">
        <w:rPr>
          <w:rFonts w:cstheme="minorHAnsi"/>
        </w:rPr>
        <w:t xml:space="preserve">Our study predicted a global net increase in mangrove C stocks under two climate projections (SSP245 and SSP585). Predicted climate change in Mainland Southeast Asia and southern Brazil resulted in lower C stocks, whilst higher C stocks were predicted in the Caribbean, the Malay Archipelago, Australia, and West and East Africa (Figure A5). Our results identify particularly mangrove C rich countries where significant gains will occur and can reinforce the value of mangroves as a practical tool for offsetting emissions to national governments. Under a ‘business as usual’ scenario (SSP245), Indonesia, Malaysia, Cuba and Nigeria, all of which are currently in the top 10 mangrove holding countries </w:t>
      </w:r>
      <w:r w:rsidRPr="00C57A68">
        <w:rPr>
          <w:rFonts w:cstheme="minorHAnsi"/>
        </w:rPr>
        <w:fldChar w:fldCharType="begin" w:fldLock="1"/>
      </w:r>
      <w:r w:rsidRPr="00C57A68">
        <w:rPr>
          <w:rFonts w:cstheme="minorHAnsi"/>
        </w:rPr>
        <w:instrText>ADDIN CSL_CITATION {"citationItems":[{"id":"ITEM-1","itemData":{"author":[{"dropping-particle":"","family":"Hamilton","given":"Stuart","non-dropping-particle":"","parse-names":false,"suffix":""},{"dropping-particle":"","family":"Casey","given":"Daniel","non-dropping-particle":"","parse-names":false,"suffix":""}],"container-title":"Global Ecology and Biogeography","id":"ITEM-1","issue":"6","issued":{"date-parts":[["2016"]]},"page":"729-738","title":"Creation of a high spatiotemporal resolution global database of continuous mangrove forest cover","type":"article-journal","volume":"25"},"uris":["http://www.mendeley.com/documents/?uuid=893008db-4f62-4c3e-95b0-18b063df5b92"]}],"mendeley":{"formattedCitation":"(Hamilton and Casey, 2016)","plainTextFormattedCitation":"(Hamilton and Casey, 2016)","previouslyFormattedCitation":"(Hamilton and Casey, 2016)"},"properties":{"noteIndex":0},"schema":"https://github.com/citation-style-language/schema/raw/master/csl-citation.json"}</w:instrText>
      </w:r>
      <w:r w:rsidRPr="00C57A68">
        <w:rPr>
          <w:rFonts w:cstheme="minorHAnsi"/>
        </w:rPr>
        <w:fldChar w:fldCharType="separate"/>
      </w:r>
      <w:r w:rsidRPr="00C57A68">
        <w:rPr>
          <w:rFonts w:cstheme="minorHAnsi"/>
          <w:noProof/>
        </w:rPr>
        <w:t>(Hamilton and Casey, 2016)</w:t>
      </w:r>
      <w:r w:rsidRPr="00C57A68">
        <w:rPr>
          <w:rFonts w:cstheme="minorHAnsi"/>
        </w:rPr>
        <w:fldChar w:fldCharType="end"/>
      </w:r>
      <w:r w:rsidRPr="00C57A68">
        <w:rPr>
          <w:rFonts w:cstheme="minorHAnsi"/>
        </w:rPr>
        <w:t>, could hold &gt;10% higher C stocks</w:t>
      </w:r>
      <w:r w:rsidRPr="00C57A68">
        <w:rPr>
          <w:rFonts w:cstheme="minorHAnsi"/>
          <w:vertAlign w:val="subscript"/>
        </w:rPr>
        <w:t xml:space="preserve"> </w:t>
      </w:r>
      <w:r w:rsidRPr="00C57A68">
        <w:rPr>
          <w:rFonts w:cstheme="minorHAnsi"/>
        </w:rPr>
        <w:t>than at present (Table 5.2). Under the high emissions scenario (SSP585), these countries plus the USA and Australia would have &gt;10% higher total C stocks</w:t>
      </w:r>
      <w:r w:rsidRPr="00C57A68">
        <w:rPr>
          <w:rFonts w:cstheme="minorHAnsi"/>
          <w:vertAlign w:val="subscript"/>
        </w:rPr>
        <w:t xml:space="preserve"> </w:t>
      </w:r>
      <w:r w:rsidRPr="00C57A68">
        <w:rPr>
          <w:rFonts w:cstheme="minorHAnsi"/>
        </w:rPr>
        <w:t xml:space="preserve">(Table 5.2). These nations’ C stocks would also see significant benefit from reduced mangrove deforestation. The Malay Archipelago in particular, could emit 774.1 </w:t>
      </w:r>
      <w:proofErr w:type="spellStart"/>
      <w:r w:rsidRPr="00C57A68">
        <w:rPr>
          <w:rFonts w:cstheme="minorHAnsi"/>
        </w:rPr>
        <w:t>Tg</w:t>
      </w:r>
      <w:proofErr w:type="spellEnd"/>
      <w:r w:rsidRPr="00C57A68">
        <w:rPr>
          <w:rFonts w:cstheme="minorHAnsi"/>
        </w:rPr>
        <w:t xml:space="preserve"> CO</w:t>
      </w:r>
      <w:r w:rsidRPr="00C57A68">
        <w:rPr>
          <w:rFonts w:cstheme="minorHAnsi"/>
          <w:vertAlign w:val="subscript"/>
        </w:rPr>
        <w:t>2</w:t>
      </w:r>
      <w:r w:rsidRPr="00C57A68">
        <w:rPr>
          <w:rFonts w:cstheme="minorHAnsi"/>
        </w:rPr>
        <w:t xml:space="preserve">e by 2100 from mangrove clearing and conversion to </w:t>
      </w:r>
      <w:proofErr w:type="spellStart"/>
      <w:r w:rsidRPr="00C57A68">
        <w:rPr>
          <w:rFonts w:cstheme="minorHAnsi"/>
        </w:rPr>
        <w:t>agri</w:t>
      </w:r>
      <w:proofErr w:type="spellEnd"/>
      <w:r w:rsidRPr="00C57A68">
        <w:rPr>
          <w:rFonts w:cstheme="minorHAnsi"/>
        </w:rPr>
        <w:t xml:space="preserve">/aquaculture </w:t>
      </w:r>
      <w:r w:rsidRPr="00C57A68">
        <w:rPr>
          <w:rFonts w:cstheme="minorHAnsi"/>
        </w:rPr>
        <w:fldChar w:fldCharType="begin" w:fldLock="1"/>
      </w:r>
      <w:r w:rsidRPr="00C57A68">
        <w:rPr>
          <w:rFonts w:cstheme="minorHAnsi"/>
        </w:rPr>
        <w:instrText>ADDIN CSL_CITATION {"citationItems":[{"id":"ITEM-1","itemData":{"DOI":"10.1111/gcb.15571","ISSN":"13652486","PMID":"33644947","abstract":"Mangroves have among the highest carbon densities of any tropical forest. These ‘blue carbon’ ecosystems can store large amounts of carbon for long periods, and their protection reduces greenhouse gas emissions and supports climate change mitigation. Incorporating mangroves into Nationally Determined Contributions to the Paris Agreement and their valuation on carbon markets requires predicting how the management of different land-uses can prevent future greenhouse gas emissions and increase CO2 sequestration. We integrated comprehensive global datasets for carbon stocks, mangrove distribution, deforestation rates, and land-use change drivers into a predictive model of mangrove carbon emissions. We project emissions and foregone soil carbon sequestration potential under ‘business as usual’ rates of mangrove loss. Emissions from mangrove loss could reach 2391 Tg CO2 eq by the end of the century, or 3392 Tg CO2 eq when considering foregone soil carbon sequestration. The highest emissions were predicted in southeast and south Asia (West Coral Triangle, Sunda Shelf, and the Bay of Bengal) due to conversion to aquaculture or agriculture, followed by the Caribbean (Tropical Northwest Atlantic) due to clearing and erosion, and the Andaman coast (West Myanmar) and north Brazil due to erosion. Together, these six regions accounted for 90% of the total potential CO2 eq future emissions. Mangrove loss has been slowing, and global emissions could be more than halved if reduced loss rates remain in the future. Notably, the location of global emission hotspots was consistent with every dataset used to calculate deforestation rates or with alternative assumptions about carbon storage and emissions. Our results indicate the regions in need of policy actions to address emissions arising from mangrove loss and the drivers that could be managed to prevent them.","author":[{"dropping-particle":"","family":"Adame","given":"Maria F.","non-dropping-particle":"","parse-names":false,"suffix":""},{"dropping-particle":"","family":"Connolly","given":"Rod M.","non-dropping-particle":"","parse-names":false,"suffix":""},{"dropping-particle":"","family":"Turschwell","given":"Mischa P.","non-dropping-particle":"","parse-names":false,"suffix":""},{"dropping-particle":"","family":"Lovelock","given":"Catherine E.","non-dropping-particle":"","parse-names":false,"suffix":""},{"dropping-particle":"","family":"Fatoyinbo","given":"Temilola","non-dropping-particle":"","parse-names":false,"suffix":""},{"dropping-particle":"","family":"Lagomasino","given":"David","non-dropping-particle":"","parse-names":false,"suffix":""},{"dropping-particle":"","family":"Goldberg","given":"Liza A.","non-dropping-particle":"","parse-names":false,"suffix":""},{"dropping-particle":"","family":"Holdorf","given":"Jordan","non-dropping-particle":"","parse-names":false,"suffix":""},{"dropping-particle":"","family":"Friess","given":"Daniel A.","non-dropping-particle":"","parse-names":false,"suffix":""},{"dropping-particle":"","family":"Sasmito","given":"Sigit D.","non-dropping-particle":"","parse-names":false,"suffix":""},{"dropping-particle":"","family":"Sanderman","given":"Jonathan","non-dropping-particle":"","parse-names":false,"suffix":""},{"dropping-particle":"","family":"Sievers","given":"Michael","non-dropping-particle":"","parse-names":false,"suffix":""},{"dropping-particle":"","family":"Buelow","given":"Christina","non-dropping-particle":"","parse-names":false,"suffix":""},{"dropping-particle":"","family":"Kauffman","given":"J. Boone","non-dropping-particle":"","parse-names":false,"suffix":""},{"dropping-particle":"","family":"Bryan-Brown","given":"Dale","non-dropping-particle":"","parse-names":false,"suffix":""},{"dropping-particle":"","family":"Brown","given":"Christopher J.","non-dropping-particle":"","parse-names":false,"suffix":""}],"container-title":"Global Change Biology","id":"ITEM-1","issue":"12","issued":{"date-parts":[["2021"]]},"page":"2856-2866","title":"Future carbon emissions from global mangrove forest loss","type":"article-journal","volume":"27"},"uris":["http://www.mendeley.com/documents/?uuid=fd089088-e9d1-4660-adcf-746aa4a7298e"]}],"mendeley":{"formattedCitation":"(Adame et al., 2021)","plainTextFormattedCitation":"(Adame et al., 2021)","previouslyFormattedCitation":"(Adame et al., 2021)"},"properties":{"noteIndex":0},"schema":"https://github.com/citation-style-language/schema/raw/master/csl-citation.json"}</w:instrText>
      </w:r>
      <w:r w:rsidRPr="00C57A68">
        <w:rPr>
          <w:rFonts w:cstheme="minorHAnsi"/>
        </w:rPr>
        <w:fldChar w:fldCharType="separate"/>
      </w:r>
      <w:r w:rsidRPr="00C57A68">
        <w:rPr>
          <w:rFonts w:cstheme="minorHAnsi"/>
          <w:noProof/>
        </w:rPr>
        <w:t>(Adame et al., 2021)</w:t>
      </w:r>
      <w:r w:rsidRPr="00C57A68">
        <w:rPr>
          <w:rFonts w:cstheme="minorHAnsi"/>
        </w:rPr>
        <w:fldChar w:fldCharType="end"/>
      </w:r>
      <w:r w:rsidRPr="00C57A68">
        <w:rPr>
          <w:rFonts w:cstheme="minorHAnsi"/>
        </w:rPr>
        <w:t xml:space="preserve">. Projections of C stocks in the current study are only to 1m soil depth and are likely to be underestimates. Global mangrove soil C stocks to 2m soil depth have been estimated to be almost double that of 1m depth </w:t>
      </w:r>
      <w:r w:rsidRPr="00C57A68">
        <w:rPr>
          <w:rFonts w:cstheme="minorHAnsi"/>
        </w:rPr>
        <w:fldChar w:fldCharType="begin" w:fldLock="1"/>
      </w:r>
      <w:r w:rsidRPr="00C57A68">
        <w:rPr>
          <w:rFonts w:cstheme="minorHAnsi"/>
        </w:rPr>
        <w:instrText>ADDIN CSL_CITATION {"citationItems":[{"id":"ITEM-1","itemData":{"DOI":"10.1088/1748-9326/aabe1c","ISSN":"17489326","author":[{"dropping-particle":"","family":"Sanderman","given":"Jonathan","non-dropping-particle":"","parse-names":false,"suffix":""},{"dropping-particle":"","family":"Hengl","given":"Tomislav","non-dropping-particle":"","parse-names":false,"suffix":""},{"dropping-particle":"","family":"Fiske","given":"Greg","non-dropping-particle":"","parse-names":false,"suffix":""},{"dropping-particle":"","family":"Solvik","given":"Kylen","non-dropping-particle":"","parse-names":false,"suffix":""},{"dropping-particle":"","family":"Adame","given":"Maria Fernanda","non-dropping-particle":"","parse-names":false,"suffix":""},{"dropping-particle":"","family":"Benson","given":"Lisa","non-dropping-particle":"","parse-names":false,"suffix":""},{"dropping-particle":"","family":"Bukoski","given":"Jacob J","non-dropping-particle":"","parse-names":false,"suffix":""},{"dropping-particle":"","family":"Carnell","given":"Paul","non-dropping-particle":"","parse-names":false,"suffix":""},{"dropping-particle":"","family":"Cifuentes-Jara","given":"Miguel","non-dropping-particle":"","parse-names":false,"suffix":""},{"dropping-particle":"","family":"Donato","given":"Daniel","non-dropping-particle":"","parse-names":false,"suffix":""},{"dropping-particle":"","family":"Duncan","given":"Clare","non-dropping-particle":"","parse-names":false,"suffix":""},{"dropping-particle":"","family":"Eid","given":"Ebrahem M","non-dropping-particle":"","parse-names":false,"suffix":""},{"dropping-particle":"","family":"Ermgassen","given":"Philine zu","non-dropping-particle":"","parse-names":false,"suffix":""},{"dropping-particle":"","family":"Lewis","given":"Carolyn J.Ewers","non-dropping-particle":"","parse-names":false,"suffix":""},{"dropping-particle":"","family":"Macreadie","given":"Peter I","non-dropping-particle":"","parse-names":false,"suffix":""},{"dropping-particle":"","family":"Glass","given":"Leah","non-dropping-particle":"","parse-names":false,"suffix":""},{"dropping-particle":"","family":"Gress","given":"Selena","non-dropping-particle":"","parse-names":false,"suffix":""},{"dropping-particle":"","family":"Jardine","given":"Sunny L","non-dropping-particle":"","parse-names":false,"suffix":""},{"dropping-particle":"","family":"Jones","given":"Trevor G","non-dropping-particle":"","parse-names":false,"suffix":""},{"dropping-particle":"","family":"Nsombo","given":"Eugéne Ndemem","non-dropping-particle":"","parse-names":false,"suffix":""},{"dropping-particle":"","family":"Rahman","given":"Md Mizanur","non-dropping-particle":"","parse-names":false,"suffix":""},{"dropping-particle":"","family":"Sanders","given":"Christian J","non-dropping-particle":"","parse-names":false,"suffix":""},{"dropping-particle":"","family":"Spalding","given":"Mark","non-dropping-particle":"","parse-names":false,"suffix":""},{"dropping-particle":"","family":"Landis","given":"Emily","non-dropping-particle":"","parse-names":false,"suffix":""}],"container-title":"Environmental Research Letters","id":"ITEM-1","issue":"5","issued":{"date-parts":[["2018","5","1"]]},"page":"055002","publisher":"IOP Publishing","title":"A global map of mangrove forest soil carbon at 30 m spatial resolution","type":"article-journal","volume":"13"},"uris":["http://www.mendeley.com/documents/?uuid=a27008a0-a4d5-343e-89c7-c4a4c0b60818"]}],"mendeley":{"formattedCitation":"(Sanderman et al., 2018)","plainTextFormattedCitation":"(Sanderman et al., 2018)","previouslyFormattedCitation":"(Sanderman et al., 2018)"},"properties":{"noteIndex":0},"schema":"https://github.com/citation-style-language/schema/raw/master/csl-citation.json"}</w:instrText>
      </w:r>
      <w:r w:rsidRPr="00C57A68">
        <w:rPr>
          <w:rFonts w:cstheme="minorHAnsi"/>
        </w:rPr>
        <w:fldChar w:fldCharType="separate"/>
      </w:r>
      <w:r w:rsidRPr="00C57A68">
        <w:rPr>
          <w:rFonts w:cstheme="minorHAnsi"/>
          <w:noProof/>
        </w:rPr>
        <w:t>(Sanderman et al., 2018)</w:t>
      </w:r>
      <w:r w:rsidRPr="00C57A68">
        <w:rPr>
          <w:rFonts w:cstheme="minorHAnsi"/>
        </w:rPr>
        <w:fldChar w:fldCharType="end"/>
      </w:r>
      <w:r w:rsidRPr="00C57A68">
        <w:rPr>
          <w:rFonts w:cstheme="minorHAnsi"/>
        </w:rPr>
        <w:t xml:space="preserve">. Hence emissions from mangrove deforestation reported here (678.50 ±151.32 </w:t>
      </w:r>
      <w:proofErr w:type="spellStart"/>
      <w:r w:rsidRPr="00C57A68">
        <w:rPr>
          <w:rFonts w:cstheme="minorHAnsi"/>
        </w:rPr>
        <w:t>Tg</w:t>
      </w:r>
      <w:proofErr w:type="spellEnd"/>
      <w:r w:rsidRPr="00C57A68">
        <w:rPr>
          <w:rFonts w:cstheme="minorHAnsi"/>
        </w:rPr>
        <w:t xml:space="preserve"> CO</w:t>
      </w:r>
      <w:r w:rsidRPr="00C57A68">
        <w:rPr>
          <w:rFonts w:cstheme="minorHAnsi"/>
          <w:vertAlign w:val="subscript"/>
        </w:rPr>
        <w:t>2</w:t>
      </w:r>
      <w:r w:rsidRPr="00C57A68">
        <w:rPr>
          <w:rFonts w:cstheme="minorHAnsi"/>
        </w:rPr>
        <w:t xml:space="preserve">e from 2012 to 2095) are also likely to be underestimated. Other studies have projected up to 3392 </w:t>
      </w:r>
      <w:proofErr w:type="spellStart"/>
      <w:r w:rsidRPr="00C57A68">
        <w:rPr>
          <w:rFonts w:cstheme="minorHAnsi"/>
        </w:rPr>
        <w:t>Tg</w:t>
      </w:r>
      <w:proofErr w:type="spellEnd"/>
      <w:r w:rsidRPr="00C57A68">
        <w:rPr>
          <w:rFonts w:cstheme="minorHAnsi"/>
        </w:rPr>
        <w:t xml:space="preserve"> CO</w:t>
      </w:r>
      <w:r w:rsidRPr="00C57A68">
        <w:rPr>
          <w:rFonts w:cstheme="minorHAnsi"/>
          <w:vertAlign w:val="subscript"/>
        </w:rPr>
        <w:t>2</w:t>
      </w:r>
      <w:r w:rsidRPr="00C57A68">
        <w:rPr>
          <w:rFonts w:cstheme="minorHAnsi"/>
        </w:rPr>
        <w:t xml:space="preserve">e emissions by 2100, with 712 </w:t>
      </w:r>
      <w:proofErr w:type="spellStart"/>
      <w:r w:rsidRPr="00C57A68">
        <w:rPr>
          <w:rFonts w:cstheme="minorHAnsi"/>
        </w:rPr>
        <w:t>Tg</w:t>
      </w:r>
      <w:proofErr w:type="spellEnd"/>
      <w:r w:rsidRPr="00C57A68">
        <w:rPr>
          <w:rFonts w:cstheme="minorHAnsi"/>
        </w:rPr>
        <w:t xml:space="preserve"> CO</w:t>
      </w:r>
      <w:r w:rsidRPr="00C57A68">
        <w:rPr>
          <w:rFonts w:cstheme="minorHAnsi"/>
          <w:vertAlign w:val="subscript"/>
        </w:rPr>
        <w:t>2</w:t>
      </w:r>
      <w:r w:rsidRPr="00C57A68">
        <w:rPr>
          <w:rFonts w:cstheme="minorHAnsi"/>
        </w:rPr>
        <w:t xml:space="preserve">e being lost in the West Coral Triangle alone </w:t>
      </w:r>
      <w:r w:rsidRPr="00C57A68">
        <w:rPr>
          <w:rFonts w:cstheme="minorHAnsi"/>
        </w:rPr>
        <w:fldChar w:fldCharType="begin" w:fldLock="1"/>
      </w:r>
      <w:r w:rsidRPr="00C57A68">
        <w:rPr>
          <w:rFonts w:cstheme="minorHAnsi"/>
        </w:rPr>
        <w:instrText>ADDIN CSL_CITATION {"citationItems":[{"id":"ITEM-1","itemData":{"DOI":"10.1111/gcb.15571","ISSN":"13652486","PMID":"33644947","abstract":"Mangroves have among the highest carbon densities of any tropical forest. These ‘blue carbon’ ecosystems can store large amounts of carbon for long periods, and their protection reduces greenhouse gas emissions and supports climate change mitigation. Incorporating mangroves into Nationally Determined Contributions to the Paris Agreement and their valuation on carbon markets requires predicting how the management of different land-uses can prevent future greenhouse gas emissions and increase CO2 sequestration. We integrated comprehensive global datasets for carbon stocks, mangrove distribution, deforestation rates, and land-use change drivers into a predictive model of mangrove carbon emissions. We project emissions and foregone soil carbon sequestration potential under ‘business as usual’ rates of mangrove loss. Emissions from mangrove loss could reach 2391 Tg CO2 eq by the end of the century, or 3392 Tg CO2 eq when considering foregone soil carbon sequestration. The highest emissions were predicted in southeast and south Asia (West Coral Triangle, Sunda Shelf, and the Bay of Bengal) due to conversion to aquaculture or agriculture, followed by the Caribbean (Tropical Northwest Atlantic) due to clearing and erosion, and the Andaman coast (West Myanmar) and north Brazil due to erosion. Together, these six regions accounted for 90% of the total potential CO2 eq future emissions. Mangrove loss has been slowing, and global emissions could be more than halved if reduced loss rates remain in the future. Notably, the location of global emission hotspots was consistent with every dataset used to calculate deforestation rates or with alternative assumptions about carbon storage and emissions. Our results indicate the regions in need of policy actions to address emissions arising from mangrove loss and the drivers that could be managed to prevent them.","author":[{"dropping-particle":"","family":"Adame","given":"Maria F.","non-dropping-particle":"","parse-names":false,"suffix":""},{"dropping-particle":"","family":"Connolly","given":"Rod M.","non-dropping-particle":"","parse-names":false,"suffix":""},{"dropping-particle":"","family":"Turschwell","given":"Mischa P.","non-dropping-particle":"","parse-names":false,"suffix":""},{"dropping-particle":"","family":"Lovelock","given":"Catherine E.","non-dropping-particle":"","parse-names":false,"suffix":""},{"dropping-particle":"","family":"Fatoyinbo","given":"Temilola","non-dropping-particle":"","parse-names":false,"suffix":""},{"dropping-particle":"","family":"Lagomasino","given":"David","non-dropping-particle":"","parse-names":false,"suffix":""},{"dropping-particle":"","family":"Goldberg","given":"Liza A.","non-dropping-particle":"","parse-names":false,"suffix":""},{"dropping-particle":"","family":"Holdorf","given":"Jordan","non-dropping-particle":"","parse-names":false,"suffix":""},{"dropping-particle":"","family":"Friess","given":"Daniel A.","non-dropping-particle":"","parse-names":false,"suffix":""},{"dropping-particle":"","family":"Sasmito","given":"Sigit D.","non-dropping-particle":"","parse-names":false,"suffix":""},{"dropping-particle":"","family":"Sanderman","given":"Jonathan","non-dropping-particle":"","parse-names":false,"suffix":""},{"dropping-particle":"","family":"Sievers","given":"Michael","non-dropping-particle":"","parse-names":false,"suffix":""},{"dropping-particle":"","family":"Buelow","given":"Christina","non-dropping-particle":"","parse-names":false,"suffix":""},{"dropping-particle":"","family":"Kauffman","given":"J. Boone","non-dropping-particle":"","parse-names":false,"suffix":""},{"dropping-particle":"","family":"Bryan-Brown","given":"Dale","non-dropping-particle":"","parse-names":false,"suffix":""},{"dropping-particle":"","family":"Brown","given":"Christopher J.","non-dropping-particle":"","parse-names":false,"suffix":""}],"container-title":"Global Change Biology","id":"ITEM-1","issue":"12","issued":{"date-parts":[["2021"]]},"page":"2856-2866","title":"Future carbon emissions from global mangrove forest loss","type":"article-journal","volume":"27"},"uris":["http://www.mendeley.com/documents/?uuid=fd089088-e9d1-4660-adcf-746aa4a7298e"]}],"mendeley":{"formattedCitation":"(Adame et al., 2021)","plainTextFormattedCitation":"(Adame et al., 2021)","previouslyFormattedCitation":"(Adame et al., 2021)"},"properties":{"noteIndex":0},"schema":"https://github.com/citation-style-language/schema/raw/master/csl-citation.json"}</w:instrText>
      </w:r>
      <w:r w:rsidRPr="00C57A68">
        <w:rPr>
          <w:rFonts w:cstheme="minorHAnsi"/>
        </w:rPr>
        <w:fldChar w:fldCharType="separate"/>
      </w:r>
      <w:r w:rsidRPr="00C57A68">
        <w:rPr>
          <w:rFonts w:cstheme="minorHAnsi"/>
          <w:noProof/>
        </w:rPr>
        <w:t>(Adame et al., 2021)</w:t>
      </w:r>
      <w:r w:rsidRPr="00C57A68">
        <w:rPr>
          <w:rFonts w:cstheme="minorHAnsi"/>
        </w:rPr>
        <w:fldChar w:fldCharType="end"/>
      </w:r>
      <w:r w:rsidRPr="00C57A68">
        <w:rPr>
          <w:rFonts w:cstheme="minorHAnsi"/>
        </w:rPr>
        <w:t xml:space="preserve">. </w:t>
      </w:r>
    </w:p>
    <w:p w14:paraId="7F0F1C40" w14:textId="77777777" w:rsidR="00344027" w:rsidRPr="00C57A68" w:rsidRDefault="00344027" w:rsidP="00344027">
      <w:pPr>
        <w:spacing w:line="480" w:lineRule="auto"/>
        <w:rPr>
          <w:rFonts w:cstheme="minorHAnsi"/>
        </w:rPr>
      </w:pPr>
    </w:p>
    <w:p w14:paraId="01BBC375" w14:textId="294A33A6" w:rsidR="00344027" w:rsidRPr="00C57A68" w:rsidRDefault="00344027" w:rsidP="00344027">
      <w:pPr>
        <w:spacing w:line="480" w:lineRule="auto"/>
        <w:rPr>
          <w:rFonts w:cstheme="minorHAnsi"/>
        </w:rPr>
      </w:pPr>
      <w:r w:rsidRPr="00C57A68">
        <w:rPr>
          <w:rFonts w:cstheme="minorHAnsi"/>
        </w:rPr>
        <w:lastRenderedPageBreak/>
        <w:t xml:space="preserve">Despite an overall gain in C stocks, a likely decrease in global soil sequestration rates (CSR) was predicted under both climate projections (SSP245 and SSP585), with a different spatial distribution to predicted gains in C stocks; depressed CSR were mainly forecast in the Malay Archipelago and the Southern Caribbean (Figure A5). More than half of the top 20 mangrove holding countries would experience decreases in CSR. Some of these losses will be significant, Panama’s annual CSR could reduce by 20.93 ±2.83% under SSP245 or over a quarter (25.77 ±2.92%) under SSP585 (Table 5.2). These reductions may be compounded by emissions from erosion, which is expected to be the main driver for mangrove losses on the Caribbean coast of Panama by 2100 </w:t>
      </w:r>
      <w:r w:rsidRPr="00C57A68">
        <w:rPr>
          <w:rFonts w:cstheme="minorHAnsi"/>
        </w:rPr>
        <w:fldChar w:fldCharType="begin" w:fldLock="1"/>
      </w:r>
      <w:r w:rsidRPr="00C57A68">
        <w:rPr>
          <w:rFonts w:cstheme="minorHAnsi"/>
        </w:rPr>
        <w:instrText>ADDIN CSL_CITATION {"citationItems":[{"id":"ITEM-1","itemData":{"DOI":"10.1111/gcb.15571","ISSN":"13652486","PMID":"33644947","abstract":"Mangroves have among the highest carbon densities of any tropical forest. These ‘blue carbon’ ecosystems can store large amounts of carbon for long periods, and their protection reduces greenhouse gas emissions and supports climate change mitigation. Incorporating mangroves into Nationally Determined Contributions to the Paris Agreement and their valuation on carbon markets requires predicting how the management of different land-uses can prevent future greenhouse gas emissions and increase CO2 sequestration. We integrated comprehensive global datasets for carbon stocks, mangrove distribution, deforestation rates, and land-use change drivers into a predictive model of mangrove carbon emissions. We project emissions and foregone soil carbon sequestration potential under ‘business as usual’ rates of mangrove loss. Emissions from mangrove loss could reach 2391 Tg CO2 eq by the end of the century, or 3392 Tg CO2 eq when considering foregone soil carbon sequestration. The highest emissions were predicted in southeast and south Asia (West Coral Triangle, Sunda Shelf, and the Bay of Bengal) due to conversion to aquaculture or agriculture, followed by the Caribbean (Tropical Northwest Atlantic) due to clearing and erosion, and the Andaman coast (West Myanmar) and north Brazil due to erosion. Together, these six regions accounted for 90% of the total potential CO2 eq future emissions. Mangrove loss has been slowing, and global emissions could be more than halved if reduced loss rates remain in the future. Notably, the location of global emission hotspots was consistent with every dataset used to calculate deforestation rates or with alternative assumptions about carbon storage and emissions. Our results indicate the regions in need of policy actions to address emissions arising from mangrove loss and the drivers that could be managed to prevent them.","author":[{"dropping-particle":"","family":"Adame","given":"Maria F.","non-dropping-particle":"","parse-names":false,"suffix":""},{"dropping-particle":"","family":"Connolly","given":"Rod M.","non-dropping-particle":"","parse-names":false,"suffix":""},{"dropping-particle":"","family":"Turschwell","given":"Mischa P.","non-dropping-particle":"","parse-names":false,"suffix":""},{"dropping-particle":"","family":"Lovelock","given":"Catherine E.","non-dropping-particle":"","parse-names":false,"suffix":""},{"dropping-particle":"","family":"Fatoyinbo","given":"Temilola","non-dropping-particle":"","parse-names":false,"suffix":""},{"dropping-particle":"","family":"Lagomasino","given":"David","non-dropping-particle":"","parse-names":false,"suffix":""},{"dropping-particle":"","family":"Goldberg","given":"Liza A.","non-dropping-particle":"","parse-names":false,"suffix":""},{"dropping-particle":"","family":"Holdorf","given":"Jordan","non-dropping-particle":"","parse-names":false,"suffix":""},{"dropping-particle":"","family":"Friess","given":"Daniel A.","non-dropping-particle":"","parse-names":false,"suffix":""},{"dropping-particle":"","family":"Sasmito","given":"Sigit D.","non-dropping-particle":"","parse-names":false,"suffix":""},{"dropping-particle":"","family":"Sanderman","given":"Jonathan","non-dropping-particle":"","parse-names":false,"suffix":""},{"dropping-particle":"","family":"Sievers","given":"Michael","non-dropping-particle":"","parse-names":false,"suffix":""},{"dropping-particle":"","family":"Buelow","given":"Christina","non-dropping-particle":"","parse-names":false,"suffix":""},{"dropping-particle":"","family":"Kauffman","given":"J. Boone","non-dropping-particle":"","parse-names":false,"suffix":""},{"dropping-particle":"","family":"Bryan-Brown","given":"Dale","non-dropping-particle":"","parse-names":false,"suffix":""},{"dropping-particle":"","family":"Brown","given":"Christopher J.","non-dropping-particle":"","parse-names":false,"suffix":""}],"container-title":"Global Change Biology","id":"ITEM-1","issue":"12","issued":{"date-parts":[["2021"]]},"page":"2856-2866","title":"Future carbon emissions from global mangrove forest loss","type":"article-journal","volume":"27"},"uris":["http://www.mendeley.com/documents/?uuid=fd089088-e9d1-4660-adcf-746aa4a7298e"]}],"mendeley":{"formattedCitation":"(Adame et al., 2021)","plainTextFormattedCitation":"(Adame et al., 2021)","previouslyFormattedCitation":"(Adame et al., 2021)"},"properties":{"noteIndex":0},"schema":"https://github.com/citation-style-language/schema/raw/master/csl-citation.json"}</w:instrText>
      </w:r>
      <w:r w:rsidRPr="00C57A68">
        <w:rPr>
          <w:rFonts w:cstheme="minorHAnsi"/>
        </w:rPr>
        <w:fldChar w:fldCharType="separate"/>
      </w:r>
      <w:r w:rsidRPr="00C57A68">
        <w:rPr>
          <w:rFonts w:cstheme="minorHAnsi"/>
          <w:noProof/>
        </w:rPr>
        <w:t>(Adame et al., 2021)</w:t>
      </w:r>
      <w:r w:rsidRPr="00C57A68">
        <w:rPr>
          <w:rFonts w:cstheme="minorHAnsi"/>
        </w:rPr>
        <w:fldChar w:fldCharType="end"/>
      </w:r>
      <w:r w:rsidRPr="00C57A68">
        <w:rPr>
          <w:rFonts w:cstheme="minorHAnsi"/>
        </w:rPr>
        <w:t xml:space="preserve">. Malaysia and Myanmar could experience total reductions in CSR by 17.43% and 21.96%, respectively (Table 5.2). These two countries’ future emissions from mangrove losses are also expected to be largely driven by land-use change to </w:t>
      </w:r>
      <w:proofErr w:type="spellStart"/>
      <w:r w:rsidRPr="00C57A68">
        <w:rPr>
          <w:rFonts w:cstheme="minorHAnsi"/>
        </w:rPr>
        <w:t>agri</w:t>
      </w:r>
      <w:proofErr w:type="spellEnd"/>
      <w:r w:rsidRPr="00C57A68">
        <w:rPr>
          <w:rFonts w:cstheme="minorHAnsi"/>
        </w:rPr>
        <w:t xml:space="preserve">/aquaculture </w:t>
      </w:r>
      <w:r w:rsidRPr="00C57A68">
        <w:rPr>
          <w:rFonts w:cstheme="minorHAnsi"/>
        </w:rPr>
        <w:fldChar w:fldCharType="begin" w:fldLock="1"/>
      </w:r>
      <w:r w:rsidRPr="00C57A68">
        <w:rPr>
          <w:rFonts w:cstheme="minorHAnsi"/>
        </w:rPr>
        <w:instrText>ADDIN CSL_CITATION {"citationItems":[{"id":"ITEM-1","itemData":{"DOI":"10.1111/gcb.15571","ISSN":"13652486","PMID":"33644947","abstract":"Mangroves have among the highest carbon densities of any tropical forest. These ‘blue carbon’ ecosystems can store large amounts of carbon for long periods, and their protection reduces greenhouse gas emissions and supports climate change mitigation. Incorporating mangroves into Nationally Determined Contributions to the Paris Agreement and their valuation on carbon markets requires predicting how the management of different land-uses can prevent future greenhouse gas emissions and increase CO2 sequestration. We integrated comprehensive global datasets for carbon stocks, mangrove distribution, deforestation rates, and land-use change drivers into a predictive model of mangrove carbon emissions. We project emissions and foregone soil carbon sequestration potential under ‘business as usual’ rates of mangrove loss. Emissions from mangrove loss could reach 2391 Tg CO2 eq by the end of the century, or 3392 Tg CO2 eq when considering foregone soil carbon sequestration. The highest emissions were predicted in southeast and south Asia (West Coral Triangle, Sunda Shelf, and the Bay of Bengal) due to conversion to aquaculture or agriculture, followed by the Caribbean (Tropical Northwest Atlantic) due to clearing and erosion, and the Andaman coast (West Myanmar) and north Brazil due to erosion. Together, these six regions accounted for 90% of the total potential CO2 eq future emissions. Mangrove loss has been slowing, and global emissions could be more than halved if reduced loss rates remain in the future. Notably, the location of global emission hotspots was consistent with every dataset used to calculate deforestation rates or with alternative assumptions about carbon storage and emissions. Our results indicate the regions in need of policy actions to address emissions arising from mangrove loss and the drivers that could be managed to prevent them.","author":[{"dropping-particle":"","family":"Adame","given":"Maria F.","non-dropping-particle":"","parse-names":false,"suffix":""},{"dropping-particle":"","family":"Connolly","given":"Rod M.","non-dropping-particle":"","parse-names":false,"suffix":""},{"dropping-particle":"","family":"Turschwell","given":"Mischa P.","non-dropping-particle":"","parse-names":false,"suffix":""},{"dropping-particle":"","family":"Lovelock","given":"Catherine E.","non-dropping-particle":"","parse-names":false,"suffix":""},{"dropping-particle":"","family":"Fatoyinbo","given":"Temilola","non-dropping-particle":"","parse-names":false,"suffix":""},{"dropping-particle":"","family":"Lagomasino","given":"David","non-dropping-particle":"","parse-names":false,"suffix":""},{"dropping-particle":"","family":"Goldberg","given":"Liza A.","non-dropping-particle":"","parse-names":false,"suffix":""},{"dropping-particle":"","family":"Holdorf","given":"Jordan","non-dropping-particle":"","parse-names":false,"suffix":""},{"dropping-particle":"","family":"Friess","given":"Daniel A.","non-dropping-particle":"","parse-names":false,"suffix":""},{"dropping-particle":"","family":"Sasmito","given":"Sigit D.","non-dropping-particle":"","parse-names":false,"suffix":""},{"dropping-particle":"","family":"Sanderman","given":"Jonathan","non-dropping-particle":"","parse-names":false,"suffix":""},{"dropping-particle":"","family":"Sievers","given":"Michael","non-dropping-particle":"","parse-names":false,"suffix":""},{"dropping-particle":"","family":"Buelow","given":"Christina","non-dropping-particle":"","parse-names":false,"suffix":""},{"dropping-particle":"","family":"Kauffman","given":"J. Boone","non-dropping-particle":"","parse-names":false,"suffix":""},{"dropping-particle":"","family":"Bryan-Brown","given":"Dale","non-dropping-particle":"","parse-names":false,"suffix":""},{"dropping-particle":"","family":"Brown","given":"Christopher J.","non-dropping-particle":"","parse-names":false,"suffix":""}],"container-title":"Global Change Biology","id":"ITEM-1","issue":"12","issued":{"date-parts":[["2021"]]},"page":"2856-2866","title":"Future carbon emissions from global mangrove forest loss","type":"article-journal","volume":"27"},"uris":["http://www.mendeley.com/documents/?uuid=fd089088-e9d1-4660-adcf-746aa4a7298e"]}],"mendeley":{"formattedCitation":"(Adame et al., 2021)","plainTextFormattedCitation":"(Adame et al., 2021)","previouslyFormattedCitation":"(Adame et al., 2021)"},"properties":{"noteIndex":0},"schema":"https://github.com/citation-style-language/schema/raw/master/csl-citation.json"}</w:instrText>
      </w:r>
      <w:r w:rsidRPr="00C57A68">
        <w:rPr>
          <w:rFonts w:cstheme="minorHAnsi"/>
        </w:rPr>
        <w:fldChar w:fldCharType="separate"/>
      </w:r>
      <w:r w:rsidRPr="00C57A68">
        <w:rPr>
          <w:rFonts w:cstheme="minorHAnsi"/>
          <w:noProof/>
        </w:rPr>
        <w:t>(Adame et al., 2021)</w:t>
      </w:r>
      <w:r w:rsidRPr="00C57A68">
        <w:rPr>
          <w:rFonts w:cstheme="minorHAnsi"/>
        </w:rPr>
        <w:fldChar w:fldCharType="end"/>
      </w:r>
      <w:r w:rsidRPr="00C57A68">
        <w:rPr>
          <w:rFonts w:cstheme="minorHAnsi"/>
        </w:rPr>
        <w:t xml:space="preserve"> and would exacerbate the climate driven reductions in CSR. On a more positive note, even though overall reductions in global CSR were predicted, our study suggests global mangrove CSR has previously been underestimated. Our estimate (18.3 </w:t>
      </w:r>
      <w:proofErr w:type="spellStart"/>
      <w:r w:rsidRPr="00C57A68">
        <w:rPr>
          <w:rFonts w:cstheme="minorHAnsi"/>
        </w:rPr>
        <w:t>Tg</w:t>
      </w:r>
      <w:proofErr w:type="spellEnd"/>
      <w:r w:rsidRPr="00C57A68">
        <w:rPr>
          <w:rFonts w:cstheme="minorHAnsi"/>
        </w:rPr>
        <w:t xml:space="preserve"> C yr</w:t>
      </w:r>
      <w:r w:rsidRPr="00C57A68">
        <w:rPr>
          <w:rFonts w:cstheme="minorHAnsi"/>
          <w:vertAlign w:val="superscript"/>
        </w:rPr>
        <w:t>-1</w:t>
      </w:r>
      <w:r w:rsidRPr="00C57A68">
        <w:rPr>
          <w:rFonts w:cstheme="minorHAnsi"/>
        </w:rPr>
        <w:t>) is more than double that of the most recent previous estimate (</w:t>
      </w:r>
      <w:proofErr w:type="spellStart"/>
      <w:r w:rsidRPr="00C57A68">
        <w:rPr>
          <w:rFonts w:cstheme="minorHAnsi"/>
        </w:rPr>
        <w:t>Alongi</w:t>
      </w:r>
      <w:proofErr w:type="spellEnd"/>
      <w:r w:rsidRPr="00C57A68">
        <w:rPr>
          <w:rFonts w:cstheme="minorHAnsi"/>
        </w:rPr>
        <w:t xml:space="preserve">, 2020), which used the same global mangrove extent as us (8.6 </w:t>
      </w:r>
      <w:proofErr w:type="spellStart"/>
      <w:r w:rsidRPr="00C57A68">
        <w:rPr>
          <w:rFonts w:cstheme="minorHAnsi"/>
        </w:rPr>
        <w:t>Tg</w:t>
      </w:r>
      <w:proofErr w:type="spellEnd"/>
      <w:r w:rsidRPr="00C57A68">
        <w:rPr>
          <w:rFonts w:cstheme="minorHAnsi"/>
        </w:rPr>
        <w:t xml:space="preserve"> C yr</w:t>
      </w:r>
      <w:r w:rsidRPr="00C57A68">
        <w:rPr>
          <w:rFonts w:cstheme="minorHAnsi"/>
          <w:vertAlign w:val="superscript"/>
        </w:rPr>
        <w:t>-1</w:t>
      </w:r>
      <w:r w:rsidRPr="00C57A68">
        <w:rPr>
          <w:rFonts w:cstheme="minorHAnsi"/>
        </w:rPr>
        <w:t>, mangrove extent: ~83,000 km</w:t>
      </w:r>
      <w:r w:rsidRPr="00C57A68">
        <w:rPr>
          <w:rFonts w:cstheme="minorHAnsi"/>
          <w:vertAlign w:val="superscript"/>
        </w:rPr>
        <w:t>2</w:t>
      </w:r>
      <w:r w:rsidRPr="00C57A68">
        <w:rPr>
          <w:rFonts w:cstheme="minorHAnsi"/>
        </w:rPr>
        <w:t xml:space="preserve">). </w:t>
      </w:r>
      <w:proofErr w:type="spellStart"/>
      <w:r w:rsidRPr="00C57A68">
        <w:rPr>
          <w:rFonts w:cstheme="minorHAnsi"/>
        </w:rPr>
        <w:t>Alongi</w:t>
      </w:r>
      <w:proofErr w:type="spellEnd"/>
      <w:r w:rsidRPr="00C57A68">
        <w:rPr>
          <w:rFonts w:cstheme="minorHAnsi"/>
        </w:rPr>
        <w:t xml:space="preserve"> (2020) used a median CSR value (103 </w:t>
      </w:r>
      <w:proofErr w:type="spellStart"/>
      <w:r w:rsidRPr="00C57A68">
        <w:rPr>
          <w:rFonts w:cstheme="minorHAnsi"/>
        </w:rPr>
        <w:t>gC</w:t>
      </w:r>
      <w:proofErr w:type="spellEnd"/>
      <w:r w:rsidRPr="00C57A68">
        <w:rPr>
          <w:rFonts w:cstheme="minorHAnsi"/>
        </w:rPr>
        <w:t xml:space="preserve"> m</w:t>
      </w:r>
      <w:r w:rsidRPr="00C57A68">
        <w:rPr>
          <w:rFonts w:cstheme="minorHAnsi"/>
          <w:vertAlign w:val="superscript"/>
        </w:rPr>
        <w:t>2</w:t>
      </w:r>
      <w:r w:rsidRPr="00C57A68">
        <w:rPr>
          <w:rFonts w:cstheme="minorHAnsi"/>
        </w:rPr>
        <w:t xml:space="preserve"> a</w:t>
      </w:r>
      <w:r w:rsidRPr="00C57A68">
        <w:rPr>
          <w:rFonts w:cstheme="minorHAnsi"/>
          <w:vertAlign w:val="superscript"/>
        </w:rPr>
        <w:t>-1</w:t>
      </w:r>
      <w:r w:rsidRPr="00C57A68">
        <w:rPr>
          <w:rFonts w:cstheme="minorHAnsi"/>
        </w:rPr>
        <w:t xml:space="preserve">) obtained from a literature study and multiplied this by the global coverage as opposed to our spatial modelling approach. The approach used by </w:t>
      </w:r>
      <w:proofErr w:type="spellStart"/>
      <w:r w:rsidRPr="00C57A68">
        <w:rPr>
          <w:rFonts w:cstheme="minorHAnsi"/>
        </w:rPr>
        <w:t>Alongi</w:t>
      </w:r>
      <w:proofErr w:type="spellEnd"/>
      <w:r w:rsidRPr="00C57A68">
        <w:rPr>
          <w:rFonts w:cstheme="minorHAnsi"/>
        </w:rPr>
        <w:t xml:space="preserve"> (2020) assumed all mangroves will have the same CSR, even though it has been shown to vary widely (1.0 – 1722 </w:t>
      </w:r>
      <w:proofErr w:type="spellStart"/>
      <w:r w:rsidRPr="00C57A68">
        <w:rPr>
          <w:rFonts w:cstheme="minorHAnsi"/>
        </w:rPr>
        <w:t>gC</w:t>
      </w:r>
      <w:proofErr w:type="spellEnd"/>
      <w:r w:rsidRPr="00C57A68">
        <w:rPr>
          <w:rFonts w:cstheme="minorHAnsi"/>
        </w:rPr>
        <w:t xml:space="preserve"> m</w:t>
      </w:r>
      <w:r w:rsidRPr="00C57A68">
        <w:rPr>
          <w:rFonts w:cstheme="minorHAnsi"/>
          <w:vertAlign w:val="superscript"/>
        </w:rPr>
        <w:t>2</w:t>
      </w:r>
      <w:r w:rsidRPr="00C57A68">
        <w:rPr>
          <w:rFonts w:cstheme="minorHAnsi"/>
        </w:rPr>
        <w:t xml:space="preserve"> a</w:t>
      </w:r>
      <w:r w:rsidRPr="00C57A68">
        <w:rPr>
          <w:rFonts w:cstheme="minorHAnsi"/>
          <w:vertAlign w:val="superscript"/>
        </w:rPr>
        <w:t>-1</w:t>
      </w:r>
      <w:r w:rsidRPr="00C57A68">
        <w:rPr>
          <w:rFonts w:cstheme="minorHAnsi"/>
        </w:rPr>
        <w:t>) (</w:t>
      </w:r>
      <w:proofErr w:type="spellStart"/>
      <w:r w:rsidRPr="00C57A68">
        <w:rPr>
          <w:rFonts w:cstheme="minorHAnsi"/>
        </w:rPr>
        <w:t>Alongi</w:t>
      </w:r>
      <w:proofErr w:type="spellEnd"/>
      <w:r w:rsidRPr="00C57A68">
        <w:rPr>
          <w:rFonts w:cstheme="minorHAnsi"/>
        </w:rPr>
        <w:t>, 2020).When global mangrove extent is standardized to 83,000 km</w:t>
      </w:r>
      <w:r w:rsidRPr="00C57A68">
        <w:rPr>
          <w:rFonts w:cstheme="minorHAnsi"/>
          <w:vertAlign w:val="superscript"/>
        </w:rPr>
        <w:t>2</w:t>
      </w:r>
      <w:r w:rsidRPr="00C57A68">
        <w:rPr>
          <w:rFonts w:cstheme="minorHAnsi"/>
        </w:rPr>
        <w:t xml:space="preserve">, our calculation is higher than most previous estimates (range: 8.3 - 18.8 </w:t>
      </w:r>
      <w:proofErr w:type="spellStart"/>
      <w:r w:rsidRPr="00C57A68">
        <w:rPr>
          <w:rFonts w:cstheme="minorHAnsi"/>
        </w:rPr>
        <w:t>Tg</w:t>
      </w:r>
      <w:proofErr w:type="spellEnd"/>
      <w:r w:rsidRPr="00C57A68">
        <w:rPr>
          <w:rFonts w:cstheme="minorHAnsi"/>
        </w:rPr>
        <w:t xml:space="preserve"> C yr</w:t>
      </w:r>
      <w:r w:rsidRPr="00C57A68">
        <w:rPr>
          <w:rFonts w:cstheme="minorHAnsi"/>
          <w:vertAlign w:val="superscript"/>
        </w:rPr>
        <w:t>-1</w:t>
      </w:r>
      <w:r w:rsidRPr="00C57A68">
        <w:rPr>
          <w:rFonts w:cstheme="minorHAnsi"/>
        </w:rPr>
        <w:t xml:space="preserve">) </w:t>
      </w:r>
      <w:r w:rsidRPr="00C57A68">
        <w:rPr>
          <w:rFonts w:cstheme="minorHAnsi"/>
        </w:rPr>
        <w:fldChar w:fldCharType="begin" w:fldLock="1"/>
      </w:r>
      <w:r w:rsidR="008A48C6" w:rsidRPr="00C57A68">
        <w:rPr>
          <w:rFonts w:cstheme="minorHAnsi"/>
        </w:rPr>
        <w:instrText>ADDIN CSL_CITATION {"citationItems":[{"id":"ITEM-1","itemData":{"DOI":"10.1029/2002gb001917","ISBN":"0886-6236","ISSN":"08866236","PMID":"15041479","abstract":"Wetlands represent the largest component of the terrestrial biological carbon pool and thus play an important role in global carbon cycles. Most global carbon budgets, however, have focused on dry land ecosystems that extend over large areas and have not accounted for the many small, scattered carbon-storing ecosystems such as tidal saline wetlands. We compiled data for 154 sites in mangroves and salt marshes from the western and eastern Atlantic and Pacific coasts, as well as the Indian Ocean, Mediterranean Ocean, and Gulf of Mexico. The set of sites spans a latitudinal range from 22.4°S in the Indian Ocean to 55.5°N in the northeastern Atlantic. The average soil carbon density of mangrove swamps (0.055 ± 0.004 g cm-3) is significantly higher than the salt marsh average (0.039 ± 0.003 g cm-3). Soil carbon density in mangrove swamps and Spartina patens marshes declines with increasing average annual temperature, probably due to increased decay rates at higher temperatures. In contrast, carbon sequestration rates were not significantly different between mangrove swamps and salt marshes. Variability in sediment accumulation rates within marshes is a major control of carbon sequestration rates masking any relationship with climatic parameters. Globally, these combined wetlands store at least 44.6 Tg C yr-1 and probably more, as detailed areal inventories are not available for salt marshes in China and South America. Much attention has been given to the role of freshwater wetlands, particularly northern peatlands, as carbon sinks. In contrast to peatlands, salt marshes and mangroves release negligible amounts of greenhouse gases and store more carbon per unit area. Copyright 2003 by the American Geophysical Union.","author":[{"dropping-particle":"","family":"Chmura","given":"Gail L.","non-dropping-particle":"","parse-names":false,"suffix":""},{"dropping-particle":"","family":"Anisfeld","given":"Shimon C.","non-dropping-particle":"","parse-names":false,"suffix":""},{"dropping-particle":"","family":"Cahoon","given":"Donald R.","non-dropping-particle":"","parse-names":false,"suffix":""},{"dropping-particle":"","family":"Lynch","given":"James C.","non-dropping-particle":"","parse-names":false,"suffix":""}],"container-title":"Global Biogeochemical Cycles","id":"ITEM-1","issue":"4","issued":{"date-parts":[["2003","12","10"]]},"title":"Global carbon sequestration in tidal, saline wetland soils","type":"article-journal","volume":"17"},"uris":["http://www.mendeley.com/documents/?uuid=b60e39e6-b3c8-4ef4-bf4a-0a4f7e3aa9f3"]},{"id":"ITEM-2","itemData":{"DOI":"10.3390/sci2030057","abstract":"Mangrove forests store and sequester large area-specific quantities of blue carbon (Corg). Except for tundra and peatlands, mangroves store more Corg per unit area than any other ecosystem. Mean mangrove Corg stock is 738.9 Mg Corg ha−1 and mean global stock is 6.17 Pg Corg, which equates to only 0.4–7% of terrestrial ecosystem Corg stocks but 17% of total tropical marine Corg stocks. Seagrasses sequester more Corg per unit area than mangroves (179.6 g Corg m−2·a−1) but twice the Corg sequestered by mangroves globally (15 Tg Corg a−1). Mangroves sequester only 4% (range 1.3–8%) of Corg sequestered by terrestrial ecosystems, indicating that mangroves are a minor contributor to global C storage and sequestration. CO2 emissions from mangrove losses equate to 0.036 Pg CO2-equivalents a−1 based on rates of C sequestration but 0.088 Pg CO2-equivalents a−1 based on complete destruction for conversion to aquaculture and agriculture. Mangrove CO2 emissions account for only 0.2% of total global CO2 emissions but 18% of CO2 emissions from the tropical coastal ocean. Despite significant data limitations, the role of mangrove ecosystems in climate change mitigation is globally insignificant but may be more significant and effective at the national and regional scale.","author":[{"dropping-particle":"","family":"Alongi","given":"Daniel M.","non-dropping-particle":"","parse-names":false,"suffix":""}],"container-title":"Sci","id":"ITEM-2","issue":"3","issued":{"date-parts":[["2020"]]},"page":"57","title":"Global Significance of Mangrove Blue Carbon in Climate Change Mitigation (Version 1)","type":"article-journal","volume":"2"},"uris":["http://www.mendeley.com/documents/?uuid=285a902c-afd2-4610-91a7-6d8a28e1cbd4"]},{"id":"ITEM-3","itemData":{"DOI":"10.1029/2012GB004375","ISBN":"0886-6236","ISSN":"08866236","abstract":"Mangrove wetlands exist in the transition zone between terrestrial and marine environments and as such were historically overlooked in discussions of terrestrial and marine carbon cycling. In recent decades, mangroves have increasingly been credited with producing and burying large quantities of organic carbon (OC). The amount of available data regarding OC burial in mangrove soils has more than doubled since the last primary literature review (2003). This includes data from some of the largest, most developed mangrove forests in the world, providing an opportunity to strengthen the global estimate. First-time representation is now included for mangroves in Brazil, Colombia, Malaysia, Indonesia, China, Japan, Vietnam, and Thailand, along with additional data from Mexico and the United States. Our objective is to recalculate the centennial-scale burial rate of OC at both the local and global scales. Quantification of this rate enables better understanding of the current carbon sink capacity of mangroves as well as helps to quantify and/or validate the other aspects of the mangrove carbon budget such as import, export, and remineralization. Statistical analysis of the data supports use of the geometric mean as the most reliable central tendency measurement. Our estimate is that mangrove systems bury 163 (+40; -31) g OC m(-2) yr(-1) (95% C.I.). Globally, the 95% confidence interval for the annual burial rate is 26.1 (+6.3; -5.1) Tg OC. This equates to a burial fraction that is 42% larger than that of the most recent mangrove carbon budget (2008), and represents 10-15% of estimated annual mangrove production. This global rate supports previous conclusions that, on a centennial time scale, 8-15% of all OC burial in marine settings occurs in mangrove systems.","author":[{"dropping-particle":"","family":"Breithaupt","given":"Joshua L.","non-dropping-particle":"","parse-names":false,"suffix":""},{"dropping-particle":"","family":"Smoak","given":"Joseph M.","non-dropping-particle":"","parse-names":false,"suffix":""},{"dropping-particle":"","family":"Smith","given":"Thomas J.","non-dropping-particle":"","parse-names":false,"suffix":""},{"dropping-particle":"","family":"Sanders","given":"Christian J.","non-dropping-particle":"","parse-names":false,"suffix":""},{"dropping-particle":"","family":"Hoare","given":"Armando","non-dropping-particle":"","parse-names":false,"suffix":""}],"container-title":"Global Biogeochemical Cycles","id":"ITEM-3","issue":"3","issued":{"date-parts":[["2012"]]},"title":"Organic carbon burial rates in mangrove sediments: Strengthening the global budget","type":"article-journal","volume":"26"},"uris":["http://www.mendeley.com/documents/?uuid=736c75d8-f76f-3adc-af1d-b14863e5a161"]},{"id":"ITEM-4","itemData":{"DOI":"10.1029/2007GB003052","ISBN":"0886-6236","ISSN":"08866236","PMID":"208059789","abstract":"Mangrove forests are highly productive but globally threatened coastal ecosystems, whose role in the carbon budget of the coastal zone has long been debated. Here we provide a comprehensive synthesis of the available data on carbon fluxes in mangrove ecosystems. A reassessment of global mangrove primary production from the literature results in a conservative estimate of similar to 218 +/- 72 Tg C a(-1). When using the best available estimates of various carbon sinks (organic carbon export, sediment burial, and mineralization), it appears that &gt; 50% of the carbon fixed by mangrove vegetation is unaccounted for. This unaccounted carbon sink is conservatively estimated at similar to 112 +/- 85 Tg C a(-1), equivalent in magnitude to similar to 30-40% of the global riverine organic carbon input to the coastal zone. Our analysis suggests that mineralization is severely underestimated, and that the majority of carbon export from mangroves to adjacent waters occurs as dissolved inorganic carbon (DIC). CO(2) efflux from sediments and creek waters and tidal export of DIC appear to be the major sinks. These processes are quantitatively comparable in magnitude to the unaccounted carbon sink in current budgets, but are not yet adequately constrained with the limited published data available so far.","author":[{"dropping-particle":"","family":"Bouillon","given":"Steven","non-dropping-particle":"","parse-names":false,"suffix":""},{"dropping-particle":"V.","family":"Borges","given":"Alberto","non-dropping-particle":"","parse-names":false,"suffix":""},{"dropping-particle":"","family":"Castañeda-Moya","given":"Edward","non-dropping-particle":"","parse-names":false,"suffix":""},{"dropping-particle":"","family":"Diele","given":"Karen","non-dropping-particle":"","parse-names":false,"suffix":""},{"dropping-particle":"","family":"Dittmar","given":"Thorsten","non-dropping-particle":"","parse-names":false,"suffix":""},{"dropping-particle":"","family":"Duke","given":"Norman C.","non-dropping-particle":"","parse-names":false,"suffix":""},{"dropping-particle":"","family":"Kristensen","given":"Erik","non-dropping-particle":"","parse-names":false,"suffix":""},{"dropping-particle":"","family":"Lee","given":"Shing Y.","non-dropping-particle":"","parse-names":false,"suffix":""},{"dropping-particle":"","family":"Marchand","given":"Cyril","non-dropping-particle":"","parse-names":false,"suffix":""},{"dropping-particle":"","family":"Middelburg","given":"Jack J.","non-dropping-particle":"","parse-names":false,"suffix":""},{"dropping-particle":"","family":"Rivera-Monroy","given":"Victor H.","non-dropping-particle":"","parse-names":false,"suffix":""},{"dropping-particle":"","family":"Smith","given":"Thomas J.","non-dropping-particle":"","parse-names":false,"suffix":""},{"dropping-particle":"","family":"Twilley","given":"Robert R.","non-dropping-particle":"","parse-names":false,"suffix":""}],"container-title":"Global Biogeochemical Cycles","id":"ITEM-4","issue":"2","issued":{"date-parts":[["2008","6","9"]]},"title":"Mangrove production and carbon sinks: A revision of global budget estimates","type":"article-journal","volume":"22"},"uris":["http://www.mendeley.com/documents/?uuid=4c6861df-7364-4b1c-b518-f90c03ee1c54"]},{"id":"ITEM-5","itemData":{"DOI":"10.1890/110004","ISBN":"1540-9295","ISSN":"15409295","PMID":"18444910","abstract":"T he global average atmospheric carbon dioxide (CO 2) concentration rose to 387 parts per million (ppm) in December 2009 (ESRL/NOAA 2009), the highest level it has reached over the past 800 000 years (Lüthi et al. 2008) and more than 38% above the pre-industrial value of roughly 280 ppm (Raupach and Canadell 2008). There is a broad consensus among the scientific community that this increase in CO 2 is driven primarily by the burning of fossil fuels and changes in land use (Solomon et al. 2007). Land-use change results in CO 2 emissions through clearance of natural vegetation, forest fires, and agricultural activities, as well as through the deterioration of ecosystems that serve as natural carbon (C) sinks (Solomon et al. 2007). The Intergovernmental Panel on Climate Change estimates that, by the year 2050, global CO 2 emissions must be reduced by 85% from levels seen in 2000 to prevent a global mean temperature increase of 2°C (IPCC 2007). This cal-culation assumes that the reduction in emissions is the only mechanism by which we can reduce CO 2 concentrations. A more recent approach suggests refocusing efforts from a sin-gle emissions reduction strategy to a plan that combines reducing anthropogenic sources of CO 2 (mitigation) with supporting CO 2 uptake and storage through the conserva-tion of natural ecosystems with high C sequestration rates and capacity (Canadell and Raupach 2008). However, the net C sink provided by an ecosystem will not mitigate anthropogenic emissions of CO 2 unless its C sequestration rate increases over time (eg through an increase in areal extent or increased primary productivity). Ecosystems can shift from being a net sink of C to a source of C as a result of changes in climate (eg changes in precipitation and tem-perature), atmospheric composition effects (eg CO 2 fertil-ization, nutrient deposition, damage by pollution), and land-use-change effects (eg deforestation, afforestation, agricultural practices; IPCC 2007). Therefore, while efforts to conserve and restore natural sinks will help to Recent research has highlighted the valuable role that coastal and marine ecosystems play in sequestering car-bon dioxide (CO 2). The carbon (C) sequestered in vegetated coastal ecosystems, specifically mangrove forests, seagrass beds, and salt marshes, has been termed \" blue carbon \" . Although their global area is one to two orders of magnitude smaller than that of terrestrial forests, the contribution of vegetated coastal habitats…","author":[{"dropping-particle":"","family":"McLeod","given":"Elizabeth","non-dropping-particle":"","parse-names":false,"suffix":""},{"dropping-particle":"","family":"Chmura","given":"Gail L","non-dropping-particle":"","parse-names":false,"suffix":""},{"dropping-particle":"","family":"Bouillon","given":"Steven","non-dropping-particle":"","parse-names":false,"suffix":""},{"dropping-particle":"","family":"Salm","given":"Rodney","non-dropping-particle":"","parse-names":false,"suffix":""},{"dropping-particle":"","family":"Björk","given":"Mats","non-dropping-particle":"","parse-names":false,"suffix":""},{"dropping-particle":"","family":"Duarte","given":"Carlos M","non-dropping-particle":"","parse-names":false,"suffix":""},{"dropping-particle":"","family":"Lovelock","given":"Catherine E","non-dropping-particle":"","parse-names":false,"suffix":""},{"dropping-particle":"","family":"Schlesinger","given":"William H","non-dropping-particle":"","parse-names":false,"suffix":""},{"dropping-particle":"","family":"Silliman","given":"Brian R","non-dropping-particle":"","parse-names":false,"suffix":""}],"container-title":"Frontiers in Ecology and the Environment","id":"ITEM-5","issue":"10","issued":{"date-parts":[["2011"]]},"page":"552-560","title":"A blueprint for blue carbon: Toward an improved understanding of the role of vegetated coastal habitats in sequestering CO2","type":"article-journal","volume":"9"},"uris":["http://www.mendeley.com/documents/?uuid=45614d18-bce9-385b-856d-e0857d8727c2"]}],"mendeley":{"formattedCitation":"(Alongi, 2020; Bouillon et al., 2008; Breithaupt et al., 2012; Chmura et al., 2003; McLeod et al., 2011)","plainTextFormattedCitation":"(Alongi, 2020; Bouillon et al., 2008; Breithaupt et al., 2012; Chmura et al., 2003; McLeod et al., 2011)","previouslyFormattedCitation":"(Alongi, 2020; Bouillon et al., 2008; Breithaupt et al., 2012; Chmura et al., 2003; McLeod et al., 2011)"},"properties":{"noteIndex":0},"schema":"https://github.com/citation-style-language/schema/raw/master/csl-citation.json"}</w:instrText>
      </w:r>
      <w:r w:rsidRPr="00C57A68">
        <w:rPr>
          <w:rFonts w:cstheme="minorHAnsi"/>
        </w:rPr>
        <w:fldChar w:fldCharType="separate"/>
      </w:r>
      <w:r w:rsidR="008A48C6" w:rsidRPr="00C57A68">
        <w:rPr>
          <w:rFonts w:cstheme="minorHAnsi"/>
          <w:noProof/>
        </w:rPr>
        <w:t xml:space="preserve">(Alongi, 2020; Bouillon et al., 2008; Breithaupt et al., 2012; Chmura </w:t>
      </w:r>
      <w:r w:rsidR="008A48C6" w:rsidRPr="00C57A68">
        <w:rPr>
          <w:rFonts w:cstheme="minorHAnsi"/>
          <w:noProof/>
        </w:rPr>
        <w:lastRenderedPageBreak/>
        <w:t>et al., 2003; McLeod et al., 2011)</w:t>
      </w:r>
      <w:r w:rsidRPr="00C57A68">
        <w:rPr>
          <w:rFonts w:cstheme="minorHAnsi"/>
        </w:rPr>
        <w:fldChar w:fldCharType="end"/>
      </w:r>
      <w:r w:rsidRPr="00C57A68">
        <w:rPr>
          <w:rFonts w:cstheme="minorHAnsi"/>
        </w:rPr>
        <w:t xml:space="preserve">. Mangroves have the ability to increase soil elevation, thus increasing soil C stores and, up to a point, keep pace with sea level rise </w:t>
      </w:r>
      <w:r w:rsidRPr="00C57A68">
        <w:rPr>
          <w:rFonts w:cstheme="minorHAnsi"/>
        </w:rPr>
        <w:fldChar w:fldCharType="begin" w:fldLock="1"/>
      </w:r>
      <w:r w:rsidRPr="00C57A68">
        <w:rPr>
          <w:rFonts w:cstheme="minorHAnsi"/>
        </w:rPr>
        <w:instrText>ADDIN CSL_CITATION {"citationItems":[{"id":"ITEM-1","itemData":{"DOI":"10.1073/pnas.1519774113","ISBN":"0027-8424","ISSN":"0027-8424","PMID":"27035950","abstract":"Given their relatively small area, mangroves and their organic sediments are of disproportionate importance to global carbon sequestration and carbon storage. Peat deposition and preservation allows some mangroves to accrete vertically and keep pace with sea-level rise by growing on their own root remains. In this study we show that mangroves in desert inlets in the coasts of the Baja California have been accumulating root peat for nearly 2,000 y and harbor a belowground carbon content of 900-34,00 Mg C/ha, with an average value of 1,130 (± 128) Mg C/ha, and a belowground carbon accumulation similar to that found under some of the tallest tropical mangroves in the Mexican Pacific coast. The depth-age curve for the mangrove sediments of Baja California indicates that sea level in the peninsula has been rising at a mean rate of 0.70 mm/y (± 0.07) during the last 17 centuries, a value similar to the rates of sea-level rise estimated for the Caribbean during a comparable period. By accreting on their own accumulated peat, these desert mangroves store large amounts of carbon in their sediments. We estimate that mangroves and halophyte scrubs in Mexico's arid northwest, with less than 1% of the terrestrial area, store in their belowground sediments around 28% of the total belowground carbon pool of the whole region.","author":[{"dropping-particle":"","family":"Ezcurra","given":"Paula","non-dropping-particle":"","parse-names":false,"suffix":""},{"dropping-particle":"","family":"Ezcurra","given":"Exequiel","non-dropping-particle":"","parse-names":false,"suffix":""},{"dropping-particle":"","family":"Garcillán","given":"Pedro P","non-dropping-particle":"","parse-names":false,"suffix":""},{"dropping-particle":"","family":"Costa","given":"Matthew T","non-dropping-particle":"","parse-names":false,"suffix":""},{"dropping-particle":"","family":"Aburto-Oropeza","given":"Octavio","non-dropping-particle":"","parse-names":false,"suffix":""}],"container-title":"Proceedings of the National Academy of Sciences","id":"ITEM-1","issue":"16","issued":{"date-parts":[["2016","4","19"]]},"page":"4404-4409","publisher":"National Academy of Sciences","title":"Coastal landforms and accumulation of mangrove peat increase carbon sequestration and storage","type":"article-journal","volume":"113"},"uris":["http://www.mendeley.com/documents/?uuid=9c7cf961-d14c-37bd-be1d-ac6c656367ca"]}],"mendeley":{"formattedCitation":"(Ezcurra et al., 2016)","plainTextFormattedCitation":"(Ezcurra et al., 2016)","previouslyFormattedCitation":"(Ezcurra et al., 2016)"},"properties":{"noteIndex":0},"schema":"https://github.com/citation-style-language/schema/raw/master/csl-citation.json"}</w:instrText>
      </w:r>
      <w:r w:rsidRPr="00C57A68">
        <w:rPr>
          <w:rFonts w:cstheme="minorHAnsi"/>
        </w:rPr>
        <w:fldChar w:fldCharType="separate"/>
      </w:r>
      <w:r w:rsidRPr="00C57A68">
        <w:rPr>
          <w:rFonts w:cstheme="minorHAnsi"/>
          <w:noProof/>
        </w:rPr>
        <w:t>(Ezcurra et al., 2016)</w:t>
      </w:r>
      <w:r w:rsidRPr="00C57A68">
        <w:rPr>
          <w:rFonts w:cstheme="minorHAnsi"/>
        </w:rPr>
        <w:fldChar w:fldCharType="end"/>
      </w:r>
      <w:r w:rsidRPr="00C57A68">
        <w:rPr>
          <w:rFonts w:cstheme="minorHAnsi"/>
        </w:rPr>
        <w:t xml:space="preserve">. Coastal wetlands that experienced rapid relative sea level rise (RSLR) during recent millennia have significantly greater soil carbon density than coastlines where relative sea level was stable </w:t>
      </w:r>
      <w:r w:rsidRPr="00C57A68">
        <w:rPr>
          <w:rFonts w:cstheme="minorHAnsi"/>
        </w:rPr>
        <w:fldChar w:fldCharType="begin" w:fldLock="1"/>
      </w:r>
      <w:r w:rsidRPr="00C57A68">
        <w:rPr>
          <w:rFonts w:cstheme="minorHAnsi"/>
        </w:rPr>
        <w:instrText>ADDIN CSL_CITATION {"citationItems":[{"id":"ITEM-1","itemData":{"DOI":"10.1038/s41586-019-0951-7","ISSN":"14764687","PMID":"30842636","abstract":"Coastal wetlands (mangrove, tidal marsh and seagrass) sustain the highest rates of carbon sequestration per unit area of all natural systems1,2, primarily because of their comparatively high productivity and preservation of organic carbon within sedimentary substrates3. Climate change and associated relative sea-level rise (RSLR) have been proposed to increase the rate of organic-carbon burial in coastal wetlands in the first half of the twenty-first century4, but these carbon–climate feedback effects have been modelled to diminish over time as wetlands are increasingly submerged and carbon stores become compromised by erosion4,5. Here we show that tidal marshes on coastlines that experienced rapid RSLR over the past few millennia (in the late Holocene, from about 4,200 years ago to the present) have on average 1.7 to 3.7 times higher soil carbon concentrations within 20 centimetres of the surface than those subject to a long period of sea-level stability. This disparity increases with depth, with soil carbon concentrations reduced by a factor of 4.9 to 9.1 at depths of 50 to 100 centimetres. We analyse the response of a wetland exposed to recent rapid RSLR following subsidence associated with pillar collapse in an underlying mine and demonstrate that the gain in carbon accumulation and elevation is proportional to the accommodation space (that is, the space available for mineral and organic material accumulation) created by RSLR. Our results suggest that coastal wetlands characteristic of tectonically stable coastlines have lower carbon storage owing to a lack of accommodation space and that carbon sequestration increases according to the vertical and lateral accommodation space6 created by RSLR. Such wetlands will provide long-term mitigating feedback effects that are relevant to global climate–carbon modelling.","author":[{"dropping-particle":"","family":"Rogers","given":"Kerrylee","non-dropping-particle":"","parse-names":false,"suffix":""},{"dropping-particle":"","family":"Kelleway","given":"Jeffrey J.","non-dropping-particle":"","parse-names":false,"suffix":""},{"dropping-particle":"","family":"Saintilan","given":"Neil","non-dropping-particle":"","parse-names":false,"suffix":""},{"dropping-particle":"","family":"Megonigal","given":"J. Patrick","non-dropping-particle":"","parse-names":false,"suffix":""},{"dropping-particle":"","family":"Adams","given":"Janine B.","non-dropping-particle":"","parse-names":false,"suffix":""},{"dropping-particle":"","family":"Holmquist","given":"James R.","non-dropping-particle":"","parse-names":false,"suffix":""},{"dropping-particle":"","family":"Lu","given":"Meng","non-dropping-particle":"","parse-names":false,"suffix":""},{"dropping-particle":"","family":"Schile-Beers","given":"Lisa","non-dropping-particle":"","parse-names":false,"suffix":""},{"dropping-particle":"","family":"Zawadzki","given":"Atun","non-dropping-particle":"","parse-names":false,"suffix":""},{"dropping-particle":"","family":"Mazumder","given":"Debashish","non-dropping-particle":"","parse-names":false,"suffix":""},{"dropping-particle":"","family":"Woodroffe","given":"Colin D.","non-dropping-particle":"","parse-names":false,"suffix":""}],"container-title":"Nature","id":"ITEM-1","issue":"7746","issued":{"date-parts":[["2019"]]},"page":"91-95","title":"Wetland carbon storage controlled by millennial-scale variation in relative sea-level rise","type":"article-journal","volume":"567"},"uris":["http://www.mendeley.com/documents/?uuid=9b27cced-4972-44c6-8173-27b90bd573f6"]}],"mendeley":{"formattedCitation":"(Rogers et al., 2019)","plainTextFormattedCitation":"(Rogers et al., 2019)","previouslyFormattedCitation":"(Rogers et al., 2019)"},"properties":{"noteIndex":0},"schema":"https://github.com/citation-style-language/schema/raw/master/csl-citation.json"}</w:instrText>
      </w:r>
      <w:r w:rsidRPr="00C57A68">
        <w:rPr>
          <w:rFonts w:cstheme="minorHAnsi"/>
        </w:rPr>
        <w:fldChar w:fldCharType="separate"/>
      </w:r>
      <w:r w:rsidRPr="00C57A68">
        <w:rPr>
          <w:rFonts w:cstheme="minorHAnsi"/>
          <w:noProof/>
        </w:rPr>
        <w:t>(Rogers et al., 2019)</w:t>
      </w:r>
      <w:r w:rsidRPr="00C57A68">
        <w:rPr>
          <w:rFonts w:cstheme="minorHAnsi"/>
        </w:rPr>
        <w:fldChar w:fldCharType="end"/>
      </w:r>
      <w:r w:rsidRPr="00C57A68">
        <w:rPr>
          <w:rFonts w:cstheme="minorHAnsi"/>
        </w:rPr>
        <w:t xml:space="preserve"> and RSLR is considered to be an important driver in predicted increases in wetland soil carbon accumulation rates </w:t>
      </w:r>
      <w:r w:rsidRPr="00C57A68">
        <w:rPr>
          <w:rFonts w:cstheme="minorHAnsi"/>
        </w:rPr>
        <w:fldChar w:fldCharType="begin" w:fldLock="1"/>
      </w:r>
      <w:r w:rsidR="008A48C6" w:rsidRPr="00C57A68">
        <w:rPr>
          <w:rFonts w:cstheme="minorHAnsi"/>
        </w:rPr>
        <w:instrText xml:space="preserve">ADDIN CSL_CITATION {"citationItems":[{"id":"ITEM-1","itemData":{"DOI":"10.1093/nsr/nwaa296","ISSN":"2095-5138","abstract":"Coastal tidal wetlands produce and accumulate significant amounts of organic carbon (C) that help to mitigate climate change. However, previous data limitations have prevented a robust evaluation of the global rates and mechanisms driving C accumulation. Here, we go beyond recent soil C stock estimates to reveal global tidal wetland C accumulation and predict changes under relative sea level rise, temperature and precipitation. We use data from literature study sites and our new observations spanning wide latitudinal gradients and 20 countries. Globally, tidal wetlands accumulate 53.65 (95%CI: 48.52–59.01) Tg C yr−1, which is </w:instrText>
      </w:r>
      <w:r w:rsidR="008A48C6" w:rsidRPr="00C57A68">
        <w:rPr>
          <w:rFonts w:ascii="Cambria Math" w:hAnsi="Cambria Math" w:cs="Cambria Math"/>
        </w:rPr>
        <w:instrText>∼</w:instrText>
      </w:r>
      <w:r w:rsidR="008A48C6" w:rsidRPr="00C57A68">
        <w:rPr>
          <w:rFonts w:cstheme="minorHAnsi"/>
        </w:rPr>
        <w:instrText>30% of the organic C buried on the ocean floor. Modeling based on current climatic drivers and under projected emissions scenarios revealed a net increase in the global C accumulation by 2100. This rapid increase is driven by sea level rise in tidal marshes, and higher temperature and precipitation in mangroves. Countries with large areas of coastal wetlands, like Indonesia and Mexico, are more susceptible to tidal wetland C losses under climate change, while regions such as Australia, Brazil, the USA and China will experience a significant C accumulation increase under all projected scenarios.","author":[{"dropping-particle":"","family":"Wang","given":"Faming","non-dropping-particle":"","parse-names":false,"suffix":""},{"dropping-particle":"","family":"Sanders","given":"Christian J","non-dropping-particle":"","parse-names":false,"suffix":""},{"dropping-particle":"","family":"Santos","given":"Isaac R","non-dropping-particle":"","parse-names":false,"suffix":""},{"dropping-particle":"","family":"Tang","given":"Jianwu","non-dropping-particle":"","parse-names":false,"suffix":""},{"dropping-particle":"","family":"Schuerch","given":"Mark","non-dropping-particle":"","parse-names":false,"suffix":""},{"dropping-particle":"","family":"Kirwan","given":"Matthew L","non-dropping-particle":"","parse-names":false,"suffix":""},{"dropping-particle":"","family":"Kopp","given":"Robert E","non-dropping-particle":"","parse-names":false,"suffix":""},{"dropping-particle":"","family":"Zhu","given":"Kai","non-dropping-particle":"","parse-names":false,"suffix":""},{"dropping-particle":"","family":"Li","given":"Xiuzhen","non-dropping-particle":"","parse-names":false,"suffix":""},{"dropping-particle":"","family":"Yuan","given":"Jiacan","non-dropping-particle":"","parse-names":false,"suffix":""},{"dropping-particle":"","family":"Liu","given":"Wenzhi","non-dropping-particle":"","parse-names":false,"suffix":""},{"dropping-particle":"","family":"Li","given":"Zhi'an","non-dropping-particle":"","parse-names":false,"suffix":""}],"container-title":"National Science Review","id":"ITEM-1","issued":{"date-parts":[["2020"]]},"title":"Global blue carbon accumulation in tidal wetlands increases with climate change","type":"article-journal"},"uris":["http://www.mendeley.com/documents/?uuid=9c2788fc-8059-4874-a99d-1cc19fcf2671"]}],"mendeley":{"formattedCitation":"(Wang et al., 2020)","plainTextFormattedCitation":"(Wang et al., 2020)","previouslyFormattedCitation":"(Wang et al., 2020)"},"properties":{"noteIndex":0},"schema":"https://github.com/citation-style-language/schema/raw/master/csl-citation.json"}</w:instrText>
      </w:r>
      <w:r w:rsidRPr="00C57A68">
        <w:rPr>
          <w:rFonts w:cstheme="minorHAnsi"/>
        </w:rPr>
        <w:fldChar w:fldCharType="separate"/>
      </w:r>
      <w:r w:rsidRPr="00C57A68">
        <w:rPr>
          <w:rFonts w:cstheme="minorHAnsi"/>
          <w:noProof/>
        </w:rPr>
        <w:t>(Wang et al., 2020)</w:t>
      </w:r>
      <w:r w:rsidRPr="00C57A68">
        <w:rPr>
          <w:rFonts w:cstheme="minorHAnsi"/>
        </w:rPr>
        <w:fldChar w:fldCharType="end"/>
      </w:r>
      <w:r w:rsidRPr="00C57A68">
        <w:rPr>
          <w:rFonts w:cstheme="minorHAnsi"/>
        </w:rPr>
        <w:t>. Even though sediment accretion and increased surface elevation may reduce coastal flooding as a result of climate change driven sea level rise, accretion rates in mangroves are not likely to compensate for increases in sea level of greater than 6.1 mm yr</w:t>
      </w:r>
      <w:r w:rsidRPr="00C57A68">
        <w:rPr>
          <w:rFonts w:cstheme="minorHAnsi"/>
          <w:vertAlign w:val="superscript"/>
        </w:rPr>
        <w:t>-1</w:t>
      </w:r>
      <w:r w:rsidRPr="00C57A68">
        <w:rPr>
          <w:rFonts w:cstheme="minorHAnsi"/>
        </w:rPr>
        <w:t xml:space="preserve"> </w:t>
      </w:r>
      <w:r w:rsidRPr="00C57A68">
        <w:rPr>
          <w:rFonts w:cstheme="minorHAnsi"/>
        </w:rPr>
        <w:fldChar w:fldCharType="begin" w:fldLock="1"/>
      </w:r>
      <w:r w:rsidRPr="00C57A68">
        <w:rPr>
          <w:rFonts w:cstheme="minorHAnsi"/>
        </w:rPr>
        <w:instrText>ADDIN CSL_CITATION {"citationItems":[{"id":"ITEM-1","itemData":{"DOI":"10.1126/science.aba2656","ISSN":"10959203","PMID":"32499441","abstract":"The response of mangroves to high rates of relative sea level rise (RSLR) is poorly understood. We explore the limits of mangrove vertical accretion to sustained periods of RSLR in the final stages of deglaciation. The timing of initiation and rate of mangrove vertical accretion were compared with independently modeled rates of RSLR for 78 locations. Mangrove forests expanded between 9800 and 7500 years ago, vertically accreting thick sequences of organic sediments at a rate principally driven by the rate of RSLR, representing an important carbon sink. We found it very likely (&gt;90% probability) that mangroves were unable to initiate sustained accretion when RSLR rates exceeded 6.1 millimeters per year. This threshold is likely to be surpassed on tropical coastlines within 30 years under high-emissions scenarios.","author":[{"dropping-particle":"","family":"Saintilan","given":"N.","non-dropping-particle":"","parse-names":false,"suffix":""},{"dropping-particle":"","family":"Khan","given":"N. S.","non-dropping-particle":"","parse-names":false,"suffix":""},{"dropping-particle":"","family":"Ashe","given":"E.","non-dropping-particle":"","parse-names":false,"suffix":""},{"dropping-particle":"","family":"Kelleway","given":"J. J.","non-dropping-particle":"","parse-names":false,"suffix":""},{"dropping-particle":"","family":"Rogers","given":"K.","non-dropping-particle":"","parse-names":false,"suffix":""},{"dropping-particle":"","family":"Woodroffe","given":"C. D.","non-dropping-particle":"","parse-names":false,"suffix":""},{"dropping-particle":"","family":"Horton","given":"B. P.","non-dropping-particle":"","parse-names":false,"suffix":""}],"container-title":"Science","id":"ITEM-1","issue":"6495","issued":{"date-parts":[["2020"]]},"page":"1118-1121","title":"Thresholds of mangrove survival under rapid sea level rise","type":"article-journal","volume":"368"},"uris":["http://www.mendeley.com/documents/?uuid=b0777105-0c75-452c-8f44-c8fa99b1b712","http://www.mendeley.com/documents/?uuid=92159ddd-1777-45f3-b984-4b59bdbfa7f1"]}],"mendeley":{"formattedCitation":"(Saintilan et al., 2020)","plainTextFormattedCitation":"(Saintilan et al., 2020)","previouslyFormattedCitation":"(Saintilan et al., 2020)"},"properties":{"noteIndex":0},"schema":"https://github.com/citation-style-language/schema/raw/master/csl-citation.json"}</w:instrText>
      </w:r>
      <w:r w:rsidRPr="00C57A68">
        <w:rPr>
          <w:rFonts w:cstheme="minorHAnsi"/>
        </w:rPr>
        <w:fldChar w:fldCharType="separate"/>
      </w:r>
      <w:r w:rsidRPr="00C57A68">
        <w:rPr>
          <w:rFonts w:cstheme="minorHAnsi"/>
          <w:noProof/>
        </w:rPr>
        <w:t>(Saintilan et al., 2020)</w:t>
      </w:r>
      <w:r w:rsidRPr="00C57A68">
        <w:rPr>
          <w:rFonts w:cstheme="minorHAnsi"/>
        </w:rPr>
        <w:fldChar w:fldCharType="end"/>
      </w:r>
      <w:r w:rsidRPr="00C57A68">
        <w:rPr>
          <w:rFonts w:cstheme="minorHAnsi"/>
        </w:rPr>
        <w:t xml:space="preserve">. As a result of the approach we used, we have been able to capture spatial variation in CSR and produce country-specific estimates, including those where CSR data are currently unavailable. Generally, model predictions have been shown to vary considerably from the IPCC’s default estimates of greenhouse gas inventories, likely as a result of applying model predictions to locations where </w:t>
      </w:r>
      <w:r w:rsidRPr="00C57A68">
        <w:rPr>
          <w:rFonts w:cstheme="minorHAnsi"/>
          <w:i/>
          <w:iCs/>
        </w:rPr>
        <w:t xml:space="preserve">in situ </w:t>
      </w:r>
      <w:r w:rsidRPr="00C57A68">
        <w:rPr>
          <w:rFonts w:cstheme="minorHAnsi"/>
        </w:rPr>
        <w:t xml:space="preserve">measurements have not been taken as opposed to applying a mean across all global mangroves. </w:t>
      </w:r>
    </w:p>
    <w:p w14:paraId="1B460AE4" w14:textId="77777777" w:rsidR="00344027" w:rsidRPr="00C57A68" w:rsidRDefault="00344027" w:rsidP="00344027">
      <w:pPr>
        <w:spacing w:line="480" w:lineRule="auto"/>
        <w:rPr>
          <w:rFonts w:cstheme="minorHAnsi"/>
        </w:rPr>
      </w:pPr>
    </w:p>
    <w:p w14:paraId="691C86D3" w14:textId="0E52F0C7" w:rsidR="00344027" w:rsidRPr="00C57A68" w:rsidRDefault="00344027" w:rsidP="00344027">
      <w:pPr>
        <w:spacing w:before="240" w:line="480" w:lineRule="auto"/>
        <w:rPr>
          <w:rFonts w:cstheme="minorHAnsi"/>
        </w:rPr>
      </w:pPr>
      <w:r w:rsidRPr="00C57A68">
        <w:rPr>
          <w:rFonts w:cstheme="minorHAnsi"/>
        </w:rPr>
        <w:t xml:space="preserve">Recent work has suggested higher temperatures would have ‘minimal impact’ on carbon stocks </w:t>
      </w:r>
      <w:r w:rsidRPr="00C57A68">
        <w:rPr>
          <w:rFonts w:cstheme="minorHAnsi"/>
        </w:rPr>
        <w:fldChar w:fldCharType="begin" w:fldLock="1"/>
      </w:r>
      <w:r w:rsidRPr="00C57A68">
        <w:rPr>
          <w:rFonts w:cstheme="minorHAnsi"/>
        </w:rPr>
        <w:instrText>ADDIN CSL_CITATION {"citationItems":[{"id":"ITEM-1","itemData":{"DOI":"10.1038/s41467-019-11693-w","ISSN":"20411723","abstract":"The term Blue Carbon (BC) was first coined a decade ago to describe the disproportionately large contribution of coastal vegetated ecosystems to global carbon sequestration. The role of BC in climate change mitigation and adaptation has now reached international prominence. To help prioritise future research, we assembled leading experts in the field to agree upon the top-ten pending questions in BC science. Understanding how climate change affects carbon accumulation in mature BC ecosystems and during their restoration was a high priority. Controversial questions included the role of carbonate and macroalgae in BC cycling, and the degree to which greenhouse gases are released following disturbance of BC ecosystems. Scientists seek improved precision of the extent of BC ecosystems; techniques to determine BC provenance; understanding of the factors that influence sequestration in BC ecosystems, with the corresponding value of BC; and the management actions that are effective in enhancing this value. Overall this overview provides a comprehensive road map for the coming decades on future research in BC science.","author":[{"dropping-particle":"","family":"Macreadie","given":"Peter I.","non-dropping-particle":"","parse-names":false,"suffix":""},{"dropping-particle":"","family":"Anton","given":"Andrea","non-dropping-particle":"","parse-names":false,"suffix":""},{"dropping-particle":"","family":"Raven","given":"John A.","non-dropping-particle":"","parse-names":false,"suffix":""},{"dropping-particle":"","family":"Beaumont","given":"Nicola","non-dropping-particle":"","parse-names":false,"suffix":""},{"dropping-particle":"","family":"Connolly","given":"Rod M.","non-dropping-particle":"","parse-names":false,"suffix":""},{"dropping-particle":"","family":"Friess","given":"Daniel A.","non-dropping-particle":"","parse-names":false,"suffix":""},{"dropping-particle":"","family":"Kelleway","given":"Jeffrey J.","non-dropping-particle":"","parse-names":false,"suffix":""},{"dropping-particle":"","family":"Kennedy","given":"Hilary","non-dropping-particle":"","parse-names":false,"suffix":""},{"dropping-particle":"","family":"Kuwae","given":"Tomohiro","non-dropping-particle":"","parse-names":false,"suffix":""},{"dropping-particle":"","family":"Lavery","given":"Paul S.","non-dropping-particle":"","parse-names":false,"suffix":""},{"dropping-particle":"","family":"Lovelock","given":"Catherine E.","non-dropping-particle":"","parse-names":false,"suffix":""},{"dropping-particle":"","family":"Smale","given":"Dan A.","non-dropping-particle":"","parse-names":false,"suffix":""},{"dropping-particle":"","family":"Apostolaki","given":"Eugenia T.","non-dropping-particle":"","parse-names":false,"suffix":""},{"dropping-particle":"","family":"Atwood","given":"Trisha B.","non-dropping-particle":"","parse-names":false,"suffix":""},{"dropping-particle":"","family":"Baldock","given":"Jeff","non-dropping-particle":"","parse-names":false,"suffix":""},{"dropping-particle":"","family":"Bianchi","given":"Thomas S.","non-dropping-particle":"","parse-names":false,"suffix":""},{"dropping-particle":"","family":"Chmura","given":"Gail L.","non-dropping-particle":"","parse-names":false,"suffix":""},{"dropping-particle":"","family":"Eyre","given":"Bradley D.","non-dropping-particle":"","parse-names":false,"suffix":""},{"dropping-particle":"","family":"Fourqurean","given":"James W.","non-dropping-particle":"","parse-names":false,"suffix":""},{"dropping-particle":"","family":"Hall-Spencer","given":"Jason M.","non-dropping-particle":"","parse-names":false,"suffix":""},{"dropping-particle":"","family":"Huxham","given":"Mark","non-dropping-particle":"","parse-names":false,"suffix":""},{"dropping-particle":"","family":"Hendriks","given":"Iris E.","non-dropping-particle":"","parse-names":false,"suffix":""},{"dropping-particle":"","family":"Krause-Jensen","given":"Dorte","non-dropping-particle":"","parse-names":false,"suffix":""},{"dropping-particle":"","family":"Laffoley","given":"Dan","non-dropping-particle":"","parse-names":false,"suffix":""},{"dropping-particle":"","family":"Luisetti","given":"Tiziana","non-dropping-particle":"","parse-names":false,"suffix":""},{"dropping-particle":"","family":"Marbà","given":"Núria","non-dropping-particle":"","parse-names":false,"suffix":""},{"dropping-particle":"","family":"Masque","given":"Pere","non-dropping-particle":"","parse-names":false,"suffix":""},{"dropping-particle":"","family":"McGlathery","given":"Karen J.","non-dropping-particle":"","parse-names":false,"suffix":""},{"dropping-particle":"","family":"Megonigal","given":"J. Patrick","non-dropping-particle":"","parse-names":false,"suffix":""},{"dropping-particle":"","family":"Murdiyarso","given":"Daniel","non-dropping-particle":"","parse-names":false,"suffix":""},{"dropping-particle":"","family":"Russell","given":"Bayden D.","non-dropping-particle":"","parse-names":false,"suffix":""},{"dropping-particle":"","family":"Santos","given":"Rui","non-dropping-particle":"","parse-names":false,"suffix":""},{"dropping-particle":"","family":"Serrano","given":"Oscar","non-dropping-particle":"","parse-names":false,"suffix":""},{"dropping-particle":"","family":"Silliman","given":"Brian R.","non-dropping-particle":"","parse-names":false,"suffix":""},{"dropping-particle":"","family":"Watanabe","given":"Kenta","non-dropping-particle":"","parse-names":false,"suffix":""},{"dropping-particle":"","family":"Duarte","given":"Carlos M.","non-dropping-particle":"","parse-names":false,"suffix":""}],"container-title":"Nature Communications","id":"ITEM-1","issue":"1","issued":{"date-parts":[["2019"]]},"title":"The future of Blue Carbon science","type":"article-journal","volume":"10"},"uris":["http://www.mendeley.com/documents/?uuid=224fee77-5ae2-467a-957b-9f226c5539d6"]}],"mendeley":{"formattedCitation":"(Macreadie et al., 2019)","plainTextFormattedCitation":"(Macreadie et al., 2019)","previouslyFormattedCitation":"(Macreadie et al., 2019)"},"properties":{"noteIndex":0},"schema":"https://github.com/citation-style-language/schema/raw/master/csl-citation.json"}</w:instrText>
      </w:r>
      <w:r w:rsidRPr="00C57A68">
        <w:rPr>
          <w:rFonts w:cstheme="minorHAnsi"/>
        </w:rPr>
        <w:fldChar w:fldCharType="separate"/>
      </w:r>
      <w:r w:rsidRPr="00C57A68">
        <w:rPr>
          <w:rFonts w:cstheme="minorHAnsi"/>
          <w:noProof/>
        </w:rPr>
        <w:t>(Macreadie et al., 2019)</w:t>
      </w:r>
      <w:r w:rsidRPr="00C57A68">
        <w:rPr>
          <w:rFonts w:cstheme="minorHAnsi"/>
        </w:rPr>
        <w:fldChar w:fldCharType="end"/>
      </w:r>
      <w:r w:rsidRPr="00C57A68">
        <w:rPr>
          <w:rFonts w:cstheme="minorHAnsi"/>
        </w:rPr>
        <w:t xml:space="preserve">. Our study showed that, under a high-emissions scenario, temperature increases would be high enough in some countries to impact national scale total C stocks and CSR. Under a </w:t>
      </w:r>
      <w:proofErr w:type="gramStart"/>
      <w:r w:rsidRPr="00C57A68">
        <w:rPr>
          <w:rFonts w:cstheme="minorHAnsi"/>
        </w:rPr>
        <w:t>business as usual</w:t>
      </w:r>
      <w:proofErr w:type="gramEnd"/>
      <w:r w:rsidRPr="00C57A68">
        <w:rPr>
          <w:rFonts w:cstheme="minorHAnsi"/>
        </w:rPr>
        <w:t xml:space="preserve"> scenario, temperature increases were not significant enough to detriment national scale mangrove C stocks. Peak photosynthesis productivity reduces above 38°C and increased temperatures would also increase evaporation rates which will in turn </w:t>
      </w:r>
      <w:r w:rsidRPr="00C57A68">
        <w:rPr>
          <w:rFonts w:cstheme="minorHAnsi"/>
        </w:rPr>
        <w:lastRenderedPageBreak/>
        <w:t xml:space="preserve">increase salinity stress </w:t>
      </w:r>
      <w:r w:rsidRPr="00C57A68">
        <w:rPr>
          <w:rFonts w:cstheme="minorHAnsi"/>
        </w:rPr>
        <w:fldChar w:fldCharType="begin" w:fldLock="1"/>
      </w:r>
      <w:r w:rsidRPr="00C57A68">
        <w:rPr>
          <w:rFonts w:cstheme="minorHAnsi"/>
        </w:rPr>
        <w:instrText>ADDIN CSL_CITATION {"citationItems":[{"id":"ITEM-1","itemData":{"abstract":"1803 - ~","author":[{"dropping-particle":"","family":"Clough","given":"B F","non-dropping-particle":"","parse-names":false,"suffix":""},{"dropping-particle":"","family":"Andrews","given":"T J","non-dropping-particle":"","parse-names":false,"suffix":""},{"dropping-particle":"","family":"Cowan","given":"I R","non-dropping-particle":"","parse-names":false,"suffix":""}],"container-title":"Mangrove Ecosystems in Australia: Structure, Function and Management","id":"ITEM-1","issued":{"date-parts":[["1982"]]},"page":"193-210","title":"Physiological processes in mangroves","type":"article-journal"},"uris":["http://www.mendeley.com/documents/?uuid=c5a9fecc-abe0-448c-a806-a6a19a19ebe5"]}],"mendeley":{"formattedCitation":"(Clough et al., 1982)","plainTextFormattedCitation":"(Clough et al., 1982)","previouslyFormattedCitation":"(Clough et al., 1982)"},"properties":{"noteIndex":0},"schema":"https://github.com/citation-style-language/schema/raw/master/csl-citation.json"}</w:instrText>
      </w:r>
      <w:r w:rsidRPr="00C57A68">
        <w:rPr>
          <w:rFonts w:cstheme="minorHAnsi"/>
        </w:rPr>
        <w:fldChar w:fldCharType="separate"/>
      </w:r>
      <w:r w:rsidRPr="00C57A68">
        <w:rPr>
          <w:rFonts w:cstheme="minorHAnsi"/>
          <w:noProof/>
        </w:rPr>
        <w:t>(Clough et al., 1982)</w:t>
      </w:r>
      <w:r w:rsidRPr="00C57A68">
        <w:rPr>
          <w:rFonts w:cstheme="minorHAnsi"/>
        </w:rPr>
        <w:fldChar w:fldCharType="end"/>
      </w:r>
      <w:r w:rsidRPr="00C57A68">
        <w:rPr>
          <w:rFonts w:cstheme="minorHAnsi"/>
        </w:rPr>
        <w:t>. Our modelling showed, under SSP585, mean annual air temperatures could increase from 29.7</w:t>
      </w:r>
      <w:r w:rsidRPr="00C57A68">
        <w:rPr>
          <w:rFonts w:cstheme="minorHAnsi"/>
        </w:rPr>
        <w:sym w:font="Symbol" w:char="F0B0"/>
      </w:r>
      <w:r w:rsidRPr="00C57A68">
        <w:rPr>
          <w:rFonts w:cstheme="minorHAnsi"/>
        </w:rPr>
        <w:t>C to 32.5</w:t>
      </w:r>
      <w:r w:rsidRPr="00C57A68">
        <w:rPr>
          <w:rFonts w:cstheme="minorHAnsi"/>
        </w:rPr>
        <w:sym w:font="Symbol" w:char="F0B0"/>
      </w:r>
      <w:r w:rsidRPr="00C57A68">
        <w:rPr>
          <w:rFonts w:cstheme="minorHAnsi"/>
        </w:rPr>
        <w:t>C, while maximum temperature of the warmest month could be as high as 44.2</w:t>
      </w:r>
      <w:r w:rsidRPr="00C57A68">
        <w:rPr>
          <w:rFonts w:cstheme="minorHAnsi"/>
        </w:rPr>
        <w:sym w:font="Symbol" w:char="F0B0"/>
      </w:r>
      <w:r w:rsidRPr="00C57A68">
        <w:rPr>
          <w:rFonts w:cstheme="minorHAnsi"/>
        </w:rPr>
        <w:t xml:space="preserve">C. Increases in mean temperatures and their annual variability, under the high-end scenario (SSP585), significantly increases the probability of a country experiencing losses in mangrove C stocks (Figure 5.2d and Figure 5.2c). This is likely as a result of our study giving mangrove C stocks from arid regions at the climatic extremes of global mangrove distribution greater representation than previous modelling efforts. Apart from </w:t>
      </w:r>
      <w:proofErr w:type="spellStart"/>
      <w:r w:rsidRPr="00C57A68">
        <w:rPr>
          <w:rFonts w:cstheme="minorHAnsi"/>
        </w:rPr>
        <w:t>Sanderman</w:t>
      </w:r>
      <w:proofErr w:type="spellEnd"/>
      <w:r w:rsidRPr="00C57A68">
        <w:rPr>
          <w:rFonts w:cstheme="minorHAnsi"/>
        </w:rPr>
        <w:t xml:space="preserve"> et al. (2018), data from arid regions such as those of North Africa and the Arabian Peninsula, where mangroves have low carbon stocks and CSR </w:t>
      </w:r>
      <w:r w:rsidRPr="00C57A68">
        <w:rPr>
          <w:rFonts w:cstheme="minorHAnsi"/>
        </w:rPr>
        <w:fldChar w:fldCharType="begin" w:fldLock="1"/>
      </w:r>
      <w:r w:rsidR="008A48C6" w:rsidRPr="00C57A68">
        <w:rPr>
          <w:rFonts w:cstheme="minorHAnsi"/>
        </w:rPr>
        <w:instrText>ADDIN CSL_CITATION {"citationItems":[{"id":"ITEM-1","itemData":{"DOI":"10.1002/eap.1489","ISSN":"19395582","abstract":"Coastal ecosystems produce and sequester significant amounts of carbon (\"blue carbon\"), which has been well documented in humid and semi-humid regions of temperate and tropical climates but less so in arid regions where mangroves, marshes, and seagrasses exist near the limit of their tolerance for extreme temperature and salinity. To better understand these unique systems, we measured whole-ecosystem carbon stocks in 58 sites across the United Arab Emirates (UAE) in natural and planted mangroves, salt marshes, seagrass beds, microbial mats, and coastal sabkha (inter- and supratidal unvegetated salt flats). Natural mangroves held significantly more carbon in above- and belowground biomass than other vegetated ecosystems. Planted mangrove carbon stocks increased with age, but there were large differences for sites of similar age. Soil carbon varied widely across sites (2-367 Mg C/ha), with ecosystem averages that ranged from 49 to 156 Mg C/ha. For the first time, microbial mats were documented to contain soil carbon pools comparable to vascular plant-dominated ecosystems, and could arguably be recognized as a unique blue carbon ecosystem. Total ecosystem carbon stocks ranged widely from 2 to 515 Mg C/ha (seagrass bed and mangrove, respectively). Seagrass beds had the lowest carbon stock per unit area, but the largest stock per total area due to their large spatial coverage. Compared to similar ecosystems globally, mangroves and marshes in the UAE have lower plant and soil carbon stocks; however, the difference in soil stocks is far larger than with plant stocks. This incongruent difference between stocks is likely due to poor carbon preservation under conditions of weakly reduced soils (200-350 mV), coarse-grained sediments, and active shoreline migration. This work represents the first attempt to produce a country-wide coastal ecosystem carbon accounting using a uniform sampling protocol, and was motivated by specific policy goals identified by the Abu Dhabi Global Environmental Data Initiative. These carbon stock data supported two objectives: to quantify carbon stocks and infer sequestration capacity in arid blue carbon ecosystems, and to explore the potential to incorporate blue carbon science into national reporting and planning documents. © 2016 by the Ecological Society of America.","author":[{"dropping-particle":"","family":"Schile","given":"Lisa M.","non-dropping-particle":"","parse-names":false,"suffix":""},{"dropping-particle":"","family":"Kauffman","given":"J. Boone","non-dropping-particle":"","parse-names":false,"suffix":""},{"dropping-particle":"","family":"Crooks","given":"Stephen","non-dropping-particle":"","parse-names":false,"suffix":""},{"dropping-particle":"","family":"Fourqurean","given":"James W.","non-dropping-particle":"","parse-names":false,"suffix":""},{"dropping-particle":"","family":"Glavan","given":"Jane","non-dropping-particle":"","parse-names":false,"suffix":""},{"dropping-particle":"","family":"Megonigal","given":"J. Patrick","non-dropping-particle":"","parse-names":false,"suffix":""}],"container-title":"Ecological Applications","id":"ITEM-1","issue":"3","issued":{"date-parts":[["2017"]]},"page":"859-874","title":"Limits on carbon sequestration in arid blue carbon ecosystems","type":"article-journal","volume":"27"},"uris":["http://www.mendeley.com/documents/?uuid=c37893be-f79d-4cb3-b5d3-f043469db703"]},{"id":"ITEM-2","itemData":{"DOI":"10.1038/s41598-017-10424-9","ISSN":"2045-2322","author":[{"dropping-particle":"","family":"Almahasheer","given":"Hanan","non-dropping-particle":"","parse-names":false,"suffix":""},{"dropping-particle":"","family":"Serrano","given":"Oscar","non-dropping-particle":"","parse-names":false,"suffix":""},{"dropping-particle":"","family":"Duarte","given":"Carlos M.","non-dropping-particle":"","parse-names":false,"suffix":""},{"dropping-particle":"","family":"Arias-Ortiz","given":"Ariane","non-dropping-particle":"","parse-names":false,"suffix":""},{"dropping-particle":"","family":"Masque","given":"Pere","non-dropping-particle":"","parse-names":false,"suffix":""},{"dropping-particle":"","family":"Irigoien","given":"Xabier","non-dropping-particle":"","parse-names":false,"suffix":""}],"container-title":"Scientific Reports","id":"ITEM-2","issue":"1","issued":{"date-parts":[["2017"]]},"page":"9700","title":"Low Carbon sink capacity of Red Sea mangroves","type":"article-journal","volume":"7"},"uris":["http://www.mendeley.com/documents/?uuid=90af8c22-f462-3b43-9dc5-dcc30bc9100e"]},{"id":"ITEM-3","itemData":{"DOI":"10.1016/j.rsma.2015.05.006","ISSN":"23524855","abstract":"The objectives of present study are: (1) to quantify the vertical distribution of the soil bulk density (SBD), soil organic carbon (SOC) content and SOC density in the soil of the mangrove forests in comparison with a reference site along the Egyptian Red Sea Coast; (2) to provide estimates of the carbon sequestration rate (CSR) and the carbon sequestration potential (CSP) of mangrove forests in Egypt; and (3) to establish a baseline data on SOC pools for future studies on SOC dynamics. Sampling was carried out in three stations along the Egyptian Red Sea Coast. The sampled station were classified to mangrove and reference (mud flat) stands. In each of the sampling station, five sampling sites were selected to assure representative samples to each of the mangrove and mud flat stands. Three soil cores were taken in each sampling site and were pooled together into one composite core per sampling site. In total, 120 soil samples were collected, i.e., one sample from each four soil layers (0-10, 10-20, 20-30 and 30-40 cm) at each of the 30 sampling sites (15 sampling sites per each of mangrove and mud flat stands). The mean distribution of SBD in the mangrove and mud flat stands increased significantly with depth. SOC content in the mangrove stands declined significantly with depth from 20.0 g C kg-1 at depth 0-10 cm to 11.4 g C kg-1 at depth 20-30 cm. SOC content in the mud flat stands declined significantly with depth from 9.0 g C kg-1 at depth 0-10 cm to 1.9 g C kg-1 at depth 30-40 cm. The stand type affected significantly the SOC pool, where the total mean of SOC pool of the mangrove stands (8.5 kg C m-2) was higher than that of the mud flat stands (2.6 kg C m-2). The average CSR of the mangrove stands (6.1 g C m-2 year-1) was higher than the mud flat stands (2.0 g C m-2 year-1). Based on the area of mangrove stands (525 km2) and CSR, the total CSP of mangroves in Egypt was 3.17 ± 0.05 Gg C year-1.","author":[{"dropping-particle":"","family":"Eid","given":"Ebrahem M.","non-dropping-particle":"","parse-names":false,"suffix":""},{"dropping-particle":"","family":"Shaltout","given":"Kamal H.","non-dropping-particle":"","parse-names":false,"suffix":""}],"container-title":"Regional Studies in Marine Science","id":"ITEM-3","issued":{"date-parts":[["2016"]]},"page":"76-82","title":"Distribution of soil organic carbon in the mangrove Avicennia marina (Forssk.) Vierh. along the Egyptian Red Sea Coast","type":"article-journal","volume":"3"},"uris":["http://www.mendeley.com/documents/?uuid=cb06f242-a8d1-4537-ab1d-3a590ed24cec","http://www.mendeley.com/documents/?uuid=03ec7b0d-a228-4adf-bb54-cf244c99d6dc"]},{"id":"ITEM-4","itemData":{"DOI":"10.1016/j.ecss.2020.106940","ISSN":"02727714","abstract":"Global inventories that show mangrove forests have rich carbon stores currently lack data from arid areas where carbon stocks may be functionally impoverished relative to humid regions. We quantified total carbon stocks (C) of three arid Avicennia marina stands in Qatar and report an aboveground biomass allometric equation and the first below ground biomass allometric equation in the region. The allometric relationships indicate that below ground mangrove C stocks in arid locations are more important than previously reported. Comparison of previously published and our locally developed allometric equations show that A. marina in Qatar allocate comparatively more biomass to below ground components than the same species in tropical humid settings, which is consistent with plant adaptations to living in stressed conditions. Total C stocks were 45.70 ± 3.70 Mg C ha−1, of which tree and soil C stocks to 50 cm depth represented 10.18 ± 0.82 Mg C ha−1 and 35.52 ± 2.88 Mg ha−1 respectively. Soil C stocks to 1 m depth were 50.17 ± 6.27 Mg C ha−1. Overall, mangroves sustain relatively small C stocks in the arid, hypersaline environment of Qatar, which may be due to both relatively low tree productivity and growth, as well as limited rainfall-driven transport of terrigenous sediment inputs. By providing further estimates of mangrove carbon at their climatic extremes, these results can contribute to a better quantification of global mangrove carbon, reduce uncertainty in below ground tree C estimates from arid mangroves and have implications for mangrove carbon stocks in the face of climate change.","author":[{"dropping-particle":"","family":"Chatting","given":"Mark","non-dropping-particle":"","parse-names":false,"suffix":""},{"dropping-particle":"","family":"LeVay","given":"Lewis","non-dropping-particle":"","parse-names":false,"suffix":""},{"dropping-particle":"","family":"Walton","given":"Mark","non-dropping-particle":"","parse-names":false,"suffix":""},{"dropping-particle":"","family":"Skov","given":"Martin W.","non-dropping-particle":"","parse-names":false,"suffix":""},{"dropping-particle":"","family":"Kennedy","given":"Hilary","non-dropping-particle":"","parse-names":false,"suffix":""},{"dropping-particle":"","family":"Wilson","given":"Simon","non-dropping-particle":"","parse-names":false,"suffix":""},{"dropping-particle":"","family":"Al-Maslamani","given":"Ibrahim","non-dropping-particle":"","parse-names":false,"suffix":""}],"container-title":"Estuarine, Coastal and Shelf Science","id":"ITEM-4","issued":{"date-parts":[["2020"]]},"title":"Mangrove carbon stocks and biomass partitioning in an extreme environment","type":"article-journal","volume":"244"},"uris":["http://www.mendeley.com/documents/?uuid=45ec4b47-2362-48bc-8966-b39957af5dc1"]}],"mendeley":{"formattedCitation":"(Almahasheer et al., 2017; Chatting et al., 2020; Eid and Shaltout, 2016; Schile et al., 2017)","plainTextFormattedCitation":"(Almahasheer et al., 2017; Chatting et al., 2020; Eid and Shaltout, 2016; Schile et al., 2017)","previouslyFormattedCitation":"(Almahasheer et al., 2017; Chatting et al., 2020; Eid and Shaltout, 2016; Schile et al., 2017)"},"properties":{"noteIndex":0},"schema":"https://github.com/citation-style-language/schema/raw/master/csl-citation.json"}</w:instrText>
      </w:r>
      <w:r w:rsidRPr="00C57A68">
        <w:rPr>
          <w:rFonts w:cstheme="minorHAnsi"/>
        </w:rPr>
        <w:fldChar w:fldCharType="separate"/>
      </w:r>
      <w:r w:rsidR="008A48C6" w:rsidRPr="00C57A68">
        <w:rPr>
          <w:rFonts w:cstheme="minorHAnsi"/>
          <w:noProof/>
        </w:rPr>
        <w:t>(Almahasheer et al., 2017; Chatting et al., 2020; Eid and Shaltout, 2016; Schile et al., 2017)</w:t>
      </w:r>
      <w:r w:rsidRPr="00C57A68">
        <w:rPr>
          <w:rFonts w:cstheme="minorHAnsi"/>
        </w:rPr>
        <w:fldChar w:fldCharType="end"/>
      </w:r>
      <w:r w:rsidRPr="00C57A68">
        <w:rPr>
          <w:rFonts w:cstheme="minorHAnsi"/>
        </w:rPr>
        <w:t xml:space="preserve">, have not been incorporated into global models </w:t>
      </w:r>
      <w:r w:rsidRPr="00C57A68">
        <w:rPr>
          <w:rFonts w:cstheme="minorHAnsi"/>
        </w:rPr>
        <w:fldChar w:fldCharType="begin" w:fldLock="1"/>
      </w:r>
      <w:r w:rsidRPr="00C57A68">
        <w:rPr>
          <w:rFonts w:cstheme="minorHAnsi"/>
        </w:rPr>
        <w:instrText>ADDIN CSL_CITATION {"citationItems":[{"id":"ITEM-1","itemData":{"DOI":"10.1038/s41558-018-0162-5","ISBN":"4155801801625","ISSN":"17586798","abstract":"Global-scale variation in mangrove ecosystem properties has been explained using a conceptual framework linking geomorphological processes to distinct coastal environmental settings (CES) for nearly 50 years. However, these assumptions have not been empirically tested at the global scale. Here, we show that CES account for global variability in mangrove soil C:N:P stoichiometry and soil organic carbon (SOC) stocks. Using this ecogeomorphology framework, we developed a global model that captures variation in mangrove SOC stocks compatible with distinct CES. We show that mangrove SOC stocks have been underestimated by up to 50% (a difference of roughly 200 Mg ha−1) in carbonate settings and overestimated by up to 86% (around 400 Mg ha−1) in deltaic coastlines. Moreover, we provide information for 57 nations that currently lack SOC data, enabling these and other countries to develop or evaluate their blue carbon inventories.","author":[{"dropping-particle":"","family":"Rovai","given":"André S.","non-dropping-particle":"","parse-names":false,"suffix":""},{"dropping-particle":"","family":"Twilley","given":"Robert R.","non-dropping-particle":"","parse-names":false,"suffix":""},{"dropping-particle":"","family":"Castañeda-Moya","given":"Edward","non-dropping-particle":"","parse-names":false,"suffix":""},{"dropping-particle":"","family":"Riul","given":"Pablo","non-dropping-particle":"","parse-names":false,"suffix":""},{"dropping-particle":"","family":"Cifuentes-Jara","given":"Miguel","non-dropping-particle":"","parse-names":false,"suffix":""},{"dropping-particle":"","family":"Manrow-Villalobos","given":"Marilyn","non-dropping-particle":"","parse-names":false,"suffix":""},{"dropping-particle":"","family":"Horta","given":"Paulo A.","non-dropping-particle":"","parse-names":false,"suffix":""},{"dropping-particle":"","family":"Simonassi","given":"José C.","non-dropping-particle":"","parse-names":false,"suffix":""},{"dropping-particle":"","family":"Fonseca","given":"Alessandra L.","non-dropping-particle":"","parse-names":false,"suffix":""},{"dropping-particle":"","family":"Pagliosa","given":"Paulo R.","non-dropping-particle":"","parse-names":false,"suffix":""}],"container-title":"Nature Climate Change","id":"ITEM-1","issue":"6","issued":{"date-parts":[["2018","6","28"]]},"page":"534-538","publisher":"Nature Publishing Group","title":"Global controls on carbon storage in mangrove soils","type":"article-journal","volume":"8"},"uris":["http://www.mendeley.com/documents/?uuid=e218dcd6-b535-3f7d-a08f-4983ee271d59"]},{"id":"ITEM-2","itemData":{"DOI":"10.1088/1748-9326/9/10/104013","ISBN":"1748-9326","ISSN":"1748-9326","abstract":"Mangroves are among the most threatened and rapidly vanishing natural environments worldwide. They provide a wide range of ecosystem services and have recently become known for their exceptional capacity to store carbon. Research shows that mangrove conservation may be a low-cost means of reducing CO 2 emissions. Accordingly, there is growing interest in developing market mechanisms to credit mangrove conservation projects for associated CO 2 emissions reductions. These efforts depend on robust and readily applicable, but currently unavailable, localized estimates of soil carbon. Here, we use over 900 soil carbon measurements, collected in 28 countries by 61 independent studies, to develop a global predictive model for mangrove soil carbon. Using climatological and locational data as predictors, we explore several predictive modeling alternatives, including machine-learning methods. With our predictive model, we construct a global dataset of estimated soil carbon concentrations and stocks on a high-resolution grid (5 arc min). We estimate that the global mangrove soil carbon stock is 5.00 ± 0.94 Pg C (assuming a 1 meter soil depth) and find this stock is highly variable over space. The amount of carbon per hectare in the world’s most carbon-rich mangroves (approximately 703 ± 38 Mg C ha −1 ) is roughly a 2.6 ± 0.14 times the amount of carbon per hectare in the world’s most carbon-poor mangroves (approximately 272 ± 49 Mg C ha −1 ). Considerable within country variation in mangrove soil carbon also exists. In Indonesia, the country with the largest mangrove soil carbon stock, we estimate that the most carbon-rich mangroves contain 1.5 ± 0.12 times as much carbon per hectare as the most carbon-poor mangroves. Our results can aid in evaluating benefits from mangrove conservation and designing mangrove conservation policy. Additionally, the results can be used to project changes in mangrove soil carbon stocks based on changing climatological predictors, e.g. to assess the impacts of climate change on mangrove soil carbon stocks.","author":[{"dropping-particle":"","family":"Jardine","given":"Sunny L","non-dropping-particle":"","parse-names":false,"suffix":""},{"dropping-particle":"V","family":"Siikamäki","given":"Juha","non-dropping-particle":"","parse-names":false,"suffix":""}],"container-title":"Environmental Research Letters","id":"ITEM-2","issue":"10","issued":{"date-parts":[["2014"]]},"page":"104013","title":"A global predictive model of carbon in mangrove soils","type":"article-journal","volume":"9"},"uris":["http://www.mendeley.com/documents/?uuid=f224ba8d-8d1b-3d8f-af1e-301fcd330ec5"]}],"mendeley":{"formattedCitation":"(Jardine and Siikamäki, 2014; Rovai et al., 2018)","plainTextFormattedCitation":"(Jardine and Siikamäki, 2014; Rovai et al., 2018)","previouslyFormattedCitation":"(Jardine and Siikamäki, 2014; Rovai et al., 2018)"},"properties":{"noteIndex":0},"schema":"https://github.com/citation-style-language/schema/raw/master/csl-citation.json"}</w:instrText>
      </w:r>
      <w:r w:rsidRPr="00C57A68">
        <w:rPr>
          <w:rFonts w:cstheme="minorHAnsi"/>
        </w:rPr>
        <w:fldChar w:fldCharType="separate"/>
      </w:r>
      <w:r w:rsidRPr="00C57A68">
        <w:rPr>
          <w:rFonts w:cstheme="minorHAnsi"/>
          <w:noProof/>
        </w:rPr>
        <w:t>(Jardine and Siikamäki, 2014; Rovai et al., 2018)</w:t>
      </w:r>
      <w:r w:rsidRPr="00C57A68">
        <w:rPr>
          <w:rFonts w:cstheme="minorHAnsi"/>
        </w:rPr>
        <w:fldChar w:fldCharType="end"/>
      </w:r>
      <w:r w:rsidRPr="00C57A68">
        <w:rPr>
          <w:rFonts w:cstheme="minorHAnsi"/>
        </w:rPr>
        <w:t xml:space="preserve">.  </w:t>
      </w:r>
    </w:p>
    <w:p w14:paraId="066D2DC3" w14:textId="77777777" w:rsidR="00344027" w:rsidRPr="00C57A68" w:rsidRDefault="00344027" w:rsidP="00344027">
      <w:pPr>
        <w:spacing w:line="480" w:lineRule="auto"/>
        <w:rPr>
          <w:rFonts w:cstheme="minorHAnsi"/>
        </w:rPr>
      </w:pPr>
    </w:p>
    <w:p w14:paraId="258154E7" w14:textId="37232D63" w:rsidR="00344027" w:rsidRPr="00C57A68" w:rsidRDefault="00344027" w:rsidP="00344027">
      <w:pPr>
        <w:pBdr>
          <w:top w:val="nil"/>
          <w:left w:val="nil"/>
          <w:bottom w:val="nil"/>
          <w:right w:val="nil"/>
          <w:between w:val="nil"/>
        </w:pBdr>
        <w:spacing w:line="480" w:lineRule="auto"/>
        <w:rPr>
          <w:rFonts w:cstheme="minorHAnsi"/>
        </w:rPr>
      </w:pPr>
      <w:r w:rsidRPr="00C57A68">
        <w:rPr>
          <w:rFonts w:cstheme="minorHAnsi"/>
        </w:rPr>
        <w:t xml:space="preserve">Model predictions that global C stocks will increase, while CSR will decrease may seem contradictory. However, total C stocks here are only quantified for the top 1m of soil depth, in effect a measure of soil C density, with any change being the balance of gain by sequestration and losses by erosion and mineralisation. Hence modelled C stocks may increase if climatic conditions result in increased soil C density, even if CSR declines. Over and above this effect, stocks throughout the whole soil depth profile could still increase substantially over time as more soil is accreted, even with lower sequestration rates </w:t>
      </w:r>
      <w:r w:rsidRPr="00C57A68">
        <w:rPr>
          <w:rFonts w:cstheme="minorHAnsi"/>
        </w:rPr>
        <w:fldChar w:fldCharType="begin" w:fldLock="1"/>
      </w:r>
      <w:r w:rsidR="008A48C6" w:rsidRPr="00C57A68">
        <w:rPr>
          <w:rFonts w:cstheme="minorHAnsi"/>
        </w:rPr>
        <w:instrText>ADDIN CSL_CITATION {"citationItems":[{"id":"ITEM-1","itemData":{"DOI":"10.4155/cmt.12.20","ISBN":"1758-3004","ISSN":"1758-3004","abstract":"Mangrove forests are highly productive, with carbon production rates\\nequivalent to tropical humid forests. Mangroves allocate proportionally\\nmore carbon belowground, and have higher below- to above-ground carbon\\nmass ratios than terrestrial trees. Most mangrove carbon is stored as\\nlarge pools in soil and dead roots. Mangroves are among the most\\ncarbon-rich biomes, containing an average of 937 tC ha(-1), facilitating\\nthe accumulation of fine particles, and fostering rapid rates of\\nsediment accretion (similar to 5 mm year(-1)) and carbon burial (174 gC\\nm(-2) year(-1)). Mangroves account for only approximately 1% (13.5 Gt\\nyear(-1)) of carbon sequestration by the world's forests, but as coastal\\nhabitats they account for 14% of carbon sequestration by the global\\nocean. If mangrove carbon stocks are disturbed, resultant gas emissions\\nmay be very high. Irrespective of uncertainties and the unique nature of\\nimplementing REDD+ and Blue Carbon projects, mangroves are prime\\necosystems for reforestation and restoration.","author":[{"dropping-particle":"","family":"Alongi","given":"Daniel M","non-dropping-particle":"","parse-names":false,"suffix":""}],"container-title":"Carbon Management","id":"ITEM-1","issue":"3","issued":{"date-parts":[["2012"]]},"page":"313-322","title":"Carbon sequestration in mangrove forests","type":"article-journal","volume":"3"},"uris":["http://www.mendeley.com/documents/?uuid=3241c1b5-0ca9-3fd5-b2e4-34aa00c78452"]},{"id":"ITEM-2","itemData":{"DOI":"10.1007/s40641-015-0002-x","ISBN":"9789048129447","ISSN":"2198-6061","PMID":"20558709","abstract":"Mangrove forests have survived a number of cata- strophic climate events since first appearing along the shores of the Tethys Sea during the late Cretaceous-Early Tertiary. The existence of mangrove peat deposits worldwide attests to past episodes of local and regional extinction, primarily in response to abrupt, rapid rises in sea level. Occupying a harsh margin between land and sea, most mangrove plants and as- sociated organisms are predisposed to be either resilient or resistant to most environmental change. Based on the most recent Intergovernmental Panel on Climate Change (IPCC) forecasts, mangrove forests along arid coasts, in subsiding river deltas, and on many islands are predicted to decline in area, structural complexity, and/or in functionality, but man- groves will continue to expand polewards. It is highly likely that they will survive into the foreseeable future as sea level, global temperatures, and atmospheric CO2 concentrations continue to rise. Keywords","author":[{"dropping-particle":"","family":"Alongi","given":"Daniel M.","non-dropping-particle":"","parse-names":false,"suffix":""}],"container-title":"Current Climate Change Reports","id":"ITEM-2","issue":"1","issued":{"date-parts":[["2015"]]},"page":"30-39","title":"The Impact of Climate Change on Mangrove Forests","type":"article-journal","volume":"1"},"uris":["http://www.mendeley.com/documents/?uuid=f79bab08-cbed-412c-a810-d1854e4a6b4d"]}],"mendeley":{"formattedCitation":"(Alongi, 2015, 2012)","plainTextFormattedCitation":"(Alongi, 2015, 2012)","previouslyFormattedCitation":"(Alongi, 2015, 2012)"},"properties":{"noteIndex":0},"schema":"https://github.com/citation-style-language/schema/raw/master/csl-citation.json"}</w:instrText>
      </w:r>
      <w:r w:rsidRPr="00C57A68">
        <w:rPr>
          <w:rFonts w:cstheme="minorHAnsi"/>
        </w:rPr>
        <w:fldChar w:fldCharType="separate"/>
      </w:r>
      <w:r w:rsidR="008A48C6" w:rsidRPr="00C57A68">
        <w:rPr>
          <w:rFonts w:cstheme="minorHAnsi"/>
          <w:noProof/>
        </w:rPr>
        <w:t>(Alongi, 2015, 2012)</w:t>
      </w:r>
      <w:r w:rsidRPr="00C57A68">
        <w:rPr>
          <w:rFonts w:cstheme="minorHAnsi"/>
        </w:rPr>
        <w:fldChar w:fldCharType="end"/>
      </w:r>
      <w:r w:rsidRPr="00C57A68">
        <w:rPr>
          <w:rFonts w:cstheme="minorHAnsi"/>
        </w:rPr>
        <w:t xml:space="preserve">. Differences in estimates of global total mangrove C stocks and CSR largely arise from different methods calculating global mangrove extent </w:t>
      </w:r>
      <w:r w:rsidRPr="00C57A68">
        <w:rPr>
          <w:rFonts w:cstheme="minorHAnsi"/>
        </w:rPr>
        <w:fldChar w:fldCharType="begin" w:fldLock="1"/>
      </w:r>
      <w:r w:rsidR="008A48C6" w:rsidRPr="00C57A68">
        <w:rPr>
          <w:rFonts w:cstheme="minorHAnsi"/>
        </w:rPr>
        <w:instrText>ADDIN CSL_CITATION {"citationItems":[{"id":"ITEM-1","itemData":{"DOI":"10.3390/sci2030057","abstract":"Mangrove forests store and sequester large area-specific quantities of blue carbon (Corg). Except for tundra and peatlands, mangroves store more Corg per unit area than any other ecosystem. Mean mangrove Corg stock is 738.9 Mg Corg ha−1 and mean global stock is 6.17 Pg Corg, which equates to only 0.4–7% of terrestrial ecosystem Corg stocks but 17% of total tropical marine Corg stocks. Seagrasses sequester more Corg per unit area than mangroves (179.6 g Corg m−2·a−1) but twice the Corg sequestered by mangroves globally (15 Tg Corg a−1). Mangroves sequester only 4% (range 1.3–8%) of Corg sequestered by terrestrial ecosystems, indicating that mangroves are a minor contributor to global C storage and sequestration. CO2 emissions from mangrove losses equate to 0.036 Pg CO2-equivalents a−1 based on rates of C sequestration but 0.088 Pg CO2-equivalents a−1 based on complete destruction for conversion to aquaculture and agriculture. Mangrove CO2 emissions account for only 0.2% of total global CO2 emissions but 18% of CO2 emissions from the tropical coastal ocean. Despite significant data limitations, the role of mangrove ecosystems in climate change mitigation is globally insignificant but may be more significant and effective at the national and regional scale.","author":[{"dropping-particle":"","family":"Alongi","given":"Daniel M.","non-dropping-particle":"","parse-names":false,"suffix":""}],"container-title":"Sci","id":"ITEM-1","issue":"3","issued":{"date-parts":[["2020"]]},"page":"57","title":"Global Significance of Mangrove Blue Carbon in Climate Change Mitigation (Version 1)","type":"article-journal","volume":"2"},"uris":["http://www.mendeley.com/documents/?uuid=285a902c-afd2-4610-91a7-6d8a28e1cbd4"]},{"id":"ITEM-2","itemData":{"DOI":"10.1029/2012GB004375","ISBN":"0886-6236","ISSN":"08866236","abstract":"Mangrove wetlands exist in the transition zone between terrestrial and marine environments and as such were historically overlooked in discussions of terrestrial and marine carbon cycling. In recent decades, mangroves have increasingly been credited with producing and burying large quantities of organic carbon (OC). The amount of available data regarding OC burial in mangrove soils has more than doubled since the last primary literature review (2003). This includes data from some of the largest, most developed mangrove forests in the world, providing an opportunity to strengthen the global estimate. First-time representation is now included for mangroves in Brazil, Colombia, Malaysia, Indonesia, China, Japan, Vietnam, and Thailand, along with additional data from Mexico and the United States. Our objective is to recalculate the centennial-scale burial rate of OC at both the local and global scales. Quantification of this rate enables better understanding of the current carbon sink capacity of mangroves as well as helps to quantify and/or validate the other aspects of the mangrove carbon budget such as import, export, and remineralization. Statistical analysis of the data supports use of the geometric mean as the most reliable central tendency measurement. Our estimate is that mangrove systems bury 163 (+40; -31) g OC m(-2) yr(-1) (95% C.I.). Globally, the 95% confidence interval for the annual burial rate is 26.1 (+6.3; -5.1) Tg OC. This equates to a burial fraction that is 42% larger than that of the most recent mangrove carbon budget (2008), and represents 10-15% of estimated annual mangrove production. This global rate supports previous conclusions that, on a centennial time scale, 8-15% of all OC burial in marine settings occurs in mangrove systems.","author":[{"dropping-particle":"","family":"Breithaupt","given":"Joshua L.","non-dropping-particle":"","parse-names":false,"suffix":""},{"dropping-particle":"","family":"Smoak","given":"Joseph M.","non-dropping-particle":"","parse-names":false,"suffix":""},{"dropping-particle":"","family":"Smith","given":"Thomas J.","non-dropping-particle":"","parse-names":false,"suffix":""},{"dropping-particle":"","family":"Sanders","given":"Christian J.","non-dropping-particle":"","parse-names":false,"suffix":""},{"dropping-particle":"","family":"Hoare","given":"Armando","non-dropping-particle":"","parse-names":false,"suffix":""}],"container-title":"Global Biogeochemical Cycles","id":"ITEM-2","issue":"3","issued":{"date-parts":[["2012"]]},"title":"Organic carbon burial rates in mangrove sediments: Strengthening the global budget","type":"article-journal","volume":"26"},"uris":["http://www.mendeley.com/documents/?uuid=736c75d8-f76f-3adc-af1d-b14863e5a161"]},{"id":"ITEM-3","itemData":{"DOI":"10.1088/1748-9326/aabe1c","ISSN":"17489326","author":[{"dropping-particle":"","family":"Sanderman","given":"Jonathan","non-dropping-particle":"","parse-names":false,"suffix":""},{"dropping-particle":"","family":"Hengl","given":"Tomislav","non-dropping-particle":"","parse-names":false,"suffix":""},{"dropping-particle":"","family":"Fiske","given":"Greg","non-dropping-particle":"","parse-names":false,"suffix":""},{"dropping-particle":"","family":"Solvik","given":"Kylen","non-dropping-particle":"","parse-names":false,"suffix":""},{"dropping-particle":"","family":"Adame","given":"Maria Fernanda","non-dropping-particle":"","parse-names":false,"suffix":""},{"dropping-particle":"","family":"Benson","given":"Lisa","non-dropping-particle":"","parse-names":false,"suffix":""},{"dropping-particle":"","family":"Bukoski","given":"Jacob J","non-dropping-particle":"","parse-names":false,"suffix":""},{"dropping-particle":"","family":"Carnell","given":"Paul","non-dropping-particle":"","parse-names":false,"suffix":""},{"dropping-particle":"","family":"Cifuentes-Jara","given":"Miguel","non-dropping-particle":"","parse-names":false,"suffix":""},{"dropping-particle":"","family":"Donato","given":"Daniel","non-dropping-particle":"","parse-names":false,"suffix":""},{"dropping-particle":"","family":"Duncan","given":"Clare","non-dropping-particle":"","parse-names":false,"suffix":""},{"dropping-particle":"","family":"Eid","given":"Ebrahem M","non-dropping-particle":"","parse-names":false,"suffix":""},{"dropping-particle":"","family":"Ermgassen","given":"Philine zu","non-dropping-particle":"","parse-names":false,"suffix":""},{"dropping-particle":"","family":"Lewis","given":"Carolyn J.Ewers","non-dropping-particle":"","parse-names":false,"suffix":""},{"dropping-particle":"","family":"Macreadie","given":"Peter I","non-dropping-particle":"","parse-names":false,"suffix":""},{"dropping-particle":"","family":"Glass","given":"Leah","non-dropping-particle":"","parse-names":false,"suffix":""},{"dropping-particle":"","family":"Gress","given":"Selena","non-dropping-particle":"","parse-names":false,"suffix":""},{"dropping-particle":"","family":"Jardine","given":"Sunny L","non-dropping-particle":"","parse-names":false,"suffix":""},{"dropping-particle":"","family":"Jones","given":"Trevor G","non-dropping-particle":"","parse-names":false,"suffix":""},{"dropping-particle":"","family":"Nsombo","given":"Eugéne Ndemem","non-dropping-particle":"","parse-names":false,"suffix":""},{"dropping-particle":"","family":"Rahman","given":"Md Mizanur","non-dropping-particle":"","parse-names":false,"suffix":""},{"dropping-particle":"","family":"Sanders","given":"Christian J","non-dropping-particle":"","parse-names":false,"suffix":""},{"dropping-particle":"","family":"Spalding","given":"Mark","non-dropping-particle":"","parse-names":false,"suffix":""},{"dropping-particle":"","family":"Landis","given":"Emily","non-dropping-particle":"","parse-names":false,"suffix":""}],"container-title":"Environmental Research Letters","id":"ITEM-3","issue":"5","issued":{"date-parts":[["2018","5","1"]]},"page":"055002","publisher":"IOP Publishing","title":"A global map of mangrove forest soil carbon at 30 m spatial resolution","type":"article-journal","volume":"13"},"uris":["http://www.mendeley.com/documents/?uuid=a27008a0-a4d5-343e-89c7-c4a4c0b60818"]},{"id":"ITEM-4","itemData":{"DOI":"10.1038/s41558-018-0090-4","ISSN":"17586798","abstract":"Mangrove forests store high densitie of organic carbon, which, when coupled with high rates of deforestation, means that mangroves have the potential to contribute substantially to carbon emissions. Consequently, mangroves are strong candidates for inclusion in nationally determined contributions (NDCs) to the United Nations Framework Convention on Climate Change (UNFCCC), and payments for ecosystem services (PES) programmes that financially incentivize the conservation of forested carbon stocks. This study quantifies annual mangrove carbon stocks from 2000 to 2012 at the global, national and sub-national levels, and global carbon emissions resulting from deforestation over the same time period. Globally, mangroves stored 4.19 Pg of carbon in 2012, with Indonesia, Brazil, Malaysia and Papua New Guinea accounting for more than 50% of the global stock. 2.96 Pg of the global carbon stock is contained within the soil and 1.23 Pg in the living biomass. Two percent of global mangrove carbon was lost between 2000 and 2012, equivalent to a maximum potential of 316,996,250 t of CO2 emissions.","author":[{"dropping-particle":"","family":"Hamilton","given":"Stuart E.","non-dropping-particle":"","parse-names":false,"suffix":""},{"dropping-particle":"","family":"Friess","given":"Daniel A.","non-dropping-particle":"","parse-names":false,"suffix":""}],"container-title":"Nature Climate Change","id":"ITEM-4","issue":"3","issued":{"date-parts":[["2018"]]},"page":"240-244","title":"Global carbon stocks and potential emissions due to mangrove deforestation from 2000 to 2012","type":"article-journal","volume":"8"},"uris":["http://www.mendeley.com/documents/?uuid=8f9f1530-8aac-3063-b6ac-d0e087d212e4"]}],"mendeley":{"formattedCitation":"(Alongi, 2020; Breithaupt et al., 2012; Hamilton and Friess, 2018; Sanderman et al., 2018)","plainTextFormattedCitation":"(Alongi, 2020; Breithaupt et al., 2012; Hamilton and Friess, 2018; Sanderman et al., 2018)","previouslyFormattedCitation":"(Alongi, 2020; Breithaupt et al., 2012; Hamilton and Friess, 2018; Sanderman et al., 2018)"},"properties":{"noteIndex":0},"schema":"https://github.com/citation-style-language/schema/raw/master/csl-citation.json"}</w:instrText>
      </w:r>
      <w:r w:rsidRPr="00C57A68">
        <w:rPr>
          <w:rFonts w:cstheme="minorHAnsi"/>
        </w:rPr>
        <w:fldChar w:fldCharType="separate"/>
      </w:r>
      <w:r w:rsidR="008A48C6" w:rsidRPr="00C57A68">
        <w:rPr>
          <w:rFonts w:cstheme="minorHAnsi"/>
          <w:noProof/>
        </w:rPr>
        <w:t>(Alongi, 2020; Breithaupt et al., 2012; Hamilton and Friess, 2018; Sanderman et al., 2018)</w:t>
      </w:r>
      <w:r w:rsidRPr="00C57A68">
        <w:rPr>
          <w:rFonts w:cstheme="minorHAnsi"/>
        </w:rPr>
        <w:fldChar w:fldCharType="end"/>
      </w:r>
      <w:r w:rsidRPr="00C57A68">
        <w:rPr>
          <w:rFonts w:cstheme="minorHAnsi"/>
        </w:rPr>
        <w:t xml:space="preserve">. When projecting soil C stocks globally, our approach assumed </w:t>
      </w:r>
      <w:r w:rsidRPr="00C57A68">
        <w:rPr>
          <w:rFonts w:cstheme="minorHAnsi"/>
        </w:rPr>
        <w:lastRenderedPageBreak/>
        <w:t xml:space="preserve">pixels either had 100% or 0% mangrove coverage, similarly to </w:t>
      </w:r>
      <w:proofErr w:type="spellStart"/>
      <w:r w:rsidRPr="00C57A68">
        <w:rPr>
          <w:rFonts w:cstheme="minorHAnsi"/>
        </w:rPr>
        <w:t>Sanderman</w:t>
      </w:r>
      <w:proofErr w:type="spellEnd"/>
      <w:r w:rsidRPr="00C57A68">
        <w:rPr>
          <w:rFonts w:cstheme="minorHAnsi"/>
        </w:rPr>
        <w:t xml:space="preserve"> et al. (2018). However, this is unlike Hamilton and </w:t>
      </w:r>
      <w:proofErr w:type="spellStart"/>
      <w:r w:rsidRPr="00C57A68">
        <w:rPr>
          <w:rFonts w:cstheme="minorHAnsi"/>
        </w:rPr>
        <w:t>Friess</w:t>
      </w:r>
      <w:proofErr w:type="spellEnd"/>
      <w:r w:rsidRPr="00C57A68">
        <w:rPr>
          <w:rFonts w:cstheme="minorHAnsi"/>
        </w:rPr>
        <w:t xml:space="preserve"> (2018), where mangrove coverage was estimated to range from 0 to 100% per pixel. Global CSR estimates have ranged from 8.6 to 38.0 </w:t>
      </w:r>
      <w:proofErr w:type="spellStart"/>
      <w:r w:rsidRPr="00C57A68">
        <w:rPr>
          <w:rFonts w:cstheme="minorHAnsi"/>
        </w:rPr>
        <w:t>Tg</w:t>
      </w:r>
      <w:proofErr w:type="spellEnd"/>
      <w:r w:rsidRPr="00C57A68">
        <w:rPr>
          <w:rFonts w:cstheme="minorHAnsi"/>
        </w:rPr>
        <w:t xml:space="preserve"> C yr</w:t>
      </w:r>
      <w:r w:rsidRPr="00C57A68">
        <w:rPr>
          <w:rFonts w:cstheme="minorHAnsi"/>
          <w:vertAlign w:val="superscript"/>
        </w:rPr>
        <w:t xml:space="preserve">-1 </w:t>
      </w:r>
      <w:r w:rsidRPr="00C57A68">
        <w:rPr>
          <w:rFonts w:cstheme="minorHAnsi"/>
          <w:vertAlign w:val="superscript"/>
        </w:rPr>
        <w:fldChar w:fldCharType="begin" w:fldLock="1"/>
      </w:r>
      <w:r w:rsidR="002C1F4A">
        <w:rPr>
          <w:rFonts w:cstheme="minorHAnsi"/>
          <w:vertAlign w:val="superscript"/>
        </w:rPr>
        <w:instrText>ADDIN CSL_CITATION {"citationItems":[{"id":"ITEM-1","itemData":{"DOI":"10.3390/sci2030057","abstract":"Mangrove forests store and sequester large area-specific quantities of blue carbon (Corg). Except for tundra and peatlands, mangroves store more Corg per unit area than any other ecosystem. Mean mangrove Corg stock is 738.9 Mg Corg ha−1 and mean global stock is 6.17 Pg Corg, which equates to only 0.4–7% of terrestrial ecosystem Corg stocks but 17% of total tropical marine Corg stocks. Seagrasses sequester more Corg per unit area than mangroves (179.6 g Corg m−2·a−1) but twice the Corg sequestered by mangroves globally (15 Tg Corg a−1). Mangroves sequester only 4% (range 1.3–8%) of Corg sequestered by terrestrial ecosystems, indicating that mangroves are a minor contributor to global C storage and sequestration. CO2 emissions from mangrove losses equate to 0.036 Pg CO2-equivalents a−1 based on rates of C sequestration but 0.088 Pg CO2-equivalents a−1 based on complete destruction for conversion to aquaculture and agriculture. Mangrove CO2 emissions account for only 0.2% of total global CO2 emissions but 18% of CO2 emissions from the tropical coastal ocean. Despite significant data limitations, the role of mangrove ecosystems in climate change mitigation is globally insignificant but may be more significant and effective at the national and regional scale.","author":[{"dropping-particle":"","family":"Alongi","given":"Daniel M.","non-dropping-particle":"","parse-names":false,"suffix":""}],"container-title":"Sci","id":"ITEM-1","issue":"3","issued":{"date-parts":[["2020"]]},"page":"57","title":"Global Significance of Mangrove Blue Carbon in Climate Change Mitigation (Version 1)","type":"article-journal","volume":"2"},"uris":["http://www.mendeley.com/documents/?uuid=285a902c-afd2-4610-91a7-6d8a28e1cbd4"]},{"id":"ITEM-2","itemData":{"DOI":"10.1029/2002gb001917","ISBN":"0886-6236","ISSN":"08866236","PMID":"15041479","abstract":"Wetlands represent the largest component of the terrestrial biological carbon pool and thus play an important role in global carbon cycles. Most global carbon budgets, however, have focused on dry land ecosystems that extend over large areas and have not accounted for the many small, scattered carbon-storing ecosystems such as tidal saline wetlands. We compiled data for 154 sites in mangroves and salt marshes from the western and eastern Atlantic and Pacific coasts, as well as the Indian Ocean, Mediterranean Ocean, and Gulf of Mexico. The set of sites spans a latitudinal range from 22.4°S in the Indian Ocean to 55.5°N in the northeastern Atlantic. The average soil carbon density of mangrove swamps (0.055 ± 0.004 g cm-3) is significantly higher than the salt marsh average (0.039 ± 0.003 g cm-3). Soil carbon density in mangrove swamps and Spartina patens marshes declines with increasing average annual temperature, probably due to increased decay rates at higher temperatures. In contrast, carbon sequestration rates were not significantly different between mangrove swamps and salt marshes. Variability in sediment accumulation rates within marshes is a major control of carbon sequestration rates masking any relationship with climatic parameters. Globally, these combined wetlands store at least 44.6 Tg C yr-1 and probably more, as detailed areal inventories are not available for salt marshes in China and South America. Much attention has been given to the role of freshwater wetlands, particularly northern peatlands, as carbon sinks. In contrast to peatlands, salt marshes and mangroves release negligible amounts of greenhouse gases and store more carbon per unit area. Copyright 2003 by the American Geophysical Union.","author":[{"dropping-particle":"","family":"Chmura","given":"Gail L.","non-dropping-particle":"","parse-names":false,"suffix":""},{"dropping-particle":"","family":"Anisfeld","given":"Shimon C.","non-dropping-particle":"","parse-names":false,"suffix":""},{"dropping-particle":"","family":"Cahoon","given":"Donald R.","non-dropping-particle":"","parse-names":false,"suffix":""},{"dropping-particle":"","family":"Lynch","given":"James C.","non-dropping-particle":"","parse-names":false,"suffix":""}],"container-title":"Global Biogeochemical Cycles","id":"ITEM-2","issue":"4","issued":{"date-parts":[["2003","12","10"]]},"title":"Global carbon sequestration in tidal, saline wetland soils","type":"article-journal","volume":"17"},"uris":["http://www.mendeley.com/documents/?uuid=b60e39e6-b3c8-4ef4-bf4a-0a4f7e3aa9f3"]},{"id":"ITEM-3","itemData":{"DOI":"10.1029/2012GB004375","ISBN":"0886-6236","ISSN":"08866236","abstract":"Mangrove wetlands exist in the transition zone between terrestrial and marine environments and as such were historically overlooked in discussions of terrestrial and marine carbon cycling. In recent decades, mangroves have increasingly been credited with producing and burying large quantities of organic carbon (OC). The amount of available data regarding OC burial in mangrove soils has more than doubled since the last primary literature review (2003). This includes data from some of the largest, most developed mangrove forests in the world, providing an opportunity to strengthen the global estimate. First-time representation is now included for mangroves in Brazil, Colombia, Malaysia, Indonesia, China, Japan, Vietnam, and Thailand, along with additional data from Mexico and the United States. Our objective is to recalculate the centennial-scale burial rate of OC at both the local and global scales. Quantification of this rate enables better understanding of the current carbon sink capacity of mangroves as well as helps to quantify and/or validate the other aspects of the mangrove carbon budget such as import, export, and remineralization. Statistical analysis of the data supports use of the geometric mean as the most reliable central tendency measurement. Our estimate is that mangrove systems bury 163 (+40; -31) g OC m(-2) yr(-1) (95% C.I.). Globally, the 95% confidence interval for the annual burial rate is 26.1 (+6.3; -5.1) Tg OC. This equates to a burial fraction that is 42% larger than that of the most recent mangrove carbon budget (2008), and represents 10-15% of estimated annual mangrove production. This global rate supports previous conclusions that, on a centennial time scale, 8-15% of all OC burial in marine settings occurs in mangrove systems.","author":[{"dropping-particle":"","family":"Breithaupt","given":"Joshua L.","non-dropping-particle":"","parse-names":false,"suffix":""},{"dropping-particle":"","family":"Smoak","given":"Joseph M.","non-dropping-particle":"","parse-names":false,"suffix":""},{"dropping-particle":"","family":"Smith","given":"Thomas J.","non-dropping-particle":"","parse-names":false,"suffix":""},{"dropping-particle":"","family":"Sanders","given":"Christian J.","non-dropping-particle":"","parse-names":false,"suffix":""},{"dropping-particle":"","family":"Hoare","given":"Armando","non-dropping-particle":"","parse-names":false,"suffix":""}],"container-title":"Global Biogeochemical Cycles","id":"ITEM-3","issue":"3","issued":{"date-parts":[["2012"]]},"title":"Organic carbon burial rates in mangrove sediments: Strengthening the global budget","type":"article-journal","volume":"26"},"uris":["http://www.mendeley.com/documents/?uuid=736c75d8-f76f-3adc-af1d-b14863e5a161"]},{"id":"ITEM-4","itemData":{"DOI":"10.1029/2007GB003052","ISBN":"0886-6236","ISSN":"08866236","PMID":"208059789","abstract":"Mangrove forests are highly productive but globally threatened coastal ecosystems, whose role in the carbon budget of the coastal zone has long been debated. Here we provide a comprehensive synthesis of the available data on carbon fluxes in mangrove ecosystems. A reassessment of global mangrove primary production from the literature results in a conservative estimate of similar to 218 +/- 72 Tg C a(-1). When using the best available estimates of various carbon sinks (organic carbon export, sediment burial, and mineralization), it appears that &gt; 50% of the carbon fixed by mangrove vegetation is unaccounted for. This unaccounted carbon sink is conservatively estimated at similar to 112 +/- 85 Tg C a(-1), equivalent in magnitude to similar to 30-40% of the global riverine organic carbon input to the coastal zone. Our analysis suggests that mineralization is severely underestimated, and that the majority of carbon export from mangroves to adjacent waters occurs as dissolved inorganic carbon (DIC). CO(2) efflux from sediments and creek waters and tidal export of DIC appear to be the major sinks. These processes are quantitatively comparable in magnitude to the unaccounted carbon sink in current budgets, but are not yet adequately constrained with the limited published data available so far.","author":[{"dropping-particle":"","family":"Bouillon","given":"Steven","non-dropping-particle":"","parse-names":false,"suffix":""},{"dropping-particle":"V.","family":"Borges","given":"Alberto","non-dropping-particle":"","parse-names":false,"suffix":""},{"dropping-particle":"","family":"Castañeda-Moya","given":"Edward","non-dropping-particle":"","parse-names":false,"suffix":""},{"dropping-particle":"","family":"Diele","given":"Karen","non-dropping-particle":"","parse-names":false,"suffix":""},{"dropping-particle":"","family":"Dittmar","given":"Thorsten","non-dropping-particle":"","parse-names":false,"suffix":""},{"dropping-particle":"","family":"Duke","given":"Norman C.","non-dropping-particle":"","parse-names":false,"suffix":""},{"dropping-particle":"","family":"Kristensen","given":"Erik","non-dropping-particle":"","parse-names":false,"suffix":""},{"dropping-particle":"","family":"Lee","given":"Shing Y.","non-dropping-particle":"","parse-names":false,"suffix":""},{"dropping-particle":"","family":"Marchand","given":"Cyril","non-dropping-particle":"","parse-names":false,"suffix":""},{"dropping-particle":"","family":"Middelburg","given":"Jack J.","non-dropping-particle":"","parse-names":false,"suffix":""},{"dropping-particle":"","family":"Rivera-Monroy","given":"Victor H.","non-dropping-particle":"","parse-names":false,"suffix":""},{"dropping-particle":"","family":"Smith","given":"Thomas J.","non-dropping-particle":"","parse-names":false,"suffix":""},{"dropping-particle":"","family":"Twilley","given":"Robert R.","non-dropping-particle":"","parse-names":false,"suffix":""}],"container-title":"Global Biogeochemical Cycles","id":"ITEM-4","issue":"2","issued":{"date-parts":[["2008","6","9"]]},"title":"Mangrove production and carbon sinks: A revision of global budget estimates","type":"article-journal","volume":"22"},"uris":["http://www.mendeley.com/documents/?uuid=4c6861df-7364-4b1c-b518-f90c03ee1c54"]},{"id":"ITEM-5","itemData":{"DOI":"10.1007/BF00477106","ISSN":"00496979","abstract":"Nearly 50% of terrigenous materials delivered to the world's oceans are delivered through just twenty-one major river systems. These river-dominated coastal margins (including estuarine and shelf ecosystems) are thus important both to the regional enhancement of productivity and to the global flux of C that is observed in land-margin ecosystems. The tropical regions of the biosphere are the most biogeochemically active coastal regions and represent potentially important sinks of C in the biosphere. Rates of net primary productivity and biomass accumulation depend on a combination of global factors such as latitude and local factors such as hydrology. The global storage of C in mangrove biomass is estimated at 4.03 Pg C; and 70% of this C occurs in coastal margins from 0° to 10° latitude. The average rate of wood production is 12.08 Mg ha-1 yr-1, which is equivalent to a global estimate of 0.16 Pg C/yr stored in mangrove biomass. Together with carbon accumulation in mangrove sediments (0.02 Pg C/yr), the net ecosystem production in mangroves is about 0.18 Pg C/yr. Global estimates of export from coastal wetlands is about 0.08 Pg C/yr compared to input of 0.36 Pg C/yr from rivers to coastal ecosystems. Total allochthonous input of 0.44 Pg C/yr is lower than in situ production of 6.65 Pg C/yr. The trophic condition of coastal ecosystems depends on the fate of this total supply of 7.09 Pg C/yr as either contributing to system respiration, or becoming permanently stored in sediments. Accumulation of carbon in coastal sediments is only 0.41 Pg C/yr; about 6% of the total input. The NEP of coastal wetlands also contribute to the C sink of coastal margins, but the source of this C is part of the terrestrial C exchange with the atmosphere. Accumulation of C in wood and sediments of coastal wetlands is 0.205 Pg C/yr, half the estimate for sequestering of C in coastal sediments. Burial of C in shelf sediments is probably underestimated, particularly in tropical river-dominated coastal margins. Better estimates of these two C sinks in the tropics, coastal wetlands and shelf sediments, is needed to better understand the contribution of coastal ecosystems to the global carbon budget. © 1992 Kluwer Academic Publishers.","author":[{"dropping-particle":"","family":"Twilley","given":"R. R.","non-dropping-particle":"","parse-names":false,"suffix":""},{"dropping-particle":"","family":"Chen","given":"R. H.","non-dropping-particle":"","parse-names":false,"suffix":""},{"dropping-particle":"","family":"Hargis","given":"T.","non-dropping-particle":"","parse-names":false,"suffix":""}],"container-title":"Water, Air, &amp; Soil Pollution","id":"ITEM-5","issue":"1-2","issued":{"date-parts":[["1992"]]},"page":"265-288","title":"Carbon sinks in mangroves and their implications to carbon budget of tropical coastal ecosystems","type":"article-journal","volume":"64"},"uris":["http://www.mendeley.com/documents/?uuid=23eec9a1-78e5-41e3-bd3f-7e9667dc1a35"]},{"id":"ITEM-6","itemData":{"DOI":"10.1007/s00114-001-0283-x","ISSN":"00281042","PMID":"12008969","abstract":"Mangroves are highly complex ecosystems occupying a major part of tropical coastlines. High primary productivity, efficient biological nutrient recyling and a permanent exchange with terrestrial and marine ecosystems are their common features. Despite the high production and export rates of leaf litter, mangrove detritus has been reported to be of minor importance in sustaining marine food webs. The geographical distribution of mangrove-derived organic matter (OM) in marine sediments is found to be restricted to the vicinity of its source. Dissolved nutrient inputs from mangroves and rivers may fuel the production of marine OM. In this paper we assess the relevance of mangroves for the production and sedimentation of OM in the tropical coastal ocean based on data available from the literature and our own research results. We estimate the rates of carbon accumulation in mangrove sediments and of carbon export to the coastal seas. From the rates of litter fall and export we calculate carbon accumulating in mangrove sediments to be in the order of 23×1012 g C per year and mangrove carbon introduced into the coastal ocean to be in the order of 46×1012 g C per year. They account for about 11% of the total input of terrestrial carbon into the ocean and 15% of the total carbon accumulating in modern marine sediments.","author":[{"dropping-particle":"","family":"Jennerjahn","given":"Tim C.","non-dropping-particle":"","parse-names":false,"suffix":""},{"dropping-particle":"","family":"Ittekkot","given":"Venugopalan","non-dropping-particle":"","parse-names":false,"suffix":""}],"container-title":"Naturwissenschaften","id":"ITEM-6","issue":"1","issued":{"date-parts":[["2002"]]},"page":"23-30","title":"Relevance of mangroves for the production and deposition of organic matter along tropical continental margins","type":"article-journal","volume":"89"},"uris":["http://www.mendeley.com/documents/?uuid=324a1572-3434-4a18-8516-9e3f4813267b"]},{"id":"ITEM-7","itemData":{"DOI":"10.5194/bg-2-1-2005","ISSN":"17264189","abstract":"The carbon burial in vegetated sediments, ignored in past assessments of carbon burial in the ocean, was evaluated using a bottom-up approach derived from upscaling a compilation of published individual estimates of carbon burial in vegetated habitats (seagrass meadows, salt marshes and mangrove forests) to the global level and a top-down approach derived from considerations of global sediment balance and a compilation of the organic carbon content of vegeatated sediments. Up-scaling of individual burial estimates values yielded a total carbon burial in vegetated habitats of 111 Tmol C y-1. The total burial in unvegetated sediments was estimated to be 126 Tg C y-1, resulting in a bottom-up estimate of total burial in the ocean of about 244 Tg C y-1, two-fold higher than estimates of oceanic carbon burial that presently enter global carbon budgets. The organic carbon concentrations in vegetated marine sediments exceeds by 2 to 10-fold those in shelf/deltaic sediments. Top-down re-calculation of ocean sediment budgets to account for these, previously neglected, organic-rich sediments, yields a top-down carbon burial estimate of 216 Tg C y-1, with vegetated coastal habitats contributing about 50%. Even though vegetated carbon burial contributes about half of the total carbon burial in the ocean, burial represents a small fraction of the net production of these ecosystems, estimated at about 3388 Tg C y -1, suggesting that bulk of the benthic net ecosystem production must support excess respiration in other compartments, such as unvegetated sediments and the coastal pelagic compartment. The total excess organic carbon available to be exported to the ocean is estimated at between 1126 to 3534 Tg C y -1, the bulk of which must be respired in the open ocean. Widespread loss of vegetated coastal habitats must have reduced carbon burial in the ocean by about 30 Tg Cy-1, identifying the destruction of these ecosystems as an important loss of CO2 sink capacity in the biosphere.","author":[{"dropping-particle":"","family":"Duarte","given":"C. M.","non-dropping-particle":"","parse-names":false,"suffix":""},{"dropping-particle":"","family":"Middelburg","given":"J. J.","non-dropping-particle":"","parse-names":false,"suffix":""},{"dropping-particle":"","family":"Caraco","given":"N.","non-dropping-particle":"","parse-names":false,"suffix":""}],"container-title":"Biogeosciences","id":"ITEM-7","issue":"1","issued":{"date-parts":[["2005"]]},"page":"1-8","title":"Major role of marine vegetation on the oceanic carbon cycle","type":"article-journal","volume":"2"},"uris":["http://www.mendeley.com/documents/?uuid=d0d8796c-82ed-4364-accb-1e9b71cdf4fe"]},{"id":"ITEM-8","itemData":{"DOI":"10.1007/978-1-4020-4271-3","ISBN":"9781402042706","abstract":"Despite their importance in sustaining livelihoods for many people living along some of the world's most populous coastlines, tropical mangrove forests are disappearing at an alarming rate. Occupying a crucial place between land and sea, these tidal ecosystems provide a valuable ecological and economic resource as important nursery grounds and breeding sites for many organisms, and as a renewable source of wood and traditional foods and medicines. Perhaps most importantly, they are accumulation sites for sediment, contaminants, carbon and nutrients, and offer significant protection against coastal erosion. This book presents a functional overview of mangrove forest ecosystems; how they live and grow at the edge of tropical seas, how they play a critical role along most of the world's tropical coasts, and how their future might look in a world affected by climate change. Such a process-oriented approach is necessary in order to further understand the role of these dynamic forests in ecosystem function, and as a first step towards developing adequate strategies for their conservation and sustainable use and management. The book will provide a valuable resource for researchers in mangrove ecology as well as reference for resource managers. © 2009 Springer Science + Business Media B.V.","author":[{"dropping-particle":"","family":"Alongi","given":"Daniel M.","non-dropping-particle":"","parse-names":false,"suffix":""}],"container-title":"The Energetics of Mangrove Forests","id":"ITEM-8","issued":{"date-parts":[["2009"]]},"number-of-pages":"1-216","publisher":"Springer Science &amp; Business Media","publisher-place":"New York","title":"The energetics of mangrove forests","type":"book"},"uris":["http://www.mendeley.com/documents/?uuid=cbb1df17-e857-4abd-95d9-5dd9e7b78cbc"]}],"mendeley":{"formattedCitation":"(Alongi, 2020, 2009; Bouillon et al., 2008; Breithaupt et al., 2012; Chmura et al., 2003; Duarte et al., 2005; Jennerjahn and Ittekkot, 2002; Twilley et al., 1992a)","plainTextFormattedCitation":"(Alongi, 2020, 2009; Bouillon et al., 2008; Breithaupt et al., 2012; Chmura et al., 2003; Duarte et al., 2005; Jennerjahn and Ittekkot, 2002; Twilley et al., 1992a)","previouslyFormattedCitation":"(Alongi, 2020, 2009; Bouillon et al., 2008; Breithaupt et al., 2012; Chmura et al., 2003; Duarte et al., 2005; Jennerjahn and Ittekkot, 2002; Twilley et al., 1992a)"},"properties":{"noteIndex":0},"schema":"https://github.com/citation-style-language/schema/raw/master/csl-citation.json"}</w:instrText>
      </w:r>
      <w:r w:rsidRPr="00C57A68">
        <w:rPr>
          <w:rFonts w:cstheme="minorHAnsi"/>
          <w:vertAlign w:val="superscript"/>
        </w:rPr>
        <w:fldChar w:fldCharType="separate"/>
      </w:r>
      <w:r w:rsidR="008D142D" w:rsidRPr="008D142D">
        <w:rPr>
          <w:rFonts w:cstheme="minorHAnsi"/>
          <w:noProof/>
        </w:rPr>
        <w:t>(Alongi, 2020, 2009; Bouillon et al., 2008; Breithaupt et al., 2012; Chmura et al., 2003; Duarte et al., 2005; Jennerjahn and Ittekkot, 2002; Twilley et al., 1992a)</w:t>
      </w:r>
      <w:r w:rsidRPr="00C57A68">
        <w:rPr>
          <w:rFonts w:cstheme="minorHAnsi"/>
          <w:vertAlign w:val="superscript"/>
        </w:rPr>
        <w:fldChar w:fldCharType="end"/>
      </w:r>
      <w:r w:rsidRPr="00C57A68">
        <w:rPr>
          <w:rFonts w:cstheme="minorHAnsi"/>
        </w:rPr>
        <w:t>, where differences are mainly due to varying global mangrove extents used in calculation. Additional uncertainties arise when estimating change in C stocks and CSR at the end of the 21</w:t>
      </w:r>
      <w:r w:rsidRPr="00C57A68">
        <w:rPr>
          <w:rFonts w:cstheme="minorHAnsi"/>
          <w:vertAlign w:val="superscript"/>
        </w:rPr>
        <w:t>st</w:t>
      </w:r>
      <w:r w:rsidRPr="00C57A68">
        <w:rPr>
          <w:rFonts w:cstheme="minorHAnsi"/>
        </w:rPr>
        <w:t xml:space="preserve"> century. Our study assumed constant mangrove coverage from 2012 to 2095, however, on a global scale, mangroves in temperate regions have been forecast to expand to higher latitudes </w:t>
      </w:r>
      <w:r w:rsidRPr="00C57A68">
        <w:rPr>
          <w:rFonts w:cstheme="minorHAnsi"/>
        </w:rPr>
        <w:fldChar w:fldCharType="begin" w:fldLock="1"/>
      </w:r>
      <w:r w:rsidRPr="00C57A68">
        <w:rPr>
          <w:rFonts w:cstheme="minorHAnsi"/>
        </w:rPr>
        <w:instrText>ADDIN CSL_CITATION {"citationItems":[{"id":"ITEM-1","itemData":{"DOI":"10.1111/gcb.12341","ISBN":"1354-1013","ISSN":"13541013","PMID":"23907934","abstract":"Mangroves are species of halophytic intertidal trees and shrubs derived from tropical genera and are likely delimited in latitudinal range by varying sensitivity to cold. There is now sufficient evidence that mangrove species have proliferated at or near their poleward limits on at least five continents over the past half century, at the expense of salt marsh. Avicennia is the most cold-tolerant genus worldwide, and is the subject of most of the observed changes. Avicennia germinans has extended in range along the USA Atlantic coast and expanded into salt marsh as a consequence of lower frost frequency and intensity in the southern USA. The genus has also expanded into salt marsh at its southern limit in Peru, and on the Pacific coast of Mexico. Mangroves of several species have expanded in extent and replaced salt marsh where protected within mangrove reserves in Guangdong Province, China. In south-eastern Australia, the expansion of Avicennia marina into salt marshes is now well documented, and Rhizophora stylosa has extended its range southward, while showing strong population growth within estuaries along its southern limits in northern New South Wales. Avicennia marina has extended its range southwards in South Africa. The changes are consistent with the poleward extension of temperature thresholds coincident with sea-level rise, although the specific mechanism of range extension might be complicated by limitations on dispersal or other factors. The shift from salt marsh to mangrove dominance on subtropical and temperate shorelines has important implications for ecological structure, function, and global change adaptation.","author":[{"dropping-particle":"","family":"Saintilan","given":"Neil","non-dropping-particle":"","parse-names":false,"suffix":""},{"dropping-particle":"","family":"Wilson","given":"Nicholas C.","non-dropping-particle":"","parse-names":false,"suffix":""},{"dropping-particle":"","family":"Rogers","given":"Kerrylee","non-dropping-particle":"","parse-names":false,"suffix":""},{"dropping-particle":"","family":"Rajkaran","given":"Anusha","non-dropping-particle":"","parse-names":false,"suffix":""},{"dropping-particle":"","family":"Krauss","given":"Ken W.","non-dropping-particle":"","parse-names":false,"suffix":""}],"container-title":"Global Change Biology","id":"ITEM-1","issue":"1","issued":{"date-parts":[["2014"]]},"page":"147-157","title":"Mangrove expansion and salt marsh decline at mangrove poleward limits","type":"article-journal","volume":"20"},"uris":["http://www.mendeley.com/documents/?uuid=77fc4f27-ec75-3c0f-b64e-363a965f95c1"]}],"mendeley":{"formattedCitation":"(Saintilan et al., 2014)","plainTextFormattedCitation":"(Saintilan et al., 2014)","previouslyFormattedCitation":"(Saintilan et al., 2014)"},"properties":{"noteIndex":0},"schema":"https://github.com/citation-style-language/schema/raw/master/csl-citation.json"}</w:instrText>
      </w:r>
      <w:r w:rsidRPr="00C57A68">
        <w:rPr>
          <w:rFonts w:cstheme="minorHAnsi"/>
        </w:rPr>
        <w:fldChar w:fldCharType="separate"/>
      </w:r>
      <w:r w:rsidRPr="00C57A68">
        <w:rPr>
          <w:rFonts w:cstheme="minorHAnsi"/>
          <w:noProof/>
        </w:rPr>
        <w:t>(Saintilan et al., 2014)</w:t>
      </w:r>
      <w:r w:rsidRPr="00C57A68">
        <w:rPr>
          <w:rFonts w:cstheme="minorHAnsi"/>
        </w:rPr>
        <w:fldChar w:fldCharType="end"/>
      </w:r>
      <w:r w:rsidRPr="00C57A68">
        <w:rPr>
          <w:rFonts w:cstheme="minorHAnsi"/>
        </w:rPr>
        <w:t xml:space="preserve">. Also, the interaction between sea level rise and coastal human development will likely influence mangroves ability to migrate landward in response to sea level rise </w:t>
      </w:r>
      <w:r w:rsidRPr="00C57A68">
        <w:rPr>
          <w:rFonts w:cstheme="minorHAnsi"/>
        </w:rPr>
        <w:fldChar w:fldCharType="begin" w:fldLock="1"/>
      </w:r>
      <w:r w:rsidRPr="00C57A68">
        <w:rPr>
          <w:rFonts w:cstheme="minorHAnsi"/>
        </w:rPr>
        <w:instrText>ADDIN CSL_CITATION {"citationItems":[{"id":"ITEM-1","itemData":{"DOI":"10.1016/j.oneear.2020.07.010","ISSN":"25903322","abstract":"Blue carbon provides opportunities to mitigate climate change while increasing ecosystem services for coastal communities, including climate change adaptation; however, blue carbon ecosystems are vulnerable to climate change, leading to uncertainties in the future efficacy of these ecosystems. In this review, we assess the potential impacts of climate change on blue carbon. Despite uncertainties, carbon sequestration in coastal ecosystems is enhanced by landward migration of blue carbon habitats, maintenance of sediment supply, restoration, and improved water quality. As an example, landward migration of mangroves could result in carbon sequestration of 1.5 Pg by 2100. Mudflats, seaweed beds, and coastal swamp forests could also contribute to climate change mitigation, although there are large data gaps. Achieving the full potential of blue carbon requires protection and restoration of ecosystems and facilitation of changes in ecosystem dis- tributions with climate change, actions that will also deliver adaptation benefits. Conversely, in the worst- case coastal squeeze scenario, losses of 3.4 Pg of sequestered carbon by 2100 could occur.","author":[{"dropping-particle":"","family":"Lovelock","given":"Catherine E.","non-dropping-particle":"","parse-names":false,"suffix":""},{"dropping-particle":"","family":"Reef","given":"Ruth","non-dropping-particle":"","parse-names":false,"suffix":""}],"container-title":"One Earth","id":"ITEM-1","issue":"2","issued":{"date-parts":[["2020"]]},"page":"195-211","title":"Variable Impacts of Climate Change on Blue Carbon","type":"article-journal","volume":"3"},"uris":["http://www.mendeley.com/documents/?uuid=9197c631-f9b8-4e86-b5fa-923eba689607"]}],"mendeley":{"formattedCitation":"(Lovelock and Reef, 2020)","plainTextFormattedCitation":"(Lovelock and Reef, 2020)","previouslyFormattedCitation":"(Lovelock and Reef, 2020)"},"properties":{"noteIndex":0},"schema":"https://github.com/citation-style-language/schema/raw/master/csl-citation.json"}</w:instrText>
      </w:r>
      <w:r w:rsidRPr="00C57A68">
        <w:rPr>
          <w:rFonts w:cstheme="minorHAnsi"/>
        </w:rPr>
        <w:fldChar w:fldCharType="separate"/>
      </w:r>
      <w:r w:rsidRPr="00C57A68">
        <w:rPr>
          <w:rFonts w:cstheme="minorHAnsi"/>
          <w:noProof/>
        </w:rPr>
        <w:t>(Lovelock and Reef, 2020)</w:t>
      </w:r>
      <w:r w:rsidRPr="00C57A68">
        <w:rPr>
          <w:rFonts w:cstheme="minorHAnsi"/>
        </w:rPr>
        <w:fldChar w:fldCharType="end"/>
      </w:r>
      <w:r w:rsidRPr="00C57A68">
        <w:rPr>
          <w:rFonts w:cstheme="minorHAnsi"/>
        </w:rPr>
        <w:t xml:space="preserve">. Moreover, by subtracting future from present day C stocks and CSR and not incorporating estimated mangrove deforestation rates, this study assumed a constant rate of change from 2012 to 2095 and will lead to overestimates of C stocks and CSR. While this approach may be an oversimplification of the complex process by which mangroves sequester and store C, calculations of future estimates apply the same logic as has been performed for numerous estimates of present day C stocks </w:t>
      </w:r>
      <w:r w:rsidRPr="00C57A68">
        <w:rPr>
          <w:rFonts w:cstheme="minorHAnsi"/>
        </w:rPr>
        <w:fldChar w:fldCharType="begin" w:fldLock="1"/>
      </w:r>
      <w:r w:rsidR="008A48C6" w:rsidRPr="00C57A68">
        <w:rPr>
          <w:rFonts w:cstheme="minorHAnsi"/>
        </w:rPr>
        <w:instrText>ADDIN CSL_CITATION {"citationItems":[{"id":"ITEM-1","itemData":{"DOI":"10.1111/conl.12060","ISBN":"1755-263X","ISSN":"1755263X","abstract":"Understanding spatial variation in carbon storage in natural habitats is critical for climate change mitigation efforts such as REDD. Terrestrial forests are being mapped with increasing accuracy, but the distribution of ``blue carbon'' in marine ecosystems remains poorly understood. We reviewed the literature to obtain field data on carbon storage and fluxes in mangroves world-wide. Using this material we developed a climate-based model for potential mangrove above-ground biomass (AGB) with almost four times the explanatory power of the only previous published model. From this model, we present the first ever global map of potential mangrove AGB and estimate a total global mangrove AGB of 2.83 Pg, with an average of 184.8 t ha−1. Data on other carbon stocks and fluxes confirm the importance of mangroves in carbon accounting. The map highlights the high variability in mangrove AGB and indicates areas that should be prioritised for mangrove conservation and restoration.","author":[{"dropping-particle":"","family":"Hutchison","given":"James","non-dropping-particle":"","parse-names":false,"suffix":""},{"dropping-particle":"","family":"Manica","given":"Andrea","non-dropping-particle":"","parse-names":false,"suffix":""},{"dropping-particle":"","family":"Swetnam","given":"Ruth","non-dropping-particle":"","parse-names":false,"suffix":""},{"dropping-particle":"","family":"Balmford","given":"Andrew","non-dropping-particle":"","parse-names":false,"suffix":""},{"dropping-particle":"","family":"Spalding","given":"Mark","non-dropping-particle":"","parse-names":false,"suffix":""}],"container-title":"Conservation Letters","id":"ITEM-1","issue":"3","issued":{"date-parts":[["2014","5"]]},"page":"233-240","title":"Predicting global patterns in mangrove forest biomass","type":"article-journal","volume":"7"},"uris":["http://www.mendeley.com/documents/?uuid=c0cc1011-f931-3578-8f2c-56c7f7c458c6"]},{"id":"ITEM-2","itemData":{"DOI":"10.1038/s41558-018-0090-4","ISSN":"17586798","abstract":"Mangrove forests store high densitie of organic carbon, which, when coupled with high rates of deforestation, means that mangroves have the potential to contribute substantially to carbon emissions. Consequently, mangroves are strong candidates for inclusion in nationally determined contributions (NDCs) to the United Nations Framework Convention on Climate Change (UNFCCC), and payments for ecosystem services (PES) programmes that financially incentivize the conservation of forested carbon stocks. This study quantifies annual mangrove carbon stocks from 2000 to 2012 at the global, national and sub-national levels, and global carbon emissions resulting from deforestation over the same time period. Globally, mangroves stored 4.19 Pg of carbon in 2012, with Indonesia, Brazil, Malaysia and Papua New Guinea accounting for more than 50% of the global stock. 2.96 Pg of the global carbon stock is contained within the soil and 1.23 Pg in the living biomass. Two percent of global mangrove carbon was lost between 2000 and 2012, equivalent to a maximum potential of 316,996,250 t of CO2 emissions.","author":[{"dropping-particle":"","family":"Hamilton","given":"Stuart E.","non-dropping-particle":"","parse-names":false,"suffix":""},{"dropping-particle":"","family":"Friess","given":"Daniel A.","non-dropping-particle":"","parse-names":false,"suffix":""}],"container-title":"Nature Climate Change","id":"ITEM-2","issue":"3","issued":{"date-parts":[["2018"]]},"page":"240-244","title":"Global carbon stocks and potential emissions due to mangrove deforestation from 2000 to 2012","type":"article-journal","volume":"8"},"uris":["http://www.mendeley.com/documents/?uuid=8f9f1530-8aac-3063-b6ac-d0e087d212e4"]},{"id":"ITEM-3","itemData":{"DOI":"10.1038/s41558-018-0162-5","ISBN":"4155801801625","ISSN":"17586798","abstract":"Global-scale variation in mangrove ecosystem properties has been explained using a conceptual framework linking geomorphological processes to distinct coastal environmental settings (CES) for nearly 50 years. However, these assumptions have not been empirically tested at the global scale. Here, we show that CES account for global variability in mangrove soil C:N:P stoichiometry and soil organic carbon (SOC) stocks. Using this ecogeomorphology framework, we developed a global model that captures variation in mangrove SOC stocks compatible with distinct CES. We show that mangrove SOC stocks have been underestimated by up to 50% (a difference of roughly 200 Mg ha−1) in carbonate settings and overestimated by up to 86% (around 400 Mg ha−1) in deltaic coastlines. Moreover, we provide information for 57 nations that currently lack SOC data, enabling these and other countries to develop or evaluate their blue carbon inventories.","author":[{"dropping-particle":"","family":"Rovai","given":"André S.","non-dropping-particle":"","parse-names":false,"suffix":""},{"dropping-particle":"","family":"Twilley","given":"Robert R.","non-dropping-particle":"","parse-names":false,"suffix":""},{"dropping-particle":"","family":"Castañeda-Moya","given":"Edward","non-dropping-particle":"","parse-names":false,"suffix":""},{"dropping-particle":"","family":"Riul","given":"Pablo","non-dropping-particle":"","parse-names":false,"suffix":""},{"dropping-particle":"","family":"Cifuentes-Jara","given":"Miguel","non-dropping-particle":"","parse-names":false,"suffix":""},{"dropping-particle":"","family":"Manrow-Villalobos","given":"Marilyn","non-dropping-particle":"","parse-names":false,"suffix":""},{"dropping-particle":"","family":"Horta","given":"Paulo A.","non-dropping-particle":"","parse-names":false,"suffix":""},{"dropping-particle":"","family":"Simonassi","given":"José C.","non-dropping-particle":"","parse-names":false,"suffix":""},{"dropping-particle":"","family":"Fonseca","given":"Alessandra L.","non-dropping-particle":"","parse-names":false,"suffix":""},{"dropping-particle":"","family":"Pagliosa","given":"Paulo R.","non-dropping-particle":"","parse-names":false,"suffix":""}],"container-title":"Nature Climate Change","id":"ITEM-3","issue":"6","issued":{"date-parts":[["2018","6","28"]]},"page":"534-538","publisher":"Nature Publishing Group","title":"Global controls on carbon storage in mangrove soils","type":"article-journal","volume":"8"},"uris":["http://www.mendeley.com/documents/?uuid=e218dcd6-b535-3f7d-a08f-4983ee271d59"]},{"id":"ITEM-4","itemData":{"DOI":"10.1088/1748-9326/aabe1c","ISSN":"17489326","author":[{"dropping-particle":"","family":"Sanderman","given":"Jonathan","non-dropping-particle":"","parse-names":false,"suffix":""},{"dropping-particle":"","family":"Hengl","given":"Tomislav","non-dropping-particle":"","parse-names":false,"suffix":""},{"dropping-particle":"","family":"Fiske","given":"Greg","non-dropping-particle":"","parse-names":false,"suffix":""},{"dropping-particle":"","family":"Solvik","given":"Kylen","non-dropping-particle":"","parse-names":false,"suffix":""},{"dropping-particle":"","family":"Adame","given":"Maria Fernanda","non-dropping-particle":"","parse-names":false,"suffix":""},{"dropping-particle":"","family":"Benson","given":"Lisa","non-dropping-particle":"","parse-names":false,"suffix":""},{"dropping-particle":"","family":"Bukoski","given":"Jacob J","non-dropping-particle":"","parse-names":false,"suffix":""},{"dropping-particle":"","family":"Carnell","given":"Paul","non-dropping-particle":"","parse-names":false,"suffix":""},{"dropping-particle":"","family":"Cifuentes-Jara","given":"Miguel","non-dropping-particle":"","parse-names":false,"suffix":""},{"dropping-particle":"","family":"Donato","given":"Daniel","non-dropping-particle":"","parse-names":false,"suffix":""},{"dropping-particle":"","family":"Duncan","given":"Clare","non-dropping-particle":"","parse-names":false,"suffix":""},{"dropping-particle":"","family":"Eid","given":"Ebrahem M","non-dropping-particle":"","parse-names":false,"suffix":""},{"dropping-particle":"","family":"Ermgassen","given":"Philine zu","non-dropping-particle":"","parse-names":false,"suffix":""},{"dropping-particle":"","family":"Lewis","given":"Carolyn J.Ewers","non-dropping-particle":"","parse-names":false,"suffix":""},{"dropping-particle":"","family":"Macreadie","given":"Peter I","non-dropping-particle":"","parse-names":false,"suffix":""},{"dropping-particle":"","family":"Glass","given":"Leah","non-dropping-particle":"","parse-names":false,"suffix":""},{"dropping-particle":"","family":"Gress","given":"Selena","non-dropping-particle":"","parse-names":false,"suffix":""},{"dropping-particle":"","family":"Jardine","given":"Sunny L","non-dropping-particle":"","parse-names":false,"suffix":""},{"dropping-particle":"","family":"Jones","given":"Trevor G","non-dropping-particle":"","parse-names":false,"suffix":""},{"dropping-particle":"","family":"Nsombo","given":"Eugéne Ndemem","non-dropping-particle":"","parse-names":false,"suffix":""},{"dropping-particle":"","family":"Rahman","given":"Md Mizanur","non-dropping-particle":"","parse-names":false,"suffix":""},{"dropping-particle":"","family":"Sanders","given":"Christian J","non-dropping-particle":"","parse-names":false,"suffix":""},{"dropping-particle":"","family":"Spalding","given":"Mark","non-dropping-particle":"","parse-names":false,"suffix":""},{"dropping-particle":"","family":"Landis","given":"Emily","non-dropping-particle":"","parse-names":false,"suffix":""}],"container-title":"Environmental Research Letters","id":"ITEM-4","issue":"5","issued":{"date-parts":[["2018","5","1"]]},"page":"055002","publisher":"IOP Publishing","title":"A global map of mangrove forest soil carbon at 30 m spatial resolution","type":"article-journal","volume":"13"},"uris":["http://www.mendeley.com/documents/?uuid=a27008a0-a4d5-343e-89c7-c4a4c0b60818"]}],"mendeley":{"formattedCitation":"(Hamilton and Friess, 2018; Hutchison et al., 2014; Rovai et al., 2018; Sanderman et al., 2018)","plainTextFormattedCitation":"(Hamilton and Friess, 2018; Hutchison et al., 2014; Rovai et al., 2018; Sanderman et al., 2018)","previouslyFormattedCitation":"(Hamilton and Friess, 2018; Hutchison et al., 2014; Rovai et al., 2018; Sanderman et al., 2018)"},"properties":{"noteIndex":0},"schema":"https://github.com/citation-style-language/schema/raw/master/csl-citation.json"}</w:instrText>
      </w:r>
      <w:r w:rsidRPr="00C57A68">
        <w:rPr>
          <w:rFonts w:cstheme="minorHAnsi"/>
        </w:rPr>
        <w:fldChar w:fldCharType="separate"/>
      </w:r>
      <w:r w:rsidR="008A48C6" w:rsidRPr="00C57A68">
        <w:rPr>
          <w:rFonts w:cstheme="minorHAnsi"/>
          <w:noProof/>
        </w:rPr>
        <w:t>(Hamilton and Friess, 2018; Hutchison et al., 2014; Rovai et al., 2018; Sanderman et al., 2018)</w:t>
      </w:r>
      <w:r w:rsidRPr="00C57A68">
        <w:rPr>
          <w:rFonts w:cstheme="minorHAnsi"/>
        </w:rPr>
        <w:fldChar w:fldCharType="end"/>
      </w:r>
      <w:r w:rsidRPr="00C57A68">
        <w:rPr>
          <w:rFonts w:cstheme="minorHAnsi"/>
        </w:rPr>
        <w:t>.</w:t>
      </w:r>
    </w:p>
    <w:p w14:paraId="6DA2EB32" w14:textId="77777777" w:rsidR="00344027" w:rsidRPr="00C57A68" w:rsidRDefault="00344027" w:rsidP="00344027">
      <w:pPr>
        <w:pBdr>
          <w:top w:val="nil"/>
          <w:left w:val="nil"/>
          <w:bottom w:val="nil"/>
          <w:right w:val="nil"/>
          <w:between w:val="nil"/>
        </w:pBdr>
        <w:spacing w:line="480" w:lineRule="auto"/>
        <w:rPr>
          <w:rFonts w:cstheme="minorHAnsi"/>
        </w:rPr>
      </w:pPr>
    </w:p>
    <w:p w14:paraId="6099A796" w14:textId="77777777" w:rsidR="007B3BFC" w:rsidRPr="00C57A68" w:rsidRDefault="00344027" w:rsidP="00344027">
      <w:pPr>
        <w:spacing w:line="480" w:lineRule="auto"/>
        <w:rPr>
          <w:rFonts w:cstheme="minorHAnsi"/>
        </w:rPr>
        <w:sectPr w:rsidR="007B3BFC" w:rsidRPr="00C57A68" w:rsidSect="00392131">
          <w:pgSz w:w="12240" w:h="15840"/>
          <w:pgMar w:top="1440" w:right="1440" w:bottom="1440" w:left="1440" w:header="720" w:footer="720" w:gutter="0"/>
          <w:cols w:space="720"/>
          <w:docGrid w:linePitch="326"/>
        </w:sectPr>
      </w:pPr>
      <w:r w:rsidRPr="00C57A68">
        <w:rPr>
          <w:rFonts w:cstheme="minorHAnsi"/>
        </w:rPr>
        <w:t xml:space="preserve">In addition to higher soil sequestration rates, our estimates of C emissions from mangrove deforestation between 2000 and 2010 are at the lower end of the 6.60 – 29.80 </w:t>
      </w:r>
      <w:proofErr w:type="spellStart"/>
      <w:r w:rsidRPr="00C57A68">
        <w:rPr>
          <w:rFonts w:cstheme="minorHAnsi"/>
        </w:rPr>
        <w:t>Tg</w:t>
      </w:r>
      <w:proofErr w:type="spellEnd"/>
      <w:r w:rsidRPr="00C57A68">
        <w:rPr>
          <w:rFonts w:cstheme="minorHAnsi"/>
        </w:rPr>
        <w:t xml:space="preserve"> CO</w:t>
      </w:r>
      <w:r w:rsidRPr="00C57A68">
        <w:rPr>
          <w:rFonts w:cstheme="minorHAnsi"/>
          <w:vertAlign w:val="subscript"/>
        </w:rPr>
        <w:t>2</w:t>
      </w:r>
      <w:r w:rsidRPr="00C57A68">
        <w:rPr>
          <w:rFonts w:cstheme="minorHAnsi"/>
        </w:rPr>
        <w:t>e yr</w:t>
      </w:r>
      <w:r w:rsidRPr="00C57A68">
        <w:rPr>
          <w:rFonts w:cstheme="minorHAnsi"/>
          <w:vertAlign w:val="superscript"/>
        </w:rPr>
        <w:t>-1</w:t>
      </w:r>
      <w:r w:rsidRPr="00C57A68">
        <w:rPr>
          <w:rFonts w:cstheme="minorHAnsi"/>
        </w:rPr>
        <w:t xml:space="preserve"> previously reported </w:t>
      </w:r>
      <w:r w:rsidRPr="00C57A68">
        <w:rPr>
          <w:rFonts w:cstheme="minorHAnsi"/>
        </w:rPr>
        <w:fldChar w:fldCharType="begin" w:fldLock="1"/>
      </w:r>
      <w:r w:rsidRPr="00C57A68">
        <w:rPr>
          <w:rFonts w:cstheme="minorHAnsi"/>
        </w:rPr>
        <w:instrText>ADDIN CSL_CITATION {"citationItems":[{"id":"ITEM-1","itemData":{"DOI":"10.1038/s41558-018-0090-4","ISSN":"17586798","abstract":"Mangrove forests store high densitie of organic carbon, which, when coupled with high rates of deforestation, means that mangroves have the potential to contribute substantially to carbon emissions. Consequently, mangroves are strong candidates for inclusion in nationally determined contributions (NDCs) to the United Nations Framework Convention on Climate Change (UNFCCC), and payments for ecosystem services (PES) programmes that financially incentivize the conservation of forested carbon stocks. This study quantifies annual mangrove carbon stocks from 2000 to 2012 at the global, national and sub-national levels, and global carbon emissions resulting from deforestation over the same time period. Globally, mangroves stored 4.19 Pg of carbon in 2012, with Indonesia, Brazil, Malaysia and Papua New Guinea accounting for more than 50% of the global stock. 2.96 Pg of the global carbon stock is contained within the soil and 1.23 Pg in the living biomass. Two percent of global mangrove carbon was lost between 2000 and 2012, equivalent to a maximum potential of 316,996,250 t of CO2 emissions.","author":[{"dropping-particle":"","family":"Hamilton","given":"Stuart E.","non-dropping-particle":"","parse-names":false,"suffix":""},{"dropping-particle":"","family":"Friess","given":"Daniel A.","non-dropping-particle":"","parse-names":false,"suffix":""}],"container-title":"Nature Climate Change","id":"ITEM-1","issue":"3","issued":{"date-parts":[["2018"]]},"page":"240-244","title":"Global carbon stocks and potential emissions due to mangrove deforestation from 2000 to 2012","type":"article-journal","volume":"8"},"uris":["http://www.mendeley.com/documents/?uuid=8f9f1530-8aac-3063-b6ac-d0e087d212e4"]},{"id":"ITEM-2","itemData":{"DOI":"10.1088/1748-9326/aabe1c","ISSN":"17489326","author":[{"dropping-particle":"","family":"Sanderman","given":"Jonathan","non-dropping-particle":"","parse-names":false,"suffix":""},{"dropping-particle":"","family":"Hengl","given":"Tomislav","non-dropping-particle":"","parse-names":false,"suffix":""},{"dropping-particle":"","family":"Fiske","given":"Greg","non-dropping-particle":"","parse-names":false,"suffix":""},{"dropping-particle":"","family":"Solvik","given":"Kylen","non-dropping-particle":"","parse-names":false,"suffix":""},{"dropping-particle":"","family":"Adame","given":"Maria Fernanda","non-dropping-particle":"","parse-names":false,"suffix":""},{"dropping-particle":"","family":"Benson","given":"Lisa","non-dropping-particle":"","parse-names":false,"suffix":""},{"dropping-particle":"","family":"Bukoski","given":"Jacob J","non-dropping-particle":"","parse-names":false,"suffix":""},{"dropping-particle":"","family":"Carnell","given":"Paul","non-dropping-particle":"","parse-names":false,"suffix":""},{"dropping-particle":"","family":"Cifuentes-Jara","given":"Miguel","non-dropping-particle":"","parse-names":false,"suffix":""},{"dropping-particle":"","family":"Donato","given":"Daniel","non-dropping-particle":"","parse-names":false,"suffix":""},{"dropping-particle":"","family":"Duncan","given":"Clare","non-dropping-particle":"","parse-names":false,"suffix":""},{"dropping-particle":"","family":"Eid","given":"Ebrahem M","non-dropping-particle":"","parse-names":false,"suffix":""},{"dropping-particle":"","family":"Ermgassen","given":"Philine zu","non-dropping-particle":"","parse-names":false,"suffix":""},{"dropping-particle":"","family":"Lewis","given":"Carolyn J.Ewers","non-dropping-particle":"","parse-names":false,"suffix":""},{"dropping-particle":"","family":"Macreadie","given":"Peter I","non-dropping-particle":"","parse-names":false,"suffix":""},{"dropping-particle":"","family":"Glass","given":"Leah","non-dropping-particle":"","parse-names":false,"suffix":""},{"dropping-particle":"","family":"Gress","given":"Selena","non-dropping-particle":"","parse-names":false,"suffix":""},{"dropping-particle":"","family":"Jardine","given":"Sunny L","non-dropping-particle":"","parse-names":false,"suffix":""},{"dropping-particle":"","family":"Jones","given":"Trevor G","non-dropping-particle":"","parse-names":false,"suffix":""},{"dropping-particle":"","family":"Nsombo","given":"Eugéne Ndemem","non-dropping-particle":"","parse-names":false,"suffix":""},{"dropping-particle":"","family":"Rahman","given":"Md Mizanur","non-dropping-particle":"","parse-names":false,"suffix":""},{"dropping-particle":"","family":"Sanders","given":"Christian J","non-dropping-particle":"","parse-names":false,"suffix":""},{"dropping-particle":"","family":"Spalding","given":"Mark","non-dropping-particle":"","parse-names":false,"suffix":""},{"dropping-particle":"","family":"Landis","given":"Emily","non-dropping-particle":"","parse-names":false,"suffix":""}],"container-title":"Environmental Research Letters","id":"ITEM-2","issue":"5","issued":{"date-parts":[["2018","5","1"]]},"page":"055002","publisher":"IOP Publishing","title":"A global map of mangrove forest soil carbon at 30 m spatial resolution","type":"article-journal","volume":"13"},"uris":["http://www.mendeley.com/documents/?uuid=a27008a0-a4d5-343e-89c7-c4a4c0b60818"]}],"mendeley":{"formattedCitation":"(Hamilton and Friess, 2018; Sanderman et al., 2018)","plainTextFormattedCitation":"(Hamilton and Friess, 2018; Sanderman et al., 2018)","previouslyFormattedCitation":"(Hamilton and Friess, 2018; Sanderman et al., 2018)"},"properties":{"noteIndex":0},"schema":"https://github.com/citation-style-language/schema/raw/master/csl-citation.json"}</w:instrText>
      </w:r>
      <w:r w:rsidRPr="00C57A68">
        <w:rPr>
          <w:rFonts w:cstheme="minorHAnsi"/>
        </w:rPr>
        <w:fldChar w:fldCharType="separate"/>
      </w:r>
      <w:r w:rsidRPr="00C57A68">
        <w:rPr>
          <w:rFonts w:cstheme="minorHAnsi"/>
          <w:noProof/>
        </w:rPr>
        <w:t>(Hamilton and Friess, 2018; Sanderman et al., 2018)</w:t>
      </w:r>
      <w:r w:rsidRPr="00C57A68">
        <w:rPr>
          <w:rFonts w:cstheme="minorHAnsi"/>
        </w:rPr>
        <w:fldChar w:fldCharType="end"/>
      </w:r>
      <w:r w:rsidRPr="00C57A68">
        <w:rPr>
          <w:rFonts w:cstheme="minorHAnsi"/>
        </w:rPr>
        <w:t xml:space="preserve">. A combination of </w:t>
      </w:r>
      <w:r w:rsidRPr="00C57A68">
        <w:rPr>
          <w:rFonts w:cstheme="minorHAnsi"/>
        </w:rPr>
        <w:lastRenderedPageBreak/>
        <w:t xml:space="preserve">higher global soil C sequestration rates than previously reported, coupled with comparatively low emissions estimates associated with mangrove deforestation (0.24% annually), largely due to significant reductions in deforestation rates, means that C emissions from mangrove deforestation are now &lt;12% global annual soil sequestration rates. By contrast, in the 1980’s global emissions from mangrove deforestation were almost three-times global mangrove annual soil C sequestration (Figure 5.3). Despite the great uncertainties surrounding historical estimates of mangrove deforestation rates </w:t>
      </w:r>
      <w:r w:rsidRPr="00C57A68">
        <w:rPr>
          <w:rFonts w:cstheme="minorHAnsi"/>
        </w:rPr>
        <w:fldChar w:fldCharType="begin" w:fldLock="1"/>
      </w:r>
      <w:r w:rsidRPr="00C57A68">
        <w:rPr>
          <w:rFonts w:cstheme="minorHAnsi"/>
        </w:rPr>
        <w:instrText>ADDIN CSL_CITATION {"citationItems":[{"id":"ITEM-1","itemData":{"DOI":"10.1111/geb.12140","ISSN":"14668238","abstract":"Aim To quantify the variability in estimates of change in mangrove area for key countries throughout the tropics, and to highlight potential implications for the assessment of global mangrove ecology, function and conservation. Location Pan-tropical, covering 15 countries, and accounting for c. 67% of global mangrove area. Methods We review 314 national mangrove area estimates (authoritative state- mentswith defined time periods) fromvarious sources. Linear regressionmodels of mangrove area over time were applied to various data point combinations, defined by data source. These included various FAO resources, as well as academic and government statistics and remote sensing studies. Results National trends of change in mangrove area exhibited high variability depending on which data points were modelled. Many countries showed high variability in deforestation rate when the results of all models were combined, e.g. Indonesia had an average deforestation rate of 331.65 (± 222.26) km2 yr−1 , Nigeria lost 92.09 (± 188.95)km2 yr−1 and Cuba lost 34.82 (± 142.17)km2 yr−1 .The standard deviations were large due to high variability in national estimates, and hence the number of contradictory trends that could be extracted. Conflicting trends of long-term mangrove loss and gain could be derived for eight of the 15 countries analysed, including Indonesia, Brazil and the Philippines. Main conclusions The great variability in trends of mangrove extent suggests that estimates of ecosystem functional loss, biodiversity threat assessments and science-based conservation policies will be hampered by low confidence in man- grove area dynamics. Variable and inaccurate baseline data feed into various esti- mates of biodiversity and ecosystem functional loss, such as IUCN Red List assessments and estimates of global carbon emissions from mangrove deforesta- tion.We also require robust information to inform conservation actions and poli- cies hoping to reduce functional loss.Variability has important implications for all ecosystems ecosystems where statistics are required over large scales.","author":[{"dropping-particle":"","family":"Friess","given":"Daniel A.","non-dropping-particle":"","parse-names":false,"suffix":""},{"dropping-particle":"","family":"Webb","given":"Edward L.","non-dropping-particle":"","parse-names":false,"suffix":""}],"container-title":"Global Ecology and Biogeography","id":"ITEM-1","issue":"7","issued":{"date-parts":[["2014"]]},"page":"715-725","title":"Variability in mangrove change estimates and implications for the assessment of ecosystem service provision","type":"article-journal","volume":"23"},"uris":["http://www.mendeley.com/documents/?uuid=e7a6e77f-6667-3937-96e9-e1213324b9fe"]}],"mendeley":{"formattedCitation":"(Friess and Webb, 2014)","plainTextFormattedCitation":"(Friess and Webb, 2014)","previouslyFormattedCitation":"(Friess and Webb, 2014)"},"properties":{"noteIndex":0},"schema":"https://github.com/citation-style-language/schema/raw/master/csl-citation.json"}</w:instrText>
      </w:r>
      <w:r w:rsidRPr="00C57A68">
        <w:rPr>
          <w:rFonts w:cstheme="minorHAnsi"/>
        </w:rPr>
        <w:fldChar w:fldCharType="separate"/>
      </w:r>
      <w:r w:rsidRPr="00C57A68">
        <w:rPr>
          <w:rFonts w:cstheme="minorHAnsi"/>
          <w:noProof/>
        </w:rPr>
        <w:t>(Friess and Webb, 2014)</w:t>
      </w:r>
      <w:r w:rsidRPr="00C57A68">
        <w:rPr>
          <w:rFonts w:cstheme="minorHAnsi"/>
        </w:rPr>
        <w:fldChar w:fldCharType="end"/>
      </w:r>
      <w:r w:rsidRPr="00C57A68">
        <w:rPr>
          <w:rFonts w:cstheme="minorHAnsi"/>
        </w:rPr>
        <w:t xml:space="preserve">, this decrease since the 1980’s is a noteworthy success for mangrove conservation globally.  Moreover, at a national level, our estimates show that for many countries rates of C sequestration in mangrove soils could be higher than previously thought, so that governments may choose to place greater value on their mangroves as a means of offsetting emissions. The outcomes of this modelling study demonstrate the positive effect of future mangrove protection and restoration on national C budgets, providing governments useful data on their mangrove soil sequestration rates in comparison to likely emissions and C stocks, which have not previously been available.  Reducing emissions from mangrove deforestation is an achievable way to help countries’ meet their Nationally Determined Contributions (NDC’s) towards meeting the Paris Agreement and COP26 updates to this accord. Indonesia has pledged almost 60% of their unconditional emissions reductions by 2030 to come from forestry and other land use sectors </w:t>
      </w:r>
      <w:r w:rsidRPr="00C57A68">
        <w:rPr>
          <w:rFonts w:cstheme="minorHAnsi"/>
        </w:rPr>
        <w:fldChar w:fldCharType="begin" w:fldLock="1"/>
      </w:r>
      <w:r w:rsidRPr="00C57A68">
        <w:rPr>
          <w:rFonts w:cstheme="minorHAnsi"/>
        </w:rPr>
        <w:instrText>ADDIN CSL_CITATION {"citationItems":[{"id":"ITEM-1","itemData":{"abstract":"Indonesia submitted Intended Nationally Determined Contribution (INDC) to the United Nations Framework Convention on Climate Change (UNFCCC) Secretariat prior to COP-21. Under Decision 1/CP. 21, Party who has submitted its INDC before joining the Paris Agreement shall be considered to have communicated its 1st NDC unless the Party decides otherwise. Indonesia decided to strengthen its INDC by enhancing clarity, transparency, and understanding both for national and international interests, and submitted to the UNFCCC Secretariat the NDC document prior to COP-22. The NDC reflects the progression beyond the earlier pledge in INDC in terms of: (a) the national Business as Usual (BAU) scenario used – BAU of NDC is slightly lower than BAU of INDC (from 2.881 GtCO2e in INDC to 2.869 GtCO2e in NDC), and (b) clarity of sectoral BAU and emission reduction target allocation, and assumption used for BAU projection and target allocation. The NDC has set an ambitious mitigation target for forest and land use and energy sectors which account for about 97% of the total national commitment. The updated NDC reflects the progression beyond the existing NDC particularly in the following standpoints: 1. Enhanced ambition on adaptation as elaborated in the programmes, strategies and actions to achieve economic, social and livelihood, and ecosystem and landscape resilience, as depicted in Annex 2. 2. Enhanced clarity on mitigation by adopting the Paris Agreement rule book (Katowice Package) on information to be provided in NDC, as well as updated policies which potentially contribute to additional achievement of NDC target. 3. National context that relates the existing condition, milestones along with national development for the period of 2020-2024, and indicative pathways towards long- term vision (Visi Indonesia 2045 and the Long-Term Strategy on Low Carbon and Climate Resilient Development 2050). 4. Translating the Paris Agreement Rule Book (Katowice Package) into Indonesia’s context with a view to enhance effectiveness and efficiency in implementing the agreement and in communicating its progress and achievement as part of the responsibility of the party to the agreement. This includes elaborated chapters on transparency framework at the national level (National Registry System as the backbone of transparency framework), and means of implementation (finance, technology development and transfer, and capacity building).","author":[{"dropping-particle":"","family":"Ministry of Environment and Forestry Directorate General of Climate Change","given":"","non-dropping-particle":"","parse-names":false,"suffix":""}],"id":"ITEM-1","issued":{"date-parts":[["2021"]]},"number-of-pages":"32","title":"Updated Nationally Determined Contribution Republic of Indonesia 2021","type":"report"},"uris":["http://www.mendeley.com/documents/?uuid=3a826a8f-245f-4073-b0e1-4649e30466f0"]}],"mendeley":{"formattedCitation":"(Ministry of Environment and Forestry Directorate General of Climate Change, 2021)","plainTextFormattedCitation":"(Ministry of Environment and Forestry Directorate General of Climate Change, 2021)","previouslyFormattedCitation":"(Ministry of Environment and Forestry Directorate General of Climate Change, 2021)"},"properties":{"noteIndex":0},"schema":"https://github.com/citation-style-language/schema/raw/master/csl-citation.json"}</w:instrText>
      </w:r>
      <w:r w:rsidRPr="00C57A68">
        <w:rPr>
          <w:rFonts w:cstheme="minorHAnsi"/>
        </w:rPr>
        <w:fldChar w:fldCharType="separate"/>
      </w:r>
      <w:r w:rsidRPr="00C57A68">
        <w:rPr>
          <w:rFonts w:cstheme="minorHAnsi"/>
          <w:noProof/>
        </w:rPr>
        <w:t>(Ministry of Environment and Forestry Directorate General of Climate Change, 2021)</w:t>
      </w:r>
      <w:r w:rsidRPr="00C57A68">
        <w:rPr>
          <w:rFonts w:cstheme="minorHAnsi"/>
        </w:rPr>
        <w:fldChar w:fldCharType="end"/>
      </w:r>
      <w:r w:rsidRPr="00C57A68">
        <w:rPr>
          <w:rFonts w:cstheme="minorHAnsi"/>
        </w:rPr>
        <w:t xml:space="preserve">. Globally, emissions from mangrove deforestation have been estimated to be as high as 19% of global total deforestation emissions </w:t>
      </w:r>
      <w:r w:rsidRPr="00C57A68">
        <w:rPr>
          <w:rFonts w:cstheme="minorHAnsi"/>
        </w:rPr>
        <w:fldChar w:fldCharType="begin" w:fldLock="1"/>
      </w:r>
      <w:r w:rsidRPr="00C57A68">
        <w:rPr>
          <w:rFonts w:cstheme="minorHAnsi"/>
        </w:rPr>
        <w:instrText>ADDIN CSL_CITATION {"citationItems":[{"id":"ITEM-1","itemData":{"author":[{"dropping-particle":"","family":"Pendelton","given":"Linwood","non-dropping-particle":"","parse-names":false,"suffix":""},{"dropping-particle":"","family":"Donato","given":"Daniel C.","non-dropping-particle":"","parse-names":false,"suffix":""},{"dropping-particle":"","family":"Murray","given":"Brian C.","non-dropping-particle":"","parse-names":false,"suffix":""},{"dropping-particle":"","family":"Crooks","given":"Stephen","non-dropping-particle":"","parse-names":false,"suffix":""},{"dropping-particle":"","family":"Jenkins","given":"Aaron W.","non-dropping-particle":"","parse-names":false,"suffix":""},{"dropping-particle":"","family":"Sifleet","given":"Samantha","non-dropping-particle":"","parse-names":false,"suffix":""},{"dropping-particle":"","family":"Craft","given":"Christopher","non-dropping-particle":"","parse-names":false,"suffix":""},{"dropping-particle":"","family":"Fourqurean","given":"James W.","non-dropping-particle":"","parse-names":false,"suffix":""},{"dropping-particle":"","family":"Kauffman","given":"Boone J.","non-dropping-particle":"","parse-names":false,"suffix":""},{"dropping-particle":"","family":"Marba","given":"Nuria","non-dropping-particle":"","parse-names":false,"suffix":""},{"dropping-particle":"","family":"Megonigal","given":"Patrick","non-dropping-particle":"","parse-names":false,"suffix":""},{"dropping-particle":"","family":"Pidgeon","given":"Emily","non-dropping-particle":"","parse-names":false,"suffix":""},{"dropping-particle":"","family":"Herr","given":"Dorothee","non-dropping-particle":"","parse-names":false,"suffix":""},{"dropping-particle":"","family":"Gordon","given":"David","non-dropping-particle":"","parse-names":false,"suffix":""},{"dropping-particle":"","family":"Baldera","given":"Alexis","non-dropping-particle":"","parse-names":false,"suffix":""}],"container-title":"PLOS One","id":"ITEM-1","issue":"9","issued":{"date-parts":[["2012"]]},"title":"Estimating Global \"Blue Carbon\" Emissions from Conversion and Degradation of Vegetated Coastal Ecosystems","type":"article-journal","volume":"7"},"uris":["http://www.mendeley.com/documents/?uuid=a867634a-6fdb-4881-a086-6f256e2210aa"]}],"mendeley":{"formattedCitation":"(Pendelton et al., 2012)","plainTextFormattedCitation":"(Pendelton et al., 2012)","previouslyFormattedCitation":"(Pendelton et al., 2012)"},"properties":{"noteIndex":0},"schema":"https://github.com/citation-style-language/schema/raw/master/csl-citation.json"}</w:instrText>
      </w:r>
      <w:r w:rsidRPr="00C57A68">
        <w:rPr>
          <w:rFonts w:cstheme="minorHAnsi"/>
        </w:rPr>
        <w:fldChar w:fldCharType="separate"/>
      </w:r>
      <w:r w:rsidRPr="00C57A68">
        <w:rPr>
          <w:rFonts w:cstheme="minorHAnsi"/>
          <w:noProof/>
        </w:rPr>
        <w:t>(Pendelton et al., 2012)</w:t>
      </w:r>
      <w:r w:rsidRPr="00C57A68">
        <w:rPr>
          <w:rFonts w:cstheme="minorHAnsi"/>
        </w:rPr>
        <w:fldChar w:fldCharType="end"/>
      </w:r>
      <w:r w:rsidRPr="00C57A68">
        <w:rPr>
          <w:rFonts w:cstheme="minorHAnsi"/>
        </w:rPr>
        <w:t xml:space="preserve">. Financing of mangrove conservation is also a viable option for offsetting emissions where countries cannot directly reduce their own </w:t>
      </w:r>
      <w:r w:rsidRPr="00C57A68">
        <w:rPr>
          <w:rFonts w:cstheme="minorHAnsi"/>
        </w:rPr>
        <w:lastRenderedPageBreak/>
        <w:t xml:space="preserve">emissions </w:t>
      </w:r>
      <w:r w:rsidRPr="00C57A68">
        <w:rPr>
          <w:rFonts w:cstheme="minorHAnsi"/>
        </w:rPr>
        <w:fldChar w:fldCharType="begin" w:fldLock="1"/>
      </w:r>
      <w:r w:rsidRPr="00C57A68">
        <w:rPr>
          <w:rFonts w:cstheme="minorHAnsi"/>
        </w:rPr>
        <w:instrText xml:space="preserve">ADDIN CSL_CITATION {"citationItems":[{"id":"ITEM-1","itemData":{"DOI":"10.1016/j.cub.2021.01.070","ISSN":"18790445","PMID":"33600768","abstract":"Despite the outsized role of mangrove forests in sustaining biodiversity, ecosystem function, and local livelihoods, the protection of these vital habitats through blue carbon financing has been limited.1,2 Here, we quantify the extent of this missed conservation and financial opportunity, showing that the protection of </w:instrText>
      </w:r>
      <w:r w:rsidRPr="00C57A68">
        <w:rPr>
          <w:rFonts w:ascii="Cambria Math" w:hAnsi="Cambria Math" w:cs="Cambria Math"/>
        </w:rPr>
        <w:instrText>∼</w:instrText>
      </w:r>
      <w:r w:rsidRPr="00C57A68">
        <w:rPr>
          <w:rFonts w:cstheme="minorHAnsi"/>
        </w:rPr>
        <w:instrText xml:space="preserve">20% of the world's mangrove forests (2.6 Mha) can be funded through carbon financing. Of these investible areas, 1.1–1.3 Mha can be financially sustainable over a 30-year time frame based on carbon prices of US$5–9.4 t−1CO2e. This contributes up to 29.8 MtCO2e year−1 and yields a return on investment of </w:instrText>
      </w:r>
      <w:r w:rsidRPr="00C57A68">
        <w:rPr>
          <w:rFonts w:ascii="Cambria Math" w:hAnsi="Cambria Math" w:cs="Cambria Math"/>
        </w:rPr>
        <w:instrText>∼</w:instrText>
      </w:r>
      <w:r w:rsidRPr="00C57A68">
        <w:rPr>
          <w:rFonts w:cstheme="minorHAnsi"/>
        </w:rPr>
        <w:instrText>US$3.7 billion per year. Our results point toward a disproportionately large potential of blue carbon finance that can be leveraged to meet national-level climate mitigation goals, particularly if combined with other conservation interventions that further safeguard carbon stocks and biodiversity in these irreplaceable forests. Robust information on return on investment highlights the potential for currently underutilized tropical coastal carbon credit projects.","author":[{"dropping-particle":"","family":"Zeng","given":"Yiwen","non-dropping-particle":"","parse-names":false,"suffix":""},{"dropping-particle":"","family":"Friess","given":"Daniel A.","non-dropping-particle":"","parse-names":false,"suffix":""},{"dropping-particle":"","family":"Sarira","given":"Tasya Vadya","non-dropping-particle":"","parse-names":false,"suffix":""},{"dropping-particle":"","family":"Siman","given":"Kelly","non-dropping-particle":"","parse-names":false,"suffix":""},{"dropping-particle":"","family":"Koh","given":"Lian Pin","non-dropping-particle":"","parse-names":false,"suffix":""}],"container-title":"Current Biology","id":"ITEM-1","issue":"8","issued":{"date-parts":[["2021"]]},"page":"1737-1743.e3","title":"Global potential and limits of mangrove blue carbon for climate change mitigation","type":"article-journal","volume":"31"},"uris":["http://www.mendeley.com/documents/?uuid=07ea0631-cb8d-4eb2-8298-6dfbbd7b03dc"]}],"mendeley":{"formattedCitation":"(Zeng et al., 2021)","plainTextFormattedCitation":"(Zeng et al., 2021)","previouslyFormattedCitation":"(Zeng et al., 2021)"},"properties":{"noteIndex":0},"schema":"https://github.com/citation-style-language/schema/raw/master/csl-citation.json"}</w:instrText>
      </w:r>
      <w:r w:rsidRPr="00C57A68">
        <w:rPr>
          <w:rFonts w:cstheme="minorHAnsi"/>
        </w:rPr>
        <w:fldChar w:fldCharType="separate"/>
      </w:r>
      <w:r w:rsidRPr="00C57A68">
        <w:rPr>
          <w:rFonts w:cstheme="minorHAnsi"/>
          <w:noProof/>
        </w:rPr>
        <w:t>(Zeng et al., 2021)</w:t>
      </w:r>
      <w:r w:rsidRPr="00C57A68">
        <w:rPr>
          <w:rFonts w:cstheme="minorHAnsi"/>
        </w:rPr>
        <w:fldChar w:fldCharType="end"/>
      </w:r>
      <w:r w:rsidRPr="00C57A68">
        <w:rPr>
          <w:rFonts w:cstheme="minorHAnsi"/>
        </w:rPr>
        <w:t xml:space="preserve">. Selling carbon credits gained from avoided mangrove deforestation in voluntary carbon markets has been shown to have similar returns on investment to investing in traditional asset classes </w:t>
      </w:r>
      <w:r w:rsidRPr="00C57A68">
        <w:rPr>
          <w:rFonts w:cstheme="minorHAnsi"/>
        </w:rPr>
        <w:fldChar w:fldCharType="begin" w:fldLock="1"/>
      </w:r>
      <w:r w:rsidRPr="00C57A68">
        <w:rPr>
          <w:rFonts w:cstheme="minorHAnsi"/>
        </w:rPr>
        <w:instrText xml:space="preserve">ADDIN CSL_CITATION {"citationItems":[{"id":"ITEM-1","itemData":{"DOI":"10.1016/j.ecoser.2019.101035","ISSN":"22120416","abstract":"Mangroves have generated considerable interest in forest carbon discourse given their disproportionately high carbon storage and sequestration potential compared to terrestrial habitats. Capitalising on this potential, however, remains largely unrealised due in part to an incomplete understanding of the full greenhouse gas mitigation benefits provided, particularly through changes in landuse where aquaculture ponds are converted back to mangroves. Here we address such uncertainties by estimating the overall net greenhouse offset potential from rehabilitating mangroves in Tiwoho, North Sulawesi (Indonesia). Estimates of both baseline emissions and sequestration as mangrove forests regrow after rehabilitation were assessed, with results contrasted against published data on established mangroves and terrestrial forest carbon projects registered with the Verified Carbon Standard. Additionally, net emissions removals and reductions from Tiwoho is scaled-up to the national level in order to estimate the contribution rehabilitation of disused ponds can make to climate change mitigation. We also monetarise potential returns generated to date and frame this against project implementation and opportunity costs. Our data indicates that, on average, Tiwoho's rehabilitating sites could potentially mitigate upwards of −27.6 ± 1.7 Mg CO2-e per hectare per year. This is upwards of 3 times that of other terrestrial forestry carbon projects and, assuming a voluntary carbon market price of USD $8.1 per Mg CO2-e per hectare for afforestation/reforestation projects, equates to recuperation of 76.2% of initial project implementation costs over approximately 10 years with an annual return of 7.6%. This return rate rivals that of most asset classes targeted by private sector investors. Scaling results to encompass the net emissions removals and reduction potential from rehabilitating the </w:instrText>
      </w:r>
      <w:r w:rsidRPr="00C57A68">
        <w:rPr>
          <w:rFonts w:ascii="Cambria Math" w:hAnsi="Cambria Math" w:cs="Cambria Math"/>
        </w:rPr>
        <w:instrText>∼</w:instrText>
      </w:r>
      <w:r w:rsidRPr="00C57A68">
        <w:rPr>
          <w:rFonts w:cstheme="minorHAnsi"/>
        </w:rPr>
        <w:instrText>600, 000 hectares of disused ponds in Indonesia may offset upwards of −16.56 ± 1.02 million Mg CO2-e per hectare per year. Additionally, mitigation benefits from rehabilitation may equate to 6 times that of terrestrial projects if situated in ponds displaying both high baseline emissions and high rates of re-growth whilst accounting for sequestration from benthic algae and the oceanic burial of dissolved inorganic carbon. These findings strengthen the evidence base needed for public and private sector support for mangrove rehabilitation within the forest carbon sector.","author":[{"dropping-particle":"","family":"Cameron","given":"Clint","non-dropping-particle":"","parse-names":false,"suffix":""},{"dropping-particle":"","family":"Hutley","given":"Lindsay B.","non-dropping-particle":"","parse-names":false,"suffix":""},{"dropping-particle":"","family":"Friess","given":"Daniel A.","non-dropping-particle":"","parse-names":false,"suffix":""},{"dropping-particle":"","family":"Brown","given":"Ben","non-dropping-particle":"","parse-names":false,"suffix":""}],"container-title":"Ecosystem Services","id":"ITEM-1","issued":{"date-parts":[["2019"]]},"title":"High greenhouse gas emissions mitigation benefits from mangrove rehabilitation in Sulawesi, Indonesia","type":"article-journal","volume":"40"},"uris":["http://www.mendeley.com/documents/?uuid=37df7189-2c91-473f-9386-68fa3bfc0954"]}],"mendeley":{"formattedCitation":"(Cameron et al., 2019)","plainTextFormattedCitation":"(Cameron et al., 2019)","previouslyFormattedCitation":"(Cameron et al., 2019)"},"properties":{"noteIndex":0},"schema":"https://github.com/citation-style-language/schema/raw/master/csl-citation.json"}</w:instrText>
      </w:r>
      <w:r w:rsidRPr="00C57A68">
        <w:rPr>
          <w:rFonts w:cstheme="minorHAnsi"/>
        </w:rPr>
        <w:fldChar w:fldCharType="separate"/>
      </w:r>
      <w:r w:rsidRPr="00C57A68">
        <w:rPr>
          <w:rFonts w:cstheme="minorHAnsi"/>
          <w:noProof/>
        </w:rPr>
        <w:t>(Cameron et al., 2019)</w:t>
      </w:r>
      <w:r w:rsidRPr="00C57A68">
        <w:rPr>
          <w:rFonts w:cstheme="minorHAnsi"/>
        </w:rPr>
        <w:fldChar w:fldCharType="end"/>
      </w:r>
      <w:r w:rsidRPr="00C57A68">
        <w:rPr>
          <w:rFonts w:cstheme="minorHAnsi"/>
        </w:rPr>
        <w:t>. Mangroves alone will not mitigate fully against climate change, however, their conservation can be used as a practical tool to facilitate countries’ moving towards carbon neutrality</w:t>
      </w:r>
      <w:bookmarkStart w:id="68" w:name="_Hlk87886148"/>
      <w:r w:rsidRPr="00C57A68">
        <w:rPr>
          <w:rFonts w:cstheme="minorHAnsi"/>
        </w:rPr>
        <w:t>, as well as securing additional co-benefits through the enhancement of mangrove-derived ecosystem services.</w:t>
      </w:r>
      <w:bookmarkEnd w:id="68"/>
    </w:p>
    <w:p w14:paraId="01BF0E05" w14:textId="77777777" w:rsidR="007B3BFC" w:rsidRDefault="007B3BFC" w:rsidP="00344027">
      <w:pPr>
        <w:spacing w:line="480" w:lineRule="auto"/>
        <w:rPr>
          <w:rFonts w:asciiTheme="majorBidi" w:hAnsiTheme="majorBidi" w:cstheme="majorBidi"/>
        </w:rPr>
        <w:sectPr w:rsidR="007B3BFC" w:rsidSect="00392131">
          <w:pgSz w:w="12240" w:h="15840"/>
          <w:pgMar w:top="1440" w:right="1440" w:bottom="1440" w:left="1440" w:header="720" w:footer="720" w:gutter="0"/>
          <w:cols w:space="720"/>
          <w:docGrid w:linePitch="326"/>
        </w:sectPr>
      </w:pPr>
    </w:p>
    <w:p w14:paraId="0892FD89" w14:textId="030F45DC" w:rsidR="00AC29ED" w:rsidRDefault="00AC29ED" w:rsidP="00AC29ED">
      <w:pPr>
        <w:pStyle w:val="Heading1"/>
        <w:spacing w:line="276" w:lineRule="auto"/>
        <w:ind w:left="1134" w:hanging="567"/>
        <w:rPr>
          <w:rFonts w:asciiTheme="minorHAnsi" w:hAnsiTheme="minorHAnsi" w:cstheme="minorHAnsi"/>
          <w:b/>
          <w:bCs/>
          <w:color w:val="000000" w:themeColor="text1"/>
        </w:rPr>
      </w:pPr>
      <w:bookmarkStart w:id="69" w:name="_Toc120622156"/>
      <w:r w:rsidRPr="00B07E7D">
        <w:rPr>
          <w:rFonts w:asciiTheme="minorHAnsi" w:hAnsiTheme="minorHAnsi" w:cstheme="minorHAnsi"/>
          <w:b/>
          <w:bCs/>
          <w:color w:val="000000" w:themeColor="text1"/>
        </w:rPr>
        <w:lastRenderedPageBreak/>
        <w:t>6.</w:t>
      </w:r>
      <w:r w:rsidRPr="00B07E7D">
        <w:rPr>
          <w:rFonts w:asciiTheme="minorHAnsi" w:hAnsiTheme="minorHAnsi" w:cstheme="minorHAnsi"/>
          <w:b/>
          <w:bCs/>
          <w:color w:val="000000" w:themeColor="text1"/>
        </w:rPr>
        <w:tab/>
        <w:t>General discussion</w:t>
      </w:r>
      <w:bookmarkEnd w:id="69"/>
    </w:p>
    <w:p w14:paraId="0A152F30" w14:textId="77777777" w:rsidR="00AC29ED" w:rsidRPr="00DE39A2" w:rsidRDefault="00AC29ED" w:rsidP="00AC29ED">
      <w:pPr>
        <w:spacing w:line="276" w:lineRule="auto"/>
      </w:pPr>
    </w:p>
    <w:p w14:paraId="69C003AD" w14:textId="79EB19B6" w:rsidR="00AC29ED" w:rsidRPr="00AB7CE1" w:rsidRDefault="00AC29ED" w:rsidP="00AC29ED">
      <w:pPr>
        <w:pStyle w:val="Heading2"/>
        <w:rPr>
          <w:rFonts w:asciiTheme="minorHAnsi" w:hAnsiTheme="minorHAnsi" w:cstheme="minorHAnsi"/>
          <w:b/>
          <w:bCs/>
          <w:color w:val="000000" w:themeColor="text1"/>
        </w:rPr>
      </w:pPr>
      <w:bookmarkStart w:id="70" w:name="_Toc120622157"/>
      <w:r w:rsidRPr="00AB7CE1">
        <w:rPr>
          <w:rFonts w:asciiTheme="minorHAnsi" w:hAnsiTheme="minorHAnsi" w:cstheme="minorHAnsi"/>
          <w:b/>
          <w:bCs/>
          <w:color w:val="000000" w:themeColor="text1"/>
        </w:rPr>
        <w:t>6.1</w:t>
      </w:r>
      <w:r w:rsidRPr="00AB7CE1">
        <w:rPr>
          <w:rFonts w:asciiTheme="minorHAnsi" w:hAnsiTheme="minorHAnsi" w:cstheme="minorHAnsi"/>
          <w:b/>
          <w:bCs/>
          <w:color w:val="000000" w:themeColor="text1"/>
        </w:rPr>
        <w:tab/>
        <w:t>Aims of the thesis</w:t>
      </w:r>
      <w:bookmarkEnd w:id="70"/>
    </w:p>
    <w:p w14:paraId="0659E961" w14:textId="77777777" w:rsidR="00AC29ED" w:rsidRDefault="00AC29ED" w:rsidP="00AC29ED">
      <w:pPr>
        <w:spacing w:line="480" w:lineRule="auto"/>
      </w:pPr>
      <w:r w:rsidRPr="00C36963">
        <w:rPr>
          <w:rFonts w:cstheme="minorHAnsi"/>
        </w:rPr>
        <w:t xml:space="preserve">The overarching aims of this thesis were to compare the functioning of mangroves in the extreme environment of Qatar to their tropical counterparts and to see how these data can inform </w:t>
      </w:r>
      <w:r>
        <w:rPr>
          <w:rFonts w:cstheme="minorHAnsi"/>
        </w:rPr>
        <w:t xml:space="preserve">current and future </w:t>
      </w:r>
      <w:r w:rsidRPr="00C36963">
        <w:rPr>
          <w:rFonts w:cstheme="minorHAnsi"/>
        </w:rPr>
        <w:t xml:space="preserve">estimates </w:t>
      </w:r>
      <w:r>
        <w:rPr>
          <w:rFonts w:cstheme="minorHAnsi"/>
        </w:rPr>
        <w:t>of</w:t>
      </w:r>
      <w:r w:rsidRPr="00C36963">
        <w:rPr>
          <w:rFonts w:cstheme="minorHAnsi"/>
        </w:rPr>
        <w:t xml:space="preserve"> global </w:t>
      </w:r>
      <w:r>
        <w:rPr>
          <w:rFonts w:cstheme="minorHAnsi"/>
        </w:rPr>
        <w:t xml:space="preserve">mangrove productivity rates and </w:t>
      </w:r>
      <w:r w:rsidRPr="00C36963">
        <w:rPr>
          <w:rFonts w:cstheme="minorHAnsi"/>
        </w:rPr>
        <w:t xml:space="preserve">carbon stocks. </w:t>
      </w:r>
      <w:r>
        <w:rPr>
          <w:rFonts w:cstheme="minorHAnsi"/>
        </w:rPr>
        <w:t xml:space="preserve">To that aim, two chapters report data collected on mangrove functioning in an extreme, understudied environment. In the modelling chapters, these findings are included with global datasets to inform models of current and future global mangrove productivity rates and carbon stocks. </w:t>
      </w:r>
      <w:r>
        <w:t xml:space="preserve"> The research questions raised by this thesis can be summarised as:</w:t>
      </w:r>
    </w:p>
    <w:p w14:paraId="425AE66F" w14:textId="77777777" w:rsidR="00AC29ED" w:rsidRPr="002E32E8" w:rsidRDefault="00AC29ED" w:rsidP="00AC29ED">
      <w:pPr>
        <w:pStyle w:val="ListParagraph"/>
        <w:numPr>
          <w:ilvl w:val="0"/>
          <w:numId w:val="42"/>
        </w:numPr>
        <w:spacing w:after="0" w:line="480" w:lineRule="auto"/>
      </w:pPr>
      <w:r w:rsidRPr="002E32E8">
        <w:rPr>
          <w:rFonts w:cstheme="minorHAnsi"/>
          <w:i/>
          <w:iCs/>
        </w:rPr>
        <w:t>How productive are the mangroves in Qatar (chapter 2)?</w:t>
      </w:r>
    </w:p>
    <w:p w14:paraId="34471301" w14:textId="77777777" w:rsidR="00AC29ED" w:rsidRPr="002E32E8" w:rsidRDefault="00AC29ED" w:rsidP="00AC29ED">
      <w:pPr>
        <w:pStyle w:val="ListParagraph"/>
        <w:numPr>
          <w:ilvl w:val="0"/>
          <w:numId w:val="42"/>
        </w:numPr>
        <w:spacing w:after="0" w:line="480" w:lineRule="auto"/>
      </w:pPr>
      <w:r w:rsidRPr="002E32E8">
        <w:rPr>
          <w:rFonts w:cstheme="minorHAnsi"/>
          <w:i/>
          <w:iCs/>
        </w:rPr>
        <w:t>Are they less productive than their tropical counterparts (chapters 2 and 3)?</w:t>
      </w:r>
    </w:p>
    <w:p w14:paraId="25B0EFAC" w14:textId="77777777" w:rsidR="00AC29ED" w:rsidRPr="002E32E8" w:rsidRDefault="00AC29ED" w:rsidP="00AC29ED">
      <w:pPr>
        <w:pStyle w:val="ListParagraph"/>
        <w:numPr>
          <w:ilvl w:val="0"/>
          <w:numId w:val="42"/>
        </w:numPr>
        <w:spacing w:after="0" w:line="480" w:lineRule="auto"/>
      </w:pPr>
      <w:r w:rsidRPr="002E32E8">
        <w:rPr>
          <w:rFonts w:cstheme="minorHAnsi"/>
          <w:i/>
          <w:iCs/>
        </w:rPr>
        <w:t>How much carbon is stored in Qatari mangroves (chapter 4)?</w:t>
      </w:r>
    </w:p>
    <w:p w14:paraId="0FE758F4" w14:textId="77777777" w:rsidR="00AC29ED" w:rsidRPr="002E32E8" w:rsidRDefault="00AC29ED" w:rsidP="00AC29ED">
      <w:pPr>
        <w:pStyle w:val="ListParagraph"/>
        <w:numPr>
          <w:ilvl w:val="0"/>
          <w:numId w:val="42"/>
        </w:numPr>
        <w:spacing w:after="0" w:line="480" w:lineRule="auto"/>
      </w:pPr>
      <w:r w:rsidRPr="002E32E8">
        <w:rPr>
          <w:rFonts w:cstheme="minorHAnsi"/>
          <w:i/>
          <w:iCs/>
        </w:rPr>
        <w:t>Do mangroves in Qatar store less carbon than their tropical counterparts (chapters 4 and 5)?</w:t>
      </w:r>
    </w:p>
    <w:p w14:paraId="394C3659" w14:textId="77777777" w:rsidR="00AC29ED" w:rsidRPr="002E32E8" w:rsidRDefault="00AC29ED" w:rsidP="00AC29ED">
      <w:pPr>
        <w:pStyle w:val="ListParagraph"/>
        <w:numPr>
          <w:ilvl w:val="0"/>
          <w:numId w:val="42"/>
        </w:numPr>
        <w:spacing w:after="0" w:line="480" w:lineRule="auto"/>
      </w:pPr>
      <w:r w:rsidRPr="002E32E8">
        <w:rPr>
          <w:rFonts w:cstheme="minorHAnsi"/>
          <w:i/>
          <w:iCs/>
        </w:rPr>
        <w:t>How can mangrove functioning in Qatar inform current global estimates of mangrove productivity and carbon stocks (chapter 3 and 5)?</w:t>
      </w:r>
    </w:p>
    <w:p w14:paraId="3BCDC687" w14:textId="77777777" w:rsidR="00AC29ED" w:rsidRPr="006F012A" w:rsidRDefault="00AC29ED" w:rsidP="00AC29ED">
      <w:pPr>
        <w:pStyle w:val="ListParagraph"/>
        <w:numPr>
          <w:ilvl w:val="0"/>
          <w:numId w:val="42"/>
        </w:numPr>
        <w:spacing w:after="0" w:line="480" w:lineRule="auto"/>
      </w:pPr>
      <w:r w:rsidRPr="002E32E8">
        <w:rPr>
          <w:rFonts w:cstheme="minorHAnsi"/>
          <w:i/>
          <w:iCs/>
        </w:rPr>
        <w:t>How can mangrove functioning in Qatar inform estimates of global change in mangrove productivity and carbon stocks by the end of the 21</w:t>
      </w:r>
      <w:r w:rsidRPr="002E32E8">
        <w:rPr>
          <w:rFonts w:cstheme="minorHAnsi"/>
          <w:i/>
          <w:iCs/>
          <w:vertAlign w:val="superscript"/>
        </w:rPr>
        <w:t>st</w:t>
      </w:r>
      <w:r w:rsidRPr="002E32E8">
        <w:rPr>
          <w:rFonts w:cstheme="minorHAnsi"/>
          <w:i/>
          <w:iCs/>
        </w:rPr>
        <w:t xml:space="preserve"> century (chapter 3 and 5)?</w:t>
      </w:r>
    </w:p>
    <w:p w14:paraId="60460CD9" w14:textId="77777777" w:rsidR="00AC29ED" w:rsidRDefault="00AC29ED" w:rsidP="00AC29ED">
      <w:pPr>
        <w:spacing w:line="480" w:lineRule="auto"/>
        <w:rPr>
          <w:b/>
          <w:bCs/>
        </w:rPr>
      </w:pPr>
    </w:p>
    <w:p w14:paraId="7A67B892" w14:textId="2EB76D4F" w:rsidR="00AC29ED" w:rsidRPr="00AB7CE1" w:rsidRDefault="00AC29ED" w:rsidP="00AC29ED">
      <w:pPr>
        <w:pStyle w:val="Heading2"/>
      </w:pPr>
      <w:bookmarkStart w:id="71" w:name="_Toc120622158"/>
      <w:r w:rsidRPr="00AB7CE1">
        <w:rPr>
          <w:rFonts w:asciiTheme="minorHAnsi" w:hAnsiTheme="minorHAnsi" w:cstheme="minorHAnsi"/>
          <w:b/>
          <w:bCs/>
          <w:color w:val="000000" w:themeColor="text1"/>
        </w:rPr>
        <w:t>6.2</w:t>
      </w:r>
      <w:r w:rsidR="004E037E">
        <w:rPr>
          <w:rFonts w:asciiTheme="minorHAnsi" w:hAnsiTheme="minorHAnsi" w:cstheme="minorHAnsi"/>
          <w:b/>
          <w:bCs/>
          <w:color w:val="000000" w:themeColor="text1"/>
        </w:rPr>
        <w:tab/>
      </w:r>
      <w:r w:rsidRPr="00AB7CE1">
        <w:rPr>
          <w:rFonts w:asciiTheme="minorHAnsi" w:hAnsiTheme="minorHAnsi" w:cstheme="minorHAnsi"/>
          <w:b/>
          <w:bCs/>
          <w:color w:val="000000" w:themeColor="text1"/>
        </w:rPr>
        <w:t>Summary of findings</w:t>
      </w:r>
      <w:bookmarkEnd w:id="71"/>
      <w:r w:rsidRPr="00AB7CE1">
        <w:rPr>
          <w:rFonts w:asciiTheme="minorHAnsi" w:hAnsiTheme="minorHAnsi" w:cstheme="minorHAnsi"/>
          <w:b/>
          <w:bCs/>
          <w:color w:val="000000" w:themeColor="text1"/>
        </w:rPr>
        <w:t xml:space="preserve"> </w:t>
      </w:r>
    </w:p>
    <w:p w14:paraId="7820ADC6" w14:textId="77777777" w:rsidR="00AC29ED" w:rsidRPr="002E32E8" w:rsidRDefault="00AC29ED" w:rsidP="00AC29ED">
      <w:pPr>
        <w:spacing w:line="480" w:lineRule="auto"/>
      </w:pPr>
      <w:r>
        <w:rPr>
          <w:rFonts w:cstheme="minorHAnsi"/>
        </w:rPr>
        <w:t xml:space="preserve">These questions can be grouped into two overarching groups. First, quantifying mangrove productivity and carbon stocks on a local scale, in Qatari mangroves, and how they compare to their tropical counter parts; secondly, how can this knowledge inform estimates of current and </w:t>
      </w:r>
      <w:r>
        <w:rPr>
          <w:rFonts w:cstheme="minorHAnsi"/>
        </w:rPr>
        <w:lastRenderedPageBreak/>
        <w:t>future mangrove carbon stocks and productivity. The aims are grouped below and will be discussed on a local scale and then on a global/regional scale.</w:t>
      </w:r>
    </w:p>
    <w:p w14:paraId="18B78522" w14:textId="77777777" w:rsidR="00AC29ED" w:rsidRPr="001575F0" w:rsidRDefault="00AC29ED" w:rsidP="00AC29ED">
      <w:pPr>
        <w:spacing w:line="480" w:lineRule="auto"/>
        <w:rPr>
          <w:rFonts w:cstheme="minorHAnsi"/>
        </w:rPr>
      </w:pPr>
    </w:p>
    <w:p w14:paraId="537B3B19" w14:textId="77777777" w:rsidR="00AC29ED" w:rsidRPr="00CF59A5" w:rsidRDefault="00AC29ED" w:rsidP="00AC29ED">
      <w:pPr>
        <w:spacing w:line="480" w:lineRule="auto"/>
        <w:ind w:left="720"/>
        <w:rPr>
          <w:rFonts w:cstheme="minorHAnsi"/>
          <w:i/>
          <w:iCs/>
        </w:rPr>
      </w:pPr>
      <w:r w:rsidRPr="00CF59A5">
        <w:rPr>
          <w:rFonts w:cstheme="minorHAnsi"/>
          <w:i/>
          <w:iCs/>
        </w:rPr>
        <w:t>How productive are the mangroves in Qatar (chapter 2)? Are they less productive than their tropical counterparts (chapters 2 and 3)? How much carbon is stored in Qatari mangroves (chapter 4)? Do mangroves in Qatar store less carbon than their tropical counterparts (chapters 4 and 5)?</w:t>
      </w:r>
    </w:p>
    <w:p w14:paraId="39970E71" w14:textId="77777777" w:rsidR="00AC29ED" w:rsidRDefault="00AC29ED" w:rsidP="00AC29ED">
      <w:pPr>
        <w:spacing w:line="480" w:lineRule="auto"/>
        <w:rPr>
          <w:rFonts w:cstheme="minorHAnsi"/>
        </w:rPr>
      </w:pPr>
    </w:p>
    <w:p w14:paraId="7311CF27" w14:textId="63FB616A" w:rsidR="00AC29ED" w:rsidRDefault="00AC29ED" w:rsidP="00AC29ED">
      <w:pPr>
        <w:spacing w:line="480" w:lineRule="auto"/>
        <w:rPr>
          <w:rFonts w:cstheme="minorHAnsi"/>
        </w:rPr>
      </w:pPr>
      <w:r w:rsidRPr="00E81222">
        <w:rPr>
          <w:rFonts w:cstheme="minorHAnsi"/>
        </w:rPr>
        <w:t xml:space="preserve">Results of the current study showed productivity </w:t>
      </w:r>
      <w:r>
        <w:rPr>
          <w:rFonts w:cstheme="minorHAnsi"/>
        </w:rPr>
        <w:t xml:space="preserve">and overall carbon stocks </w:t>
      </w:r>
      <w:r w:rsidRPr="00E81222">
        <w:rPr>
          <w:rFonts w:cstheme="minorHAnsi"/>
        </w:rPr>
        <w:t xml:space="preserve">of mangroves in Qatar to be lower than their tropical counterparts. </w:t>
      </w:r>
      <w:r>
        <w:rPr>
          <w:rFonts w:cstheme="minorHAnsi"/>
        </w:rPr>
        <w:t xml:space="preserve">Above and below ground productivity and carbon stocks were comparable to mangroves in other arid locations but were markedly reduced when compared to tropical humid mangroves. </w:t>
      </w:r>
      <w:r w:rsidRPr="00F87D4A">
        <w:rPr>
          <w:rFonts w:cstheme="minorHAnsi"/>
        </w:rPr>
        <w:t>Total mangrove</w:t>
      </w:r>
      <w:r>
        <w:rPr>
          <w:rFonts w:cstheme="minorHAnsi"/>
        </w:rPr>
        <w:t xml:space="preserve"> carbon</w:t>
      </w:r>
      <w:r w:rsidRPr="00F87D4A">
        <w:rPr>
          <w:rFonts w:cstheme="minorHAnsi"/>
        </w:rPr>
        <w:t xml:space="preserve"> stocks in Qatar were less than one-twentieth of tropical mangroves </w:t>
      </w:r>
      <w:r>
        <w:rPr>
          <w:rFonts w:cstheme="minorHAnsi"/>
        </w:rPr>
        <w:t xml:space="preserve">and </w:t>
      </w:r>
      <w:r w:rsidRPr="004B3DD9">
        <w:rPr>
          <w:rFonts w:cstheme="minorHAnsi"/>
        </w:rPr>
        <w:t>were comparable to other arid regions in which mangroves occu</w:t>
      </w:r>
      <w:r>
        <w:rPr>
          <w:rFonts w:cstheme="minorHAnsi"/>
        </w:rPr>
        <w:t xml:space="preserve">r </w:t>
      </w:r>
      <w:r>
        <w:rPr>
          <w:rFonts w:cstheme="minorHAnsi"/>
        </w:rPr>
        <w:fldChar w:fldCharType="begin" w:fldLock="1"/>
      </w:r>
      <w:r w:rsidR="008A48C6">
        <w:rPr>
          <w:rFonts w:cstheme="minorHAnsi"/>
        </w:rPr>
        <w:instrText>ADDIN CSL_CITATION {"citationItems":[{"id":"ITEM-1","itemData":{"DOI":"10.1038/ngeo1123","ISBN":"1752-0894","ISSN":"1752-0894","PMID":"17701399","abstract":"Mangrove forests occur along ocean coastlines throughout the tropics, and support numerous ecosystem services, including fisheries production and nutrient cycling. However, the areal extent of mangrove forests has declined by 30–50% over the past half century as a result of coastal development, aqua- culture expansion and over-harvesting1–4. Carbon emissions resulting from mangrove loss are uncertain, owing in part to a lack of broad-scale data on the amount of carbon stored in these ecosystems, particularly below ground5. Here, we quantified whole-ecosystem carbon storage by measuring tree and dead wood biomass, soil carbon content, and soil depth in 25 mangrove forests across a broad area of the Indo-Pacific region—spanning 30◦ of latitude and 73◦ of longitude—where mangrove area and diversity are greatest4,6. These data indi- cate that mangroves are among the most carbon-rich forests in the tropics, containing on average 1,023Mg carbon per hectare. Organic-rich soils ranged from 0.5mto more than 3m in depth and accounted for 49–98% of carbon storage in these systems. Combining our data with other published information, we estimate that mangrove deforestation generates emissions of 0.02–0.12Pg carbon per year—as much as around 10% of emissions from deforestation globally, despite accounting for just 0.7%of tropical forest area.","author":[{"dropping-particle":"","family":"Donato","given":"Daniel C.","non-dropping-particle":"","parse-names":false,"suffix":""},{"dropping-particle":"","family":"Kauffman","given":"J. Boone","non-dropping-particle":"","parse-names":false,"suffix":""},{"dropping-particle":"","family":"Murdiyarso","given":"Daniel","non-dropping-particle":"","parse-names":false,"suffix":""},{"dropping-particle":"","family":"Kurnianto","given":"Sofyan","non-dropping-particle":"","parse-names":false,"suffix":""},{"dropping-particle":"","family":"Stidham","given":"Melanie","non-dropping-particle":"","parse-names":false,"suffix":""},{"dropping-particle":"","family":"Kanninen","given":"Markku","non-dropping-particle":"","parse-names":false,"suffix":""}],"container-title":"Nature Geoscience","id":"ITEM-1","issue":"5","issued":{"date-parts":[["2011"]]},"page":"293-297","title":"Mangroves among the most carbon-rich forests in the tropics","type":"article-journal","volume":"4"},"uris":["http://www.mendeley.com/documents/?uuid=490346f7-5ac8-4ae2-8d0c-30ebcec82312"]},{"id":"ITEM-2","itemData":{"DOI":"10.1038/nclimate2734","ISBN":"1758-678X","ISSN":"1758-678X","abstract":"Mangroves provide a wide range of ecosystem services, including nutrient cycling, soil formation, wood production, fish spawning grounds, ecotourism and carbon (C) storage 1 . High rates of tree and plant growth, coupled with anaerobic, water-logged soils that slow decomposition, result in large long-term C storage. Given their global significance as large sinks of C, preventing mangrove loss would be an eeective climate change adaptation and mitigation strategy. It has been reported that C stocks in the Indo-Pacific region contain on average 1,023 MgC ha −1 (ref. 2). Here, we estimate that In-donesian mangrove C stocks are 1,083 ± 378 MgC ha −1 . Scaled up to the country-level mangrove extent of 2.9 Mha (ref. 3), Indonesia's mangroves contained on average 3.14 PgC. In three decades Indonesia has lost 40% of its mangroves 4 , mainly as a result of aquaculture development 5 . This has resulted in annual emissions of 0.07–0.21 Pg CO 2 e. Annual mangrove deforesta-tion in Indonesia is only 6% of its total forest loss 6 ; however, if this were halted, total emissions would be reduced by an amount equal to 10–31% of estimated annual emissions from land-use sectors at present. Conservation of carbon-rich man-groves in the Indonesian archipelago should be a high-priority component of strategies to mitigate climate change. Globally, deforestation and conversion of mangroves has been shown to contribute 0.08–0.48 Pg CO 2 e yr −1 , or 10% of the total global emissions from tropical deforestation, even though man-groves account for only about 0.7% of the world's tropical forest area 2 . C losses from mangrove conversion can be high not only because of losses from aboveground C pools but also belowground pools. Potential C losses from mangroves converted to shrimp ponds in the Dominican Republic were 661–1,135 MgC ha −1 (ref. 7). In 1980, there were 4.2 Mha of mangrove forests along Indonesia's 95,000 km of coastline 3 . Over just 20 years mangrove forest cover had declined about 26%, to an estimated 3.1 Mha (ref. 8). In 2005, mangrove forest cover had further decreased to 2.9 Mha (ref. 3). On the basis of FAO data, cumulatively Indonesia has lost 30% of its mangrove forests between 1980 and 2005; this is equivalent to an annual deforestation rate of 1.24%. Recent estimates of Indonesia's mangrove cover suggest a total loss of 40% in the past three decades 4 . Aquaculture development was the main cause 5 , after it expanded rapidly in 1997–2005 and resulted in an o…","author":[{"dropping-particle":"","family":"Murdiyarso","given":"Daniel","non-dropping-particle":"","parse-names":false,"suffix":""},{"dropping-particle":"","family":"Purbopuspito","given":"Joko","non-dropping-particle":"","parse-names":false,"suffix":""},{"dropping-particle":"","family":"Kauffman","given":"J. Boone","non-dropping-particle":"","parse-names":false,"suffix":""},{"dropping-particle":"","family":"Warren","given":"Matthew W.","non-dropping-particle":"","parse-names":false,"suffix":""},{"dropping-particle":"","family":"Sasmito","given":"Sigit D.","non-dropping-particle":"","parse-names":false,"suffix":""},{"dropping-particle":"","family":"Donato","given":"Daniel C.","non-dropping-particle":"","parse-names":false,"suffix":""},{"dropping-particle":"","family":"Manuri","given":"Solichin","non-dropping-particle":"","parse-names":false,"suffix":""},{"dropping-particle":"","family":"Krisnawati","given":"Haruni","non-dropping-particle":"","parse-names":false,"suffix":""},{"dropping-particle":"","family":"Taberima","given":"Sartji","non-dropping-particle":"","parse-names":false,"suffix":""},{"dropping-particle":"","family":"Kurnianto","given":"Sofyan","non-dropping-particle":"","parse-names":false,"suffix":""}],"container-title":"Nature Climate Change","id":"ITEM-2","issue":"12","issued":{"date-parts":[["2015","7","27"]]},"page":"1089-1092","publisher":"Nature Research","title":"The potential of Indonesian mangrove forests for global climate change mitigation","type":"article-journal","volume":"5"},"uris":["http://www.mendeley.com/documents/?uuid=417e17a9-a027-38cc-a856-d90c8fb50285"]},{"id":"ITEM-3","itemData":{"DOI":"10.1002/eap.1489","ISSN":"19395582","abstract":"Coastal ecosystems produce and sequester significant amounts of carbon (\"blue carbon\"), which has been well documented in humid and semi-humid regions of temperate and tropical climates but less so in arid regions where mangroves, marshes, and seagrasses exist near the limit of their tolerance for extreme temperature and salinity. To better understand these unique systems, we measured whole-ecosystem carbon stocks in 58 sites across the United Arab Emirates (UAE) in natural and planted mangroves, salt marshes, seagrass beds, microbial mats, and coastal sabkha (inter- and supratidal unvegetated salt flats). Natural mangroves held significantly more carbon in above- and belowground biomass than other vegetated ecosystems. Planted mangrove carbon stocks increased with age, but there were large differences for sites of similar age. Soil carbon varied widely across sites (2-367 Mg C/ha), with ecosystem averages that ranged from 49 to 156 Mg C/ha. For the first time, microbial mats were documented to contain soil carbon pools comparable to vascular plant-dominated ecosystems, and could arguably be recognized as a unique blue carbon ecosystem. Total ecosystem carbon stocks ranged widely from 2 to 515 Mg C/ha (seagrass bed and mangrove, respectively). Seagrass beds had the lowest carbon stock per unit area, but the largest stock per total area due to their large spatial coverage. Compared to similar ecosystems globally, mangroves and marshes in the UAE have lower plant and soil carbon stocks; however, the difference in soil stocks is far larger than with plant stocks. This incongruent difference between stocks is likely due to poor carbon preservation under conditions of weakly reduced soils (200-350 mV), coarse-grained sediments, and active shoreline migration. This work represents the first attempt to produce a country-wide coastal ecosystem carbon accounting using a uniform sampling protocol, and was motivated by specific policy goals identified by the Abu Dhabi Global Environmental Data Initiative. These carbon stock data supported two objectives: to quantify carbon stocks and infer sequestration capacity in arid blue carbon ecosystems, and to explore the potential to incorporate blue carbon science into national reporting and planning documents. © 2016 by the Ecological Society of America.","author":[{"dropping-particle":"","family":"Schile","given":"Lisa M.","non-dropping-particle":"","parse-names":false,"suffix":""},{"dropping-particle":"","family":"Kauffman","given":"J. Boone","non-dropping-particle":"","parse-names":false,"suffix":""},{"dropping-particle":"","family":"Crooks","given":"Stephen","non-dropping-particle":"","parse-names":false,"suffix":""},{"dropping-particle":"","family":"Fourqurean","given":"James W.","non-dropping-particle":"","parse-names":false,"suffix":""},{"dropping-particle":"","family":"Glavan","given":"Jane","non-dropping-particle":"","parse-names":false,"suffix":""},{"dropping-particle":"","family":"Megonigal","given":"J. Patrick","non-dropping-particle":"","parse-names":false,"suffix":""}],"container-title":"Ecological Applications","id":"ITEM-3","issue":"3","issued":{"date-parts":[["2017"]]},"page":"859-874","title":"Limits on carbon sequestration in arid blue carbon ecosystems","type":"article-journal","volume":"27"},"uris":["http://www.mendeley.com/documents/?uuid=c37893be-f79d-4cb3-b5d3-f043469db703"]},{"id":"ITEM-4","itemData":{"DOI":"10.1038/s41598-017-10424-9","ISSN":"2045-2322","author":[{"dropping-particle":"","family":"Almahasheer","given":"Hanan","non-dropping-particle":"","parse-names":false,"suffix":""},{"dropping-particle":"","family":"Serrano","given":"Oscar","non-dropping-particle":"","parse-names":false,"suffix":""},{"dropping-particle":"","family":"Duarte","given":"Carlos M.","non-dropping-particle":"","parse-names":false,"suffix":""},{"dropping-particle":"","family":"Arias-Ortiz","given":"Ariane","non-dropping-particle":"","parse-names":false,"suffix":""},{"dropping-particle":"","family":"Masque","given":"Pere","non-dropping-particle":"","parse-names":false,"suffix":""},{"dropping-particle":"","family":"Irigoien","given":"Xabier","non-dropping-particle":"","parse-names":false,"suffix":""}],"container-title":"Scientific Reports","id":"ITEM-4","issue":"1","issued":{"date-parts":[["2017"]]},"page":"9700","title":"Low Carbon sink capacity of Red Sea mangroves","type":"article-journal","volume":"7"},"uris":["http://www.mendeley.com/documents/?uuid=90af8c22-f462-3b43-9dc5-dcc30bc9100e"]}],"mendeley":{"formattedCitation":"(Almahasheer et al., 2017; Donato et al., 2011; Murdiyarso et al., 2015; Schile et al., 2017)","plainTextFormattedCitation":"(Almahasheer et al., 2017; Donato et al., 2011; Murdiyarso et al., 2015; Schile et al., 2017)","previouslyFormattedCitation":"(Almahasheer et al., 2017; Donato et al., 2011; Murdiyarso et al., 2015; Schile et al., 2017)"},"properties":{"noteIndex":0},"schema":"https://github.com/citation-style-language/schema/raw/master/csl-citation.json"}</w:instrText>
      </w:r>
      <w:r>
        <w:rPr>
          <w:rFonts w:cstheme="minorHAnsi"/>
        </w:rPr>
        <w:fldChar w:fldCharType="separate"/>
      </w:r>
      <w:r w:rsidR="008A48C6" w:rsidRPr="008A48C6">
        <w:rPr>
          <w:rFonts w:cstheme="minorHAnsi"/>
          <w:noProof/>
        </w:rPr>
        <w:t>(Almahasheer et al., 2017; Donato et al., 2011; Murdiyarso et al., 2015; Schile et al., 2017)</w:t>
      </w:r>
      <w:r>
        <w:rPr>
          <w:rFonts w:cstheme="minorHAnsi"/>
        </w:rPr>
        <w:fldChar w:fldCharType="end"/>
      </w:r>
      <w:r>
        <w:rPr>
          <w:rFonts w:cstheme="minorHAnsi"/>
        </w:rPr>
        <w:t>.</w:t>
      </w:r>
      <w:r w:rsidRPr="004B3DD9">
        <w:rPr>
          <w:rFonts w:cstheme="minorHAnsi"/>
        </w:rPr>
        <w:t xml:space="preserve"> Total tree biomass and carbon stocks have been reported </w:t>
      </w:r>
      <w:r w:rsidR="00115BFE">
        <w:rPr>
          <w:rFonts w:cstheme="minorHAnsi"/>
        </w:rPr>
        <w:t xml:space="preserve">as </w:t>
      </w:r>
      <w:r w:rsidRPr="004B3DD9">
        <w:rPr>
          <w:rFonts w:cstheme="minorHAnsi"/>
        </w:rPr>
        <w:t>&gt;10-fold greater in tropica</w:t>
      </w:r>
      <w:r>
        <w:rPr>
          <w:rFonts w:cstheme="minorHAnsi"/>
        </w:rPr>
        <w:t>l</w:t>
      </w:r>
      <w:r w:rsidRPr="004B3DD9">
        <w:rPr>
          <w:rFonts w:cstheme="minorHAnsi"/>
        </w:rPr>
        <w:t xml:space="preserve"> locations </w:t>
      </w:r>
      <w:r w:rsidRPr="00CF25C4">
        <w:rPr>
          <w:rFonts w:cstheme="minorHAnsi"/>
        </w:rPr>
        <w:fldChar w:fldCharType="begin" w:fldLock="1"/>
      </w:r>
      <w:r>
        <w:rPr>
          <w:rFonts w:cstheme="minorHAnsi"/>
        </w:rPr>
        <w:instrText>ADDIN CSL_CITATION {"citationItems":[{"id":"ITEM-1","itemData":{"DOI":"10.1038/ngeo1123","ISBN":"1752-0894","ISSN":"1752-0894","PMID":"17701399","abstract":"Mangrove forests occur along ocean coastlines throughout the tropics, and support numerous ecosystem services, including fisheries production and nutrient cycling. However, the areal extent of mangrove forests has declined by 30–50% over the past half century as a result of coastal development, aqua- culture expansion and over-harvesting1–4. Carbon emissions resulting from mangrove loss are uncertain, owing in part to a lack of broad-scale data on the amount of carbon stored in these ecosystems, particularly below ground5. Here, we quantified whole-ecosystem carbon storage by measuring tree and dead wood biomass, soil carbon content, and soil depth in 25 mangrove forests across a broad area of the Indo-Pacific region—spanning 30◦ of latitude and 73◦ of longitude—where mangrove area and diversity are greatest4,6. These data indi- cate that mangroves are among the most carbon-rich forests in the tropics, containing on average 1,023Mg carbon per hectare. Organic-rich soils ranged from 0.5mto more than 3m in depth and accounted for 49–98% of carbon storage in these systems. Combining our data with other published information, we estimate that mangrove deforestation generates emissions of 0.02–0.12Pg carbon per year—as much as around 10% of emissions from deforestation globally, despite accounting for just 0.7%of tropical forest area.","author":[{"dropping-particle":"","family":"Donato","given":"Daniel C.","non-dropping-particle":"","parse-names":false,"suffix":""},{"dropping-particle":"","family":"Kauffman","given":"J. Boone","non-dropping-particle":"","parse-names":false,"suffix":""},{"dropping-particle":"","family":"Murdiyarso","given":"Daniel","non-dropping-particle":"","parse-names":false,"suffix":""},{"dropping-particle":"","family":"Kurnianto","given":"Sofyan","non-dropping-particle":"","parse-names":false,"suffix":""},{"dropping-particle":"","family":"Stidham","given":"Melanie","non-dropping-particle":"","parse-names":false,"suffix":""},{"dropping-particle":"","family":"Kanninen","given":"Markku","non-dropping-particle":"","parse-names":false,"suffix":""}],"container-title":"Nature Geoscience","id":"ITEM-1","issue":"5","issued":{"date-parts":[["2011"]]},"page":"293-297","title":"Mangroves among the most carbon-rich forests in the tropics","type":"article-journal","volume":"4"},"uris":["http://www.mendeley.com/documents/?uuid=490346f7-5ac8-4ae2-8d0c-30ebcec82312"]}],"mendeley":{"formattedCitation":"(Donato et al., 2011)","plainTextFormattedCitation":"(Donato et al., 2011)","previouslyFormattedCitation":"(Donato et al., 2011)"},"properties":{"noteIndex":0},"schema":"https://github.com/citation-style-language/schema/raw/master/csl-citation.json"}</w:instrText>
      </w:r>
      <w:r w:rsidRPr="00CF25C4">
        <w:rPr>
          <w:rFonts w:cstheme="minorHAnsi"/>
        </w:rPr>
        <w:fldChar w:fldCharType="separate"/>
      </w:r>
      <w:r w:rsidRPr="00CF25C4">
        <w:rPr>
          <w:rFonts w:cstheme="minorHAnsi"/>
          <w:noProof/>
        </w:rPr>
        <w:t>(Donato et al., 2011)</w:t>
      </w:r>
      <w:r w:rsidRPr="00CF25C4">
        <w:rPr>
          <w:rFonts w:cstheme="minorHAnsi"/>
        </w:rPr>
        <w:fldChar w:fldCharType="end"/>
      </w:r>
      <w:r w:rsidRPr="004B3DD9">
        <w:rPr>
          <w:rFonts w:cstheme="minorHAnsi"/>
        </w:rPr>
        <w:t xml:space="preserve"> </w:t>
      </w:r>
      <w:r>
        <w:rPr>
          <w:rFonts w:cstheme="minorHAnsi"/>
        </w:rPr>
        <w:t>and</w:t>
      </w:r>
      <w:r w:rsidRPr="004B3DD9">
        <w:rPr>
          <w:rFonts w:cstheme="minorHAnsi"/>
        </w:rPr>
        <w:t xml:space="preserve"> </w:t>
      </w:r>
      <w:r w:rsidRPr="004B3DD9">
        <w:rPr>
          <w:rFonts w:cstheme="minorHAnsi"/>
          <w:i/>
          <w:iCs/>
        </w:rPr>
        <w:t>A. marina</w:t>
      </w:r>
      <w:r w:rsidRPr="004B3DD9">
        <w:rPr>
          <w:rFonts w:cstheme="minorHAnsi"/>
        </w:rPr>
        <w:t xml:space="preserve"> in Qatar were much smaller than the same species in tropical locations</w:t>
      </w:r>
      <w:r>
        <w:rPr>
          <w:rFonts w:cstheme="minorHAnsi"/>
        </w:rPr>
        <w:t xml:space="preserve"> </w:t>
      </w:r>
      <w:r>
        <w:rPr>
          <w:rFonts w:cstheme="minorHAnsi"/>
        </w:rPr>
        <w:fldChar w:fldCharType="begin" w:fldLock="1"/>
      </w:r>
      <w:r>
        <w:rPr>
          <w:rFonts w:cstheme="minorHAnsi"/>
        </w:rPr>
        <w:instrText>ADDIN CSL_CITATION {"citationItems":[{"id":"ITEM-1","itemData":{"DOI":"10.1071/BT04162","ISBN":"0067-1924","ISSN":"00671924","abstract":"Mangrove forests are an integral part of tropical coastal ecosystems, particularly in northern Australia. In the Northern Territory, studies have determined the extent and species diversity of these associations but little is known of biomass or productivity. We sampled the above- and below-ground biomass of the four most abundant species, Avicennia marina, Bruguiera exaristata, Ceriops australis and Rhizophora stylosa, developed allometric relationships and examined partitioning. Unlike many other studies, we sampled below-ground biomass, which constituted a substantial proportion (0.29–0.57) of the total dry weight. Our results should be valuable in modelling potential changes in carbon allocation resulting from small- and large-scale ecosystem changes.","author":[{"dropping-particle":"","family":"Comley","given":"B. W T","non-dropping-particle":"","parse-names":false,"suffix":""},{"dropping-particle":"","family":"McGuinness","given":"K. A.","non-dropping-particle":"","parse-names":false,"suffix":""}],"container-title":"Australian Journal of Botany","id":"ITEM-1","issue":"5","issued":{"date-parts":[["2005"]]},"page":"431-436","title":"Above- and below-ground biomass, and allometry, of four common northern Australian mangroves","type":"article-journal","volume":"53"},"uris":["http://www.mendeley.com/documents/?uuid=d9846ebf-2311-34c8-bdd3-4f6e17651f49"]},{"id":"ITEM-2","itemData":{"author":[{"dropping-particle":"","family":"Parvaresh","given":"Hossein","non-dropping-particle":"","parse-names":false,"suffix":""},{"dropping-particle":"","family":"Parvaresh","given":"Elyas","non-dropping-particle":"","parse-names":false,"suffix":""},{"dropping-particle":"","family":"Zahedi","given":"Ghavamaldin","non-dropping-particle":"","parse-names":false,"suffix":""}],"container-title":"J. Basic. Appl. Sci. Res.","id":"ITEM-2","issue":"2","issued":{"date-parts":[["2012"]]},"page":"1763-1769","title":"Establishing Allometric Relationship Using Crown Diameter for the Estimation of above-Ground Biomass of Grey Mangrove , Avicennia marina ( Forsk ) Vierh in Mangrove Forests of Sirik , Iran","type":"article-journal","volume":"2"},"uris":["http://www.mendeley.com/documents/?uuid=b62073f6-4197-4512-b937-606150d4911f"]}],"mendeley":{"formattedCitation":"(Comley and McGuinness, 2005; Parvaresh et al., 2012)","plainTextFormattedCitation":"(Comley and McGuinness, 2005; Parvaresh et al., 2012)","previouslyFormattedCitation":"(Comley and McGuinness, 2005; Parvaresh et al., 2012)"},"properties":{"noteIndex":0},"schema":"https://github.com/citation-style-language/schema/raw/master/csl-citation.json"}</w:instrText>
      </w:r>
      <w:r>
        <w:rPr>
          <w:rFonts w:cstheme="minorHAnsi"/>
        </w:rPr>
        <w:fldChar w:fldCharType="separate"/>
      </w:r>
      <w:r w:rsidRPr="00B60500">
        <w:rPr>
          <w:rFonts w:cstheme="minorHAnsi"/>
          <w:noProof/>
        </w:rPr>
        <w:t>(Comley and McGuinness, 2005; Parvaresh et al., 2012)</w:t>
      </w:r>
      <w:r>
        <w:rPr>
          <w:rFonts w:cstheme="minorHAnsi"/>
        </w:rPr>
        <w:fldChar w:fldCharType="end"/>
      </w:r>
      <w:r>
        <w:rPr>
          <w:rFonts w:cstheme="minorHAnsi"/>
        </w:rPr>
        <w:t>.</w:t>
      </w:r>
      <w:r w:rsidRPr="00381AC3">
        <w:rPr>
          <w:rFonts w:cstheme="minorHAnsi"/>
        </w:rPr>
        <w:t xml:space="preserve"> </w:t>
      </w:r>
      <w:r>
        <w:rPr>
          <w:rFonts w:cstheme="minorHAnsi"/>
        </w:rPr>
        <w:t>Data also suggested seasonal shifts in mangrove productivity, in response to the extreme summer experienced in Qatar, as evidenced by greater shoot</w:t>
      </w:r>
      <w:r w:rsidRPr="00D265ED">
        <w:rPr>
          <w:rFonts w:cstheme="minorHAnsi"/>
        </w:rPr>
        <w:t xml:space="preserve"> tip growth observed in winter than in summer and markedly greater uptake of CO</w:t>
      </w:r>
      <w:r w:rsidRPr="00D265ED">
        <w:rPr>
          <w:rFonts w:cstheme="minorHAnsi"/>
          <w:vertAlign w:val="subscript"/>
        </w:rPr>
        <w:t>2</w:t>
      </w:r>
      <w:r w:rsidRPr="00D265ED">
        <w:rPr>
          <w:rFonts w:cstheme="minorHAnsi"/>
        </w:rPr>
        <w:t xml:space="preserve"> in mangrove soils during winter, when compared to summer.</w:t>
      </w:r>
      <w:r>
        <w:rPr>
          <w:rFonts w:cstheme="minorHAnsi"/>
        </w:rPr>
        <w:t xml:space="preserve"> </w:t>
      </w:r>
      <w:r w:rsidRPr="00381AC3">
        <w:rPr>
          <w:rFonts w:cstheme="minorHAnsi"/>
        </w:rPr>
        <w:t xml:space="preserve">Previous research has shown higher salinities, which are present in Qatar </w:t>
      </w:r>
      <w:r w:rsidRPr="00381AC3">
        <w:rPr>
          <w:rFonts w:cstheme="minorHAnsi"/>
        </w:rPr>
        <w:fldChar w:fldCharType="begin" w:fldLock="1"/>
      </w:r>
      <w:r w:rsidRPr="00381AC3">
        <w:rPr>
          <w:rFonts w:cstheme="minorHAnsi"/>
        </w:rPr>
        <w:instrText>ADDIN CSL_CITATION {"citationItems":[{"id":"ITEM-1","itemData":{"DOI":"10.1016/j.ecss.2013.03.007","ISBN":"0272-7714","ISSN":"02727714","abstract":"The Arabian Gulf represents one of the more northerly extremes of mangrove distribution in the Indo-Pacific, and is populated only by Avicennia marina, due to its tolerance of high salinity and wide temperature extremes. Recent studies suggest that in the arid coastal environment of the western Arabian Gulf, export of carbon and nitrogen from mangroves to adjacent habitats may be limited, though it is not clear if this is due to low productivity or physical factors such as the lack of freshwater flow and the tidal regime. Although seagrass and macroalgal habitats are relatively much more dominant by area, with only small pockets of mangrove around the edges of embayments, it is not evident if inwelling from these habitats support mangrove fauna. Year-round sampling in mangroves at Al-Khor, Qatar, indicates that Palaemon khori, an endemic shrimp species, is strongly associated with mangroves throughout its post-settlement life cycle, from recruitment as small 9-10mm juveniles through to mating and egg production. Rapid post-recruitment growth (k=1.8, L∞=42mm for females, k=1.5, L∞=35mm for male) means that most individuals reached adult size in the first few months after settlement, with reproduction occurring in the following spring. As might be expected from year-round residence in the mangrove, dual 13C and 15N isotope analysis indicated a strong contribution of mangroves to shrimp tissue growth (Mean and 95% confidence range, 37% and 27-48%), but with a weaker significant contribution from particulate organic matter (20% and 1-37%), mangrove epiphytes (16% and 2-33%) and seagrasses (9% and 0.2-18%). Other primary producers contribute the remaining 18% to shrimp nutrition but the 95% confidence ranges include zero, suggesting possibly non-significant roles in supporting the shrimp population. This dietary information supports the view that fauna resident within arid mangrove systems are mainly dependent on localised retention and cycling of nutrients with a smaller contribution from inwelling. © 2013 Elsevier Ltd.","author":[{"dropping-particle":"","family":"Al-Maslamani","given":"I.","non-dropping-particle":"","parse-names":false,"suffix":""},{"dropping-particle":"","family":"Walton","given":"M. E.M.","non-dropping-particle":"","parse-names":false,"suffix":""},{"dropping-particle":"","family":"Kennedy","given":"H. A.","non-dropping-particle":"","parse-names":false,"suffix":""},{"dropping-particle":"","family":"Al-Mohannadi","given":"M.","non-dropping-particle":"","parse-names":false,"suffix":""},{"dropping-particle":"","family":"Vay","given":"L.","non-dropping-particle":"Le","parse-names":false,"suffix":""}],"container-title":"Estuarine, Coastal and Shelf Science","id":"ITEM-1","issued":{"date-parts":[["2013","6"]]},"page":"56-63","title":"Are mangroves in arid environments isolated systems? Life-history and evidence of dietary contribution from inwelling in a mangrove-resident shrimp species","type":"article-journal","volume":"124"},"uris":["http://www.mendeley.com/documents/?uuid=6b73bf2a-05d0-4a74-b04b-21d8f104c3c5"]},{"id":"ITEM-2","itemData":{"DOI":"10.1111/sed.12419","ISSN":"13653091","abstract":"In a modern peritidal microbial mat from Qatar, both biomediated carbonates and Mg-rich clay minerals (palygorskite) were identified. The mat, ca 5 cm thick, shows a clear lamination reflecting different microbial communities. The initial precipitates within the top millimetres of the mat are composed of Ca–Mg–Si–Al–S amorphous nanoparticles (few tens of nanometres) that replace the ultrastructure of extracellular polymeric substances. The extracellular polymeric substances are enriched in the same cations and act as a substrate for mineral nucleation. Successively, crystallites of palygorskite fibres associated with carbonate nanocrystals develop, commonly surrounding bacterial bodies. Micron-sized crystals of low-Mg calcite are the most common precipitates, together with subordinate aragonite, very high-Mg calcite/dolomite and ankerite. Pyrite nanocrystals and framboids are present in the deeper layers of the mat. Calcite crystallites form conical structures, circular to triangular/hexagonal in cross-section, evolving to crystals with rhombohedral terminations; some crystallite bundles develop into dumb-bell and stellate forms. Spheroidal organo-mineral structures are also common within the mat. Nanospheres, a few tens of nanometres in diameter, occur attached to coccoid bacteria and within their cells; these are interpreted as permineralized viruses and could be significant as nuclei for crystallite-crystal precipitation. Microspheres, 1 to 10 μm in diameter, result from intracellular permineralization within bacteria or the mineralization of the bacteria themselves. Carbonates and clay minerals are commonly aggregated to form peloids, tens of microns in size, surrounded by residual organic matter. Magnesium silicate and carbonate precipitation are likely to have been driven by pH – saturation index – redox changes within the mat, related to microenvironmental chemical changes induced by the microbes – extracellular polymeric substances – viruses and their degradation.","author":[{"dropping-particle":"","family":"Perri","given":"Edoardo","non-dropping-particle":"","parse-names":false,"suffix":""},{"dropping-particle":"","family":"Tucker","given":"Maurice E.","non-dropping-particle":"","parse-names":false,"suffix":""},{"dropping-particle":"","family":"Słowakiewicz","given":"Mirosław","non-dropping-particle":"","parse-names":false,"suffix":""},{"dropping-particle":"","family":"Whitaker","given":"Fiona","non-dropping-particle":"","parse-names":false,"suffix":""},{"dropping-particle":"","family":"Bowen","given":"Leon","non-dropping-particle":"","parse-names":false,"suffix":""},{"dropping-particle":"","family":"Perrotta","given":"Ida D.","non-dropping-particle":"","parse-names":false,"suffix":""}],"container-title":"Sedimentology","id":"ITEM-2","issue":"4","issued":{"date-parts":[["2018"]]},"page":"1213-1245","title":"Carbonate and silicate biomineralization in a hypersaline microbial mat (Mesaieed sabkha, Qatar): Roles of bacteria, extracellular polymeric substances and viruses","type":"article-journal","volume":"65"},"uris":["http://www.mendeley.com/documents/?uuid=8c9a25ab-583e-446d-9c46-e4c7158760dd"]}],"mendeley":{"formattedCitation":"(Al-Maslamani et al., 2013; Perri et al., 2018)","plainTextFormattedCitation":"(Al-Maslamani et al., 2013; Perri et al., 2018)","previouslyFormattedCitation":"(Al-Maslamani et al., 2013; Perri et al., 2018)"},"properties":{"noteIndex":0},"schema":"https://github.com/citation-style-language/schema/raw/master/csl-citation.json"}</w:instrText>
      </w:r>
      <w:r w:rsidRPr="00381AC3">
        <w:rPr>
          <w:rFonts w:cstheme="minorHAnsi"/>
        </w:rPr>
        <w:fldChar w:fldCharType="separate"/>
      </w:r>
      <w:r w:rsidRPr="00381AC3">
        <w:rPr>
          <w:rFonts w:cstheme="minorHAnsi"/>
          <w:noProof/>
        </w:rPr>
        <w:t>(Al-Maslamani et al., 2013; Perri et al., 2018)</w:t>
      </w:r>
      <w:r w:rsidRPr="00381AC3">
        <w:rPr>
          <w:rFonts w:cstheme="minorHAnsi"/>
        </w:rPr>
        <w:fldChar w:fldCharType="end"/>
      </w:r>
      <w:r w:rsidRPr="00381AC3">
        <w:rPr>
          <w:rFonts w:cstheme="minorHAnsi"/>
        </w:rPr>
        <w:t xml:space="preserve">, compared to in tropical locations </w:t>
      </w:r>
      <w:r w:rsidRPr="00381AC3">
        <w:rPr>
          <w:rFonts w:cstheme="minorHAnsi"/>
        </w:rPr>
        <w:fldChar w:fldCharType="begin" w:fldLock="1"/>
      </w:r>
      <w:r w:rsidR="008A48C6">
        <w:rPr>
          <w:rFonts w:cstheme="minorHAnsi"/>
        </w:rPr>
        <w:instrText>ADDIN CSL_CITATION {"citationItems":[{"id":"ITEM-1","itemData":{"DOI":"10.1007/s10750-019-04036-9","ISSN":"15735117","abstract":"Anthropogenic coastal activities and natural stressors aggravate degradation of small coastal patches of mangroves, which in turn destroy local resilience of mangrove forests in the Indian Sundarbans, the continuous mangrove habitat that spans between India and Bangladesh. We conducted an analytical survey across 19 shoreline mangrove fringes spanning the Sundarbans, including both healthy and disturbed forests, and evaluated ninety-five 60-cm composite sediment cores across a degradation and salinity gradient from ~ 4 to ~ 12 ppt. Increased salinity and anoxicity greatly inhibited nutrient cycling and release by microbial decomposers, subsequently resulting in nutrient-poor soil as a condition of degradation. Nutrient limitation, salinity rise, anoxicity increase, and sulfide build-up negatively controlled forest structure causing declines of forest coverage from ~ 98 to ~ 11%. In addition, the tide-dominated salinity gradient controlling species zonation was disrupted in disturbed forests with salinity-sensitive species gradually disappearing. An obvious change in species distribution is anticipated while salt-sensitive Heritiera fomes, Xylocarpus spp., and Phoenix paludosa failed to cope with increased salinity, evident by their absence from many forests. Excoecaria agallocha and Avicennia spp. acclimated well and expanded freely into degraded forests across the Sundarbans. Overall, our study strongly establishes salinity intrusion as primary mechanism for mangrove degradation.","author":[{"dropping-particle":"","family":"Chowdhury","given":"Rajojit","non-dropping-particle":"","parse-names":false,"suffix":""},{"dropping-particle":"","family":"Sutradhar","given":"Tapan","non-dropping-particle":"","parse-names":false,"suffix":""},{"dropping-particle":"","family":"Begam","given":"Mst Momtaj","non-dropping-particle":"","parse-names":false,"suffix":""},{"dropping-particle":"","family":"Mukherjee","given":"Chandan","non-dropping-particle":"","parse-names":false,"suffix":""},{"dropping-particle":"","family":"Chatterjee","given":"Kiranmoy","non-dropping-particle":"","parse-names":false,"suffix":""},{"dropping-particle":"","family":"Basak","given":"Sandip Kumar","non-dropping-particle":"","parse-names":false,"suffix":""},{"dropping-particle":"","family":"Ray","given":"Krishna","non-dropping-particle":"","parse-names":false,"suffix":""}],"container-title":"Hydrobiologia","id":"ITEM-1","issue":"1","issued":{"date-parts":[["2019"]]},"page":"191-217","title":"Effects of nutrient limitation, salinity increase, and associated stressors on mangrove forest cover, structure, and zonation across Indian Sundarbans","type":"article-journal","volume":"842"},"uris":["http://www.mendeley.com/documents/?uuid=60ca5d65-02ea-40ce-9d58-f8dd233b4e0e"]},{"id":"ITEM-2","itemData":{"DOI":"10.1007/s10750-017-3282-4","ISSN":"15735117","abstract":"Many ecological processes are influenced by salinity. Burrowing crabs, abundant fauna of mangrove forests around the world, can facilitate sediment water fluxes, which may decrease the salinity in mangrove sediments. We investigated whether and how crab burrow density and secondary fine root biomass interact to drive sediment salinity during the dry season in a northern Brazilian mangrove forest. Areas with high density of Rhizophora mangle prop roots and areas free of such roots were compared. We found no correlation between burrow density and sediment salinity in areas with dense prop and fine roots, while crab density correlated negatively with sediment salinity in areas without prop roots, where fine root density was low. Hence, the strength of sediment desalination effects of crabs seems to be context dependent, and high root density of a salt-excluding mangrove species (R. mangle) seems to counteract the crabs’ effect. Our results complement those of a former study conducted in the same area during the rainy season, highlighting that the findings are independent from seasonality and should be considered when evaluating the overall ecological effects of crabs in mangrove ecosystems.","author":[{"dropping-particle":"","family":"Pestana","given":"Debora Ferreira","non-dropping-particle":"","parse-names":false,"suffix":""},{"dropping-particle":"","family":"Pülmanns","given":"Nathalie","non-dropping-particle":"","parse-names":false,"suffix":""},{"dropping-particle":"","family":"Nordhaus","given":"Inga","non-dropping-particle":"","parse-names":false,"suffix":""},{"dropping-particle":"","family":"Diele","given":"Karen","non-dropping-particle":"","parse-names":false,"suffix":""},{"dropping-particle":"","family":"Zimmer","given":"Martin","non-dropping-particle":"","parse-names":false,"suffix":""}],"container-title":"Hydrobiologia","id":"ITEM-2","issue":"1","issued":{"date-parts":[["2017"]]},"page":"295-305","title":"The influence of crab burrows on sediment salinity in a Rhizophora-dominated mangrove forest in North Brazil during the dry season","type":"article-journal","volume":"803"},"uris":["http://www.mendeley.com/documents/?uuid=d5e11f03-fe0e-414e-ad6c-7c74d96cc962"]}],"mendeley":{"formattedCitation":"(Chowdhury et al., 2019; Pestana et al., 2017)","plainTextFormattedCitation":"(Chowdhury et al., 2019; Pestana et al., 2017)","previouslyFormattedCitation":"(Chowdhury et al., 2019; Pestana et al., 2017)"},"properties":{"noteIndex":0},"schema":"https://github.com/citation-style-language/schema/raw/master/csl-citation.json"}</w:instrText>
      </w:r>
      <w:r w:rsidRPr="00381AC3">
        <w:rPr>
          <w:rFonts w:cstheme="minorHAnsi"/>
        </w:rPr>
        <w:fldChar w:fldCharType="separate"/>
      </w:r>
      <w:r w:rsidR="008A48C6" w:rsidRPr="008A48C6">
        <w:rPr>
          <w:rFonts w:cstheme="minorHAnsi"/>
          <w:noProof/>
        </w:rPr>
        <w:t xml:space="preserve">(Chowdhury et </w:t>
      </w:r>
      <w:r w:rsidR="008A48C6" w:rsidRPr="008A48C6">
        <w:rPr>
          <w:rFonts w:cstheme="minorHAnsi"/>
          <w:noProof/>
        </w:rPr>
        <w:lastRenderedPageBreak/>
        <w:t>al., 2019; Pestana et al., 2017)</w:t>
      </w:r>
      <w:r w:rsidRPr="00381AC3">
        <w:rPr>
          <w:rFonts w:cstheme="minorHAnsi"/>
        </w:rPr>
        <w:fldChar w:fldCharType="end"/>
      </w:r>
      <w:r w:rsidRPr="00381AC3">
        <w:rPr>
          <w:rFonts w:cstheme="minorHAnsi"/>
        </w:rPr>
        <w:t>, could be limiting tree biomass and productivity</w:t>
      </w:r>
      <w:r>
        <w:rPr>
          <w:rFonts w:cstheme="minorHAnsi"/>
        </w:rPr>
        <w:t xml:space="preserve"> in the summer </w:t>
      </w:r>
      <w:r w:rsidRPr="00381AC3">
        <w:rPr>
          <w:rFonts w:cstheme="minorHAnsi"/>
        </w:rPr>
        <w:t>subsequently reducing locally derived carbon inputs.</w:t>
      </w:r>
    </w:p>
    <w:p w14:paraId="0D44FDA9" w14:textId="77777777" w:rsidR="00AC29ED" w:rsidRDefault="00AC29ED" w:rsidP="00AC29ED">
      <w:pPr>
        <w:spacing w:line="480" w:lineRule="auto"/>
        <w:rPr>
          <w:rFonts w:cstheme="minorHAnsi"/>
        </w:rPr>
      </w:pPr>
    </w:p>
    <w:p w14:paraId="2AC404DA" w14:textId="4804B0CB" w:rsidR="00AC29ED" w:rsidRPr="0000433F" w:rsidRDefault="00AC29ED" w:rsidP="00AC29ED">
      <w:pPr>
        <w:spacing w:line="480" w:lineRule="auto"/>
        <w:rPr>
          <w:rFonts w:cstheme="minorHAnsi"/>
        </w:rPr>
      </w:pPr>
      <w:r>
        <w:rPr>
          <w:rFonts w:cstheme="minorHAnsi"/>
        </w:rPr>
        <w:t xml:space="preserve">Interestingly, the current study showed productivity, biomass and carbon stocks to be inversely associated with tidal height, which is the opposite to those observed in tropical locations. The variations observed along the tidal gradient in Qatari mangroves </w:t>
      </w:r>
      <w:r w:rsidRPr="005D6075">
        <w:rPr>
          <w:rFonts w:cstheme="minorHAnsi"/>
        </w:rPr>
        <w:t>are likely a result of a lack of freshwater input from a landward direction, resulting in reduced nutrient availability and increased salinity stress in higher tidal zones.</w:t>
      </w:r>
      <w:r>
        <w:rPr>
          <w:rFonts w:cstheme="minorHAnsi"/>
        </w:rPr>
        <w:t xml:space="preserve"> Allometric equations developed by the current study showed </w:t>
      </w:r>
      <w:r w:rsidRPr="0074145A">
        <w:rPr>
          <w:rFonts w:cstheme="minorHAnsi"/>
          <w:i/>
          <w:iCs/>
        </w:rPr>
        <w:t>A. marina</w:t>
      </w:r>
      <w:r>
        <w:rPr>
          <w:rFonts w:cstheme="minorHAnsi"/>
        </w:rPr>
        <w:t xml:space="preserve"> in Qatar to have a higher </w:t>
      </w:r>
      <w:r w:rsidRPr="003B018E">
        <w:rPr>
          <w:rFonts w:cstheme="minorHAnsi"/>
        </w:rPr>
        <w:t xml:space="preserve">below ground biomass ratio (0.61) than has previously been reported (0.1–0.55) for </w:t>
      </w:r>
      <w:proofErr w:type="spellStart"/>
      <w:r w:rsidRPr="0074145A">
        <w:rPr>
          <w:rFonts w:cstheme="minorHAnsi"/>
          <w:i/>
          <w:iCs/>
        </w:rPr>
        <w:t>Avicennia</w:t>
      </w:r>
      <w:proofErr w:type="spellEnd"/>
      <w:r w:rsidRPr="003B018E">
        <w:rPr>
          <w:rFonts w:cstheme="minorHAnsi"/>
        </w:rPr>
        <w:t xml:space="preserve"> trees </w:t>
      </w:r>
      <w:r w:rsidRPr="003B018E">
        <w:rPr>
          <w:rFonts w:cstheme="minorHAnsi"/>
        </w:rPr>
        <w:fldChar w:fldCharType="begin" w:fldLock="1"/>
      </w:r>
      <w:r w:rsidR="008A48C6">
        <w:rPr>
          <w:rFonts w:cstheme="minorHAnsi"/>
        </w:rPr>
        <w:instrText>ADDIN CSL_CITATION {"citationItems":[{"id":"ITEM-1","itemData":{"author":[{"dropping-particle":"","family":"Alongi","given":"D.M","non-dropping-particle":"","parse-names":false,"suffix":""},{"dropping-particle":"","family":"Dixon","given":"P","non-dropping-particle":"","parse-names":false,"suffix":""}],"container-title":"Phuk","id":"ITEM-1","issue":"3","issued":{"date-parts":[["2000"]]},"page":"31-38","title":"Mangrove primary production and above-and belowground biomass in Sawi Bay, Southern Thailand","type":"article-journal","volume":"38"},"uris":["http://www.mendeley.com/documents/?uuid=37253b83-d098-4204-bc62-beb01776f23d"]},{"id":"ITEM-2","itemData":{"DOI":"10.1016/j.aquabot.2007.12.005","ISBN":"0304-3770","ISSN":"03043770","PMID":"961","abstract":"Our current knowledge on production, composition, transport, pathways and transformations of organic carbon in tropical mangrove environments is reviewed and discussed. Organic carbon entering mangrove foodwebs is either produced autochthonously or imported by tides and/or rivers. Mangrove litter and benthic microalgae are usually the most important autochthonous carbon sources. Depending on local conditions, phytoplankton and seagrass detritus imported with tides may represent a significant supplementary carbon input. Litter handling by the fauna not only affects microbial carbon transformations, but also the amount of organic carbon available for export. Most mangrove detritus that enters the sediment is degraded by microorganisms. Aerobic respiration and anaerobic sulfate reduction are usually considered the most important microbial respiration processes, but recent evidence suggests that iron respiration may be important in mangrove sediments as well. Organic carbon that escapes microbial degradation is stored in sediments and in some mangrove ecosystems, organic-rich sediments may extend to several meters depth. Many mangrove forests also lose a significant fraction of their net primary production to coastal waters. Large differences occur between mangrove forests with respect to litter production and export. Mangrove-derived DOC is also released into the water column and can add to the total organic carbon export. Numerous compounds have been characterized from mangrove tissues, including carbohydrates, amino acids, lignin-derived phenols, tannins, fatty acids, triterpenoids and n-alkanes. Many of these may, together with stable isotopes, exhibit a strong source signature and are potentially useful tracers of mangrove-derived organic matter. Our knowledge on mangrove carbon dynamics has improved considerably in recent years, but there are still significant gaps and shortcomings. These are emphasized and relevant research directions are suggested. ?? 2007 Elsevier B.V. All rights reserved.","author":[{"dropping-particle":"","family":"Kristensen","given":"Erik","non-dropping-particle":"","parse-names":false,"suffix":""},{"dropping-particle":"","family":"Bouillon","given":"Steven","non-dropping-particle":"","parse-names":false,"suffix":""},{"dropping-particle":"","family":"Dittmar","given":"Thorsten","non-dropping-particle":"","parse-names":false,"suffix":""},{"dropping-particle":"","family":"Marchand","given":"Cyril","non-dropping-particle":"","parse-names":false,"suffix":""}],"container-title":"Aquatic Botany","id":"ITEM-2","issue":"2","issued":{"date-parts":[["2008"]]},"page":"201-219","title":"Organic carbon dynamics in mangrove ecosystems: A review","type":"article-journal","volume":"89"},"uris":["http://www.mendeley.com/documents/?uuid=662a71f6-6086-3fc9-9108-b7a4c2a67500"]},{"id":"ITEM-3","itemData":{"DOI":"10.1023/A:1009959909208","ISBN":"1386-3509, 1386-3509","ISSN":"13863509","abstract":"Above-ground and below-ground root biomasses (B(above) and B(root)) were measured for young, isolated Rhizophora stylosa on Iriomote Island, Japan. The relationship between these two parameters was significant and given as the equation, B(root) (g dry weight) = 0.394 x B(above) (g dry weight) - 485 (r = 0.986). Multiple regression analyses also revealed good correlation between diameter and biomass of prop roots (D(prop) and B(prop)) and between prop root and root biomasses. Consequently, root biomass could be estimated from the measurements of diameter and biomass of prop roots using the multiple regression equation, B(root) (g dry weight) = 80.0 x D(prop) (cm) + 0.86 x B(prop) (g dry weight) - 251. The relationship between DBH (diameter at breast height) and prop root biomass was also adequately described using an allometric equation. In Hinchinbrook Channel, Australia, redox potential (measured as Eh) and organic carbon stocks in the top 5 cm of mangrove sediments were measured along a 600 m transect from the frequently inundated, Rhizophora dominated zone on the creek edge, towards higher grounds, where Ceriops spp. became increasingly dominant. Eh values were about -60 mV near the creek edge and increased to 260 mV on higher grounds. Organic carbon stocks showed an opposite trend to Eh, with the values decreasing from about 360 t C ha-1 to 160 t C ha-1. At 18 sites, representing six different habitats, organic carbon stocks were also measured along with the DBH of mangrove trees. DBH was converted into above-ground biomass and then into root biomass using the equations obtained in the study on Iriomote Island. The average organic carbon stocks in the top 50 cm of sediments, above-ground biomass and root biomass were 296 t C ha-1, 123 t C ha-1 and 52 t C ha-1, respectively, and accounted for 64%, 25% and 11% of the total organic carbon stock.","author":[{"dropping-particle":"","family":"Matsui","given":"N.","non-dropping-particle":"","parse-names":false,"suffix":""}],"container-title":"Mangroves and Salt Marshes","id":"ITEM-3","issue":"4","issued":{"date-parts":[["1998"]]},"page":"199-204","title":"Estimated stocks of organic carbon in mangrove roots and sediments in Hinchinbrook Channel, Australia","type":"article-journal","volume":"2"},"uris":["http://www.mendeley.com/documents/?uuid=5cce22bb-355f-309f-b2da-246335a20a0e"]}],"mendeley":{"formattedCitation":"(Alongi and Dixon, 2000; Kristensen et al., 2008; Matsui, 1998)","plainTextFormattedCitation":"(Alongi and Dixon, 2000; Kristensen et al., 2008; Matsui, 1998)","previouslyFormattedCitation":"(Alongi and Dixon, 2000; Kristensen et al., 2008; Matsui, 1998)"},"properties":{"noteIndex":0},"schema":"https://github.com/citation-style-language/schema/raw/master/csl-citation.json"}</w:instrText>
      </w:r>
      <w:r w:rsidRPr="003B018E">
        <w:rPr>
          <w:rFonts w:cstheme="minorHAnsi"/>
        </w:rPr>
        <w:fldChar w:fldCharType="separate"/>
      </w:r>
      <w:r w:rsidR="008A48C6" w:rsidRPr="008A48C6">
        <w:rPr>
          <w:rFonts w:cstheme="minorHAnsi"/>
          <w:noProof/>
        </w:rPr>
        <w:t>(Alongi and Dixon, 2000; Kristensen et al., 2008; Matsui, 1998)</w:t>
      </w:r>
      <w:r w:rsidRPr="003B018E">
        <w:rPr>
          <w:rFonts w:cstheme="minorHAnsi"/>
        </w:rPr>
        <w:fldChar w:fldCharType="end"/>
      </w:r>
      <w:r w:rsidRPr="003B018E">
        <w:rPr>
          <w:rFonts w:cstheme="minorHAnsi"/>
        </w:rPr>
        <w:t xml:space="preserve">. These findings suggest that </w:t>
      </w:r>
      <w:r w:rsidRPr="003B018E">
        <w:rPr>
          <w:rFonts w:cstheme="minorHAnsi"/>
          <w:i/>
          <w:iCs/>
        </w:rPr>
        <w:t xml:space="preserve">A. marina </w:t>
      </w:r>
      <w:r w:rsidRPr="003B018E">
        <w:rPr>
          <w:rFonts w:cstheme="minorHAnsi"/>
        </w:rPr>
        <w:t>in Qatar may differ from their tropical counterparts by increasing energy allocation of below ground biomass growth in response to a stressful environmental setting, for example under reduced rainfall and increased salinity</w:t>
      </w:r>
      <w:r w:rsidRPr="007903FE">
        <w:rPr>
          <w:rFonts w:cstheme="minorHAnsi"/>
        </w:rPr>
        <w:t xml:space="preserve"> </w:t>
      </w:r>
      <w:r w:rsidRPr="007903FE">
        <w:rPr>
          <w:rFonts w:cstheme="minorHAnsi"/>
        </w:rPr>
        <w:fldChar w:fldCharType="begin" w:fldLock="1"/>
      </w:r>
      <w:r w:rsidR="008A48C6">
        <w:rPr>
          <w:rFonts w:cstheme="minorHAnsi"/>
        </w:rPr>
        <w:instrText xml:space="preserve">ADDIN CSL_CITATION {"citationItems":[{"id":"ITEM-1","itemData":{"DOI":"10.1016/j.ecss.2020.106796","ISSN":"02727714","abstract":"Mangroves are one of the few woody ecosystems that grow in hot-arid climates. They can survive extreme conditions of low precipitation, high solar radiation, wide temperature fluctuations and hypersalinity. These unique mangroves have distinct geomorphology, hydrology, forest structure, tree physiology, and soil biogeochemistry. In this review, supported by field data from Australia and Mexico, we explore the characteristics of mangroves in arid climates of the world. These mangroves are mostly tide-dominated with freshwater flows restricted to groundwater and sporadic tropical storms. They form dense forests with stunted growth dominated mainly by trees of the genus Avicennia that co-occur with salt marshes in the high intertidal. Their soils have low nutrient and carbon concentrations, and high soil δ15 N and δ13C values compared to subhumid and humid mangroves. Mangroves in arid climates have relatively low human pressure due to sparse human settlements. Key threats to these mangroves, which often persist at the edge of their physiological tolerances, include extreme drought, reductions in groundwater inputs, altered hydrology, sea-level fluctuations and increases in nutrient loading. Restoration of mangroves in arid climates should focus on restoring their hydrology. Mangroves in arid zones are under-represented in global maps and assessment programs, as they may not be consistent with countries’ definition of “forests”. Improved global representation and understanding of the ecology of mangroves in arid climates could help sustain their valuable ecosystem services.","author":[{"dropping-particle":"","family":"Adame","given":"M. F.","non-dropping-particle":"","parse-names":false,"suffix":""},{"dropping-particle":"","family":"Reef","given":"R.","non-dropping-particle":"","parse-names":false,"suffix":""},{"dropping-particle":"","family":"Santini","given":"N. S.","non-dropping-particle":"","parse-names":false,"suffix":""},{"dropping-particle":"","family":"Najera","given":"E.","non-dropping-particle":"","parse-names":false,"suffix":""},{"dropping-particle":"","family":"Turschwell","given":"M. P.","non-dropping-particle":"","parse-names":false,"suffix":""},{"dropping-particle":"","family":"Hayes","given":"M. A.","non-dropping-particle":"","parse-names":false,"suffix":""},{"dropping-particle":"","family":"Masque","given":"P.","non-dropping-particle":"","parse-names":false,"suffix":""},{"dropping-particle":"","family":"Lovelock","given":"C. E.","non-dropping-particle":"","parse-names":false,"suffix":""}],"container-title":"Estuarine, Coastal and Shelf Science","id":"ITEM-1","issued":{"date-parts":[["2020"]]},"title":"Mangroves in arid regions: Ecology, threats, and opportunities","type":"article-journal"},"uris":["http://www.mendeley.com/documents/?uuid=f4566645-8993-4033-ab48-124854464c6a"]},{"id":"ITEM-2","itemData":{"DOI":"10.1007/s13157-014-0514-5","ISBN":"1315701405","ISSN":"19436246","PMID":"25246403","abstract":"Root production influences a range of belowground processes, such as soil accretion, carbon sequestration and nutrient acquisition. Here, we measured biomass and root production of mangroves surrounding a karstic oligotrophic lagoon that spans a nutrient and salinity gradient. We also measured forest structure and soil physicochemical conditions (salinity, bulk density, carbon, nitrogen (N) and phosphorus (P)) in order to determine factors associated with root production. We tested the following hypotheses: 1) root biomass and production increase at low soil P and N in order to maximize resource utilization, and 2) root biomass and production increase with high interstitial salinity. Root biomass (947-3,040 g m(-2)) and production (0.46-1.85 g m(-2) day(-1)) increased where soil P and interstitial salinity were relatively high. Thus, we rejected the first hypothesis and confirmed the second. The larger root fraction (5-20 mm) was the major contributor to root biomass and production. Our findings suggest that root production and thus capacity for belowground carbon storage in karstic regions, where P is often limiting, is greater where interstitial salinity and P are higher. This contrasts with past assessments indicating that P-deficiency stimulates root growth, suggesting wide variation in belowground responses in mangroves.","author":[{"dropping-particle":"","family":"Adame","given":"Maria Fernanda","non-dropping-particle":"","parse-names":false,"suffix":""},{"dropping-particle":"","family":"Teutli","given":"Claudia","non-dropping-particle":"","parse-names":false,"suffix":""},{"dropping-particle":"","family":"Santini","given":"Nadia S.","non-dropping-particle":"","parse-names":false,"suffix":""},{"dropping-particle":"","family":"Caamal","given":"Juan P.","non-dropping-particle":"","parse-names":false,"suffix":""},{"dropping-particle":"","family":"Zaldívar-Jiménez","given":"Arturo","non-dropping-particle":"","parse-names":false,"suffix":""},{"dropping-particle":"","family":"Herńndez","given":"Raquel","non-dropping-particle":"","parse-names":false,"suffix":""},{"dropping-particle":"","family":"Herrera-Silveira","given":"Jorge A.","non-dropping-particle":"","parse-names":false,"suffix":""}],"container-title":"Wetlands","id":"ITEM-2","issue":"3","issued":{"date-parts":[["2014"]]},"page":"479-488","title":"Root biomass and production of mangroves surrounding a karstic oligotrophic coastal lagoon","type":"article-journal","volume":"34"},"uris":["http://www.mendeley.com/documents/?uuid=c7b053c9-03df-38c0-914f-8ed1c580b549"]},{"id":"ITEM-3","itemData":{"DOI":"10.1007/s40725-015-0018-4","ISSN":"21986436","abstract":"Over the past few decades, many of the world’s mangrove forests have experienced significant change, which can be attributed to human activities and also natural causes. However, a component may also be due to factors that are commonly associated with anthropogenic climate change including higher air temperatures, variations in rainfall, increases in storm frequencies and intensities, and rising sea levels. The expected responses of mangrove to these drivers include changes in extent (latitudinal, seaward and landward), growth rates and productivity, and species composition. This paper reviews such responses and then, using examples from Australia, illustrates how these might appear within and be detected using single-date or time-series of remote sensing data acquired in different modes (e.g., aerial photography, optical and radar). In doing so, it informs countries and organisations of the potential impacts of climate change on mangrove forests and how these may be monitored using remote sensing data.","author":[{"dropping-particle":"","family":"Asbridge","given":"Emma","non-dropping-particle":"","parse-names":false,"suffix":""},{"dropping-particle":"","family":"Lucas","given":"Richard","non-dropping-particle":"","parse-names":false,"suffix":""},{"dropping-particle":"","family":"Accad","given":"Arnon","non-dropping-particle":"","parse-names":false,"suffix":""},{"dropping-particle":"","family":"Dowling","given":"Ralph","non-dropping-particle":"","parse-names":false,"suffix":""}],"container-title":"Current Forestry Reports","id":"ITEM-3","issue":"3","issued":{"date-parts":[["2015"]]},"page":"178-194","title":"Mangrove response to environmental changes predicted under varying climates: Case studies from Australia","type":"article-journal","volume":"1"},"uris":["http://www.mendeley.com/documents/?uuid=ebad1c0c-2499-44a0-8c33-939d7f8d247b"]},{"id":"ITEM-4","itemData":{"DOI":"10.1071/MF18321","ISSN":"13231650","abstract":"Mangrove-saltmarsh tidal wetlands are highly dynamic ecosystems, responding and adapting to climate and physical conditions at all spatial and temporal scales. Knowledge of the large-scale ecosystem processes involved and how they might be influenced by climate variables is highly relevant today. For tidal-wetland sites well within the latitudinal range of the mostly tropical mangrove communities, we confirm that average annual rainfall influences vegetative cover, as well as species composition and biomass of tidal wetlands. On the basis of 205 largely unmodified, tropical and subtropical estuaries of northern Australia, a sigmoidal relationship, with a centroid inflection point </w:instrText>
      </w:r>
      <w:r w:rsidR="008A48C6">
        <w:rPr>
          <w:rFonts w:ascii="Cambria Math" w:hAnsi="Cambria Math" w:cs="Cambria Math"/>
        </w:rPr>
        <w:instrText>∼</w:instrText>
      </w:r>
      <w:r w:rsidR="008A48C6">
        <w:rPr>
          <w:rFonts w:cstheme="minorHAnsi"/>
        </w:rPr>
        <w:instrText>1368 mm, was derived between rainfall and the relative amounts of high-biomass mangroves and low-biomass saltmarsh-saltpan vegetation. The presence and probability of observed combinations of these community types were quantified using the wetland cover index, which is the ratio of total mangrove area to that of mangroves plus intertidal saltmarsh and saltpans. Accordingly, periodic changes in rainfall trends are likely manifest as either encroachment or dieback of mangroves along the ecotones separating them from tidal saltmarsh-saltpans. Presented is a new conceptual framework and model that describes how such ecosystem-scale processes take place in tropical and subtropical tidal wetlands.","author":[{"dropping-particle":"","family":"Duke","given":"Norman C.","non-dropping-particle":"","parse-names":false,"suffix":""},{"dropping-particle":"","family":"Field","given":"Colin","non-dropping-particle":"","parse-names":false,"suffix":""},{"dropping-particle":"","family":"Mackenzie","given":"Jock R.","non-dropping-particle":"","parse-names":false,"suffix":""},{"dropping-particle":"","family":"Meynecke","given":"Jan Olaf","non-dropping-particle":"","parse-names":false,"suffix":""},{"dropping-particle":"","family":"Wood","given":"Apanie L.","non-dropping-particle":"","parse-names":false,"suffix":""}],"container-title":"Marine and Freshwater Research","id":"ITEM-4","issue":"8","issued":{"date-parts":[["2019"]]},"page":"1047-1055","title":"Rainfall and its possible hysteresis effect on the proportional cover of tropical tidal-wetland mangroves and saltmarsh-saltpans","type":"article-journal","volume":"70"},"uris":["http://www.mendeley.com/documents/?uuid=92a8f47e-64e2-44a0-b641-d618f18092dd"]},{"id":"ITEM-5","itemData":{"DOI":"10.1007/s10021-008-9125-4","ISBN":"1432-9840","ISSN":"14329840","PMID":"210419909","abstract":"Mangrove forests cover large areas of tropical and subtropical coastlines. They provide a wide range of ecosystem services that includes carbon storage in above- and below ground biomass and in soils. Carbon dioxide (CO2) emissions from soil, or soil respiration is important in the global carbon budget and is sensitive to increasing global temperature. To understand the magnitude of mangrove soil respi- ration and the influence of forest structure and temperature on the variation in mangrove soil respiration I assessed soil respiration at eleven mangrove sites, ranging from latitude 27?Nto 37?S. Mangrove soil respiration was similar to those ob- served for terrestrial forest soils. Soil respiration was correlated with leaf area index (LAI) and aboveground net primary production (litterfall), which should aid scaling up to regional and global estimates of soil respiration. Using a carbon balance model, total belowground carbon allocation (TBCA) per unit litterfall was similar in tall man- grove forests as observed in terrestrial forests, but in scrub mangrove forests TBCA per unit litter fall was greater than in terrestrial forests, suggesting man- groves allocate a large proportion of their fixed carbon below ground under unfavorable environ- mental conditions. The response of soil respiration to soil temperature was not a linear function of temperature. At temperatures below 26?C Q10 of mangrove soil respiration was 2.6, similar to that reported for terrestrial forest soils. However in scrub forests soil respiration declined with increasing soil temperature, largely because of reduced canopy cover and enhanced activity of photosynthetic benthic microbial communities.","author":[{"dropping-particle":"","family":"Lovelock","given":"Catherine E.","non-dropping-particle":"","parse-names":false,"suffix":""}],"container-title":"Ecosystems","id":"ITEM-5","issue":"2","issued":{"date-parts":[["2008"]]},"page":"342-354","title":"Soil respiration and belowground carbon allocation in mangrove forests","type":"article-journal","volume":"11"},"uris":["http://www.mendeley.com/documents/?uuid=d86c2059-d4c1-43e5-9afe-2eb68bf8ab4a"]},{"id":"ITEM-6","itemData":{"DOI":"10.1007/978-3-319-27422-5_7","abstract":"Mangrove forests grow on saline, periodically flooded soils of the tropical and subtropical coasts. The tree species that comprise the mangrove are halophytes that have suites of traits that confer differing levels of tolerance of salinity, aridity, inundation and extremes of temperature. Here we review how climate change and elevated levels of atmospheric CO2 will influence mangrove forests. Tolerance of salinity and inundation in mangroves is associated with the efficient use of water for photosynthetic carbon gain which unpins anticipated gains in productivity with increasing levels of CO2. We review evidence of increases in productivity with increasing CO2, finding that enhancements in growth appear to be similar to trees in non-mangrove habitats and that gains in productivity with elevated CO2 are likely due to changes in biomass allocation. High levels of trait plasticity are observed in some mangrove species, which potentially facilitates their responses to climate change. Trait plasticity is associated with broad tolerance of salinity, aridity, low temperatures and nutrient availability. Because low temperatures and aridity place strong limits on mangrove growth at the edge of their current distribution, increasing temperatures over time and changing rainfall patterns are likely to have an important influence on the distribution of mangroves. We provide a global analysis based on plant traits and IPCC scenarios of changing temperature and aridity that indicates substantial global potential for mangrove expansion.","author":[{"dropping-particle":"","family":"Lovelock","given":"Catherine E.","non-dropping-particle":"","parse-names":false,"suffix":""},{"dropping-particle":"","family":"Krauss","given":"Ken W.","non-dropping-particle":"","parse-names":false,"suffix":""},{"dropping-particle":"","family":"Osland","given":"Michael J.","non-dropping-particle":"","parse-names":false,"suffix":""},{"dropping-particle":"","family":"Reef","given":"Ruth","non-dropping-particle":"","parse-names":false,"suffix":""},{"dropping-particle":"","family":"Ball","given":"Marilyn C.","non-dropping-particle":"","parse-names":false,"suffix":""}],"id":"ITEM-6","issued":{"date-parts":[["2016"]]},"page":"149-179","title":"The Physiology of Mangrove Trees with Changing Climate","type":"chapter"},"uris":["http://www.mendeley.com/documents/?uuid=b31030ab-20c0-4ca0-9a55-bb5acec893c7"]}],"mendeley":{"formattedCitation":"(Adame et al., 2020, 2014; Asbridge et al., 2015; Duke et al., 2019; Lovelock, 2008; Lovelock et al., 2016)","plainTextFormattedCitation":"(Adame et al., 2020, 2014; Asbridge et al., 2015; Duke et al., 2019; Lovelock, 2008; Lovelock et al., 2016)","previouslyFormattedCitation":"(Adame et al., 2020, 2014; Asbridge et al., 2015; Duke et al., 2019; Lovelock, 2008; Lovelock et al., 2016)"},"properties":{"noteIndex":0},"schema":"https://github.com/citation-style-language/schema/raw/master/csl-citation.json"}</w:instrText>
      </w:r>
      <w:r w:rsidRPr="007903FE">
        <w:rPr>
          <w:rFonts w:cstheme="minorHAnsi"/>
        </w:rPr>
        <w:fldChar w:fldCharType="separate"/>
      </w:r>
      <w:r w:rsidR="008A48C6" w:rsidRPr="008A48C6">
        <w:rPr>
          <w:rFonts w:cstheme="minorHAnsi"/>
          <w:noProof/>
        </w:rPr>
        <w:t>(Adame et al., 2020, 2014; Asbridge et al., 2015; Duke et al., 2019; Lovelock, 2008; Lovelock et al., 2016)</w:t>
      </w:r>
      <w:r w:rsidRPr="007903FE">
        <w:rPr>
          <w:rFonts w:cstheme="minorHAnsi"/>
        </w:rPr>
        <w:fldChar w:fldCharType="end"/>
      </w:r>
      <w:r w:rsidRPr="007903FE">
        <w:rPr>
          <w:rFonts w:cstheme="minorHAnsi"/>
        </w:rPr>
        <w:t>.</w:t>
      </w:r>
    </w:p>
    <w:p w14:paraId="3CFAEB79" w14:textId="77777777" w:rsidR="00AC29ED" w:rsidRDefault="00AC29ED" w:rsidP="00AC29ED">
      <w:pPr>
        <w:spacing w:line="480" w:lineRule="auto"/>
        <w:rPr>
          <w:rFonts w:cstheme="minorHAnsi"/>
          <w:highlight w:val="yellow"/>
        </w:rPr>
      </w:pPr>
    </w:p>
    <w:p w14:paraId="0128575A" w14:textId="77777777" w:rsidR="00AC29ED" w:rsidRPr="00F63B2A" w:rsidRDefault="00AC29ED" w:rsidP="00AC29ED">
      <w:pPr>
        <w:spacing w:line="480" w:lineRule="auto"/>
        <w:ind w:left="720"/>
        <w:rPr>
          <w:rFonts w:cstheme="minorHAnsi"/>
          <w:i/>
          <w:iCs/>
        </w:rPr>
      </w:pPr>
      <w:r w:rsidRPr="00F63B2A">
        <w:rPr>
          <w:rFonts w:cstheme="minorHAnsi"/>
          <w:i/>
          <w:iCs/>
        </w:rPr>
        <w:t>How can mangrove functioning in Qatar inform current global estimates of mangrove productivity and carbon stocks (chapter 3 and 5)? How can mangrove functioning in Qatar inform estimates of global change in mangrove productivity and carbon stocks by the end of the 21</w:t>
      </w:r>
      <w:r w:rsidRPr="00F63B2A">
        <w:rPr>
          <w:rFonts w:cstheme="minorHAnsi"/>
          <w:i/>
          <w:iCs/>
          <w:vertAlign w:val="superscript"/>
        </w:rPr>
        <w:t>st</w:t>
      </w:r>
      <w:r w:rsidRPr="00F63B2A">
        <w:rPr>
          <w:rFonts w:cstheme="minorHAnsi"/>
          <w:i/>
          <w:iCs/>
        </w:rPr>
        <w:t xml:space="preserve"> century (chapter 3 and 5)?</w:t>
      </w:r>
    </w:p>
    <w:p w14:paraId="03ABDBBC" w14:textId="77777777" w:rsidR="00AC29ED" w:rsidRDefault="00AC29ED" w:rsidP="00AC29ED">
      <w:pPr>
        <w:spacing w:line="480" w:lineRule="auto"/>
        <w:rPr>
          <w:lang w:val="en-US"/>
        </w:rPr>
      </w:pPr>
    </w:p>
    <w:p w14:paraId="73196C13" w14:textId="1B4240FE" w:rsidR="00AC29ED" w:rsidRPr="00E37558" w:rsidRDefault="00AC29ED" w:rsidP="00AC29ED">
      <w:pPr>
        <w:spacing w:line="480" w:lineRule="auto"/>
        <w:rPr>
          <w:lang w:val="en-US"/>
        </w:rPr>
      </w:pPr>
      <w:r w:rsidRPr="001C3B53">
        <w:rPr>
          <w:lang w:val="en-US"/>
        </w:rPr>
        <w:lastRenderedPageBreak/>
        <w:t xml:space="preserve">Overall global modelling results from the current </w:t>
      </w:r>
      <w:r w:rsidR="00E03834">
        <w:rPr>
          <w:lang w:val="en-US"/>
        </w:rPr>
        <w:t xml:space="preserve">study found </w:t>
      </w:r>
      <w:r w:rsidRPr="001C3B53">
        <w:rPr>
          <w:lang w:val="en-US"/>
        </w:rPr>
        <w:t xml:space="preserve">comparable </w:t>
      </w:r>
      <w:r w:rsidR="00E03834">
        <w:rPr>
          <w:lang w:val="en-US"/>
        </w:rPr>
        <w:t xml:space="preserve">levels of mangrove litterfall rates and carbon stocks </w:t>
      </w:r>
      <w:r w:rsidRPr="001C3B53">
        <w:rPr>
          <w:lang w:val="en-US"/>
        </w:rPr>
        <w:t xml:space="preserve">to other global modelling efforts. </w:t>
      </w:r>
      <w:r>
        <w:rPr>
          <w:lang w:val="en-US"/>
        </w:rPr>
        <w:t>Mean global mangrove litterfall rates (3.1 g m</w:t>
      </w:r>
      <w:r w:rsidRPr="00E870E4">
        <w:rPr>
          <w:vertAlign w:val="superscript"/>
          <w:lang w:val="en-US"/>
        </w:rPr>
        <w:t>2</w:t>
      </w:r>
      <w:r>
        <w:rPr>
          <w:lang w:val="en-US"/>
        </w:rPr>
        <w:t xml:space="preserve"> d</w:t>
      </w:r>
      <w:r w:rsidRPr="00E870E4">
        <w:rPr>
          <w:vertAlign w:val="superscript"/>
          <w:lang w:val="en-US"/>
        </w:rPr>
        <w:t>-1</w:t>
      </w:r>
      <w:r>
        <w:rPr>
          <w:lang w:val="en-US"/>
        </w:rPr>
        <w:t>) in the current study were similar to Ribeiro et al. (2019)’s estimate of 3.2 g m</w:t>
      </w:r>
      <w:r w:rsidRPr="00E870E4">
        <w:rPr>
          <w:vertAlign w:val="superscript"/>
          <w:lang w:val="en-US"/>
        </w:rPr>
        <w:t>2</w:t>
      </w:r>
      <w:r>
        <w:rPr>
          <w:lang w:val="en-US"/>
        </w:rPr>
        <w:t xml:space="preserve"> d</w:t>
      </w:r>
      <w:r w:rsidRPr="00E870E4">
        <w:rPr>
          <w:vertAlign w:val="superscript"/>
          <w:lang w:val="en-US"/>
        </w:rPr>
        <w:t>-1</w:t>
      </w:r>
      <w:r>
        <w:rPr>
          <w:lang w:val="en-US"/>
        </w:rPr>
        <w:t>. Likewise, s</w:t>
      </w:r>
      <w:r w:rsidRPr="001C3B53">
        <w:rPr>
          <w:lang w:val="en-US"/>
        </w:rPr>
        <w:t>oil carbon estimates in the current study ranged from 80.8 to 653.2 Mg C ha</w:t>
      </w:r>
      <w:r w:rsidRPr="001C3B53">
        <w:rPr>
          <w:vertAlign w:val="superscript"/>
          <w:lang w:val="en-US"/>
        </w:rPr>
        <w:t>-1</w:t>
      </w:r>
      <w:r w:rsidRPr="001C3B53">
        <w:rPr>
          <w:lang w:val="en-US"/>
        </w:rPr>
        <w:t xml:space="preserve">, compared to </w:t>
      </w:r>
      <w:proofErr w:type="spellStart"/>
      <w:r w:rsidRPr="001C3B53">
        <w:rPr>
          <w:lang w:val="en-US"/>
        </w:rPr>
        <w:t>Sanderman</w:t>
      </w:r>
      <w:proofErr w:type="spellEnd"/>
      <w:r w:rsidRPr="001C3B53">
        <w:rPr>
          <w:lang w:val="en-US"/>
        </w:rPr>
        <w:t xml:space="preserve"> et al. (2018) who estimated a global range from 86 to 729 Mg C ha</w:t>
      </w:r>
      <w:r w:rsidRPr="001C3B53">
        <w:rPr>
          <w:vertAlign w:val="superscript"/>
          <w:lang w:val="en-US"/>
        </w:rPr>
        <w:t>-1</w:t>
      </w:r>
      <w:r w:rsidRPr="001C3B53">
        <w:rPr>
          <w:lang w:val="en-US"/>
        </w:rPr>
        <w:t xml:space="preserve">. In </w:t>
      </w:r>
      <w:r>
        <w:rPr>
          <w:lang w:val="en-US"/>
        </w:rPr>
        <w:t xml:space="preserve">agreement </w:t>
      </w:r>
      <w:r w:rsidRPr="001C3B53">
        <w:rPr>
          <w:lang w:val="en-US"/>
        </w:rPr>
        <w:t xml:space="preserve">with previous work, this </w:t>
      </w:r>
      <w:r>
        <w:rPr>
          <w:lang w:val="en-US"/>
        </w:rPr>
        <w:t>study</w:t>
      </w:r>
      <w:r w:rsidRPr="001C3B53">
        <w:rPr>
          <w:lang w:val="en-US"/>
        </w:rPr>
        <w:t xml:space="preserve"> showed the greatest current carbon stocks to occur in Southeast Asia and the Indo-Pacific </w:t>
      </w:r>
      <w:r w:rsidRPr="001C3B53">
        <w:rPr>
          <w:lang w:val="en-US"/>
        </w:rPr>
        <w:fldChar w:fldCharType="begin" w:fldLock="1"/>
      </w:r>
      <w:r>
        <w:rPr>
          <w:lang w:val="en-US"/>
        </w:rPr>
        <w:instrText>ADDIN CSL_CITATION {"citationItems":[{"id":"ITEM-1","itemData":{"DOI":"10.1088/1748-9326/aabe1c","ISSN":"17489326","author":[{"dropping-particle":"","family":"Sanderman","given":"Jonathan","non-dropping-particle":"","parse-names":false,"suffix":""},{"dropping-particle":"","family":"Hengl","given":"Tomislav","non-dropping-particle":"","parse-names":false,"suffix":""},{"dropping-particle":"","family":"Fiske","given":"Greg","non-dropping-particle":"","parse-names":false,"suffix":""},{"dropping-particle":"","family":"Solvik","given":"Kylen","non-dropping-particle":"","parse-names":false,"suffix":""},{"dropping-particle":"","family":"Adame","given":"Maria Fernanda","non-dropping-particle":"","parse-names":false,"suffix":""},{"dropping-particle":"","family":"Benson","given":"Lisa","non-dropping-particle":"","parse-names":false,"suffix":""},{"dropping-particle":"","family":"Bukoski","given":"Jacob J","non-dropping-particle":"","parse-names":false,"suffix":""},{"dropping-particle":"","family":"Carnell","given":"Paul","non-dropping-particle":"","parse-names":false,"suffix":""},{"dropping-particle":"","family":"Cifuentes-Jara","given":"Miguel","non-dropping-particle":"","parse-names":false,"suffix":""},{"dropping-particle":"","family":"Donato","given":"Daniel","non-dropping-particle":"","parse-names":false,"suffix":""},{"dropping-particle":"","family":"Duncan","given":"Clare","non-dropping-particle":"","parse-names":false,"suffix":""},{"dropping-particle":"","family":"Eid","given":"Ebrahem M","non-dropping-particle":"","parse-names":false,"suffix":""},{"dropping-particle":"","family":"Ermgassen","given":"Philine zu","non-dropping-particle":"","parse-names":false,"suffix":""},{"dropping-particle":"","family":"Lewis","given":"Carolyn J.Ewers","non-dropping-particle":"","parse-names":false,"suffix":""},{"dropping-particle":"","family":"Macreadie","given":"Peter I","non-dropping-particle":"","parse-names":false,"suffix":""},{"dropping-particle":"","family":"Glass","given":"Leah","non-dropping-particle":"","parse-names":false,"suffix":""},{"dropping-particle":"","family":"Gress","given":"Selena","non-dropping-particle":"","parse-names":false,"suffix":""},{"dropping-particle":"","family":"Jardine","given":"Sunny L","non-dropping-particle":"","parse-names":false,"suffix":""},{"dropping-particle":"","family":"Jones","given":"Trevor G","non-dropping-particle":"","parse-names":false,"suffix":""},{"dropping-particle":"","family":"Nsombo","given":"Eugéne Ndemem","non-dropping-particle":"","parse-names":false,"suffix":""},{"dropping-particle":"","family":"Rahman","given":"Md Mizanur","non-dropping-particle":"","parse-names":false,"suffix":""},{"dropping-particle":"","family":"Sanders","given":"Christian J","non-dropping-particle":"","parse-names":false,"suffix":""},{"dropping-particle":"","family":"Spalding","given":"Mark","non-dropping-particle":"","parse-names":false,"suffix":""},{"dropping-particle":"","family":"Landis","given":"Emily","non-dropping-particle":"","parse-names":false,"suffix":""}],"container-title":"Environmental Research Letters","id":"ITEM-1","issue":"5","issued":{"date-parts":[["2018","5","1"]]},"page":"055002","publisher":"IOP Publishing","title":"A global map of mangrove forest soil carbon at 30 m spatial resolution","type":"article-journal","volume":"13"},"uris":["http://www.mendeley.com/documents/?uuid=a27008a0-a4d5-343e-89c7-c4a4c0b60818"]},{"id":"ITEM-2","itemData":{"DOI":"10.1038/s41558-018-0162-5","ISBN":"4155801801625","ISSN":"17586798","abstract":"Global-scale variation in mangrove ecosystem properties has been explained using a conceptual framework linking geomorphological processes to distinct coastal environmental settings (CES) for nearly 50 years. However, these assumptions have not been empirically tested at the global scale. Here, we show that CES account for global variability in mangrove soil C:N:P stoichiometry and soil organic carbon (SOC) stocks. Using this ecogeomorphology framework, we developed a global model that captures variation in mangrove SOC stocks compatible with distinct CES. We show that mangrove SOC stocks have been underestimated by up to 50% (a difference of roughly 200 Mg ha−1) in carbonate settings and overestimated by up to 86% (around 400 Mg ha−1) in deltaic coastlines. Moreover, we provide information for 57 nations that currently lack SOC data, enabling these and other countries to develop or evaluate their blue carbon inventories.","author":[{"dropping-particle":"","family":"Rovai","given":"André S.","non-dropping-particle":"","parse-names":false,"suffix":""},{"dropping-particle":"","family":"Twilley","given":"Robert R.","non-dropping-particle":"","parse-names":false,"suffix":""},{"dropping-particle":"","family":"Castañeda-Moya","given":"Edward","non-dropping-particle":"","parse-names":false,"suffix":""},{"dropping-particle":"","family":"Riul","given":"Pablo","non-dropping-particle":"","parse-names":false,"suffix":""},{"dropping-particle":"","family":"Cifuentes-Jara","given":"Miguel","non-dropping-particle":"","parse-names":false,"suffix":""},{"dropping-particle":"","family":"Manrow-Villalobos","given":"Marilyn","non-dropping-particle":"","parse-names":false,"suffix":""},{"dropping-particle":"","family":"Horta","given":"Paulo A.","non-dropping-particle":"","parse-names":false,"suffix":""},{"dropping-particle":"","family":"Simonassi","given":"José C.","non-dropping-particle":"","parse-names":false,"suffix":""},{"dropping-particle":"","family":"Fonseca","given":"Alessandra L.","non-dropping-particle":"","parse-names":false,"suffix":""},{"dropping-particle":"","family":"Pagliosa","given":"Paulo R.","non-dropping-particle":"","parse-names":false,"suffix":""}],"container-title":"Nature Climate Change","id":"ITEM-2","issue":"6","issued":{"date-parts":[["2018","6","28"]]},"page":"534-538","publisher":"Nature Publishing Group","title":"Global controls on carbon storage in mangrove soils","type":"article-journal","volume":"8"},"uris":["http://www.mendeley.com/documents/?uuid=e218dcd6-b535-3f7d-a08f-4983ee271d59"]}],"mendeley":{"formattedCitation":"(Rovai et al., 2018; Sanderman et al., 2018)","plainTextFormattedCitation":"(Rovai et al., 2018; Sanderman et al., 2018)","previouslyFormattedCitation":"(Rovai et al., 2018; Sanderman et al., 2018)"},"properties":{"noteIndex":0},"schema":"https://github.com/citation-style-language/schema/raw/master/csl-citation.json"}</w:instrText>
      </w:r>
      <w:r w:rsidRPr="001C3B53">
        <w:rPr>
          <w:lang w:val="en-US"/>
        </w:rPr>
        <w:fldChar w:fldCharType="separate"/>
      </w:r>
      <w:r w:rsidRPr="001C3B53">
        <w:rPr>
          <w:noProof/>
          <w:lang w:val="en-US"/>
        </w:rPr>
        <w:t>(Rovai et al., 2018; Sanderman et al., 2018)</w:t>
      </w:r>
      <w:r w:rsidRPr="001C3B53">
        <w:rPr>
          <w:lang w:val="en-US"/>
        </w:rPr>
        <w:fldChar w:fldCharType="end"/>
      </w:r>
      <w:r w:rsidRPr="001C3B53">
        <w:rPr>
          <w:lang w:val="en-US"/>
        </w:rPr>
        <w:t xml:space="preserve">. There were, however, differences in soil carbon estimates regionally, likely as a result of differing datasets and modelling approaches used in estimating global soil carbon. For example, </w:t>
      </w:r>
      <w:proofErr w:type="spellStart"/>
      <w:r>
        <w:rPr>
          <w:lang w:val="en-US"/>
        </w:rPr>
        <w:t>Rovai</w:t>
      </w:r>
      <w:proofErr w:type="spellEnd"/>
      <w:r>
        <w:rPr>
          <w:lang w:val="en-US"/>
        </w:rPr>
        <w:t xml:space="preserve"> et al. (2018) predicted soil carbon stocks &gt;450 Mg C ha</w:t>
      </w:r>
      <w:r w:rsidRPr="001D5C44">
        <w:rPr>
          <w:vertAlign w:val="superscript"/>
          <w:lang w:val="en-US"/>
        </w:rPr>
        <w:t>-1</w:t>
      </w:r>
      <w:r>
        <w:rPr>
          <w:lang w:val="en-US"/>
        </w:rPr>
        <w:t xml:space="preserve"> in the Red Sea (Saudi Arabia, Eritrea and Sudan), which is where the current study estimated some of its lowest soil carbon values (90 to 290 </w:t>
      </w:r>
      <w:r w:rsidRPr="00BD66D8">
        <w:rPr>
          <w:lang w:val="en-US"/>
        </w:rPr>
        <w:t>Mg C ha</w:t>
      </w:r>
      <w:r w:rsidRPr="00BD66D8">
        <w:rPr>
          <w:vertAlign w:val="superscript"/>
          <w:lang w:val="en-US"/>
        </w:rPr>
        <w:t>-1</w:t>
      </w:r>
      <w:r>
        <w:rPr>
          <w:lang w:val="en-US"/>
        </w:rPr>
        <w:t xml:space="preserve">), which is likely as a result of </w:t>
      </w:r>
      <w:proofErr w:type="spellStart"/>
      <w:r>
        <w:rPr>
          <w:lang w:val="en-US"/>
        </w:rPr>
        <w:t>Rovai</w:t>
      </w:r>
      <w:proofErr w:type="spellEnd"/>
      <w:r>
        <w:rPr>
          <w:lang w:val="en-US"/>
        </w:rPr>
        <w:t xml:space="preserve"> et al. (2018) not giving mangrove data from the Arabian region (The Gulf and Red Sea) any representation in their training dataset. Moreover, </w:t>
      </w:r>
      <w:proofErr w:type="spellStart"/>
      <w:r>
        <w:rPr>
          <w:lang w:val="en-US"/>
        </w:rPr>
        <w:t>Sanderman</w:t>
      </w:r>
      <w:proofErr w:type="spellEnd"/>
      <w:r>
        <w:rPr>
          <w:lang w:val="en-US"/>
        </w:rPr>
        <w:t xml:space="preserve"> et al. (2018) predicted lower soil carbon stocks in the Sundarbans (~90 </w:t>
      </w:r>
      <w:r w:rsidRPr="00BD66D8">
        <w:rPr>
          <w:lang w:val="en-US"/>
        </w:rPr>
        <w:t>Mg C ha</w:t>
      </w:r>
      <w:r w:rsidRPr="00BD66D8">
        <w:rPr>
          <w:vertAlign w:val="superscript"/>
          <w:lang w:val="en-US"/>
        </w:rPr>
        <w:t>-1</w:t>
      </w:r>
      <w:r>
        <w:rPr>
          <w:lang w:val="en-US"/>
        </w:rPr>
        <w:t xml:space="preserve">) (India and Bangladesh) than in the Gulf (~200 </w:t>
      </w:r>
      <w:r w:rsidRPr="00BD66D8">
        <w:rPr>
          <w:lang w:val="en-US"/>
        </w:rPr>
        <w:t>Mg C ha</w:t>
      </w:r>
      <w:r w:rsidRPr="00BD66D8">
        <w:rPr>
          <w:vertAlign w:val="superscript"/>
          <w:lang w:val="en-US"/>
        </w:rPr>
        <w:t>-1</w:t>
      </w:r>
      <w:r>
        <w:rPr>
          <w:lang w:val="en-US"/>
        </w:rPr>
        <w:t xml:space="preserve">) (Qatar, UAE and Saudi Arabia). Field measurements from the current study show that </w:t>
      </w:r>
      <w:proofErr w:type="spellStart"/>
      <w:r>
        <w:rPr>
          <w:lang w:val="en-US"/>
        </w:rPr>
        <w:t>Sanderman</w:t>
      </w:r>
      <w:proofErr w:type="spellEnd"/>
      <w:r>
        <w:rPr>
          <w:lang w:val="en-US"/>
        </w:rPr>
        <w:t xml:space="preserve"> et al. (2018)’s estimates of soil carbon stocks in Qatar are overestimates (mean measured soil carbon stocks were 50 ± 6.27 Mg C ha</w:t>
      </w:r>
      <w:r w:rsidRPr="007225DE">
        <w:rPr>
          <w:vertAlign w:val="superscript"/>
          <w:lang w:val="en-US"/>
        </w:rPr>
        <w:t>-1</w:t>
      </w:r>
      <w:r>
        <w:rPr>
          <w:lang w:val="en-US"/>
        </w:rPr>
        <w:t xml:space="preserve">) and estimates from </w:t>
      </w:r>
      <w:proofErr w:type="spellStart"/>
      <w:r>
        <w:rPr>
          <w:lang w:val="en-US"/>
        </w:rPr>
        <w:t>neighbouring</w:t>
      </w:r>
      <w:proofErr w:type="spellEnd"/>
      <w:r>
        <w:rPr>
          <w:lang w:val="en-US"/>
        </w:rPr>
        <w:t xml:space="preserve"> Saudi Arabia and the United Arab Emirates are also overestimates, as measured soil carbon stocks ranged from </w:t>
      </w:r>
      <w:r w:rsidRPr="00EF656B">
        <w:rPr>
          <w:lang w:val="en-US"/>
        </w:rPr>
        <w:t>43–76 Mg C ha</w:t>
      </w:r>
      <w:r w:rsidRPr="00EF656B">
        <w:rPr>
          <w:vertAlign w:val="superscript"/>
          <w:lang w:val="en-US"/>
        </w:rPr>
        <w:t>−1</w:t>
      </w:r>
      <w:r w:rsidRPr="00EF656B">
        <w:rPr>
          <w:lang w:val="en-US"/>
        </w:rPr>
        <w:t xml:space="preserve"> in 1 m soil</w:t>
      </w:r>
      <w:r>
        <w:rPr>
          <w:lang w:val="en-US"/>
        </w:rPr>
        <w:t xml:space="preserve"> depth </w:t>
      </w:r>
      <w:r>
        <w:rPr>
          <w:lang w:val="en-US"/>
        </w:rPr>
        <w:fldChar w:fldCharType="begin" w:fldLock="1"/>
      </w:r>
      <w:r>
        <w:rPr>
          <w:lang w:val="en-US"/>
        </w:rPr>
        <w:instrText>ADDIN CSL_CITATION {"citationItems":[{"id":"ITEM-1","itemData":{"DOI":"10.1038/s41598-017-10424-9","ISSN":"2045-2322","author":[{"dropping-particle":"","family":"Almahasheer","given":"Hanan","non-dropping-particle":"","parse-names":false,"suffix":""},{"dropping-particle":"","family":"Serrano","given":"Oscar","non-dropping-particle":"","parse-names":false,"suffix":""},{"dropping-particle":"","family":"Duarte","given":"Carlos M.","non-dropping-particle":"","parse-names":false,"suffix":""},{"dropping-particle":"","family":"Arias-Ortiz","given":"Ariane","non-dropping-particle":"","parse-names":false,"suffix":""},{"dropping-particle":"","family":"Masque","given":"Pere","non-dropping-particle":"","parse-names":false,"suffix":""},{"dropping-particle":"","family":"Irigoien","given":"Xabier","non-dropping-particle":"","parse-names":false,"suffix":""}],"container-title":"Scientific Reports","id":"ITEM-1","issue":"1","issued":{"date-parts":[["2017"]]},"page":"9700","title":"Low Carbon sink capacity of Red Sea mangroves","type":"article-journal","volume":"7"},"uris":["http://www.mendeley.com/documents/?uuid=90af8c22-f462-3b43-9dc5-dcc30bc9100e"]},{"id":"ITEM-2","itemData":{"DOI":"10.1088/1748-9326/aac899","ISSN":"17489326","abstract":"Certain coastal ecosystems such as mangrove, saltmarsh and seagrass habitats have been identified as significant natural carbon sinks, through the sequestration and storage of carbon in their biomass and sediments, collectively known as 'blue carbon' ecosystems. These ecosystems can often thrive in extreme environments where terrestrial systems otherwise survive at the limit of their existence, such as in arid and desert regions of the globe. To further our understanding of the capability of blue carbon ecosystems to sequester and store carbon in such extreme climates, we measured carbon sediment stocks in 25 sites along the Western Arabian Gulf coast. While seagrass meadows and saltmarsh habitats were widely distributed along the coast, mangrove stands were much reduced as a result of anthropogenic pressures, with 90% of stands having been lost over the last century. Carbon stocks in 1 m deep surface sediments were similar across all three blue carbon habitats, with comparable stocks for saltmarsh (81 ± 22 Mg Corg ha−1), seagrass (76 ± 20 Mg Corg ha−1) and mangroves (76 ± 23 Mg Corg ha−1). We recorded a 38% decrease in carbon stocks between mature established mangrove stands (91 Mg Corg ha−1) and recently planted mangroves (56 Mg Corg ha−1). Mangroves also had the lowest carbon stock per total area owing to their very limited spatial coverage along the coast. The largest stock per total area belonged to seagrass beds as a result of their large spatial coverage within the Gulf. We employed210Pb dating to determine the sediment accretion rates in each ecosystem and found mangrove habitats to be the most efficient carbon sequesters over the past century, with the highest carbon burial rate of the three ecosystems (19 g Corg m−2 yr−1), followed by seagrass (9 g Corg m−2 yr−1) and saltmarshes (8 g Corg m−2 yr−1). In this work, we describe a comprehensive comparison of sediment stocks in different blue carbon ecosystems within a single marine environment and across a large geographical area, and discuss our results in a global context for other blue carbon ecosystems in the dry tropics.","author":[{"dropping-particle":"","family":"Cusack","given":"M.","non-dropping-particle":"","parse-names":false,"suffix":""},{"dropping-particle":"","family":"Saderne","given":"V.","non-dropping-particle":"","parse-names":false,"suffix":""},{"dropping-particle":"","family":"Arias-Ortiz","given":"A.","non-dropping-particle":"","parse-names":false,"suffix":""},{"dropping-particle":"","family":"Masqué","given":"P.","non-dropping-particle":"","parse-names":false,"suffix":""},{"dropping-particle":"","family":"Krishnakumar","given":"P. K.","non-dropping-particle":"","parse-names":false,"suffix":""},{"dropping-particle":"","family":"Rabaoui","given":"L.","non-dropping-particle":"","parse-names":false,"suffix":""},{"dropping-particle":"","family":"Qurban","given":"M. A.","non-dropping-particle":"","parse-names":false,"suffix":""},{"dropping-particle":"","family":"Qasem","given":"A. M.","non-dropping-particle":"","parse-names":false,"suffix":""},{"dropping-particle":"","family":"Prihartato","given":"P.","non-dropping-particle":"","parse-names":false,"suffix":""},{"dropping-particle":"","family":"Loughland","given":"R. A.","non-dropping-particle":"","parse-names":false,"suffix":""},{"dropping-particle":"","family":"Elyas","given":"A. A.","non-dropping-particle":"","parse-names":false,"suffix":""},{"dropping-particle":"","family":"Duarte","given":"C. M.","non-dropping-particle":"","parse-names":false,"suffix":""}],"container-title":"Environmental Research Letters","id":"ITEM-2","issue":"7","issued":{"date-parts":[["2018"]]},"title":"Organic carbon sequestration and storage in vegetated coastal habitats along the western coast of the Arabian Gulf","type":"article-journal","volume":"13"},"uris":["http://www.mendeley.com/documents/?uuid=75966dd7-d01d-4383-8111-71401fccb59b"]}],"mendeley":{"formattedCitation":"(Almahasheer et al., 2017; Cusack et al., 2018)","plainTextFormattedCitation":"(Almahasheer et al., 2017; Cusack et al., 2018)","previouslyFormattedCitation":"(Almahasheer et al., 2017; Cusack et al., 2018)"},"properties":{"noteIndex":0},"schema":"https://github.com/citation-style-language/schema/raw/master/csl-citation.json"}</w:instrText>
      </w:r>
      <w:r>
        <w:rPr>
          <w:lang w:val="en-US"/>
        </w:rPr>
        <w:fldChar w:fldCharType="separate"/>
      </w:r>
      <w:r w:rsidRPr="00EF656B">
        <w:rPr>
          <w:noProof/>
          <w:lang w:val="en-US"/>
        </w:rPr>
        <w:t>(Almahasheer et al., 2017; Cusack et al., 2018)</w:t>
      </w:r>
      <w:r>
        <w:rPr>
          <w:lang w:val="en-US"/>
        </w:rPr>
        <w:fldChar w:fldCharType="end"/>
      </w:r>
      <w:r>
        <w:rPr>
          <w:lang w:val="en-US"/>
        </w:rPr>
        <w:t>.</w:t>
      </w:r>
    </w:p>
    <w:p w14:paraId="315403C1" w14:textId="77777777" w:rsidR="00AC29ED" w:rsidRDefault="00AC29ED" w:rsidP="00AC29ED">
      <w:pPr>
        <w:spacing w:line="480" w:lineRule="auto"/>
        <w:rPr>
          <w:lang w:val="en-US"/>
        </w:rPr>
      </w:pPr>
    </w:p>
    <w:p w14:paraId="7F20DE73" w14:textId="57C4235C" w:rsidR="00AC29ED" w:rsidRDefault="00AC29ED" w:rsidP="00AC29ED">
      <w:pPr>
        <w:spacing w:line="480" w:lineRule="auto"/>
      </w:pPr>
      <w:r>
        <w:rPr>
          <w:lang w:val="en-US"/>
        </w:rPr>
        <w:lastRenderedPageBreak/>
        <w:t xml:space="preserve">Results from the current study can inform global forecasts of mangrove functioning under predicted climate change. </w:t>
      </w:r>
      <w:r>
        <w:t xml:space="preserve">Modelling efforts performed in the present study </w:t>
      </w:r>
      <w:r w:rsidR="00922FB0">
        <w:t>gave greater representation to mangroves at the climatic extremities of their global distribution</w:t>
      </w:r>
      <w:r>
        <w:t xml:space="preserve"> than previous global modelling efforts</w:t>
      </w:r>
      <w:r w:rsidR="00D20A86">
        <w:t xml:space="preserve"> (</w:t>
      </w:r>
      <w:r w:rsidR="00BF01DE">
        <w:t>Figure</w:t>
      </w:r>
      <w:r w:rsidR="00643F32">
        <w:t>s</w:t>
      </w:r>
      <w:r w:rsidR="00873930">
        <w:t xml:space="preserve"> 6.1</w:t>
      </w:r>
      <w:r w:rsidR="00C40295">
        <w:t>a</w:t>
      </w:r>
      <w:r w:rsidR="00A9337A">
        <w:t xml:space="preserve">, </w:t>
      </w:r>
      <w:r w:rsidR="00C40295">
        <w:t>6.1b</w:t>
      </w:r>
      <w:r w:rsidR="00A9337A">
        <w:t xml:space="preserve"> and 6.1c</w:t>
      </w:r>
      <w:r w:rsidR="00D20A86">
        <w:t>)</w:t>
      </w:r>
      <w:r>
        <w:t xml:space="preserve">. As previously mentioned, </w:t>
      </w:r>
      <w:proofErr w:type="spellStart"/>
      <w:r w:rsidRPr="003D4172">
        <w:t>Rovai</w:t>
      </w:r>
      <w:proofErr w:type="spellEnd"/>
      <w:r w:rsidRPr="003D4172">
        <w:t xml:space="preserve"> et al. (2018) and Ribeiro et al. (2019), estimated mangrove soil carbon stocks and productivity on a global and continental scales, respectively, without including data from arid locations. Of previous global mangrove modelling efforts, only </w:t>
      </w:r>
      <w:proofErr w:type="spellStart"/>
      <w:r w:rsidRPr="003D4172">
        <w:t>Sanderman</w:t>
      </w:r>
      <w:proofErr w:type="spellEnd"/>
      <w:r w:rsidRPr="003D4172">
        <w:t xml:space="preserve"> et al. (2018) has included data from arid regions, for example Egypt, where annual rainfall can be &lt;10% of that in Qatar </w:t>
      </w:r>
      <w:r w:rsidRPr="003D4172">
        <w:fldChar w:fldCharType="begin" w:fldLock="1"/>
      </w:r>
      <w:r>
        <w:instrText>ADDIN CSL_CITATION {"citationItems":[{"id":"ITEM-1","itemData":{"DOI":"10.1007/s11355-013-0224-9","ISSN":"1860188X","abstract":"We examined the effects of shoot position on shoot growth and morphology of Avicennia marina (Forssk.) Vierh. in the Red Sea coastal region of Egypt. To determine differences in morphological characteristics, we collected shoots from the upper and lower canopies of A. marina individuals in the wild and compared the morphological characteristics of these shoots. The study plot was established in an A. marina mangrove forest. Heights and diameters of individual trunks (n = 14) in the plot were measured at ground level. Then, five shoots with young but fully expanded leaves were collected from the upper and lower canopies of the individuals. We measured shoot length, and dry weight and also area, dry weight, thickness, and Soil Plant Analysis Development (SPAD) value of collected leaves. Our measurements showed that leaf area, dry weight, specific leaf area, and SPAD value of leaves from the upper canopy were smaller than those of lower-canopy leaves in most individuals. From the differences in traits between upper and lower leaves, we concluded that leaves in the upper canopy are typically adapted to high light levels, whereas leaves in the lower canopy exhibit adaptations to low light conditions. In addition, soil-water salinity at the study site was far higher than the optimum salinity for A. marina. Hence, it is also suggested the salinity level at this site may have influenced the reduced leaf size in the upper canopy. © 2013 International Consortium of Landscape and Ecological Engineering and Springer Japan.","author":[{"dropping-particle":"","family":"Teraminami","given":"Tomohiro","non-dropping-particle":"","parse-names":false,"suffix":""},{"dropping-particle":"","family":"Nakashima","given":"Atsushi","non-dropping-particle":"","parse-names":false,"suffix":""},{"dropping-particle":"","family":"Ominami","given":"Mao","non-dropping-particle":"","parse-names":false,"suffix":""},{"dropping-particle":"","family":"Matsuo","given":"Naoko","non-dropping-particle":"","parse-names":false,"suffix":""},{"dropping-particle":"","family":"Nakamura","given":"Ryo","non-dropping-particle":"","parse-names":false,"suffix":""},{"dropping-particle":"","family":"Nawata","given":"Hiroshi","non-dropping-particle":"","parse-names":false,"suffix":""},{"dropping-particle":"","family":"Abdelwahab","given":"Abdelwahab A.","non-dropping-particle":"","parse-names":false,"suffix":""},{"dropping-particle":"","family":"El-Shaffai","given":"Amgad A.","non-dropping-particle":"","parse-names":false,"suffix":""},{"dropping-particle":"","family":"Yoshikawa","given":"Ken","non-dropping-particle":"","parse-names":false,"suffix":""}],"container-title":"Landscape and Ecological Engineering","id":"ITEM-1","issue":"2","issued":{"date-parts":[["2014"]]},"page":"285-293","title":"Effects of shoot position on shoot and leaf morphology of Avicennia marina in the hyperarid Red Sea coastal region of Egypt","type":"article-journal","volume":"10"},"uris":["http://www.mendeley.com/documents/?uuid=5b943c04-f636-4c32-9e43-188ff76c6d4b"]}],"mendeley":{"formattedCitation":"(Teraminami et al., 2014)","plainTextFormattedCitation":"(Teraminami et al., 2014)","previouslyFormattedCitation":"(Teraminami et al., 2014)"},"properties":{"noteIndex":0},"schema":"https://github.com/citation-style-language/schema/raw/master/csl-citation.json"}</w:instrText>
      </w:r>
      <w:r w:rsidRPr="003D4172">
        <w:fldChar w:fldCharType="separate"/>
      </w:r>
      <w:r w:rsidRPr="003D4172">
        <w:rPr>
          <w:noProof/>
        </w:rPr>
        <w:t>(Teraminami et al., 2014)</w:t>
      </w:r>
      <w:r w:rsidRPr="003D4172">
        <w:fldChar w:fldCharType="end"/>
      </w:r>
      <w:r>
        <w:t>. H</w:t>
      </w:r>
      <w:r w:rsidRPr="00811190">
        <w:t>owever, maximum air temperatures of 38.7</w:t>
      </w:r>
      <w:r w:rsidRPr="00811190">
        <w:sym w:font="Symbol" w:char="F0B0"/>
      </w:r>
      <w:r w:rsidRPr="00811190">
        <w:t xml:space="preserve">C experienced by these mangroves </w:t>
      </w:r>
      <w:r w:rsidRPr="00811190">
        <w:fldChar w:fldCharType="begin" w:fldLock="1"/>
      </w:r>
      <w:r>
        <w:instrText>ADDIN CSL_CITATION {"citationItems":[{"id":"ITEM-1","itemData":{"DOI":"10.2478/limre-2021-0001","ISSN":"23007575","abstract":"Due to the importance of mangrove forests to the ecological system, environment, climate change adaptation, mitigation and ecosystem services, it is necessary to understand the status of the mangroves in Egypt (ecology and physiology). The present study aimed to obtain the basic information needed to evaluate the photosynthetic pigments and proline mechanisms of Avicennia marina and Rhizophora mucronata mangrove to the ambient salinity. The results reached that the free proline accumulated appreciably in leaves. The functional role of proline accumulation appears to be as a cytoplasmic osmoticum to lower cell water potential, provide hydration to bipolymer and serve as an energy source under high salinity environmental conditions. Mangroves showed variations in proline content between the two species. The highest value of proline was recorded 23.56 mg/g dry wt for R. mucronata and the minimum value was recorded 17 mg/g dry wt for A. marina. In addition, the mean value of proline was recorded 18.57 mg/g dry wt for A. marina and 23.98 mg/g dry wt for R. mucronata. The contents of chlorophyll-a in different analyzed mangroves was ranged from 4.46 to 6.05 mg/gf.wt. for A. marina, and from 3.69 to 4.29 mg/gf.wt. for R. mucronata. In addition, the chlorophyll-b content was ranged from 1.46 to 1.83 mg/gf.wt. for A. marina, and from 1.27 to 1.65 mg/gf.wt. for R. mucronata. The carotenoids contents in mangroves ranged from 2.94 to 2.29 mg/gf.wt for A. marina and from 2.04 to 2.09 mg/gf.wt for R. mucronata. In the present study, A. marina was relatively more tolerant and adapted to salinity, low rainfall and extreme temperature conditions than R. mucronata. This explains the more significant local distribution of A. marina in Egypt compared to R. mucronata.","author":[{"dropping-particle":"","family":"Afefe","given":"Abdelwahab A.","non-dropping-particle":"","parse-names":false,"suffix":""},{"dropping-particle":"","family":"Khedr","given":"Abdel Hamid A.","non-dropping-particle":"","parse-names":false,"suffix":""},{"dropping-particle":"","family":"Abbas","given":"Mohamed S.","non-dropping-particle":"","parse-names":false,"suffix":""},{"dropping-particle":"","family":"Soliman","given":"Amira Sh","non-dropping-particle":"","parse-names":false,"suffix":""}],"container-title":"Limnological Review","id":"ITEM-1","issue":"1","issued":{"date-parts":[["2021"]]},"page":"3-13","title":"Responses and Tolerance Mechanisms of Mangrove Trees to the Ambient Salinity along the Egyptian Red Sea Coast","type":"article-journal","volume":"21"},"uris":["http://www.mendeley.com/documents/?uuid=8ee4e2ff-cdd2-4141-9ad8-de7035049683"]}],"mendeley":{"formattedCitation":"(Afefe et al., 2021)","plainTextFormattedCitation":"(Afefe et al., 2021)","previouslyFormattedCitation":"(Afefe et al., 2021)"},"properties":{"noteIndex":0},"schema":"https://github.com/citation-style-language/schema/raw/master/csl-citation.json"}</w:instrText>
      </w:r>
      <w:r w:rsidRPr="00811190">
        <w:fldChar w:fldCharType="separate"/>
      </w:r>
      <w:r w:rsidRPr="00811190">
        <w:rPr>
          <w:noProof/>
        </w:rPr>
        <w:t>(Afefe et al., 2021)</w:t>
      </w:r>
      <w:r w:rsidRPr="00811190">
        <w:fldChar w:fldCharType="end"/>
      </w:r>
      <w:r w:rsidRPr="00811190">
        <w:t xml:space="preserve">, </w:t>
      </w:r>
      <w:r>
        <w:t xml:space="preserve">is lower than seen in </w:t>
      </w:r>
      <w:r w:rsidRPr="002A65DF">
        <w:t>n Qatar and the wider Gulf</w:t>
      </w:r>
      <w:r>
        <w:t xml:space="preserve">, where </w:t>
      </w:r>
      <w:r w:rsidRPr="002A65DF">
        <w:t>maximum air temperatures can reach &gt;</w:t>
      </w:r>
      <w:r>
        <w:t>50</w:t>
      </w:r>
      <w:r w:rsidRPr="002A65DF">
        <w:sym w:font="Symbol" w:char="F0B0"/>
      </w:r>
      <w:r w:rsidRPr="002A65DF">
        <w:t xml:space="preserve">C </w:t>
      </w:r>
      <w:r w:rsidRPr="002A65DF">
        <w:fldChar w:fldCharType="begin" w:fldLock="1"/>
      </w:r>
      <w:r>
        <w:instrText>ADDIN CSL_CITATION {"citationItems":[{"id":"ITEM-1","itemData":{"DOI":"10.1016/j.rsma.2020.101416","ISSN":"23524855","abstract":"Many species of mangrove crabs are essential in the formation of mangrove ecosystems, and the bioturbation resulting from the excavation of their underground chambers is directly correlated with substrate oxygenation and carbon and nitrogen cycling within the ecosystem. This study examines the ecological and biogeographical characteristics of bioengineering crab assemblages that inhabit the environmentally challenging arid mangroves in the southwestern Persian-Arabian Gulf. Results demonstrated that a hyper-arid environment could directly impact crab diversity, reducing it to only one species per niche or coastal zone. A biogeographic comparison revealed an exclusive divergence of species composition in each Gulf region. Variations in seasonal temperatures were found to have a direct influence on the abundance of species and how the zonation is driven by sediment composition and trophic relations. Two crabs – Nasima dotilliformis in the salt march (supratidal zone) and Macrophthalmus (Mareotis) depressus in the intertidal – were considered to be the most influential functional species for this hyper-arid ecosystem due to their abundance, size, bioturbation potential and niche specificity for the intertidal zone. The limited number of species within the arid mangrove system emphasised the biogeographic pressure and inherent importance of the few active bioengineering species present and adapted to the harsh conditions, indicating that the dominant crabs within the biotope are directly related to the successful evolutionary establishment of these hyperarid mangroves. The study highlights important implications for future forest management strategies of the only forest ecosystem that tolerates the extremes of the southwestern Persian-Arabian Gulf area.","author":[{"dropping-particle":"","family":"Al-Khayat","given":"Jassim A.","non-dropping-particle":"","parse-names":false,"suffix":""},{"dropping-particle":"","family":"Giraldes","given":"Bruno Welter","non-dropping-particle":"","parse-names":false,"suffix":""}],"container-title":"Regional Studies in Marine Science","id":"ITEM-1","issued":{"date-parts":[["2020"]]},"title":"Burrowing crabs in arid mangrove forests on the southwestern Arabian Gulf: Ecological and biogeographical considerations","type":"article-journal","volume":"39"},"uris":["http://www.mendeley.com/documents/?uuid=c5e07c2a-e743-44f9-9553-3eb05b5c28f8"]}],"mendeley":{"formattedCitation":"(Al-Khayat and Giraldes, 2020)","plainTextFormattedCitation":"(Al-Khayat and Giraldes, 2020)","previouslyFormattedCitation":"(Al-Khayat and Giraldes, 2020)"},"properties":{"noteIndex":0},"schema":"https://github.com/citation-style-language/schema/raw/master/csl-citation.json"}</w:instrText>
      </w:r>
      <w:r w:rsidRPr="002A65DF">
        <w:fldChar w:fldCharType="separate"/>
      </w:r>
      <w:r w:rsidRPr="002A65DF">
        <w:rPr>
          <w:noProof/>
        </w:rPr>
        <w:t>(Al-Khayat and Giraldes, 2020)</w:t>
      </w:r>
      <w:r w:rsidRPr="002A65DF">
        <w:fldChar w:fldCharType="end"/>
      </w:r>
      <w:r w:rsidRPr="002A65DF">
        <w:t>.</w:t>
      </w:r>
      <w:r>
        <w:t xml:space="preserve"> As numerical models do not perform well for values falling outside of the range of data originally used to train the model, outputs generated in the current study can be considered more realistic of mangrove functioning at the climatic extremes of their global distribution, and more specifically higher temperatures, than models that did not use as wide a range of climatic settings. In addition, model estimates in the current study suggest </w:t>
      </w:r>
      <w:r w:rsidRPr="00C07962">
        <w:t xml:space="preserve">that, under a high-emissions scenario, </w:t>
      </w:r>
      <w:r>
        <w:t xml:space="preserve">air </w:t>
      </w:r>
      <w:r w:rsidRPr="00C07962">
        <w:t>temperature increases would be high enough in some countries to impact national scale total carbon stocks and soil sequestration rates.</w:t>
      </w:r>
      <w:r w:rsidRPr="00B95D77">
        <w:t xml:space="preserve"> Countries predicted to experience a high enough increase in air temperatures had an increased probability of experiencing losses in total mangrove carbon stocks. </w:t>
      </w:r>
      <w:r>
        <w:t>These results are also i</w:t>
      </w:r>
      <w:r w:rsidRPr="00C07962">
        <w:t xml:space="preserve">n contrast to recent work that suggested elevated air temperatures would have little impact on mangrove carbon stocks </w:t>
      </w:r>
      <w:r w:rsidRPr="00C07962">
        <w:fldChar w:fldCharType="begin" w:fldLock="1"/>
      </w:r>
      <w:r w:rsidRPr="00C07962">
        <w:instrText>ADDIN CSL_CITATION {"citationItems":[{"id":"ITEM-1","itemData":{"DOI":"10.1038/s41467-019-11693-w","ISSN":"20411723","abstract":"The term Blue Carbon (BC) was first coined a decade ago to describe the disproportionately large contribution of coastal vegetated ecosystems to global carbon sequestration. The role of BC in climate change mitigation and adaptation has now reached international prominence. To help prioritise future research, we assembled leading experts in the field to agree upon the top-ten pending questions in BC science. Understanding how climate change affects carbon accumulation in mature BC ecosystems and during their restoration was a high priority. Controversial questions included the role of carbonate and macroalgae in BC cycling, and the degree to which greenhouse gases are released following disturbance of BC ecosystems. Scientists seek improved precision of the extent of BC ecosystems; techniques to determine BC provenance; understanding of the factors that influence sequestration in BC ecosystems, with the corresponding value of BC; and the management actions that are effective in enhancing this value. Overall this overview provides a comprehensive road map for the coming decades on future research in BC science.","author":[{"dropping-particle":"","family":"Macreadie","given":"Peter I.","non-dropping-particle":"","parse-names":false,"suffix":""},{"dropping-particle":"","family":"Anton","given":"Andrea","non-dropping-particle":"","parse-names":false,"suffix":""},{"dropping-particle":"","family":"Raven","given":"John A.","non-dropping-particle":"","parse-names":false,"suffix":""},{"dropping-particle":"","family":"Beaumont","given":"Nicola","non-dropping-particle":"","parse-names":false,"suffix":""},{"dropping-particle":"","family":"Connolly","given":"Rod M.","non-dropping-particle":"","parse-names":false,"suffix":""},{"dropping-particle":"","family":"Friess","given":"Daniel A.","non-dropping-particle":"","parse-names":false,"suffix":""},{"dropping-particle":"","family":"Kelleway","given":"Jeffrey J.","non-dropping-particle":"","parse-names":false,"suffix":""},{"dropping-particle":"","family":"Kennedy","given":"Hilary","non-dropping-particle":"","parse-names":false,"suffix":""},{"dropping-particle":"","family":"Kuwae","given":"Tomohiro","non-dropping-particle":"","parse-names":false,"suffix":""},{"dropping-particle":"","family":"Lavery","given":"Paul S.","non-dropping-particle":"","parse-names":false,"suffix":""},{"dropping-particle":"","family":"Lovelock","given":"Catherine E.","non-dropping-particle":"","parse-names":false,"suffix":""},{"dropping-particle":"","family":"Smale","given":"Dan A.","non-dropping-particle":"","parse-names":false,"suffix":""},{"dropping-particle":"","family":"Apostolaki","given":"Eugenia T.","non-dropping-particle":"","parse-names":false,"suffix":""},{"dropping-particle":"","family":"Atwood","given":"Trisha B.","non-dropping-particle":"","parse-names":false,"suffix":""},{"dropping-particle":"","family":"Baldock","given":"Jeff","non-dropping-particle":"","parse-names":false,"suffix":""},{"dropping-particle":"","family":"Bianchi","given":"Thomas S.","non-dropping-particle":"","parse-names":false,"suffix":""},{"dropping-particle":"","family":"Chmura","given":"Gail L.","non-dropping-particle":"","parse-names":false,"suffix":""},{"dropping-particle":"","family":"Eyre","given":"Bradley D.","non-dropping-particle":"","parse-names":false,"suffix":""},{"dropping-particle":"","family":"Fourqurean","given":"James W.","non-dropping-particle":"","parse-names":false,"suffix":""},{"dropping-particle":"","family":"Hall-Spencer","given":"Jason M.","non-dropping-particle":"","parse-names":false,"suffix":""},{"dropping-particle":"","family":"Huxham","given":"Mark","non-dropping-particle":"","parse-names":false,"suffix":""},{"dropping-particle":"","family":"Hendriks","given":"Iris E.","non-dropping-particle":"","parse-names":false,"suffix":""},{"dropping-particle":"","family":"Krause-Jensen","given":"Dorte","non-dropping-particle":"","parse-names":false,"suffix":""},{"dropping-particle":"","family":"Laffoley","given":"Dan","non-dropping-particle":"","parse-names":false,"suffix":""},{"dropping-particle":"","family":"Luisetti","given":"Tiziana","non-dropping-particle":"","parse-names":false,"suffix":""},{"dropping-particle":"","family":"Marbà","given":"Núria","non-dropping-particle":"","parse-names":false,"suffix":""},{"dropping-particle":"","family":"Masque","given":"Pere","non-dropping-particle":"","parse-names":false,"suffix":""},{"dropping-particle":"","family":"McGlathery","given":"Karen J.","non-dropping-particle":"","parse-names":false,"suffix":""},{"dropping-particle":"","family":"Megonigal","given":"J. Patrick","non-dropping-particle":"","parse-names":false,"suffix":""},{"dropping-particle":"","family":"Murdiyarso","given":"Daniel","non-dropping-particle":"","parse-names":false,"suffix":""},{"dropping-particle":"","family":"Russell","given":"Bayden D.","non-dropping-particle":"","parse-names":false,"suffix":""},{"dropping-particle":"","family":"Santos","given":"Rui","non-dropping-particle":"","parse-names":false,"suffix":""},{"dropping-particle":"","family":"Serrano","given":"Oscar","non-dropping-particle":"","parse-names":false,"suffix":""},{"dropping-particle":"","family":"Silliman","given":"Brian R.","non-dropping-particle":"","parse-names":false,"suffix":""},{"dropping-particle":"","family":"Watanabe","given":"Kenta","non-dropping-particle":"","parse-names":false,"suffix":""},{"dropping-particle":"","family":"Duarte","given":"Carlos M.","non-dropping-particle":"","parse-names":false,"suffix":""}],"container-title":"Nature Communications","id":"ITEM-1","issue":"1","issued":{"date-parts":[["2019"]]},"title":"The future of Blue Carbon science","type":"article-journal","volume":"10"},"uris":["http://www.mendeley.com/documents/?uuid=224fee77-5ae2-467a-957b-9f226c5539d6"]}],"mendeley":{"formattedCitation":"(Macreadie et al., 2019)","plainTextFormattedCitation":"(Macreadie et al., 2019)","previouslyFormattedCitation":"(Macreadie et al., 2019)"},"properties":{"noteIndex":0},"schema":"https://github.com/citation-style-language/schema/raw/master/csl-citation.json"}</w:instrText>
      </w:r>
      <w:r w:rsidRPr="00C07962">
        <w:fldChar w:fldCharType="separate"/>
      </w:r>
      <w:r w:rsidRPr="00C07962">
        <w:rPr>
          <w:noProof/>
        </w:rPr>
        <w:t xml:space="preserve">(Macreadie et </w:t>
      </w:r>
      <w:r w:rsidRPr="00C07962">
        <w:rPr>
          <w:noProof/>
        </w:rPr>
        <w:lastRenderedPageBreak/>
        <w:t>al., 2019)</w:t>
      </w:r>
      <w:r w:rsidRPr="00C07962">
        <w:fldChar w:fldCharType="end"/>
      </w:r>
      <w:r w:rsidRPr="00C07962">
        <w:t xml:space="preserve">, </w:t>
      </w:r>
      <w:r>
        <w:t xml:space="preserve">which is likely as a result of this study </w:t>
      </w:r>
      <w:r w:rsidRPr="007A6EC7">
        <w:t xml:space="preserve">giving greater representation to mangroves at the climatic extremes of global distribution </w:t>
      </w:r>
      <w:r>
        <w:t>than in</w:t>
      </w:r>
      <w:r w:rsidRPr="007A6EC7">
        <w:t xml:space="preserve"> than previous modelling efforts.</w:t>
      </w:r>
    </w:p>
    <w:p w14:paraId="0AFEE72B" w14:textId="2BBC28AF" w:rsidR="007E3C43" w:rsidRDefault="007E3C43" w:rsidP="00AC29ED">
      <w:pPr>
        <w:spacing w:line="480" w:lineRule="auto"/>
      </w:pPr>
    </w:p>
    <w:p w14:paraId="6C718FF2" w14:textId="66B68C14" w:rsidR="00EF77E6" w:rsidRDefault="00632D4A" w:rsidP="00AC29ED">
      <w:pPr>
        <w:spacing w:line="480" w:lineRule="auto"/>
      </w:pPr>
      <w:r w:rsidRPr="00632D4A">
        <w:rPr>
          <w:noProof/>
        </w:rPr>
        <w:drawing>
          <wp:inline distT="0" distB="0" distL="0" distR="0" wp14:anchorId="0428CC09" wp14:editId="40429A5A">
            <wp:extent cx="6507318" cy="3889096"/>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527084" cy="3900909"/>
                    </a:xfrm>
                    <a:prstGeom prst="rect">
                      <a:avLst/>
                    </a:prstGeom>
                  </pic:spPr>
                </pic:pic>
              </a:graphicData>
            </a:graphic>
          </wp:inline>
        </w:drawing>
      </w:r>
    </w:p>
    <w:p w14:paraId="535723CA" w14:textId="26DE614F" w:rsidR="00150A2A" w:rsidRPr="00906EF9" w:rsidRDefault="00AE4DD8" w:rsidP="00906EF9">
      <w:pPr>
        <w:rPr>
          <w:b/>
          <w:bCs/>
          <w:sz w:val="20"/>
          <w:szCs w:val="20"/>
        </w:rPr>
      </w:pPr>
      <w:r>
        <w:rPr>
          <w:b/>
          <w:bCs/>
          <w:sz w:val="20"/>
          <w:szCs w:val="20"/>
        </w:rPr>
        <w:t>Figure</w:t>
      </w:r>
      <w:r w:rsidR="007A033F" w:rsidRPr="00906EF9">
        <w:rPr>
          <w:b/>
          <w:bCs/>
          <w:sz w:val="20"/>
          <w:szCs w:val="20"/>
        </w:rPr>
        <w:t xml:space="preserve"> 6.1</w:t>
      </w:r>
      <w:r w:rsidR="00842665" w:rsidRPr="00906EF9">
        <w:rPr>
          <w:b/>
          <w:bCs/>
          <w:sz w:val="20"/>
          <w:szCs w:val="20"/>
        </w:rPr>
        <w:t xml:space="preserve">: </w:t>
      </w:r>
      <w:r w:rsidR="00A9337A">
        <w:rPr>
          <w:b/>
          <w:bCs/>
          <w:sz w:val="20"/>
          <w:szCs w:val="20"/>
        </w:rPr>
        <w:t xml:space="preserve">a) </w:t>
      </w:r>
      <w:r w:rsidR="00E22134">
        <w:rPr>
          <w:b/>
          <w:bCs/>
          <w:sz w:val="20"/>
          <w:szCs w:val="20"/>
        </w:rPr>
        <w:t>Maximum temperatures</w:t>
      </w:r>
      <w:r w:rsidR="00643F32">
        <w:rPr>
          <w:b/>
          <w:bCs/>
          <w:sz w:val="20"/>
          <w:szCs w:val="20"/>
        </w:rPr>
        <w:t>,</w:t>
      </w:r>
      <w:r w:rsidR="00CF508F" w:rsidRPr="00906EF9">
        <w:rPr>
          <w:b/>
          <w:bCs/>
          <w:sz w:val="20"/>
          <w:szCs w:val="20"/>
        </w:rPr>
        <w:t xml:space="preserve"> </w:t>
      </w:r>
      <w:r w:rsidR="00A9337A">
        <w:rPr>
          <w:b/>
          <w:bCs/>
          <w:sz w:val="20"/>
          <w:szCs w:val="20"/>
        </w:rPr>
        <w:t xml:space="preserve">b) precipitation and c) sea surface temperatures </w:t>
      </w:r>
      <w:r w:rsidR="001D45C9">
        <w:rPr>
          <w:b/>
          <w:bCs/>
          <w:sz w:val="20"/>
          <w:szCs w:val="20"/>
        </w:rPr>
        <w:t xml:space="preserve">in the locations </w:t>
      </w:r>
      <w:r w:rsidR="007B6E43">
        <w:rPr>
          <w:b/>
          <w:bCs/>
          <w:sz w:val="20"/>
          <w:szCs w:val="20"/>
        </w:rPr>
        <w:t xml:space="preserve">used in </w:t>
      </w:r>
      <w:r w:rsidR="004079AE" w:rsidRPr="00906EF9">
        <w:rPr>
          <w:b/>
          <w:bCs/>
          <w:sz w:val="20"/>
          <w:szCs w:val="20"/>
        </w:rPr>
        <w:t>previous global mangrove modelling studies</w:t>
      </w:r>
      <w:r w:rsidR="004D5EE2">
        <w:rPr>
          <w:b/>
          <w:bCs/>
          <w:sz w:val="20"/>
          <w:szCs w:val="20"/>
        </w:rPr>
        <w:t>. Maximum temperatures &gt;45</w:t>
      </w:r>
      <w:r w:rsidR="00C45DDA">
        <w:rPr>
          <w:b/>
          <w:bCs/>
          <w:sz w:val="20"/>
          <w:szCs w:val="20"/>
        </w:rPr>
        <w:sym w:font="Symbol" w:char="F0B0"/>
      </w:r>
      <w:r w:rsidR="004D5EE2">
        <w:rPr>
          <w:b/>
          <w:bCs/>
          <w:sz w:val="20"/>
          <w:szCs w:val="20"/>
        </w:rPr>
        <w:t>C</w:t>
      </w:r>
      <w:r w:rsidR="00A9337A">
        <w:rPr>
          <w:b/>
          <w:bCs/>
          <w:sz w:val="20"/>
          <w:szCs w:val="20"/>
        </w:rPr>
        <w:t>, precipitation &lt;10 mm mn</w:t>
      </w:r>
      <w:r w:rsidR="00A9337A" w:rsidRPr="00906EF9">
        <w:rPr>
          <w:b/>
          <w:bCs/>
          <w:sz w:val="20"/>
          <w:szCs w:val="20"/>
          <w:vertAlign w:val="superscript"/>
        </w:rPr>
        <w:t>-1</w:t>
      </w:r>
      <w:r w:rsidR="00A9337A">
        <w:rPr>
          <w:b/>
          <w:bCs/>
          <w:sz w:val="20"/>
          <w:szCs w:val="20"/>
        </w:rPr>
        <w:t xml:space="preserve"> and sea surface temperatures &lt;17</w:t>
      </w:r>
      <w:r w:rsidR="00A9337A">
        <w:rPr>
          <w:b/>
          <w:bCs/>
          <w:sz w:val="20"/>
          <w:szCs w:val="20"/>
        </w:rPr>
        <w:sym w:font="Symbol" w:char="F0B0"/>
      </w:r>
      <w:r w:rsidR="00A9337A">
        <w:rPr>
          <w:b/>
          <w:bCs/>
          <w:sz w:val="20"/>
          <w:szCs w:val="20"/>
        </w:rPr>
        <w:t>C are highlighted red.</w:t>
      </w:r>
    </w:p>
    <w:p w14:paraId="2B02CBBA" w14:textId="77777777" w:rsidR="00AC29ED" w:rsidRDefault="00AC29ED" w:rsidP="00AC29ED">
      <w:pPr>
        <w:spacing w:line="480" w:lineRule="auto"/>
      </w:pPr>
    </w:p>
    <w:p w14:paraId="254E726B" w14:textId="7E31D6B4" w:rsidR="00AC29ED" w:rsidRPr="00006CE8" w:rsidRDefault="00AC29ED" w:rsidP="00AC29ED">
      <w:pPr>
        <w:pStyle w:val="Heading2"/>
        <w:ind w:left="720" w:hanging="720"/>
      </w:pPr>
      <w:bookmarkStart w:id="72" w:name="_Toc120622159"/>
      <w:r w:rsidRPr="00AB7CE1">
        <w:rPr>
          <w:rFonts w:asciiTheme="minorHAnsi" w:hAnsiTheme="minorHAnsi" w:cstheme="minorHAnsi"/>
          <w:b/>
          <w:bCs/>
          <w:color w:val="000000" w:themeColor="text1"/>
        </w:rPr>
        <w:t>6.3</w:t>
      </w:r>
      <w:r w:rsidRPr="00AB7CE1">
        <w:rPr>
          <w:rFonts w:asciiTheme="minorHAnsi" w:hAnsiTheme="minorHAnsi" w:cstheme="minorHAnsi"/>
          <w:b/>
          <w:bCs/>
          <w:color w:val="000000" w:themeColor="text1"/>
        </w:rPr>
        <w:tab/>
        <w:t xml:space="preserve">What this thesis </w:t>
      </w:r>
      <w:r w:rsidR="007761C6">
        <w:rPr>
          <w:rFonts w:asciiTheme="minorHAnsi" w:hAnsiTheme="minorHAnsi" w:cstheme="minorHAnsi"/>
          <w:b/>
          <w:bCs/>
          <w:color w:val="000000" w:themeColor="text1"/>
        </w:rPr>
        <w:t xml:space="preserve">can </w:t>
      </w:r>
      <w:r w:rsidRPr="00AB7CE1">
        <w:rPr>
          <w:rFonts w:asciiTheme="minorHAnsi" w:hAnsiTheme="minorHAnsi" w:cstheme="minorHAnsi"/>
          <w:b/>
          <w:bCs/>
          <w:color w:val="000000" w:themeColor="text1"/>
        </w:rPr>
        <w:t>add to mangrove science</w:t>
      </w:r>
      <w:bookmarkEnd w:id="72"/>
    </w:p>
    <w:p w14:paraId="4D883029" w14:textId="77777777" w:rsidR="00AC29ED" w:rsidRDefault="00AC29ED" w:rsidP="00AC29ED">
      <w:pPr>
        <w:spacing w:line="480" w:lineRule="auto"/>
        <w:rPr>
          <w:lang w:val="en-US"/>
        </w:rPr>
      </w:pPr>
      <w:r w:rsidRPr="009D74EF">
        <w:rPr>
          <w:lang w:val="en-US"/>
        </w:rPr>
        <w:t xml:space="preserve">This thesis </w:t>
      </w:r>
      <w:r>
        <w:rPr>
          <w:lang w:val="en-US"/>
        </w:rPr>
        <w:t xml:space="preserve">presents several “firsts” for mangrove science: </w:t>
      </w:r>
    </w:p>
    <w:p w14:paraId="7CAC850F" w14:textId="77777777" w:rsidR="00AC29ED" w:rsidRPr="00AE7B59" w:rsidRDefault="00AC29ED" w:rsidP="00AC29ED">
      <w:pPr>
        <w:spacing w:line="480" w:lineRule="auto"/>
        <w:ind w:left="720"/>
        <w:rPr>
          <w:i/>
          <w:iCs/>
          <w:lang w:val="en-US"/>
        </w:rPr>
      </w:pPr>
      <w:r w:rsidRPr="00AE7B59">
        <w:rPr>
          <w:i/>
          <w:iCs/>
          <w:lang w:val="en-US"/>
        </w:rPr>
        <w:t xml:space="preserve">1) Prediction of global mangrove Net Primary Productivity (NPP) over space and time, and not just a single ‘snapshot’ of productivity at one point in time; </w:t>
      </w:r>
    </w:p>
    <w:p w14:paraId="01798D6F" w14:textId="77777777" w:rsidR="00AC29ED" w:rsidRPr="00AE7B59" w:rsidRDefault="00AC29ED" w:rsidP="00AC29ED">
      <w:pPr>
        <w:spacing w:line="480" w:lineRule="auto"/>
        <w:ind w:firstLine="720"/>
        <w:rPr>
          <w:i/>
          <w:iCs/>
          <w:lang w:val="en-US"/>
        </w:rPr>
      </w:pPr>
      <w:r w:rsidRPr="00AE7B59">
        <w:rPr>
          <w:i/>
          <w:iCs/>
          <w:lang w:val="en-US"/>
        </w:rPr>
        <w:t>2) Prediction of current and future global mangrove soil carbon sequestration and</w:t>
      </w:r>
    </w:p>
    <w:p w14:paraId="2F338DE7" w14:textId="77777777" w:rsidR="00AC29ED" w:rsidRDefault="00AC29ED" w:rsidP="00AC29ED">
      <w:pPr>
        <w:spacing w:line="480" w:lineRule="auto"/>
        <w:ind w:firstLine="720"/>
        <w:rPr>
          <w:lang w:val="en-US"/>
        </w:rPr>
      </w:pPr>
      <w:r w:rsidRPr="00AE7B59">
        <w:rPr>
          <w:i/>
          <w:iCs/>
          <w:lang w:val="en-US"/>
        </w:rPr>
        <w:t>3) Projections for change in total mangrove carbon stocks in the 21</w:t>
      </w:r>
      <w:r w:rsidRPr="00AE7B59">
        <w:rPr>
          <w:i/>
          <w:iCs/>
          <w:vertAlign w:val="superscript"/>
          <w:lang w:val="en-US"/>
        </w:rPr>
        <w:t>st</w:t>
      </w:r>
      <w:r w:rsidRPr="00AE7B59">
        <w:rPr>
          <w:i/>
          <w:iCs/>
          <w:lang w:val="en-US"/>
        </w:rPr>
        <w:t xml:space="preserve"> century. </w:t>
      </w:r>
    </w:p>
    <w:p w14:paraId="67D7A1B2" w14:textId="77777777" w:rsidR="00AC29ED" w:rsidRDefault="00AC29ED" w:rsidP="00AC29ED">
      <w:pPr>
        <w:spacing w:line="480" w:lineRule="auto"/>
      </w:pPr>
    </w:p>
    <w:p w14:paraId="566319A5" w14:textId="54B933AD" w:rsidR="00AC29ED" w:rsidRDefault="00AC29ED" w:rsidP="00AC29ED">
      <w:pPr>
        <w:spacing w:line="480" w:lineRule="auto"/>
      </w:pPr>
      <w:r w:rsidRPr="004D2B19">
        <w:t xml:space="preserve">Findings from this thesis reinforce previous </w:t>
      </w:r>
      <w:r>
        <w:t xml:space="preserve">research </w:t>
      </w:r>
      <w:r w:rsidRPr="004D2B19">
        <w:t xml:space="preserve">that shows mangrove productivity and carbon stocks in low-rainfall regions to be relatively low </w:t>
      </w:r>
      <w:r>
        <w:fldChar w:fldCharType="begin" w:fldLock="1"/>
      </w:r>
      <w:r w:rsidR="008A48C6">
        <w:instrText>ADDIN CSL_CITATION {"citationItems":[{"id":"ITEM-1","itemData":{"DOI":"10.21608/ejabf.2010.2063","ISSN":"2536-9814","abstract":"his study was conducted on a naturally growing mangrove population at Ras Mohammed and Nabq protected areas, South Sinai, during the period 2005-2006. Avicennia marina is the only growing mangrove species in South Sinai. Its structure, litterfall and seedling distribution were investigated. The total area of mangrove stands is 99.1 hectares with 42% canopy coverage, average tree height is between 1.7 -2.6 m, basal area up to 9.2 m 2 . ha -1 . Ras Mohammed represents the densest stand (428 stems ha -1). An annual litterfall of 2036.7 Kg. ha -1 . yr -1 was recorded at Rowaiseya with a maximum peak during April. Mangroves at Nabq area have well distribution of seedlings over Abu Zabad site and a localized dense aggregation of seedlings in intertidal areas at Monqataa and Gharqana sites with a seedling density up to 1848 ha -1 .","author":[{"dropping-particle":"","family":"Gab-Alla","given":"Ali","non-dropping-particle":"","parse-names":false,"suffix":""},{"dropping-particle":"","family":"Fouda","given":"Moustafa","non-dropping-particle":"","parse-names":false,"suffix":""},{"dropping-particle":"","family":"Morsy","given":"Waleed","non-dropping-particle":"","parse-names":false,"suffix":""}],"container-title":"Egyptian Journal of Aquatic Biology and Fisheries","id":"ITEM-1","issue":"2","issued":{"date-parts":[["2010"]]},"page":"79-93","title":"Ecology of Avicennia marina mangals along Gulf of Aqaba, South Sinai, Red Sea","type":"article-journal","volume":"14"},"uris":["http://www.mendeley.com/documents/?uuid=6c0f0e0d-6cfc-4d8d-91a4-2c6787b79b76"]},{"id":"ITEM-2","itemData":{"DOI":"10.1038/s41598-017-10424-9","ISSN":"2045-2322","author":[{"dropping-particle":"","family":"Almahasheer","given":"Hanan","non-dropping-particle":"","parse-names":false,"suffix":""},{"dropping-particle":"","family":"Serrano","given":"Oscar","non-dropping-particle":"","parse-names":false,"suffix":""},{"dropping-particle":"","family":"Duarte","given":"Carlos M.","non-dropping-particle":"","parse-names":false,"suffix":""},{"dropping-particle":"","family":"Arias-Ortiz","given":"Ariane","non-dropping-particle":"","parse-names":false,"suffix":""},{"dropping-particle":"","family":"Masque","given":"Pere","non-dropping-particle":"","parse-names":false,"suffix":""},{"dropping-particle":"","family":"Irigoien","given":"Xabier","non-dropping-particle":"","parse-names":false,"suffix":""}],"container-title":"Scientific Reports","id":"ITEM-2","issue":"1","issued":{"date-parts":[["2017"]]},"page":"9700","title":"Low Carbon sink capacity of Red Sea mangroves","type":"article-journal","volume":"7"},"uris":["http://www.mendeley.com/documents/?uuid=90af8c22-f462-3b43-9dc5-dcc30bc9100e"]},{"id":"ITEM-3","itemData":{"DOI":"10.1002/eap.1489","ISSN":"19395582","abstract":"Coastal ecosystems produce and sequester significant amounts of carbon (\"blue carbon\"), which has been well documented in humid and semi-humid regions of temperate and tropical climates but less so in arid regions where mangroves, marshes, and seagrasses exist near the limit of their tolerance for extreme temperature and salinity. To better understand these unique systems, we measured whole-ecosystem carbon stocks in 58 sites across the United Arab Emirates (UAE) in natural and planted mangroves, salt marshes, seagrass beds, microbial mats, and coastal sabkha (inter- and supratidal unvegetated salt flats). Natural mangroves held significantly more carbon in above- and belowground biomass than other vegetated ecosystems. Planted mangrove carbon stocks increased with age, but there were large differences for sites of similar age. Soil carbon varied widely across sites (2-367 Mg C/ha), with ecosystem averages that ranged from 49 to 156 Mg C/ha. For the first time, microbial mats were documented to contain soil carbon pools comparable to vascular plant-dominated ecosystems, and could arguably be recognized as a unique blue carbon ecosystem. Total ecosystem carbon stocks ranged widely from 2 to 515 Mg C/ha (seagrass bed and mangrove, respectively). Seagrass beds had the lowest carbon stock per unit area, but the largest stock per total area due to their large spatial coverage. Compared to similar ecosystems globally, mangroves and marshes in the UAE have lower plant and soil carbon stocks; however, the difference in soil stocks is far larger than with plant stocks. This incongruent difference between stocks is likely due to poor carbon preservation under conditions of weakly reduced soils (200-350 mV), coarse-grained sediments, and active shoreline migration. This work represents the first attempt to produce a country-wide coastal ecosystem carbon accounting using a uniform sampling protocol, and was motivated by specific policy goals identified by the Abu Dhabi Global Environmental Data Initiative. These carbon stock data supported two objectives: to quantify carbon stocks and infer sequestration capacity in arid blue carbon ecosystems, and to explore the potential to incorporate blue carbon science into national reporting and planning documents. © 2016 by the Ecological Society of America.","author":[{"dropping-particle":"","family":"Schile","given":"Lisa M.","non-dropping-particle":"","parse-names":false,"suffix":""},{"dropping-particle":"","family":"Kauffman","given":"J. Boone","non-dropping-particle":"","parse-names":false,"suffix":""},{"dropping-particle":"","family":"Crooks","given":"Stephen","non-dropping-particle":"","parse-names":false,"suffix":""},{"dropping-particle":"","family":"Fourqurean","given":"James W.","non-dropping-particle":"","parse-names":false,"suffix":""},{"dropping-particle":"","family":"Glavan","given":"Jane","non-dropping-particle":"","parse-names":false,"suffix":""},{"dropping-particle":"","family":"Megonigal","given":"J. Patrick","non-dropping-particle":"","parse-names":false,"suffix":""}],"container-title":"Ecological Applications","id":"ITEM-3","issue":"3","issued":{"date-parts":[["2017"]]},"page":"859-874","title":"Limits on carbon sequestration in arid blue carbon ecosystems","type":"article-journal","volume":"27"},"uris":["http://www.mendeley.com/documents/?uuid=c37893be-f79d-4cb3-b5d3-f043469db703"]}],"mendeley":{"formattedCitation":"(Almahasheer et al., 2017; Gab-Alla et al., 2010; Schile et al., 2017)","plainTextFormattedCitation":"(Almahasheer et al., 2017; Gab-Alla et al., 2010; Schile et al., 2017)","previouslyFormattedCitation":"(Almahasheer et al., 2017; Gab-Alla et al., 2010; Schile et al., 2017)"},"properties":{"noteIndex":0},"schema":"https://github.com/citation-style-language/schema/raw/master/csl-citation.json"}</w:instrText>
      </w:r>
      <w:r>
        <w:fldChar w:fldCharType="separate"/>
      </w:r>
      <w:r w:rsidR="008A48C6" w:rsidRPr="008A48C6">
        <w:rPr>
          <w:noProof/>
        </w:rPr>
        <w:t>(Almahasheer et al., 2017; Gab-Alla et al., 2010; Schile et al., 2017)</w:t>
      </w:r>
      <w:r>
        <w:fldChar w:fldCharType="end"/>
      </w:r>
      <w:r>
        <w:t>.</w:t>
      </w:r>
      <w:r w:rsidRPr="009B35B4">
        <w:t xml:space="preserve"> </w:t>
      </w:r>
      <w:r>
        <w:t>Allometric equations developed in the present study</w:t>
      </w:r>
      <w:r w:rsidRPr="009B35B4">
        <w:t xml:space="preserve"> showed </w:t>
      </w:r>
      <w:r w:rsidRPr="009C6C98">
        <w:rPr>
          <w:rFonts w:cstheme="minorHAnsi"/>
          <w:i/>
          <w:iCs/>
        </w:rPr>
        <w:t xml:space="preserve">A. marina </w:t>
      </w:r>
      <w:r>
        <w:rPr>
          <w:rFonts w:cstheme="minorHAnsi"/>
        </w:rPr>
        <w:t xml:space="preserve">in </w:t>
      </w:r>
      <w:r w:rsidRPr="003B018E">
        <w:rPr>
          <w:rFonts w:cstheme="minorHAnsi"/>
        </w:rPr>
        <w:t xml:space="preserve">Qatar had a steeper below biomass increase with increasing crown diameter (CD) when compared to </w:t>
      </w:r>
      <w:r w:rsidRPr="00F146F3">
        <w:rPr>
          <w:rFonts w:cstheme="minorHAnsi"/>
        </w:rPr>
        <w:t>the same species</w:t>
      </w:r>
      <w:r>
        <w:rPr>
          <w:rFonts w:cstheme="minorHAnsi"/>
          <w:i/>
          <w:iCs/>
        </w:rPr>
        <w:t xml:space="preserve"> </w:t>
      </w:r>
      <w:r w:rsidRPr="003B018E">
        <w:rPr>
          <w:rFonts w:cstheme="minorHAnsi"/>
        </w:rPr>
        <w:t xml:space="preserve">from a tropical humid area of Australia </w:t>
      </w:r>
      <w:r w:rsidRPr="003B018E">
        <w:rPr>
          <w:rFonts w:cstheme="minorHAnsi"/>
        </w:rPr>
        <w:fldChar w:fldCharType="begin" w:fldLock="1"/>
      </w:r>
      <w:r w:rsidRPr="003B018E">
        <w:rPr>
          <w:rFonts w:cstheme="minorHAnsi"/>
        </w:rPr>
        <w:instrText>ADDIN CSL_CITATION {"citationItems":[{"id":"ITEM-1","itemData":{"DOI":"10.1071/BT04162","ISBN":"0067-1924","ISSN":"00671924","abstract":"Mangrove forests are an integral part of tropical coastal ecosystems, particularly in northern Australia. In the Northern Territory, studies have determined the extent and species diversity of these associations but little is known of biomass or productivity. We sampled the above- and below-ground biomass of the four most abundant species, Avicennia marina, Bruguiera exaristata, Ceriops australis and Rhizophora stylosa, developed allometric relationships and examined partitioning. Unlike many other studies, we sampled below-ground biomass, which constituted a substantial proportion (0.29–0.57) of the total dry weight. Our results should be valuable in modelling potential changes in carbon allocation resulting from small- and large-scale ecosystem changes.","author":[{"dropping-particle":"","family":"Comley","given":"B. W T","non-dropping-particle":"","parse-names":false,"suffix":""},{"dropping-particle":"","family":"McGuinness","given":"K. A.","non-dropping-particle":"","parse-names":false,"suffix":""}],"container-title":"Australian Journal of Botany","id":"ITEM-1","issue":"5","issued":{"date-parts":[["2005"]]},"page":"431-436","title":"Above- and below-ground biomass, and allometry, of four common northern Australian mangroves","type":"article-journal","volume":"53"},"uris":["http://www.mendeley.com/documents/?uuid=d9846ebf-2311-34c8-bdd3-4f6e17651f49"]}],"mendeley":{"formattedCitation":"(Comley and McGuinness, 2005)","plainTextFormattedCitation":"(Comley and McGuinness, 2005)","previouslyFormattedCitation":"(Comley and McGuinness, 2005)"},"properties":{"noteIndex":0},"schema":"https://github.com/citation-style-language/schema/raw/master/csl-citation.json"}</w:instrText>
      </w:r>
      <w:r w:rsidRPr="003B018E">
        <w:rPr>
          <w:rFonts w:cstheme="minorHAnsi"/>
        </w:rPr>
        <w:fldChar w:fldCharType="separate"/>
      </w:r>
      <w:r w:rsidRPr="003B018E">
        <w:rPr>
          <w:rFonts w:cstheme="minorHAnsi"/>
          <w:noProof/>
        </w:rPr>
        <w:t>(Comley and McGuinness, 2005)</w:t>
      </w:r>
      <w:r w:rsidRPr="003B018E">
        <w:rPr>
          <w:rFonts w:cstheme="minorHAnsi"/>
        </w:rPr>
        <w:fldChar w:fldCharType="end"/>
      </w:r>
      <w:r w:rsidRPr="003B018E">
        <w:rPr>
          <w:rFonts w:cstheme="minorHAnsi"/>
        </w:rPr>
        <w:t xml:space="preserve"> and</w:t>
      </w:r>
      <w:r w:rsidRPr="003B018E">
        <w:rPr>
          <w:rFonts w:cstheme="minorHAnsi"/>
          <w:i/>
          <w:iCs/>
        </w:rPr>
        <w:t xml:space="preserve"> </w:t>
      </w:r>
      <w:r w:rsidRPr="003B018E">
        <w:rPr>
          <w:rFonts w:cstheme="minorHAnsi"/>
        </w:rPr>
        <w:t xml:space="preserve">from </w:t>
      </w:r>
      <w:r>
        <w:rPr>
          <w:rFonts w:cstheme="minorHAnsi"/>
        </w:rPr>
        <w:t xml:space="preserve">a </w:t>
      </w:r>
      <w:r w:rsidRPr="003B018E">
        <w:rPr>
          <w:rFonts w:cstheme="minorHAnsi"/>
        </w:rPr>
        <w:t xml:space="preserve">geographically adjacent but </w:t>
      </w:r>
      <w:r>
        <w:rPr>
          <w:rFonts w:cstheme="minorHAnsi"/>
        </w:rPr>
        <w:t xml:space="preserve">humid region in </w:t>
      </w:r>
      <w:r w:rsidRPr="003B018E">
        <w:rPr>
          <w:rFonts w:cstheme="minorHAnsi"/>
        </w:rPr>
        <w:t xml:space="preserve">Iran. </w:t>
      </w:r>
      <w:r>
        <w:t xml:space="preserve">These findings can refine below ground biomass and carbon stocks estimates for </w:t>
      </w:r>
      <w:r w:rsidRPr="00CA4E65">
        <w:t xml:space="preserve">mangroves in arid regions as previous work may have underestimated below ground carbon stocks by using allometric equations from less extreme environments. </w:t>
      </w:r>
      <w:r>
        <w:t xml:space="preserve">As mangroves are expanding their distribution to higher latitudes </w:t>
      </w:r>
      <w:r w:rsidRPr="00E90018">
        <w:fldChar w:fldCharType="begin" w:fldLock="1"/>
      </w:r>
      <w:r w:rsidR="008A48C6">
        <w:instrText>ADDIN CSL_CITATION {"citationItems":[{"id":"ITEM-1","itemData":{"DOI":"10.1002/ecm.1248","ISSN":"15577015","abstract":"Mangrove forests are highly productive tidal saline wetland ecosystems found along sheltered tropical and subtropical coasts. Ecologists have long assumed that climatic drivers (i.e., temperature and rainfall regimes) govern the global distribution, structure, and function of mangrove forests. However, data constraints have hindered the quantification of direct climate–mangrove linkages in many parts of the world. Recently, the quality and availability of global-scale climate and mangrove data have been improving. Here, we used these data to better understand the influence of air temperature and rainfall regimes upon the distribution, abundance, and species richness of mangrove forests. Although our analyses identify global-scale relationships and thresholds, we show that the influence of climatic drivers is best characterized via regional range-limit-specific analyses. We quantified climatic controls across targeted gradients in temperature and/or rainfall within 14 mangrove distributional range limits. Climatic thresholds for mangrove presence, abundance, and species richness differed among the 14 studied range limits. We identified minimum temperature-based thresholds for range limits in eastern North America, eastern Australia, New Zealand, eastern Asia, eastern South America, and southeast Africa. We identified rainfall-based thresholds for range limits in western North America, western Gulf of Mexico, western South America, western Australia, Middle East, northwest Africa, east central Africa, and west-central Africa. Our results show that in certain range limits (e.g., eastern North America, western Gulf of Mexico, eastern Asia), winter air temperature extremes play an especially important role. We conclude that rainfall and temperature regimes are both important in western North America, western Gulf of Mexico, and western Australia. With climate change, alterations in temperature and rainfall regimes will affect the global distribution, abundance, and diversity of mangrove forests. In general, warmer winter temperatures are expected to allow mangroves to expand poleward at the expense of salt marshes. However, dispersal and habitat availability constraints may hinder expansion near certain range limits. Along arid and semiarid coasts, decreases or increases in rainfall are expected to lead to mangrove contraction or expansion, respectively. Collectively, our analyses quantify climate–mangrove linkages and improve our understanding of the expect…","author":[{"dropping-particle":"","family":"Osland","given":"Michael J.","non-dropping-particle":"","parse-names":false,"suffix":""},{"dropping-particle":"","family":"Feher","given":"Laura C.","non-dropping-particle":"","parse-names":false,"suffix":""},{"dropping-particle":"","family":"Griffith","given":"Kereen T.","non-dropping-particle":"","parse-names":false,"suffix":""},{"dropping-particle":"","family":"Cavanaugh","given":"Kyle C.","non-dropping-particle":"","parse-names":false,"suffix":""},{"dropping-particle":"","family":"Enwright","given":"Nicholas M.","non-dropping-particle":"","parse-names":false,"suffix":""},{"dropping-particle":"","family":"Day","given":"Richard H.","non-dropping-particle":"","parse-names":false,"suffix":""},{"dropping-particle":"","family":"Stagg","given":"Camille L.","non-dropping-particle":"","parse-names":false,"suffix":""},{"dropping-particle":"","family":"Krauss","given":"Ken W.","non-dropping-particle":"","parse-names":false,"suffix":""},{"dropping-particle":"","family":"Howard","given":"Rebecca J.","non-dropping-particle":"","parse-names":false,"suffix":""},{"dropping-particle":"","family":"Grace","given":"James B.","non-dropping-particle":"","parse-names":false,"suffix":""},{"dropping-particle":"","family":"Rogers","given":"Kerrylee","non-dropping-particle":"","parse-names":false,"suffix":""}],"container-title":"Ecological Monographs","id":"ITEM-1","issue":"2","issued":{"date-parts":[["2017"]]},"page":"341-359","title":"Climatic controls on the global distribution, abundance, and species richness of mangrove forests","type":"article-journal","volume":"87"},"uris":["http://www.mendeley.com/documents/?uuid=550b02d8-1b48-4bbc-8d4f-87ef91a23f84"]},{"id":"ITEM-2","itemData":{"DOI":"10.1111/gcb.12341","ISBN":"1354-1013","ISSN":"13541013","PMID":"23907934","abstract":"Mangroves are species of halophytic intertidal trees and shrubs derived from tropical genera and are likely delimited in latitudinal range by varying sensitivity to cold. There is now sufficient evidence that mangrove species have proliferated at or near their poleward limits on at least five continents over the past half century, at the expense of salt marsh. Avicennia is the most cold-tolerant genus worldwide, and is the subject of most of the observed changes. Avicennia germinans has extended in range along the USA Atlantic coast and expanded into salt marsh as a consequence of lower frost frequency and intensity in the southern USA. The genus has also expanded into salt marsh at its southern limit in Peru, and on the Pacific coast of Mexico. Mangroves of several species have expanded in extent and replaced salt marsh where protected within mangrove reserves in Guangdong Province, China. In south-eastern Australia, the expansion of Avicennia marina into salt marshes is now well documented, and Rhizophora stylosa has extended its range southward, while showing strong population growth within estuaries along its southern limits in northern New South Wales. Avicennia marina has extended its range southwards in South Africa. The changes are consistent with the poleward extension of temperature thresholds coincident with sea-level rise, although the specific mechanism of range extension might be complicated by limitations on dispersal or other factors. The shift from salt marsh to mangrove dominance on subtropical and temperate shorelines has important implications for ecological structure, function, and global change adaptation.","author":[{"dropping-particle":"","family":"Saintilan","given":"Neil","non-dropping-particle":"","parse-names":false,"suffix":""},{"dropping-particle":"","family":"Wilson","given":"Nicholas C.","non-dropping-particle":"","parse-names":false,"suffix":""},{"dropping-particle":"","family":"Rogers","given":"Kerrylee","non-dropping-particle":"","parse-names":false,"suffix":""},{"dropping-particle":"","family":"Rajkaran","given":"Anusha","non-dropping-particle":"","parse-names":false,"suffix":""},{"dropping-particle":"","family":"Krauss","given":"Ken W.","non-dropping-particle":"","parse-names":false,"suffix":""}],"container-title":"Global Change Biology","id":"ITEM-2","issue":"1","issued":{"date-parts":[["2014"]]},"page":"147-157","title":"Mangrove expansion and salt marsh decline at mangrove poleward limits","type":"article-journal","volume":"20"},"uris":["http://www.mendeley.com/documents/?uuid=77fc4f27-ec75-3c0f-b64e-363a965f95c1"]}],"mendeley":{"formattedCitation":"(Osland et al., 2017; Saintilan et al., 2014)","plainTextFormattedCitation":"(Osland et al., 2017; Saintilan et al., 2014)","previouslyFormattedCitation":"(Osland et al., 2017; Saintilan et al., 2014)"},"properties":{"noteIndex":0},"schema":"https://github.com/citation-style-language/schema/raw/master/csl-citation.json"}</w:instrText>
      </w:r>
      <w:r w:rsidRPr="00E90018">
        <w:fldChar w:fldCharType="separate"/>
      </w:r>
      <w:r w:rsidR="008A48C6" w:rsidRPr="008A48C6">
        <w:rPr>
          <w:noProof/>
        </w:rPr>
        <w:t>(Osland et al., 2017; Saintilan et al., 2014)</w:t>
      </w:r>
      <w:r w:rsidRPr="00E90018">
        <w:fldChar w:fldCharType="end"/>
      </w:r>
      <w:r w:rsidRPr="00E90018">
        <w:t>,</w:t>
      </w:r>
      <w:r>
        <w:t xml:space="preserve"> mangroves on the edge of their global distribution are likely to become more widespread. </w:t>
      </w:r>
      <w:r w:rsidRPr="00A25435">
        <w:t>Changes to precipitation regimes across the sub-tropics are projected to be heterogeneous</w:t>
      </w:r>
      <w:r w:rsidR="00711A8F">
        <w:t xml:space="preserve">, for example  </w:t>
      </w:r>
      <w:r w:rsidR="00A602D1">
        <w:t xml:space="preserve">increased water limitation is predicted </w:t>
      </w:r>
      <w:r w:rsidR="00711A8F">
        <w:t>in southern areas of African subtropics</w:t>
      </w:r>
      <w:r w:rsidR="00AB0BA6">
        <w:t xml:space="preserve">, </w:t>
      </w:r>
      <w:r w:rsidR="003E7FDE">
        <w:t xml:space="preserve">while some </w:t>
      </w:r>
      <w:r w:rsidR="00002D21">
        <w:t xml:space="preserve">areas of </w:t>
      </w:r>
      <w:r w:rsidR="003E7FDE">
        <w:t xml:space="preserve">Asian subtropics are forecast to experience significant increases in precipitation </w:t>
      </w:r>
      <w:r w:rsidRPr="00A25435">
        <w:fldChar w:fldCharType="begin" w:fldLock="1"/>
      </w:r>
      <w:r w:rsidR="00005B37">
        <w:instrText>ADDIN CSL_CITATION {"citationItems":[{"id":"ITEM-1","itemData":{"DOI":"10.1002/jgrd.50203","ISBN":"2169-8996","ISSN":"21698996","PMID":"13455520","abstract":"This paper provides a first overview of the performance of state-of-the-art global climate models participating in the Coupled Model Intercomparison Project Phase 5 (CMIP5) in simulating climate extremes indices defined by the Expert Team on Climate Change Detection and Indices (ETCCDI), and compares it to that in the previous model generation (CMIP3). For the first time, the indices based on daily temperature and precipitation are calculated with a consistent methodology across multimodel simulations and four reanalysis data sets (ERA40, ERA-Interim, NCEP/NCAR, and NCEP-DOE) and are made available at the ETCCDI indices archive website. Our analyses show that the CMIP5 models are generally able to simulate climate extremes and their trend patterns as represented by the indices in comparison to a gridded observational indices data set (HadEX2). The spread amongst CMIP5 models for several temperature indices is reduced compared to CMIP3 models, despite the larger number of models participating in CMIP5. Some improvements in the CMIP5 ensemble relative to CMIP3 are also found in the representation of the magnitude of precipitation indices. We find substantial discrepancies between the reanalyses, indicating considerable uncertainties regarding their simulation of extremes. The overall performance of individual models is summarized by a “portrait” diagram based on root-mean-square errors of model climatologies for each index and model relative to four reanalyses. This metric analysis shows that the median model climatology outperforms individual models for all indices, but the uncertainties related to the underlying reference data sets are reflected in the individual model performance metrics.","author":[{"dropping-particle":"","family":"Sillmann","given":"J.","non-dropping-particle":"","parse-names":false,"suffix":""},{"dropping-particle":"V.","family":"Kharin","given":"V.","non-dropping-particle":"","parse-names":false,"suffix":""},{"dropping-particle":"","family":"Zhang","given":"X.","non-dropping-particle":"","parse-names":false,"suffix":""},{"dropping-particle":"","family":"Zwiers","given":"F. W.","non-dropping-particle":"","parse-names":false,"suffix":""},{"dropping-particle":"","family":"Bronaugh","given":"D.","non-dropping-particle":"","parse-names":false,"suffix":""}],"container-title":"Journal of Geophysical Research Atmospheres","id":"ITEM-1","issue":"4","issued":{"date-parts":[["2013","2","27"]]},"page":"1716-1733","title":"Climate extremes indices in the CMIP5 multimodel ensemble: Part 1. Model evaluation in the present climate","type":"article-journal","volume":"118"},"uris":["http://www.mendeley.com/documents/?uuid=cc568d0a-6d7b-307e-a49e-350486961606"]},{"id":"ITEM-2","itemData":{"DOI":"10.1029/2018JD029473","ISSN":"21698996","abstract":"Land-atmosphere coupling plays a crucial role in determining the evolution of weather and climate. In the current study, the full ensemble of CORDEX-Africa climate change simulations is used to understand how strong and weak coupling regions in Africa will evolve in the future. The ability of the regional climate models to capture the coupling signal relies on a reasonable representation of near surface air temperature, precipitation, surface fluxes, and soil moisture. A thorough model evaluation reveals typical shortcomings in the representation of the African climate, in particular seasonal precipitation. The multimodel ensemble mean outperforms the individual models and is therefore used for the investigation of the land-atmosphere coupling. This ensemble mean shows a widespread warming in Africa and changes in precipitation, such as a decrease in the Sahel during summer and an increase in western Africa during summer and autumn. The coupling analysis relies on surface fluxes, the related evaporative fraction and their correlations as well as the correlation between evaporative fraction and soil moisture. Overall, water-limited regions that exhibit a strong land-atmosphere coupling are projected to expand further southward in West Africa and further northward in southern Africa. This is particularly true over the Sahel during spring and summer, when the strong coupling region shifts southward, indicating a potential expansion of the semiarid and arid regions. A transition of energy limited regimes, with weak coupling, to water-limited regimes where soil moisture plays a more important role, is projected for the end of the 21st century as drying continues.","author":[{"dropping-particle":"","family":"Soares","given":"Pedro M.M.","non-dropping-particle":"","parse-names":false,"suffix":""},{"dropping-particle":"","family":"Careto","given":"João A.M.","non-dropping-particle":"","parse-names":false,"suffix":""},{"dropping-particle":"","family":"Cardoso","given":"Rita M.","non-dropping-particle":"","parse-names":false,"suffix":""},{"dropping-particle":"","family":"Goergen","given":"Klaus","non-dropping-particle":"","parse-names":false,"suffix":""},{"dropping-particle":"","family":"Trigo","given":"Ricardo M.","non-dropping-particle":"","parse-names":false,"suffix":""}],"container-title":"Journal of Geophysical Research: Atmospheres","id":"ITEM-2","issue":"21","issued":{"date-parts":[["2019"]]},"page":"11118-11142","title":"Land-Atmosphere Coupling Regimes in a Future Climate in Africa: From Model Evaluation to Projections Based on CORDEX-Africa","type":"article-journal","volume":"124"},"uris":["http://www.mendeley.com/documents/?uuid=b79dfd5b-96c1-4837-86d0-49c63a95a4fa"]},{"id":"ITEM-3","itemData":{"DOI":"10.5194/esd-10-73-2019","ISSN":"21904987","abstract":"We revisit the issue of the response of precipitation characteristics to global warming based on analyses of global and regional climate model projections for the 21st century. The prevailing response we identify can be summarized as follows: increase in the intensity of precipitation events and extremes, with the occurrence of events of \"unprecedented\" magnitude, i.e., a magnitude not found in the present-day climate; decrease in the number of light precipitation events and in wet spell lengths; and increase in the number of dry days and dry spell lengths. This response, which is mostly consistent across the models we analyzed, is tied to the difference between precipitation intensity responding to increases in local humidity conditions and circulations, especially for heavy and extreme events, and mean precipitation responding to slower increases in global evaporation. These changes in hydroclimatic characteristics have multiple and important impacts on the Earth's hydrologic cycle and on a variety of sectors. As examples we investigate effects on potential stress due to increases in dry and wet extremes, changes in precipitation interannual variability, and changes in the potential predictability of precipitation events. We also stress how the understanding of the hydroclimatic response to global warming can provide important insights into the fundamental behavior of precipitation processes, most noticeably tropical convection.","author":[{"dropping-particle":"","family":"Giorgi","given":"Filippo","non-dropping-particle":"","parse-names":false,"suffix":""},{"dropping-particle":"","family":"Raffaele","given":"Francesca","non-dropping-particle":"","parse-names":false,"suffix":""},{"dropping-particle":"","family":"Coppola","given":"Erika","non-dropping-particle":"","parse-names":false,"suffix":""}],"container-title":"Earth System Dynamics","id":"ITEM-3","issue":"1","issued":{"date-parts":[["2019"]]},"page":"73-89","title":"The response of precipitation characteristics to global warming from climate projections","type":"article-journal","volume":"10"},"uris":["http://www.mendeley.com/documents/?uuid=988a7d47-ac98-4d8c-b240-6a203fdde08a"]}],"mendeley":{"formattedCitation":"(Giorgi et al., 2019; J. Sillmann et al., 2013; Soares et al., 2019)","plainTextFormattedCitation":"(Giorgi et al., 2019; J. Sillmann et al., 2013; Soares et al., 2019)","previouslyFormattedCitation":"(Giorgi et al., 2019; J. Sillmann et al., 2013; Soares et al., 2019)"},"properties":{"noteIndex":0},"schema":"https://github.com/citation-style-language/schema/raw/master/csl-citation.json"}</w:instrText>
      </w:r>
      <w:r w:rsidRPr="00A25435">
        <w:fldChar w:fldCharType="separate"/>
      </w:r>
      <w:r w:rsidR="00DF4DFE" w:rsidRPr="00DF4DFE">
        <w:rPr>
          <w:noProof/>
        </w:rPr>
        <w:t>(Giorgi et al., 2019; J. Sillmann et al., 2013; Soares et al., 2019)</w:t>
      </w:r>
      <w:r w:rsidRPr="00A25435">
        <w:fldChar w:fldCharType="end"/>
      </w:r>
      <w:r w:rsidR="00DF4DFE">
        <w:t>.</w:t>
      </w:r>
      <w:r w:rsidRPr="00A25435">
        <w:t xml:space="preserve"> </w:t>
      </w:r>
      <w:r w:rsidR="00DF4DFE">
        <w:t>T</w:t>
      </w:r>
      <w:r w:rsidRPr="00A25435">
        <w:t xml:space="preserve">hus, in areas where precipitation declines, productivity and carbon storage may </w:t>
      </w:r>
      <w:r>
        <w:t xml:space="preserve">not only </w:t>
      </w:r>
      <w:r w:rsidRPr="00A25435">
        <w:t xml:space="preserve">be reduced </w:t>
      </w:r>
      <w:r>
        <w:t>but may be re-allocated so that greater biomass is stored below ground.</w:t>
      </w:r>
    </w:p>
    <w:p w14:paraId="32DBA75C" w14:textId="77777777" w:rsidR="00AC29ED" w:rsidRPr="00003422" w:rsidRDefault="00AC29ED" w:rsidP="00AC29ED">
      <w:pPr>
        <w:spacing w:line="480" w:lineRule="auto"/>
      </w:pPr>
    </w:p>
    <w:p w14:paraId="2FB034C9" w14:textId="77777777" w:rsidR="00AC29ED" w:rsidRPr="00AC6607" w:rsidRDefault="00AC29ED" w:rsidP="00AC29ED">
      <w:pPr>
        <w:spacing w:line="480" w:lineRule="auto"/>
        <w:rPr>
          <w:highlight w:val="yellow"/>
        </w:rPr>
      </w:pPr>
      <w:r>
        <w:rPr>
          <w:lang w:val="en-US"/>
        </w:rPr>
        <w:t xml:space="preserve">In predicting global change in mangrove productivity rates, carbon stocks and soil carbon sequestration rates, significant future regional changes were detected, particularly at the extremities of global mangrove distribution. </w:t>
      </w:r>
      <w:r w:rsidRPr="00634CF9">
        <w:rPr>
          <w:lang w:val="en-US"/>
        </w:rPr>
        <w:t xml:space="preserve">These findings have implications for </w:t>
      </w:r>
      <w:r>
        <w:rPr>
          <w:lang w:val="en-US"/>
        </w:rPr>
        <w:t xml:space="preserve">country level </w:t>
      </w:r>
      <w:r>
        <w:rPr>
          <w:lang w:val="en-US"/>
        </w:rPr>
        <w:lastRenderedPageBreak/>
        <w:t>management of mangroves into the 21</w:t>
      </w:r>
      <w:r w:rsidRPr="00576238">
        <w:rPr>
          <w:vertAlign w:val="superscript"/>
          <w:lang w:val="en-US"/>
        </w:rPr>
        <w:t>st</w:t>
      </w:r>
      <w:r>
        <w:rPr>
          <w:lang w:val="en-US"/>
        </w:rPr>
        <w:t xml:space="preserve"> century, especially in an era of Nationally Determined Contributions (</w:t>
      </w:r>
      <w:proofErr w:type="spellStart"/>
      <w:r>
        <w:rPr>
          <w:lang w:val="en-US"/>
        </w:rPr>
        <w:t>NDS’c</w:t>
      </w:r>
      <w:proofErr w:type="spellEnd"/>
      <w:r>
        <w:rPr>
          <w:lang w:val="en-US"/>
        </w:rPr>
        <w:t xml:space="preserve">) to reduce greenhouse gas emissions. This thesis identifies nations where effective mangrove conservation and restoration may be used as a contribution to meeting their NDC’s, as well as countries where mangrove carbon storage is likely to increase significantly. For example, the Indonesian government has declared 60% of their emissions reductions by 2030 will come from forestry and land use sectors </w:t>
      </w:r>
      <w:r>
        <w:rPr>
          <w:lang w:val="en-US"/>
        </w:rPr>
        <w:fldChar w:fldCharType="begin" w:fldLock="1"/>
      </w:r>
      <w:r>
        <w:rPr>
          <w:lang w:val="en-US"/>
        </w:rPr>
        <w:instrText>ADDIN CSL_CITATION {"citationItems":[{"id":"ITEM-1","itemData":{"abstract":"Indonesia submitted Intended Nationally Determined Contribution (INDC) to the United Nations Framework Convention on Climate Change (UNFCCC) Secretariat prior to COP-21. Under Decision 1/CP. 21, Party who has submitted its INDC before joining the Paris Agreement shall be considered to have communicated its 1st NDC unless the Party decides otherwise. Indonesia decided to strengthen its INDC by enhancing clarity, transparency, and understanding both for national and international interests, and submitted to the UNFCCC Secretariat the NDC document prior to COP-22. The NDC reflects the progression beyond the earlier pledge in INDC in terms of: (a) the national Business as Usual (BAU) scenario used – BAU of NDC is slightly lower than BAU of INDC (from 2.881 GtCO2e in INDC to 2.869 GtCO2e in NDC), and (b) clarity of sectoral BAU and emission reduction target allocation, and assumption used for BAU projection and target allocation. The NDC has set an ambitious mitigation target for forest and land use and energy sectors which account for about 97% of the total national commitment. The updated NDC reflects the progression beyond the existing NDC particularly in the following standpoints: 1. Enhanced ambition on adaptation as elaborated in the programmes, strategies and actions to achieve economic, social and livelihood, and ecosystem and landscape resilience, as depicted in Annex 2. 2. Enhanced clarity on mitigation by adopting the Paris Agreement rule book (Katowice Package) on information to be provided in NDC, as well as updated policies which potentially contribute to additional achievement of NDC target. 3. National context that relates the existing condition, milestones along with national development for the period of 2020-2024, and indicative pathways towards long- term vision (Visi Indonesia 2045 and the Long-Term Strategy on Low Carbon and Climate Resilient Development 2050). 4. Translating the Paris Agreement Rule Book (Katowice Package) into Indonesia’s context with a view to enhance effectiveness and efficiency in implementing the agreement and in communicating its progress and achievement as part of the responsibility of the party to the agreement. This includes elaborated chapters on transparency framework at the national level (National Registry System as the backbone of transparency framework), and means of implementation (finance, technology development and transfer, and capacity building).","author":[{"dropping-particle":"","family":"Ministry of Environment and Forestry Directorate General of Climate Change","given":"","non-dropping-particle":"","parse-names":false,"suffix":""}],"id":"ITEM-1","issued":{"date-parts":[["2021"]]},"number-of-pages":"32","title":"Updated Nationally Determined Contribution Republic of Indonesia 2021","type":"report"},"uris":["http://www.mendeley.com/documents/?uuid=3a826a8f-245f-4073-b0e1-4649e30466f0"]}],"mendeley":{"formattedCitation":"(Ministry of Environment and Forestry Directorate General of Climate Change, 2021)","plainTextFormattedCitation":"(Ministry of Environment and Forestry Directorate General of Climate Change, 2021)","previouslyFormattedCitation":"(Ministry of Environment and Forestry Directorate General of Climate Change, 2021)"},"properties":{"noteIndex":0},"schema":"https://github.com/citation-style-language/schema/raw/master/csl-citation.json"}</w:instrText>
      </w:r>
      <w:r>
        <w:rPr>
          <w:lang w:val="en-US"/>
        </w:rPr>
        <w:fldChar w:fldCharType="separate"/>
      </w:r>
      <w:r w:rsidRPr="0000776B">
        <w:rPr>
          <w:noProof/>
          <w:lang w:val="en-US"/>
        </w:rPr>
        <w:t>(Ministry of Environment and Forestry Directorate General of Climate Change, 2021)</w:t>
      </w:r>
      <w:r>
        <w:rPr>
          <w:lang w:val="en-US"/>
        </w:rPr>
        <w:fldChar w:fldCharType="end"/>
      </w:r>
      <w:r>
        <w:rPr>
          <w:lang w:val="en-US"/>
        </w:rPr>
        <w:t>, of which mangroves can comprise a significant portion. The study also predicted four out of the top ten mangrove holding countries to increase their total mangrove carbon stocks by &gt;10%, which may provide greater impetus towards mangrove conservation and restoration.</w:t>
      </w:r>
    </w:p>
    <w:p w14:paraId="15E5DDFC" w14:textId="77777777" w:rsidR="00AC29ED" w:rsidRDefault="00AC29ED" w:rsidP="00AC29ED">
      <w:pPr>
        <w:spacing w:line="480" w:lineRule="auto"/>
      </w:pPr>
    </w:p>
    <w:p w14:paraId="2E81D3A8" w14:textId="2A66CED9" w:rsidR="00AC29ED" w:rsidRPr="008F1F88" w:rsidRDefault="00AC29ED" w:rsidP="00AC29ED">
      <w:pPr>
        <w:pStyle w:val="Heading2"/>
        <w:rPr>
          <w:rFonts w:asciiTheme="minorHAnsi" w:hAnsiTheme="minorHAnsi" w:cstheme="minorHAnsi"/>
          <w:b/>
          <w:bCs/>
          <w:color w:val="000000" w:themeColor="text1"/>
        </w:rPr>
      </w:pPr>
      <w:bookmarkStart w:id="73" w:name="_Toc120622160"/>
      <w:r w:rsidRPr="008F1F88">
        <w:rPr>
          <w:rFonts w:asciiTheme="minorHAnsi" w:hAnsiTheme="minorHAnsi" w:cstheme="minorHAnsi"/>
          <w:b/>
          <w:bCs/>
          <w:color w:val="000000" w:themeColor="text1"/>
        </w:rPr>
        <w:t>6.4</w:t>
      </w:r>
      <w:r w:rsidRPr="008F1F88">
        <w:rPr>
          <w:rFonts w:asciiTheme="minorHAnsi" w:hAnsiTheme="minorHAnsi" w:cstheme="minorHAnsi"/>
          <w:b/>
          <w:bCs/>
          <w:color w:val="000000" w:themeColor="text1"/>
        </w:rPr>
        <w:tab/>
        <w:t>Limitations</w:t>
      </w:r>
      <w:bookmarkEnd w:id="73"/>
      <w:r w:rsidRPr="008F1F88">
        <w:rPr>
          <w:rFonts w:asciiTheme="minorHAnsi" w:hAnsiTheme="minorHAnsi" w:cstheme="minorHAnsi"/>
          <w:b/>
          <w:bCs/>
          <w:color w:val="000000" w:themeColor="text1"/>
        </w:rPr>
        <w:t xml:space="preserve"> </w:t>
      </w:r>
    </w:p>
    <w:p w14:paraId="45A195F8" w14:textId="77777777" w:rsidR="00AC29ED" w:rsidRDefault="00AC29ED" w:rsidP="00AC29ED">
      <w:pPr>
        <w:spacing w:line="480" w:lineRule="auto"/>
      </w:pPr>
      <w:r>
        <w:t>This study has shed some light on the functioning of the arid mangroves in Qatar and how they compare to mangroves in topical humid locations. Results from this work are important in helping to elucidate how arid mangroves fit into global estimates of change in productivity and carbon stocks under forecasted climate change as well as providing more robust projections of how mangroves may respond under elevated heat and reduced precipitation. Despite these findings, there are limitations in the methods and assumptions made by the study in both the local scale chapters (chapters 2 and 4) and the global scale modelling chapters (chapters 3 and 5). These limitations have been grouped together and discussed below.</w:t>
      </w:r>
    </w:p>
    <w:p w14:paraId="63031EF0" w14:textId="77777777" w:rsidR="00AC29ED" w:rsidRDefault="00AC29ED" w:rsidP="00AC29ED">
      <w:pPr>
        <w:spacing w:line="480" w:lineRule="auto"/>
        <w:ind w:firstLine="720"/>
      </w:pPr>
      <w:r w:rsidRPr="00193564">
        <w:rPr>
          <w:i/>
          <w:iCs/>
        </w:rPr>
        <w:t xml:space="preserve">Qatar productivity and Qatar carbon stocks </w:t>
      </w:r>
      <w:r>
        <w:t>(chapters 2 and 4)</w:t>
      </w:r>
    </w:p>
    <w:p w14:paraId="09C6C0D9" w14:textId="77777777" w:rsidR="00AC29ED" w:rsidRDefault="00AC29ED" w:rsidP="00AC29ED">
      <w:pPr>
        <w:spacing w:line="480" w:lineRule="auto"/>
      </w:pPr>
      <w:r>
        <w:lastRenderedPageBreak/>
        <w:t>These chapters utilised field data collected from mangrove stands in Qatar and had comparable shortcomings. Additional data collection would have provided more robust statistical analysis. Comparisons of carbon stocks and productivity between mangrove tidal heights and sites were performed with a total of nine data points, where three data points each from low, mid and high tidal zones were collected per site. Nine data points from each site were chosen as the best compromise between enough data to perform statistical comparisons and the logistical difficulties of sampling in mangroves in Qatar during the summer months where air temperatures regularly exceed 50</w:t>
      </w:r>
      <w:r>
        <w:sym w:font="Symbol" w:char="F0B0"/>
      </w:r>
      <w:r>
        <w:t>C. While this amount of data is acceptable, more data points would have provided more robust statistical analysis and comparisons between sampling sites where only nine points each were used.</w:t>
      </w:r>
    </w:p>
    <w:p w14:paraId="28E0E846" w14:textId="77777777" w:rsidR="00AC29ED" w:rsidRDefault="00AC29ED" w:rsidP="00AC29ED">
      <w:pPr>
        <w:spacing w:line="480" w:lineRule="auto"/>
      </w:pPr>
    </w:p>
    <w:p w14:paraId="573B9C0C" w14:textId="639EDDF2" w:rsidR="00AC29ED" w:rsidRDefault="00AC29ED" w:rsidP="00AC29ED">
      <w:pPr>
        <w:spacing w:line="480" w:lineRule="auto"/>
      </w:pPr>
      <w:r w:rsidRPr="00C003D1">
        <w:t xml:space="preserve">As well as additional sampling, </w:t>
      </w:r>
      <w:r>
        <w:t xml:space="preserve">collection of pore water salinity and nutrient data would have aided interpretation of results, especially when dealing with variations in productivity and carbon stocks across the tidal gradient. Mangrove soil salinity and nutrient availability are closely associated with biomass, productivity and soil carbon stocks </w:t>
      </w:r>
      <w:r>
        <w:fldChar w:fldCharType="begin" w:fldLock="1"/>
      </w:r>
      <w:r w:rsidR="008A48C6">
        <w:instrText>ADDIN CSL_CITATION {"citationItems":[{"id":"ITEM-1","itemData":{"DOI":"10.1007/s10021-002-0191-8","ISBN":"1432-9840","ISSN":"14329840","abstract":"The objective of this study was to quantify spatial patterns in above- and belowground biomass, primary productivity, and growth efficiency along a tidal gradient in a 4700-ha mangrove forest in the Dominican Republic. We tested the hypothesis that spatial patterns of forest structure and growth following 50 years of development were associated with variations in the soil environment across the tidal gradient. Twenty-three plots were monitored from 1994 to 1998. Aboveground biomass and biomass accumulation were estimated by applying allometric regression equations derived from dimension analysis of trees harvested at our study site. Soil porewater salinity ranged from 5 to 38 g . kg(-1) across the tidal gradient, and most measurements of forest biomass and productivity were inversely related to salinity. Mean standing biomass (233 +/- 16.0 Mg . ha(-1); range, 123.5-383.5), biomass increment (9.7 +/- 1.0 Mg . ha(-1) y(-1); range, 3.7-18.1), annual litterfall rates (11.4 Mg . ha(-1) yr(-1); range, 10.2-12.8), leaf area index (LAI) (4.4 m(2) . m(-2); range, 2.9-5.6), aboveground net primary productivity (ANPP) (19.7 Mg . ha(-1) y(-1); range, 15.6-25.0), and growth efficiency (1.6 +/- 0.2 kg . ha(-1) y(-1); range, 1.0-3.6) all showed an inverse linear relationship with salinity. Fine-root biomass (less than or equal to 2 mm) (9.7 +/- 1.2 Mg . ha(-1); range, 2.7-13.8) showed a weak tendency to increase with salinity, and the ratio of root to aboveground biomass increased strongly with salinity. Our results suggest that physiological stresses associated with salinity, or with some combination of salinity and other covarying soil factors, control forest structure and growth along the tidal gradient. The higher allocation of carbon to belowground resources in more saline sites apparently contributed to reductions in ANPP along the tidal gradient.","author":[{"dropping-particle":"","family":"Sherman","given":"Ruth E.","non-dropping-particle":"","parse-names":false,"suffix":""},{"dropping-particle":"","family":"Fahey","given":"Timothy J.","non-dropping-particle":"","parse-names":false,"suffix":""},{"dropping-particle":"","family":"Martinez","given":"Pedro","non-dropping-particle":"","parse-names":false,"suffix":""}],"container-title":"Ecosystems","id":"ITEM-1","issue":"4","issued":{"date-parts":[["2003"]]},"page":"384-398","title":"Spatial Patterns of Biomass and Aboveground Net Primary Productivity in a Mangrove Ecosystem in the Dominican Republic","type":"article-journal","volume":"6"},"uris":["http://www.mendeley.com/documents/?uuid=f02db92d-3381-445b-b85c-d65205a65215"]},{"id":"ITEM-2","itemData":{"DOI":"10.1002/eap.1489","ISSN":"19395582","abstract":"Coastal ecosystems produce and sequester significant amounts of carbon (\"blue carbon\"), which has been well documented in humid and semi-humid regions of temperate and tropical climates but less so in arid regions where mangroves, marshes, and seagrasses exist near the limit of their tolerance for extreme temperature and salinity. To better understand these unique systems, we measured whole-ecosystem carbon stocks in 58 sites across the United Arab Emirates (UAE) in natural and planted mangroves, salt marshes, seagrass beds, microbial mats, and coastal sabkha (inter- and supratidal unvegetated salt flats). Natural mangroves held significantly more carbon in above- and belowground biomass than other vegetated ecosystems. Planted mangrove carbon stocks increased with age, but there were large differences for sites of similar age. Soil carbon varied widely across sites (2-367 Mg C/ha), with ecosystem averages that ranged from 49 to 156 Mg C/ha. For the first time, microbial mats were documented to contain soil carbon pools comparable to vascular plant-dominated ecosystems, and could arguably be recognized as a unique blue carbon ecosystem. Total ecosystem carbon stocks ranged widely from 2 to 515 Mg C/ha (seagrass bed and mangrove, respectively). Seagrass beds had the lowest carbon stock per unit area, but the largest stock per total area due to their large spatial coverage. Compared to similar ecosystems globally, mangroves and marshes in the UAE have lower plant and soil carbon stocks; however, the difference in soil stocks is far larger than with plant stocks. This incongruent difference between stocks is likely due to poor carbon preservation under conditions of weakly reduced soils (200-350 mV), coarse-grained sediments, and active shoreline migration. This work represents the first attempt to produce a country-wide coastal ecosystem carbon accounting using a uniform sampling protocol, and was motivated by specific policy goals identified by the Abu Dhabi Global Environmental Data Initiative. These carbon stock data supported two objectives: to quantify carbon stocks and infer sequestration capacity in arid blue carbon ecosystems, and to explore the potential to incorporate blue carbon science into national reporting and planning documents. © 2016 by the Ecological Society of America.","author":[{"dropping-particle":"","family":"Schile","given":"Lisa M.","non-dropping-particle":"","parse-names":false,"suffix":""},{"dropping-particle":"","family":"Kauffman","given":"J. Boone","non-dropping-particle":"","parse-names":false,"suffix":""},{"dropping-particle":"","family":"Crooks","given":"Stephen","non-dropping-particle":"","parse-names":false,"suffix":""},{"dropping-particle":"","family":"Fourqurean","given":"James W.","non-dropping-particle":"","parse-names":false,"suffix":""},{"dropping-particle":"","family":"Glavan","given":"Jane","non-dropping-particle":"","parse-names":false,"suffix":""},{"dropping-particle":"","family":"Megonigal","given":"J. Patrick","non-dropping-particle":"","parse-names":false,"suffix":""}],"container-title":"Ecological Applications","id":"ITEM-2","issue":"3","issued":{"date-parts":[["2017"]]},"page":"859-874","title":"Limits on carbon sequestration in arid blue carbon ecosystems","type":"article-journal","volume":"27"},"uris":["http://www.mendeley.com/documents/?uuid=c37893be-f79d-4cb3-b5d3-f043469db703"]}],"mendeley":{"formattedCitation":"(Schile et al., 2017; Sherman et al., 2003)","plainTextFormattedCitation":"(Schile et al., 2017; Sherman et al., 2003)","previouslyFormattedCitation":"(Schile et al., 2017; Sherman et al., 2003)"},"properties":{"noteIndex":0},"schema":"https://github.com/citation-style-language/schema/raw/master/csl-citation.json"}</w:instrText>
      </w:r>
      <w:r>
        <w:fldChar w:fldCharType="separate"/>
      </w:r>
      <w:r w:rsidR="008A48C6" w:rsidRPr="008A48C6">
        <w:rPr>
          <w:noProof/>
        </w:rPr>
        <w:t>(Schile et al., 2017; Sherman et al., 2003)</w:t>
      </w:r>
      <w:r>
        <w:fldChar w:fldCharType="end"/>
      </w:r>
      <w:r>
        <w:t xml:space="preserve"> and correlating variations in mangrove productivity and carbon stocks throughout the tidal gradient could have provided more robust interpretation of the differences between tidal heights that were observed.</w:t>
      </w:r>
    </w:p>
    <w:p w14:paraId="24DE514D" w14:textId="77777777" w:rsidR="00AC29ED" w:rsidRDefault="00AC29ED" w:rsidP="00AC29ED">
      <w:pPr>
        <w:spacing w:line="480" w:lineRule="auto"/>
      </w:pPr>
    </w:p>
    <w:p w14:paraId="7FE1C1BF" w14:textId="77777777" w:rsidR="00AC29ED" w:rsidRDefault="00AC29ED" w:rsidP="00AC29ED">
      <w:pPr>
        <w:spacing w:line="480" w:lineRule="auto"/>
        <w:ind w:firstLine="720"/>
      </w:pPr>
      <w:r w:rsidRPr="007B5C62">
        <w:rPr>
          <w:i/>
          <w:iCs/>
        </w:rPr>
        <w:t xml:space="preserve">Global productivity </w:t>
      </w:r>
      <w:r>
        <w:t xml:space="preserve">and </w:t>
      </w:r>
      <w:r w:rsidRPr="007B5C62">
        <w:rPr>
          <w:i/>
          <w:iCs/>
        </w:rPr>
        <w:t xml:space="preserve">global mangrove carbon stocks </w:t>
      </w:r>
      <w:r>
        <w:t>(chapters 3 and 5)</w:t>
      </w:r>
    </w:p>
    <w:p w14:paraId="12D2C73B" w14:textId="06D0C931" w:rsidR="00AC29ED" w:rsidRDefault="00AC29ED" w:rsidP="00AC29ED">
      <w:pPr>
        <w:spacing w:line="480" w:lineRule="auto"/>
        <w:rPr>
          <w:lang w:val="en-US"/>
        </w:rPr>
      </w:pPr>
      <w:r w:rsidRPr="008C0882">
        <w:rPr>
          <w:lang w:val="en-US"/>
        </w:rPr>
        <w:t>These chapters</w:t>
      </w:r>
      <w:r>
        <w:rPr>
          <w:lang w:val="en-US"/>
        </w:rPr>
        <w:t xml:space="preserve"> modelled global change in mangrove productivity, carbon stocks, soil sequestration rates and emissions from mangrove deforestation on a global scale up to late 21</w:t>
      </w:r>
      <w:r w:rsidRPr="006B0841">
        <w:rPr>
          <w:vertAlign w:val="superscript"/>
          <w:lang w:val="en-US"/>
        </w:rPr>
        <w:t>st</w:t>
      </w:r>
      <w:r>
        <w:rPr>
          <w:lang w:val="en-US"/>
        </w:rPr>
        <w:t xml:space="preserve"> </w:t>
      </w:r>
      <w:r>
        <w:rPr>
          <w:lang w:val="en-US"/>
        </w:rPr>
        <w:lastRenderedPageBreak/>
        <w:t>century (the year 2095). As is standard in numerical modelling studies, numerous assumptions had to be made to quantify change in mangrove functioning in space and time.</w:t>
      </w:r>
      <w:r w:rsidRPr="008C0882">
        <w:rPr>
          <w:lang w:val="en-US"/>
        </w:rPr>
        <w:t xml:space="preserve"> </w:t>
      </w:r>
      <w:r>
        <w:rPr>
          <w:lang w:val="en-US"/>
        </w:rPr>
        <w:t xml:space="preserve">The </w:t>
      </w:r>
      <w:r w:rsidRPr="005125C8">
        <w:rPr>
          <w:lang w:val="en-US"/>
        </w:rPr>
        <w:t xml:space="preserve">study assumed constant mangrove coverage for the entire study period from 1980 to 2095. </w:t>
      </w:r>
      <w:r w:rsidRPr="00E53D69">
        <w:rPr>
          <w:lang w:val="en-US"/>
        </w:rPr>
        <w:t xml:space="preserve">Constant mangrove cover is </w:t>
      </w:r>
      <w:r w:rsidR="001E4A9A">
        <w:rPr>
          <w:lang w:val="en-US"/>
        </w:rPr>
        <w:t>very unlikely</w:t>
      </w:r>
      <w:r w:rsidRPr="00E53D69">
        <w:rPr>
          <w:lang w:val="en-US"/>
        </w:rPr>
        <w:t>, in addition, mangrove expansion will not occur uniformly around the world. Temperate regions</w:t>
      </w:r>
      <w:r>
        <w:rPr>
          <w:lang w:val="en-US"/>
        </w:rPr>
        <w:t>,</w:t>
      </w:r>
      <w:r w:rsidRPr="00E53D69">
        <w:rPr>
          <w:lang w:val="en-US"/>
        </w:rPr>
        <w:t xml:space="preserve"> where minimum air temperatures are </w:t>
      </w:r>
      <w:r>
        <w:rPr>
          <w:lang w:val="en-US"/>
        </w:rPr>
        <w:t>predicted</w:t>
      </w:r>
      <w:r w:rsidRPr="00E53D69">
        <w:rPr>
          <w:lang w:val="en-US"/>
        </w:rPr>
        <w:t xml:space="preserve"> to increase, mangrove colonization of saltmarsh is expected </w:t>
      </w:r>
      <w:r w:rsidRPr="00E53D69">
        <w:rPr>
          <w:lang w:val="en-US"/>
        </w:rPr>
        <w:fldChar w:fldCharType="begin" w:fldLock="1"/>
      </w:r>
      <w:r w:rsidRPr="00E53D69">
        <w:rPr>
          <w:lang w:val="en-US"/>
        </w:rPr>
        <w:instrText>ADDIN CSL_CITATION {"citationItems":[{"id":"ITEM-1","itemData":{"DOI":"10.1111/gcb.12341","ISBN":"1354-1013","ISSN":"13541013","PMID":"23907934","abstract":"Mangroves are species of halophytic intertidal trees and shrubs derived from tropical genera and are likely delimited in latitudinal range by varying sensitivity to cold. There is now sufficient evidence that mangrove species have proliferated at or near their poleward limits on at least five continents over the past half century, at the expense of salt marsh. Avicennia is the most cold-tolerant genus worldwide, and is the subject of most of the observed changes. Avicennia germinans has extended in range along the USA Atlantic coast and expanded into salt marsh as a consequence of lower frost frequency and intensity in the southern USA. The genus has also expanded into salt marsh at its southern limit in Peru, and on the Pacific coast of Mexico. Mangroves of several species have expanded in extent and replaced salt marsh where protected within mangrove reserves in Guangdong Province, China. In south-eastern Australia, the expansion of Avicennia marina into salt marshes is now well documented, and Rhizophora stylosa has extended its range southward, while showing strong population growth within estuaries along its southern limits in northern New South Wales. Avicennia marina has extended its range southwards in South Africa. The changes are consistent with the poleward extension of temperature thresholds coincident with sea-level rise, although the specific mechanism of range extension might be complicated by limitations on dispersal or other factors. The shift from salt marsh to mangrove dominance on subtropical and temperate shorelines has important implications for ecological structure, function, and global change adaptation.","author":[{"dropping-particle":"","family":"Saintilan","given":"Neil","non-dropping-particle":"","parse-names":false,"suffix":""},{"dropping-particle":"","family":"Wilson","given":"Nicholas C.","non-dropping-particle":"","parse-names":false,"suffix":""},{"dropping-particle":"","family":"Rogers","given":"Kerrylee","non-dropping-particle":"","parse-names":false,"suffix":""},{"dropping-particle":"","family":"Rajkaran","given":"Anusha","non-dropping-particle":"","parse-names":false,"suffix":""},{"dropping-particle":"","family":"Krauss","given":"Ken W.","non-dropping-particle":"","parse-names":false,"suffix":""}],"container-title":"Global Change Biology","id":"ITEM-1","issue":"1","issued":{"date-parts":[["2014"]]},"page":"147-157","title":"Mangrove expansion and salt marsh decline at mangrove poleward limits","type":"article-journal","volume":"20"},"uris":["http://www.mendeley.com/documents/?uuid=77fc4f27-ec75-3c0f-b64e-363a965f95c1"]}],"mendeley":{"formattedCitation":"(Saintilan et al., 2014)","plainTextFormattedCitation":"(Saintilan et al., 2014)","previouslyFormattedCitation":"(Saintilan et al., 2014)"},"properties":{"noteIndex":0},"schema":"https://github.com/citation-style-language/schema/raw/master/csl-citation.json"}</w:instrText>
      </w:r>
      <w:r w:rsidRPr="00E53D69">
        <w:rPr>
          <w:lang w:val="en-US"/>
        </w:rPr>
        <w:fldChar w:fldCharType="separate"/>
      </w:r>
      <w:r w:rsidRPr="00E53D69">
        <w:rPr>
          <w:noProof/>
          <w:lang w:val="en-US"/>
        </w:rPr>
        <w:t>(Saintilan et al., 2014)</w:t>
      </w:r>
      <w:r w:rsidRPr="00E53D69">
        <w:rPr>
          <w:lang w:val="en-US"/>
        </w:rPr>
        <w:fldChar w:fldCharType="end"/>
      </w:r>
      <w:r w:rsidRPr="00E53D69">
        <w:rPr>
          <w:lang w:val="en-US"/>
        </w:rPr>
        <w:t>. Specifically, poleward dispersion of mangroves in North and South America, Australia, New Zealand and eastern Asia ha</w:t>
      </w:r>
      <w:r>
        <w:rPr>
          <w:lang w:val="en-US"/>
        </w:rPr>
        <w:t>s</w:t>
      </w:r>
      <w:r w:rsidRPr="00E53D69">
        <w:rPr>
          <w:lang w:val="en-US"/>
        </w:rPr>
        <w:t xml:space="preserve"> been predicted </w:t>
      </w:r>
      <w:r w:rsidRPr="00E53D69">
        <w:rPr>
          <w:lang w:val="en-US"/>
        </w:rPr>
        <w:fldChar w:fldCharType="begin" w:fldLock="1"/>
      </w:r>
      <w:r w:rsidRPr="00E53D69">
        <w:rPr>
          <w:lang w:val="en-US"/>
        </w:rPr>
        <w:instrText>ADDIN CSL_CITATION {"citationItems":[{"id":"ITEM-1","itemData":{"DOI":"10.1002/ecm.1248","ISSN":"15577015","abstract":"Mangrove forests are highly productive tidal saline wetland ecosystems found along sheltered tropical and subtropical coasts. Ecologists have long assumed that climatic drivers (i.e., temperature and rainfall regimes) govern the global distribution, structure, and function of mangrove forests. However, data constraints have hindered the quantification of direct climate–mangrove linkages in many parts of the world. Recently, the quality and availability of global-scale climate and mangrove data have been improving. Here, we used these data to better understand the influence of air temperature and rainfall regimes upon the distribution, abundance, and species richness of mangrove forests. Although our analyses identify global-scale relationships and thresholds, we show that the influence of climatic drivers is best characterized via regional range-limit-specific analyses. We quantified climatic controls across targeted gradients in temperature and/or rainfall within 14 mangrove distributional range limits. Climatic thresholds for mangrove presence, abundance, and species richness differed among the 14 studied range limits. We identified minimum temperature-based thresholds for range limits in eastern North America, eastern Australia, New Zealand, eastern Asia, eastern South America, and southeast Africa. We identified rainfall-based thresholds for range limits in western North America, western Gulf of Mexico, western South America, western Australia, Middle East, northwest Africa, east central Africa, and west-central Africa. Our results show that in certain range limits (e.g., eastern North America, western Gulf of Mexico, eastern Asia), winter air temperature extremes play an especially important role. We conclude that rainfall and temperature regimes are both important in western North America, western Gulf of Mexico, and western Australia. With climate change, alterations in temperature and rainfall regimes will affect the global distribution, abundance, and diversity of mangrove forests. In general, warmer winter temperatures are expected to allow mangroves to expand poleward at the expense of salt marshes. However, dispersal and habitat availability constraints may hinder expansion near certain range limits. Along arid and semiarid coasts, decreases or increases in rainfall are expected to lead to mangrove contraction or expansion, respectively. Collectively, our analyses quantify climate–mangrove linkages and improve our understanding of the expect…","author":[{"dropping-particle":"","family":"Osland","given":"Michael J.","non-dropping-particle":"","parse-names":false,"suffix":""},{"dropping-particle":"","family":"Feher","given":"Laura C.","non-dropping-particle":"","parse-names":false,"suffix":""},{"dropping-particle":"","family":"Griffith","given":"Kereen T.","non-dropping-particle":"","parse-names":false,"suffix":""},{"dropping-particle":"","family":"Cavanaugh","given":"Kyle C.","non-dropping-particle":"","parse-names":false,"suffix":""},{"dropping-particle":"","family":"Enwright","given":"Nicholas M.","non-dropping-particle":"","parse-names":false,"suffix":""},{"dropping-particle":"","family":"Day","given":"Richard H.","non-dropping-particle":"","parse-names":false,"suffix":""},{"dropping-particle":"","family":"Stagg","given":"Camille L.","non-dropping-particle":"","parse-names":false,"suffix":""},{"dropping-particle":"","family":"Krauss","given":"Ken W.","non-dropping-particle":"","parse-names":false,"suffix":""},{"dropping-particle":"","family":"Howard","given":"Rebecca J.","non-dropping-particle":"","parse-names":false,"suffix":""},{"dropping-particle":"","family":"Grace","given":"James B.","non-dropping-particle":"","parse-names":false,"suffix":""},{"dropping-particle":"","family":"Rogers","given":"Kerrylee","non-dropping-particle":"","parse-names":false,"suffix":""}],"container-title":"Ecological Monographs","id":"ITEM-1","issue":"2","issued":{"date-parts":[["2017"]]},"page":"341-359","title":"Climatic controls on the global distribution, abundance, and species richness of mangrove forests","type":"article-journal","volume":"87"},"uris":["http://www.mendeley.com/documents/?uuid=550b02d8-1b48-4bbc-8d4f-87ef91a23f84"]}],"mendeley":{"formattedCitation":"(Osland et al., 2017)","plainTextFormattedCitation":"(Osland et al., 2017)","previouslyFormattedCitation":"(Osland et al., 2017)"},"properties":{"noteIndex":0},"schema":"https://github.com/citation-style-language/schema/raw/master/csl-citation.json"}</w:instrText>
      </w:r>
      <w:r w:rsidRPr="00E53D69">
        <w:rPr>
          <w:lang w:val="en-US"/>
        </w:rPr>
        <w:fldChar w:fldCharType="separate"/>
      </w:r>
      <w:r w:rsidRPr="00E53D69">
        <w:rPr>
          <w:noProof/>
          <w:lang w:val="en-US"/>
        </w:rPr>
        <w:t>(Osland et al., 2017)</w:t>
      </w:r>
      <w:r w:rsidRPr="00E53D69">
        <w:rPr>
          <w:lang w:val="en-US"/>
        </w:rPr>
        <w:fldChar w:fldCharType="end"/>
      </w:r>
      <w:r w:rsidRPr="00E53D69">
        <w:rPr>
          <w:lang w:val="en-US"/>
        </w:rPr>
        <w:t xml:space="preserve">. </w:t>
      </w:r>
      <w:r>
        <w:rPr>
          <w:lang w:val="en-US"/>
        </w:rPr>
        <w:t xml:space="preserve">Pressures from </w:t>
      </w:r>
      <w:r w:rsidRPr="00C658CD">
        <w:rPr>
          <w:lang w:val="en-US"/>
        </w:rPr>
        <w:t xml:space="preserve">sea level rise and coastal development are also likely to impact mangrove coverage globally </w:t>
      </w:r>
      <w:r w:rsidRPr="00C658CD">
        <w:rPr>
          <w:lang w:val="en-US"/>
        </w:rPr>
        <w:fldChar w:fldCharType="begin" w:fldLock="1"/>
      </w:r>
      <w:r w:rsidRPr="00C658CD">
        <w:rPr>
          <w:lang w:val="en-US"/>
        </w:rPr>
        <w:instrText>ADDIN CSL_CITATION {"citationItems":[{"id":"ITEM-1","itemData":{"DOI":"10.1016/j.oneear.2020.07.010","ISSN":"25903322","abstract":"Blue carbon provides opportunities to mitigate climate change while increasing ecosystem services for coastal communities, including climate change adaptation; however, blue carbon ecosystems are vulnerable to climate change, leading to uncertainties in the future efficacy of these ecosystems. In this review, we assess the potential impacts of climate change on blue carbon. Despite uncertainties, carbon sequestration in coastal ecosystems is enhanced by landward migration of blue carbon habitats, maintenance of sediment supply, restoration, and improved water quality. As an example, landward migration of mangroves could result in carbon sequestration of 1.5 Pg by 2100. Mudflats, seaweed beds, and coastal swamp forests could also contribute to climate change mitigation, although there are large data gaps. Achieving the full potential of blue carbon requires protection and restoration of ecosystems and facilitation of changes in ecosystem dis- tributions with climate change, actions that will also deliver adaptation benefits. Conversely, in the worst- case coastal squeeze scenario, losses of 3.4 Pg of sequestered carbon by 2100 could occur.","author":[{"dropping-particle":"","family":"Lovelock","given":"Catherine E.","non-dropping-particle":"","parse-names":false,"suffix":""},{"dropping-particle":"","family":"Reef","given":"Ruth","non-dropping-particle":"","parse-names":false,"suffix":""}],"container-title":"One Earth","id":"ITEM-1","issue":"2","issued":{"date-parts":[["2020"]]},"page":"195-211","title":"Variable Impacts of Climate Change on Blue Carbon","type":"article-journal","volume":"3"},"uris":["http://www.mendeley.com/documents/?uuid=9197c631-f9b8-4e86-b5fa-923eba689607"]}],"mendeley":{"formattedCitation":"(Lovelock and Reef, 2020)","plainTextFormattedCitation":"(Lovelock and Reef, 2020)","previouslyFormattedCitation":"(Lovelock and Reef, 2020)"},"properties":{"noteIndex":0},"schema":"https://github.com/citation-style-language/schema/raw/master/csl-citation.json"}</w:instrText>
      </w:r>
      <w:r w:rsidRPr="00C658CD">
        <w:rPr>
          <w:lang w:val="en-US"/>
        </w:rPr>
        <w:fldChar w:fldCharType="separate"/>
      </w:r>
      <w:r w:rsidRPr="00C658CD">
        <w:rPr>
          <w:noProof/>
          <w:lang w:val="en-US"/>
        </w:rPr>
        <w:t>(Lovelock and Reef, 2020)</w:t>
      </w:r>
      <w:r w:rsidRPr="00C658CD">
        <w:rPr>
          <w:lang w:val="en-US"/>
        </w:rPr>
        <w:fldChar w:fldCharType="end"/>
      </w:r>
      <w:r w:rsidRPr="00C658CD">
        <w:rPr>
          <w:lang w:val="en-US"/>
        </w:rPr>
        <w:t xml:space="preserve">. </w:t>
      </w:r>
      <w:r>
        <w:rPr>
          <w:lang w:val="en-US"/>
        </w:rPr>
        <w:t xml:space="preserve">The phenomenon is called “coastal squeeze”, where the amount of available space is reduced due to relative sea level rise from a seaward direction and human coastal development from a landward direction, has been estimated to emit 3.4 Pg C by 2100 </w:t>
      </w:r>
      <w:r>
        <w:rPr>
          <w:lang w:val="en-US"/>
        </w:rPr>
        <w:fldChar w:fldCharType="begin" w:fldLock="1"/>
      </w:r>
      <w:r>
        <w:rPr>
          <w:lang w:val="en-US"/>
        </w:rPr>
        <w:instrText>ADDIN CSL_CITATION {"citationItems":[{"id":"ITEM-1","itemData":{"DOI":"10.1016/j.oneear.2020.07.010","ISSN":"25903322","abstract":"Blue carbon provides opportunities to mitigate climate change while increasing ecosystem services for coastal communities, including climate change adaptation; however, blue carbon ecosystems are vulnerable to climate change, leading to uncertainties in the future efficacy of these ecosystems. In this review, we assess the potential impacts of climate change on blue carbon. Despite uncertainties, carbon sequestration in coastal ecosystems is enhanced by landward migration of blue carbon habitats, maintenance of sediment supply, restoration, and improved water quality. As an example, landward migration of mangroves could result in carbon sequestration of 1.5 Pg by 2100. Mudflats, seaweed beds, and coastal swamp forests could also contribute to climate change mitigation, although there are large data gaps. Achieving the full potential of blue carbon requires protection and restoration of ecosystems and facilitation of changes in ecosystem dis- tributions with climate change, actions that will also deliver adaptation benefits. Conversely, in the worst- case coastal squeeze scenario, losses of 3.4 Pg of sequestered carbon by 2100 could occur.","author":[{"dropping-particle":"","family":"Lovelock","given":"Catherine E.","non-dropping-particle":"","parse-names":false,"suffix":""},{"dropping-particle":"","family":"Reef","given":"Ruth","non-dropping-particle":"","parse-names":false,"suffix":""}],"container-title":"One Earth","id":"ITEM-1","issue":"2","issued":{"date-parts":[["2020"]]},"page":"195-211","title":"Variable Impacts of Climate Change on Blue Carbon","type":"article-journal","volume":"3"},"uris":["http://www.mendeley.com/documents/?uuid=9197c631-f9b8-4e86-b5fa-923eba689607"]}],"mendeley":{"formattedCitation":"(Lovelock and Reef, 2020)","plainTextFormattedCitation":"(Lovelock and Reef, 2020)","previouslyFormattedCitation":"(Lovelock and Reef, 2020)"},"properties":{"noteIndex":0},"schema":"https://github.com/citation-style-language/schema/raw/master/csl-citation.json"}</w:instrText>
      </w:r>
      <w:r>
        <w:rPr>
          <w:lang w:val="en-US"/>
        </w:rPr>
        <w:fldChar w:fldCharType="separate"/>
      </w:r>
      <w:r w:rsidRPr="00087CF9">
        <w:rPr>
          <w:noProof/>
          <w:lang w:val="en-US"/>
        </w:rPr>
        <w:t>(Lovelock and Reef, 2020)</w:t>
      </w:r>
      <w:r>
        <w:rPr>
          <w:lang w:val="en-US"/>
        </w:rPr>
        <w:fldChar w:fldCharType="end"/>
      </w:r>
      <w:r>
        <w:rPr>
          <w:lang w:val="en-US"/>
        </w:rPr>
        <w:t>.</w:t>
      </w:r>
    </w:p>
    <w:p w14:paraId="3B31EC3D" w14:textId="77777777" w:rsidR="00AC29ED" w:rsidRDefault="00AC29ED" w:rsidP="00AC29ED">
      <w:pPr>
        <w:spacing w:line="480" w:lineRule="auto"/>
        <w:rPr>
          <w:lang w:val="en-US"/>
        </w:rPr>
      </w:pPr>
    </w:p>
    <w:p w14:paraId="0540B6C8" w14:textId="3ABB0B82" w:rsidR="00AC29ED" w:rsidRDefault="00AC29ED" w:rsidP="00AC29ED">
      <w:pPr>
        <w:spacing w:line="480" w:lineRule="auto"/>
        <w:rPr>
          <w:lang w:val="en-US"/>
        </w:rPr>
      </w:pPr>
      <w:r w:rsidRPr="00B95476">
        <w:rPr>
          <w:lang w:val="en-US"/>
        </w:rPr>
        <w:t>In addition, the geomorphological setting where mangroves occur</w:t>
      </w:r>
      <w:r>
        <w:rPr>
          <w:lang w:val="en-US"/>
        </w:rPr>
        <w:t>, for example, riverine, deltaic or carbonate,</w:t>
      </w:r>
      <w:r w:rsidRPr="00B95476">
        <w:rPr>
          <w:lang w:val="en-US"/>
        </w:rPr>
        <w:t xml:space="preserve"> is an important driver in mangrove carbon stocks and productivity</w:t>
      </w:r>
      <w:r>
        <w:rPr>
          <w:lang w:val="en-US"/>
        </w:rPr>
        <w:t xml:space="preserve"> but was not included as a predictor in modelling</w:t>
      </w:r>
      <w:r w:rsidRPr="00B95476">
        <w:rPr>
          <w:lang w:val="en-US"/>
        </w:rPr>
        <w:t xml:space="preserve"> </w:t>
      </w:r>
      <w:r w:rsidRPr="00B95476">
        <w:rPr>
          <w:lang w:val="en-US"/>
        </w:rPr>
        <w:fldChar w:fldCharType="begin" w:fldLock="1"/>
      </w:r>
      <w:r w:rsidR="008A48C6">
        <w:rPr>
          <w:lang w:val="en-US"/>
        </w:rPr>
        <w:instrText>ADDIN CSL_CITATION {"citationItems":[{"id":"ITEM-1","itemData":{"DOI":"10.1002/ecs2.2841","ISSN":"21508925","abstract":"Mangroves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-1","issue":"8","issued":{"date-parts":[["2019","8","22"]]},"publisher":"John Wiley &amp; Sons, Ltd","title":"Spatial variability of mangrove primary productivity in the neotropics","type":"article-journal","volume":"10"},"uris":["http://www.mendeley.com/documents/?uuid=e62cba23-c956-306d-a48f-a25ddc004d7f"]},{"id":"ITEM-2","itemData":{"DOI":"10.1038/s41558-018-0162-5","ISBN":"4155801801625","ISSN":"17586798","abstract":"Global-scale variation in mangrove ecosystem properties has been explained using a conceptual framework linking geomorphological processes to distinct coastal environmental settings (CES) for nearly 50 years. However, these assumptions have not been empirically tested at the global scale. Here, we show that CES account for global variability in mangrove soil C:N:P stoichiometry and soil organic carbon (SOC) stocks. Using this ecogeomorphology framework, we developed a global model that captures variation in mangrove SOC stocks compatible with distinct CES. We show that mangrove SOC stocks have been underestimated by up to 50% (a difference of roughly 200 Mg ha−1) in carbonate settings and overestimated by up to 86% (around 400 Mg ha−1) in deltaic coastlines. Moreover, we provide information for 57 nations that currently lack SOC data, enabling these and other countries to develop or evaluate their blue carbon inventories.","author":[{"dropping-particle":"","family":"Rovai","given":"André S.","non-dropping-particle":"","parse-names":false,"suffix":""},{"dropping-particle":"","family":"Twilley","given":"Robert R.","non-dropping-particle":"","parse-names":false,"suffix":""},{"dropping-particle":"","family":"Castañeda-Moya","given":"Edward","non-dropping-particle":"","parse-names":false,"suffix":""},{"dropping-particle":"","family":"Riul","given":"Pablo","non-dropping-particle":"","parse-names":false,"suffix":""},{"dropping-particle":"","family":"Cifuentes-Jara","given":"Miguel","non-dropping-particle":"","parse-names":false,"suffix":""},{"dropping-particle":"","family":"Manrow-Villalobos","given":"Marilyn","non-dropping-particle":"","parse-names":false,"suffix":""},{"dropping-particle":"","family":"Horta","given":"Paulo A.","non-dropping-particle":"","parse-names":false,"suffix":""},{"dropping-particle":"","family":"Simonassi","given":"José C.","non-dropping-particle":"","parse-names":false,"suffix":""},{"dropping-particle":"","family":"Fonseca","given":"Alessandra L.","non-dropping-particle":"","parse-names":false,"suffix":""},{"dropping-particle":"","family":"Pagliosa","given":"Paulo R.","non-dropping-particle":"","parse-names":false,"suffix":""}],"container-title":"Nature Climate Change","id":"ITEM-2","issue":"6","issued":{"date-parts":[["2018","6","28"]]},"page":"534-538","publisher":"Nature Publishing Group","title":"Global controls on carbon storage in mangrove soils","type":"article-journal","volume":"8"},"uris":["http://www.mendeley.com/documents/?uuid=e218dcd6-b535-3f7d-a08f-4983ee271d59"]}],"mendeley":{"formattedCitation":"(Ribeiro et al., 2019; Rovai et al., 2018)","plainTextFormattedCitation":"(Ribeiro et al., 2019; Rovai et al., 2018)","previouslyFormattedCitation":"(Ribeiro et al., 2019; Rovai et al., 2018)"},"properties":{"noteIndex":0},"schema":"https://github.com/citation-style-language/schema/raw/master/csl-citation.json"}</w:instrText>
      </w:r>
      <w:r w:rsidRPr="00B95476">
        <w:rPr>
          <w:lang w:val="en-US"/>
        </w:rPr>
        <w:fldChar w:fldCharType="separate"/>
      </w:r>
      <w:r w:rsidR="008A48C6" w:rsidRPr="008A48C6">
        <w:rPr>
          <w:noProof/>
          <w:lang w:val="en-US"/>
        </w:rPr>
        <w:t>(Ribeiro et al., 2019; Rovai et al., 2018)</w:t>
      </w:r>
      <w:r w:rsidRPr="00B95476">
        <w:rPr>
          <w:lang w:val="en-US"/>
        </w:rPr>
        <w:fldChar w:fldCharType="end"/>
      </w:r>
      <w:r w:rsidRPr="00B95476">
        <w:rPr>
          <w:lang w:val="en-US"/>
        </w:rPr>
        <w:t xml:space="preserve">. </w:t>
      </w:r>
      <w:r>
        <w:rPr>
          <w:lang w:val="en-US"/>
        </w:rPr>
        <w:t>R</w:t>
      </w:r>
      <w:r w:rsidRPr="0086492A">
        <w:rPr>
          <w:lang w:val="en-US"/>
        </w:rPr>
        <w:t>iverine mangroves are associated with comparatively high aboveground biomass</w:t>
      </w:r>
      <w:r>
        <w:rPr>
          <w:lang w:val="en-US"/>
        </w:rPr>
        <w:t xml:space="preserve">, </w:t>
      </w:r>
      <w:r w:rsidRPr="0086492A">
        <w:rPr>
          <w:lang w:val="en-US"/>
        </w:rPr>
        <w:t xml:space="preserve">productivity rates </w:t>
      </w:r>
      <w:r>
        <w:rPr>
          <w:lang w:val="en-US"/>
        </w:rPr>
        <w:t xml:space="preserve">and carbon stocks </w:t>
      </w:r>
      <w:r w:rsidRPr="0086492A">
        <w:rPr>
          <w:lang w:val="en-US"/>
        </w:rPr>
        <w:t xml:space="preserve">due to greater nutrient availability and reduced soil salinity </w:t>
      </w:r>
      <w:r w:rsidRPr="0086492A">
        <w:rPr>
          <w:lang w:val="en-US"/>
        </w:rPr>
        <w:fldChar w:fldCharType="begin" w:fldLock="1"/>
      </w:r>
      <w:r w:rsidRPr="0086492A">
        <w:rPr>
          <w:lang w:val="en-US"/>
        </w:rPr>
        <w:instrText>ADDIN CSL_CITATION {"citationItems":[{"id":"ITEM-1","itemData":{"DOI":"10.1016/B978-0-444-63893-9.00021-6","ISBN":"9780444638939","abstract":"Mangrove-dominated estuaries and coastlines contribute significantly to biogeochemical processes at local, regional, and global scales. This review will utilize multiple conceptual models to test how mangrove geomorphological settings (muddy, estuarine, and carbonate coasts) are related to patterns of nutrient biogeochemistry and how disturbances influence these processes over time and space. The ecogeomorphology model describes mangrove wetlands along a hierarchical scale from local multigradient interactions to regional sedimentary environments and to global patterns of climatic and biogeographic constraints. As an example, nitrogen is potentially limiting in many locations where sediment deposition provides sufficient soil phosphorus (P) density to saturate growth conditions, whereas P is more limiting in karstic mangrove settings, reflecting the influence of geomorphological setting on the ecology of mangrove wetlands. Next, the geochemical model provides ecological links along fringe and inland zones where resource and regulator gradients across soil redox zones vary with depth and season. These models can be used in combination to explain biogeochemical variation among coastal settings, such as sulfate reduction and iron availability affecting growth conditions as either a regulator (i.e., sulfide as a plant stressor) or resource (i.e., P availability).","author":[{"dropping-particle":"","family":"Twilley","given":"Robert R.","non-dropping-particle":"","parse-names":false,"suffix":""},{"dropping-particle":"","family":"Rivera-Monroy","given":"Victor H.","non-dropping-particle":"","parse-names":false,"suffix":""},{"dropping-particle":"","family":"Rovai","given":"Andre S.","non-dropping-particle":"","parse-names":false,"suffix":""},{"dropping-particle":"","family":"Castañeda-Moya","given":"Edward","non-dropping-particle":"","parse-names":false,"suffix":""},{"dropping-particle":"","family":"Davis","given":"Stephen","non-dropping-particle":"","parse-names":false,"suffix":""}],"container-title":"Coastal Wetlands: An Integrated Ecosystem Approach","id":"ITEM-1","issued":{"date-parts":[["2019"]]},"page":"717-785","title":"Mangrove biogeochemistry at local to global scales using ecogeomorphic approaches","type":"chapter"},"uris":["http://www.mendeley.com/documents/?uuid=97bb4544-cbb9-4268-8aa8-48d0f219ea6d"]}],"mendeley":{"formattedCitation":"(Twilley et al., 2019)","plainTextFormattedCitation":"(Twilley et al., 2019)","previouslyFormattedCitation":"(Twilley et al., 2019)"},"properties":{"noteIndex":0},"schema":"https://github.com/citation-style-language/schema/raw/master/csl-citation.json"}</w:instrText>
      </w:r>
      <w:r w:rsidRPr="0086492A">
        <w:rPr>
          <w:lang w:val="en-US"/>
        </w:rPr>
        <w:fldChar w:fldCharType="separate"/>
      </w:r>
      <w:r w:rsidRPr="0086492A">
        <w:rPr>
          <w:noProof/>
          <w:lang w:val="en-US"/>
        </w:rPr>
        <w:t>(Twilley et al., 2019)</w:t>
      </w:r>
      <w:r w:rsidRPr="0086492A">
        <w:rPr>
          <w:lang w:val="en-US"/>
        </w:rPr>
        <w:fldChar w:fldCharType="end"/>
      </w:r>
      <w:r>
        <w:rPr>
          <w:lang w:val="en-US"/>
        </w:rPr>
        <w:t xml:space="preserve">, whereas, mangroves in carbonate settings have lower productivity rates and carbon stocks </w:t>
      </w:r>
      <w:r>
        <w:rPr>
          <w:lang w:val="en-US"/>
        </w:rPr>
        <w:fldChar w:fldCharType="begin" w:fldLock="1"/>
      </w:r>
      <w:r w:rsidR="008A48C6">
        <w:rPr>
          <w:lang w:val="en-US"/>
        </w:rPr>
        <w:instrText>ADDIN CSL_CITATION {"citationItems":[{"id":"ITEM-1","itemData":{"DOI":"10.1038/s41558-018-0162-5","ISBN":"4155801801625","ISSN":"17586798","abstract":"Global-scale variation in mangrove ecosystem properties has been explained using a conceptual framework linking geomorphological processes to distinct coastal environmental settings (CES) for nearly 50 years. However, these assumptions have not been empirically tested at the global scale. Here, we show that CES account for global variability in mangrove soil C:N:P stoichiometry and soil organic carbon (SOC) stocks. Using this ecogeomorphology framework, we developed a global model that captures variation in mangrove SOC stocks compatible with distinct CES. We show that mangrove SOC stocks have been underestimated by up to 50% (a difference of roughly 200 Mg ha−1) in carbonate settings and overestimated by up to 86% (around 400 Mg ha−1) in deltaic coastlines. Moreover, we provide information for 57 nations that currently lack SOC data, enabling these and other countries to develop or evaluate their blue carbon inventories.","author":[{"dropping-particle":"","family":"Rovai","given":"André S.","non-dropping-particle":"","parse-names":false,"suffix":""},{"dropping-particle":"","family":"Twilley","given":"Robert R.","non-dropping-particle":"","parse-names":false,"suffix":""},{"dropping-particle":"","family":"Castañeda-Moya","given":"Edward","non-dropping-particle":"","parse-names":false,"suffix":""},{"dropping-particle":"","family":"Riul","given":"Pablo","non-dropping-particle":"","parse-names":false,"suffix":""},{"dropping-particle":"","family":"Cifuentes-Jara","given":"Miguel","non-dropping-particle":"","parse-names":false,"suffix":""},{"dropping-particle":"","family":"Manrow-Villalobos","given":"Marilyn","non-dropping-particle":"","parse-names":false,"suffix":""},{"dropping-particle":"","family":"Horta","given":"Paulo A.","non-dropping-particle":"","parse-names":false,"suffix":""},{"dropping-particle":"","family":"Simonassi","given":"José C.","non-dropping-particle":"","parse-names":false,"suffix":""},{"dropping-particle":"","family":"Fonseca","given":"Alessandra L.","non-dropping-particle":"","parse-names":false,"suffix":""},{"dropping-particle":"","family":"Pagliosa","given":"Paulo R.","non-dropping-particle":"","parse-names":false,"suffix":""}],"container-title":"Nature Climate Change","id":"ITEM-1","issue":"6","issued":{"date-parts":[["2018","6","28"]]},"page":"534-538","publisher":"Nature Publishing Group","title":"Global controls on carbon storage in mangrove soils","type":"article-journal","volume":"8"},"uris":["http://www.mendeley.com/documents/?uuid=e218dcd6-b535-3f7d-a08f-4983ee271d59"]},{"id":"ITEM-2","itemData":{"DOI":"10.1002/ecs2.2841","ISSN":"21508925","abstract":"Mangroves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-2","issue":"8","issued":{"date-parts":[["2019","8","22"]]},"publisher":"John Wiley &amp; Sons, Ltd","title":"Spatial variability of mangrove primary productivity in the neotropics","type":"article-journal","volume":"10"},"uris":["http://www.mendeley.com/documents/?uuid=e62cba23-c956-306d-a48f-a25ddc004d7f"]}],"mendeley":{"formattedCitation":"(Ribeiro et al., 2019; Rovai et al., 2018)","plainTextFormattedCitation":"(Ribeiro et al., 2019; Rovai et al., 2018)","previouslyFormattedCitation":"(Ribeiro et al., 2019; Rovai et al., 2018)"},"properties":{"noteIndex":0},"schema":"https://github.com/citation-style-language/schema/raw/master/csl-citation.json"}</w:instrText>
      </w:r>
      <w:r>
        <w:rPr>
          <w:lang w:val="en-US"/>
        </w:rPr>
        <w:fldChar w:fldCharType="separate"/>
      </w:r>
      <w:r w:rsidR="008A48C6" w:rsidRPr="008A48C6">
        <w:rPr>
          <w:noProof/>
          <w:lang w:val="en-US"/>
        </w:rPr>
        <w:t>(Ribeiro et al., 2019; Rovai et al., 2018)</w:t>
      </w:r>
      <w:r>
        <w:rPr>
          <w:lang w:val="en-US"/>
        </w:rPr>
        <w:fldChar w:fldCharType="end"/>
      </w:r>
      <w:r w:rsidRPr="0086492A">
        <w:rPr>
          <w:lang w:val="en-US"/>
        </w:rPr>
        <w:t xml:space="preserve">. </w:t>
      </w:r>
      <w:r w:rsidRPr="00D5144E">
        <w:rPr>
          <w:lang w:val="en-US"/>
        </w:rPr>
        <w:t>However, as the aim of the current study was to predict the potential effects of climate change on mangrove NPP, only climatic predictors were use</w:t>
      </w:r>
      <w:r>
        <w:rPr>
          <w:lang w:val="en-US"/>
        </w:rPr>
        <w:t xml:space="preserve">d </w:t>
      </w:r>
      <w:r>
        <w:rPr>
          <w:lang w:val="en-US"/>
        </w:rPr>
        <w:lastRenderedPageBreak/>
        <w:t>and the predictive power of models used were comparable to recent global modelling work</w:t>
      </w:r>
      <w:r w:rsidRPr="00D5144E">
        <w:rPr>
          <w:lang w:val="en-US"/>
        </w:rPr>
        <w:t xml:space="preserve"> </w:t>
      </w:r>
      <w:r>
        <w:rPr>
          <w:lang w:val="en-US"/>
        </w:rPr>
        <w:fldChar w:fldCharType="begin" w:fldLock="1"/>
      </w:r>
      <w:r w:rsidR="008A48C6">
        <w:rPr>
          <w:lang w:val="en-US"/>
        </w:rPr>
        <w:instrText>ADDIN CSL_CITATION {"citationItems":[{"id":"ITEM-1","itemData":{"DOI":"10.1002/ecs2.2841","ISSN":"21508925","abstract":"Mangroves are considered one of the most productive ecosystems in the world with significant contributions as carbon sinks in the biosphere. Yet few attempts have been made to assess global patterns in mangrove net primary productivity, except for a few assumptions relating litterfall rates to variation in latitude. We combined geophysical and climatic variables to predict mangrove litterfall rates at continental scale. On a per-area basis, carbon flux in litterfall in the neotropics is estimated at 5 MgC·ha−1·yr−1, between 20% and 50% higher than previous estimates. Annual carbon fixed in mangrove litterfall in the neotropics is estimated at 11.5 TgC, which suggests that current global litterfall estimates extrapolated from mean reference values may have been underestimated by at least 5%. About 5.8 TgC of this total carbon fixed in the neotropics is exported to estuaries and coastal oceans, which is nearly 30% of global carbon export by tides. We provide the first attempt to quantify and map the spatial variability of carbon fixed in litterfall in mangrove forests at continental scale in response to geophysical and climatic environmental drivers. Our results strengthen the global carbon budget for coastal wetlands, providing blue carbon scientists and coastal policy makers with a more accurate representation of the potential of mangroves to offset carbon dioxide emissions.","author":[{"dropping-particle":"","family":"Ribeiro","given":"Rafaela de Albuquerque","non-dropping-particle":"","parse-names":false,"suffix":""},{"dropping-particle":"","family":"Rovai","given":"André Scarlate","non-dropping-particle":"","parse-names":false,"suffix":""},{"dropping-particle":"","family":"Twilley","given":"Robert R.","non-dropping-particle":"","parse-names":false,"suffix":""},{"dropping-particle":"","family":"Castañeda-Moya","given":"Edward","non-dropping-particle":"","parse-names":false,"suffix":""}],"container-title":"Ecosphere","id":"ITEM-1","issue":"8","issued":{"date-parts":[["2019","8","22"]]},"publisher":"John Wiley &amp; Sons, Ltd","title":"Spatial variability of mangrove primary productivity in the neotropics","type":"article-journal","volume":"10"},"uris":["http://www.mendeley.com/documents/?uuid=e62cba23-c956-306d-a48f-a25ddc004d7f"]},{"id":"ITEM-2","itemData":{"DOI":"10.1038/s41558-018-0162-5","ISBN":"4155801801625","ISSN":"17586798","abstract":"Global-scale variation in mangrove ecosystem properties has been explained using a conceptual framework linking geomorphological processes to distinct coastal environmental settings (CES) for nearly 50 years. However, these assumptions have not been empirically tested at the global scale. Here, we show that CES account for global variability in mangrove soil C:N:P stoichiometry and soil organic carbon (SOC) stocks. Using this ecogeomorphology framework, we developed a global model that captures variation in mangrove SOC stocks compatible with distinct CES. We show that mangrove SOC stocks have been underestimated by up to 50% (a difference of roughly 200 Mg ha−1) in carbonate settings and overestimated by up to 86% (around 400 Mg ha−1) in deltaic coastlines. Moreover, we provide information for 57 nations that currently lack SOC data, enabling these and other countries to develop or evaluate their blue carbon inventories.","author":[{"dropping-particle":"","family":"Rovai","given":"André S.","non-dropping-particle":"","parse-names":false,"suffix":""},{"dropping-particle":"","family":"Twilley","given":"Robert R.","non-dropping-particle":"","parse-names":false,"suffix":""},{"dropping-particle":"","family":"Castañeda-Moya","given":"Edward","non-dropping-particle":"","parse-names":false,"suffix":""},{"dropping-particle":"","family":"Riul","given":"Pablo","non-dropping-particle":"","parse-names":false,"suffix":""},{"dropping-particle":"","family":"Cifuentes-Jara","given":"Miguel","non-dropping-particle":"","parse-names":false,"suffix":""},{"dropping-particle":"","family":"Manrow-Villalobos","given":"Marilyn","non-dropping-particle":"","parse-names":false,"suffix":""},{"dropping-particle":"","family":"Horta","given":"Paulo A.","non-dropping-particle":"","parse-names":false,"suffix":""},{"dropping-particle":"","family":"Simonassi","given":"José C.","non-dropping-particle":"","parse-names":false,"suffix":""},{"dropping-particle":"","family":"Fonseca","given":"Alessandra L.","non-dropping-particle":"","parse-names":false,"suffix":""},{"dropping-particle":"","family":"Pagliosa","given":"Paulo R.","non-dropping-particle":"","parse-names":false,"suffix":""}],"container-title":"Nature Climate Change","id":"ITEM-2","issue":"6","issued":{"date-parts":[["2018","6","28"]]},"page":"534-538","publisher":"Nature Publishing Group","title":"Global controls on carbon storage in mangrove soils","type":"article-journal","volume":"8"},"uris":["http://www.mendeley.com/documents/?uuid=e218dcd6-b535-3f7d-a08f-4983ee271d59"]},{"id":"ITEM-3","itemData":{"DOI":"10.1088/1748-9326/aabe1c","ISSN":"17489326","author":[{"dropping-particle":"","family":"Sanderman","given":"Jonathan","non-dropping-particle":"","parse-names":false,"suffix":""},{"dropping-particle":"","family":"Hengl","given":"Tomislav","non-dropping-particle":"","parse-names":false,"suffix":""},{"dropping-particle":"","family":"Fiske","given":"Greg","non-dropping-particle":"","parse-names":false,"suffix":""},{"dropping-particle":"","family":"Solvik","given":"Kylen","non-dropping-particle":"","parse-names":false,"suffix":""},{"dropping-particle":"","family":"Adame","given":"Maria Fernanda","non-dropping-particle":"","parse-names":false,"suffix":""},{"dropping-particle":"","family":"Benson","given":"Lisa","non-dropping-particle":"","parse-names":false,"suffix":""},{"dropping-particle":"","family":"Bukoski","given":"Jacob J","non-dropping-particle":"","parse-names":false,"suffix":""},{"dropping-particle":"","family":"Carnell","given":"Paul","non-dropping-particle":"","parse-names":false,"suffix":""},{"dropping-particle":"","family":"Cifuentes-Jara","given":"Miguel","non-dropping-particle":"","parse-names":false,"suffix":""},{"dropping-particle":"","family":"Donato","given":"Daniel","non-dropping-particle":"","parse-names":false,"suffix":""},{"dropping-particle":"","family":"Duncan","given":"Clare","non-dropping-particle":"","parse-names":false,"suffix":""},{"dropping-particle":"","family":"Eid","given":"Ebrahem M","non-dropping-particle":"","parse-names":false,"suffix":""},{"dropping-particle":"","family":"Ermgassen","given":"Philine zu","non-dropping-particle":"","parse-names":false,"suffix":""},{"dropping-particle":"","family":"Lewis","given":"Carolyn J.Ewers","non-dropping-particle":"","parse-names":false,"suffix":""},{"dropping-particle":"","family":"Macreadie","given":"Peter I","non-dropping-particle":"","parse-names":false,"suffix":""},{"dropping-particle":"","family":"Glass","given":"Leah","non-dropping-particle":"","parse-names":false,"suffix":""},{"dropping-particle":"","family":"Gress","given":"Selena","non-dropping-particle":"","parse-names":false,"suffix":""},{"dropping-particle":"","family":"Jardine","given":"Sunny L","non-dropping-particle":"","parse-names":false,"suffix":""},{"dropping-particle":"","family":"Jones","given":"Trevor G","non-dropping-particle":"","parse-names":false,"suffix":""},{"dropping-particle":"","family":"Nsombo","given":"Eugéne Ndemem","non-dropping-particle":"","parse-names":false,"suffix":""},{"dropping-particle":"","family":"Rahman","given":"Md Mizanur","non-dropping-particle":"","parse-names":false,"suffix":""},{"dropping-particle":"","family":"Sanders","given":"Christian J","non-dropping-particle":"","parse-names":false,"suffix":""},{"dropping-particle":"","family":"Spalding","given":"Mark","non-dropping-particle":"","parse-names":false,"suffix":""},{"dropping-particle":"","family":"Landis","given":"Emily","non-dropping-particle":"","parse-names":false,"suffix":""}],"container-title":"Environmental Research Letters","id":"ITEM-3","issue":"5","issued":{"date-parts":[["2018","5","1"]]},"page":"055002","publisher":"IOP Publishing","title":"A global map of mangrove forest soil carbon at 30 m spatial resolution","type":"article-journal","volume":"13"},"uris":["http://www.mendeley.com/documents/?uuid=a27008a0-a4d5-343e-89c7-c4a4c0b60818"]}],"mendeley":{"formattedCitation":"(Ribeiro et al., 2019; Rovai et al., 2018; Sanderman et al., 2018)","plainTextFormattedCitation":"(Ribeiro et al., 2019; Rovai et al., 2018; Sanderman et al., 2018)","previouslyFormattedCitation":"(Ribeiro et al., 2019; Rovai et al., 2018; Sanderman et al., 2018)"},"properties":{"noteIndex":0},"schema":"https://github.com/citation-style-language/schema/raw/master/csl-citation.json"}</w:instrText>
      </w:r>
      <w:r>
        <w:rPr>
          <w:lang w:val="en-US"/>
        </w:rPr>
        <w:fldChar w:fldCharType="separate"/>
      </w:r>
      <w:r w:rsidR="008A48C6" w:rsidRPr="008A48C6">
        <w:rPr>
          <w:noProof/>
          <w:lang w:val="en-US"/>
        </w:rPr>
        <w:t>(Ribeiro et al., 2019; Rovai et al., 2018; Sanderman et al., 2018)</w:t>
      </w:r>
      <w:r>
        <w:rPr>
          <w:lang w:val="en-US"/>
        </w:rPr>
        <w:fldChar w:fldCharType="end"/>
      </w:r>
      <w:r>
        <w:rPr>
          <w:lang w:val="en-US"/>
        </w:rPr>
        <w:t>.</w:t>
      </w:r>
    </w:p>
    <w:p w14:paraId="1EB0C93C" w14:textId="77777777" w:rsidR="00AC29ED" w:rsidRDefault="00AC29ED" w:rsidP="00AC29ED">
      <w:pPr>
        <w:spacing w:line="480" w:lineRule="auto"/>
        <w:rPr>
          <w:lang w:val="en-US"/>
        </w:rPr>
      </w:pPr>
    </w:p>
    <w:p w14:paraId="7F24CD92" w14:textId="77777777" w:rsidR="00AC29ED" w:rsidRDefault="00AC29ED" w:rsidP="00AC29ED">
      <w:pPr>
        <w:spacing w:line="480" w:lineRule="auto"/>
        <w:rPr>
          <w:highlight w:val="yellow"/>
        </w:rPr>
      </w:pPr>
      <w:r>
        <w:rPr>
          <w:lang w:val="en-US"/>
        </w:rPr>
        <w:t xml:space="preserve">Results in the global modelling chapters also carried large uncertainty ranges and it was often difficult to determine whether increases or decreases were likely to happen. For example, mean total global soil sequestration was predicted to decrease by 0.5 </w:t>
      </w:r>
      <w:proofErr w:type="spellStart"/>
      <w:r>
        <w:rPr>
          <w:lang w:val="en-US"/>
        </w:rPr>
        <w:t>Tg</w:t>
      </w:r>
      <w:proofErr w:type="spellEnd"/>
      <w:r>
        <w:rPr>
          <w:lang w:val="en-US"/>
        </w:rPr>
        <w:t xml:space="preserve"> C yr</w:t>
      </w:r>
      <w:r w:rsidRPr="00EF6EA3">
        <w:rPr>
          <w:vertAlign w:val="superscript"/>
          <w:lang w:val="en-US"/>
        </w:rPr>
        <w:t>-1</w:t>
      </w:r>
      <w:r>
        <w:rPr>
          <w:lang w:val="en-US"/>
        </w:rPr>
        <w:t xml:space="preserve">, however, the associated 95% confidence interval was &gt;3 times that value (1.8 </w:t>
      </w:r>
      <w:proofErr w:type="spellStart"/>
      <w:r>
        <w:rPr>
          <w:lang w:val="en-US"/>
        </w:rPr>
        <w:t>Tg</w:t>
      </w:r>
      <w:proofErr w:type="spellEnd"/>
      <w:r>
        <w:rPr>
          <w:lang w:val="en-US"/>
        </w:rPr>
        <w:t xml:space="preserve"> C yr</w:t>
      </w:r>
      <w:r w:rsidRPr="00EF6EA3">
        <w:rPr>
          <w:vertAlign w:val="superscript"/>
          <w:lang w:val="en-US"/>
        </w:rPr>
        <w:t>-1</w:t>
      </w:r>
      <w:r w:rsidRPr="00E94270">
        <w:rPr>
          <w:lang w:val="en-US"/>
        </w:rPr>
        <w:t>)</w:t>
      </w:r>
      <w:r>
        <w:rPr>
          <w:lang w:val="en-US"/>
        </w:rPr>
        <w:t xml:space="preserve">. Thus, the 95% confidence range of the change in soil sequestration is from -2.3 to 1.3 </w:t>
      </w:r>
      <w:proofErr w:type="spellStart"/>
      <w:r>
        <w:rPr>
          <w:lang w:val="en-US"/>
        </w:rPr>
        <w:t>Tg</w:t>
      </w:r>
      <w:proofErr w:type="spellEnd"/>
      <w:r>
        <w:rPr>
          <w:lang w:val="en-US"/>
        </w:rPr>
        <w:t xml:space="preserve"> C yr</w:t>
      </w:r>
      <w:r w:rsidRPr="00A166A8">
        <w:rPr>
          <w:vertAlign w:val="superscript"/>
          <w:lang w:val="en-US"/>
        </w:rPr>
        <w:t>-1</w:t>
      </w:r>
      <w:r w:rsidRPr="000B1186">
        <w:rPr>
          <w:lang w:val="en-US"/>
        </w:rPr>
        <w:t xml:space="preserve"> </w:t>
      </w:r>
      <w:r>
        <w:rPr>
          <w:lang w:val="en-US"/>
        </w:rPr>
        <w:t>and it was difficult to determine an overall trend of increasing or decreasing soil carbon sequestration rates. Similarly, regional scale projections of change in productivity or carbon stocks carried large uncertainties. Associated uncertainty values were as much as five times the mean predicted value. For example, change in Net Primary Productivity in the Tropical Northwestern Atlantic was predicted to be 0.52 ± 2.95 Mg ha</w:t>
      </w:r>
      <w:r w:rsidRPr="00B5392F">
        <w:rPr>
          <w:vertAlign w:val="superscript"/>
          <w:lang w:val="en-US"/>
        </w:rPr>
        <w:t>-1</w:t>
      </w:r>
      <w:r>
        <w:rPr>
          <w:lang w:val="en-US"/>
        </w:rPr>
        <w:t xml:space="preserve"> yr</w:t>
      </w:r>
      <w:r w:rsidRPr="00B5392F">
        <w:rPr>
          <w:vertAlign w:val="superscript"/>
          <w:lang w:val="en-US"/>
        </w:rPr>
        <w:t>-1</w:t>
      </w:r>
      <w:r>
        <w:rPr>
          <w:lang w:val="en-US"/>
        </w:rPr>
        <w:t xml:space="preserve">, again making it difficult to determine an overall trend of increasing or decreasing productivity. </w:t>
      </w:r>
    </w:p>
    <w:p w14:paraId="41EF64E2" w14:textId="77777777" w:rsidR="00AC29ED" w:rsidRDefault="00AC29ED" w:rsidP="00AC29ED">
      <w:pPr>
        <w:spacing w:line="480" w:lineRule="auto"/>
        <w:rPr>
          <w:highlight w:val="yellow"/>
        </w:rPr>
      </w:pPr>
    </w:p>
    <w:p w14:paraId="17FDFBE9" w14:textId="484E2B81" w:rsidR="00AC29ED" w:rsidRDefault="00AC29ED" w:rsidP="00AC29ED">
      <w:pPr>
        <w:spacing w:line="480" w:lineRule="auto"/>
      </w:pPr>
      <w:r w:rsidRPr="001C01D4">
        <w:t xml:space="preserve">Obtaining accurate estimates of global mangrove coverage carries significant logistical problems, </w:t>
      </w:r>
      <w:r>
        <w:t>and</w:t>
      </w:r>
      <w:r w:rsidRPr="001C01D4">
        <w:t xml:space="preserve"> the global mangrove extent is still debated. </w:t>
      </w:r>
      <w:r w:rsidRPr="00FA6890">
        <w:t xml:space="preserve">Subsequently, differences in estimates of global total mangrove C stocks, soil carbon sequestration and productivity rates largely arise from different methods calculating global mangrove extent </w:t>
      </w:r>
      <w:r w:rsidRPr="00FA6890">
        <w:fldChar w:fldCharType="begin" w:fldLock="1"/>
      </w:r>
      <w:r w:rsidR="008A48C6">
        <w:instrText>ADDIN CSL_CITATION {"citationItems":[{"id":"ITEM-1","itemData":{"DOI":"10.1029/2012GB004375","ISBN":"0886-6236","ISSN":"08866236","abstract":"Mangrove wetlands exist in the transition zone between terrestrial and marine environments and as such were historically overlooked in discussions of terrestrial and marine carbon cycling. In recent decades, mangroves have increasingly been credited with producing and burying large quantities of organic carbon (OC). The amount of available data regarding OC burial in mangrove soils has more than doubled since the last primary literature review (2003). This includes data from some of the largest, most developed mangrove forests in the world, providing an opportunity to strengthen the global estimate. First-time representation is now included for mangroves in Brazil, Colombia, Malaysia, Indonesia, China, Japan, Vietnam, and Thailand, along with additional data from Mexico and the United States. Our objective is to recalculate the centennial-scale burial rate of OC at both the local and global scales. Quantification of this rate enables better understanding of the current carbon sink capacity of mangroves as well as helps to quantify and/or validate the other aspects of the mangrove carbon budget such as import, export, and remineralization. Statistical analysis of the data supports use of the geometric mean as the most reliable central tendency measurement. Our estimate is that mangrove systems bury 163 (+40; -31) g OC m(-2) yr(-1) (95% C.I.). Globally, the 95% confidence interval for the annual burial rate is 26.1 (+6.3; -5.1) Tg OC. This equates to a burial fraction that is 42% larger than that of the most recent mangrove carbon budget (2008), and represents 10-15% of estimated annual mangrove production. This global rate supports previous conclusions that, on a centennial time scale, 8-15% of all OC burial in marine settings occurs in mangrove systems.","author":[{"dropping-particle":"","family":"Breithaupt","given":"Joshua L.","non-dropping-particle":"","parse-names":false,"suffix":""},{"dropping-particle":"","family":"Smoak","given":"Joseph M.","non-dropping-particle":"","parse-names":false,"suffix":""},{"dropping-particle":"","family":"Smith","given":"Thomas J.","non-dropping-particle":"","parse-names":false,"suffix":""},{"dropping-particle":"","family":"Sanders","given":"Christian J.","non-dropping-particle":"","parse-names":false,"suffix":""},{"dropping-particle":"","family":"Hoare","given":"Armando","non-dropping-particle":"","parse-names":false,"suffix":""}],"container-title":"Global Biogeochemical Cycles","id":"ITEM-1","issue":"3","issued":{"date-parts":[["2012"]]},"title":"Organic carbon burial rates in mangrove sediments: Strengthening the global budget","type":"article-journal","volume":"26"},"uris":["http://www.mendeley.com/documents/?uuid=736c75d8-f76f-3adc-af1d-b14863e5a161"]},{"id":"ITEM-2","itemData":{"DOI":"10.1038/s41558-018-0090-4","ISSN":"17586798","abstract":"Mangrove forests store high densitie of organic carbon, which, when coupled with high rates of deforestation, means that mangroves have the potential to contribute substantially to carbon emissions. Consequently, mangroves are strong candidates for inclusion in nationally determined contributions (NDCs) to the United Nations Framework Convention on Climate Change (UNFCCC), and payments for ecosystem services (PES) programmes that financially incentivize the conservation of forested carbon stocks. This study quantifies annual mangrove carbon stocks from 2000 to 2012 at the global, national and sub-national levels, and global carbon emissions resulting from deforestation over the same time period. Globally, mangroves stored 4.19 Pg of carbon in 2012, with Indonesia, Brazil, Malaysia and Papua New Guinea accounting for more than 50% of the global stock. 2.96 Pg of the global carbon stock is contained within the soil and 1.23 Pg in the living biomass. Two percent of global mangrove carbon was lost between 2000 and 2012, equivalent to a maximum potential of 316,996,250 t of CO2 emissions.","author":[{"dropping-particle":"","family":"Hamilton","given":"Stuart E.","non-dropping-particle":"","parse-names":false,"suffix":""},{"dropping-particle":"","family":"Friess","given":"Daniel A.","non-dropping-particle":"","parse-names":false,"suffix":""}],"container-title":"Nature Climate Change","id":"ITEM-2","issue":"3","issued":{"date-parts":[["2018"]]},"page":"240-244","title":"Global carbon stocks and potential emissions due to mangrove deforestation from 2000 to 2012","type":"article-journal","volume":"8"},"uris":["http://www.mendeley.com/documents/?uuid=8f9f1530-8aac-3063-b6ac-d0e087d212e4"]},{"id":"ITEM-3","itemData":{"DOI":"10.1088/1748-9326/aabe1c","ISSN":"17489326","author":[{"dropping-particle":"","family":"Sanderman","given":"Jonathan","non-dropping-particle":"","parse-names":false,"suffix":""},{"dropping-particle":"","family":"Hengl","given":"Tomislav","non-dropping-particle":"","parse-names":false,"suffix":""},{"dropping-particle":"","family":"Fiske","given":"Greg","non-dropping-particle":"","parse-names":false,"suffix":""},{"dropping-particle":"","family":"Solvik","given":"Kylen","non-dropping-particle":"","parse-names":false,"suffix":""},{"dropping-particle":"","family":"Adame","given":"Maria Fernanda","non-dropping-particle":"","parse-names":false,"suffix":""},{"dropping-particle":"","family":"Benson","given":"Lisa","non-dropping-particle":"","parse-names":false,"suffix":""},{"dropping-particle":"","family":"Bukoski","given":"Jacob J","non-dropping-particle":"","parse-names":false,"suffix":""},{"dropping-particle":"","family":"Carnell","given":"Paul","non-dropping-particle":"","parse-names":false,"suffix":""},{"dropping-particle":"","family":"Cifuentes-Jara","given":"Miguel","non-dropping-particle":"","parse-names":false,"suffix":""},{"dropping-particle":"","family":"Donato","given":"Daniel","non-dropping-particle":"","parse-names":false,"suffix":""},{"dropping-particle":"","family":"Duncan","given":"Clare","non-dropping-particle":"","parse-names":false,"suffix":""},{"dropping-particle":"","family":"Eid","given":"Ebrahem M","non-dropping-particle":"","parse-names":false,"suffix":""},{"dropping-particle":"","family":"Ermgassen","given":"Philine zu","non-dropping-particle":"","parse-names":false,"suffix":""},{"dropping-particle":"","family":"Lewis","given":"Carolyn J.Ewers","non-dropping-particle":"","parse-names":false,"suffix":""},{"dropping-particle":"","family":"Macreadie","given":"Peter I","non-dropping-particle":"","parse-names":false,"suffix":""},{"dropping-particle":"","family":"Glass","given":"Leah","non-dropping-particle":"","parse-names":false,"suffix":""},{"dropping-particle":"","family":"Gress","given":"Selena","non-dropping-particle":"","parse-names":false,"suffix":""},{"dropping-particle":"","family":"Jardine","given":"Sunny L","non-dropping-particle":"","parse-names":false,"suffix":""},{"dropping-particle":"","family":"Jones","given":"Trevor G","non-dropping-particle":"","parse-names":false,"suffix":""},{"dropping-particle":"","family":"Nsombo","given":"Eugéne Ndemem","non-dropping-particle":"","parse-names":false,"suffix":""},{"dropping-particle":"","family":"Rahman","given":"Md Mizanur","non-dropping-particle":"","parse-names":false,"suffix":""},{"dropping-particle":"","family":"Sanders","given":"Christian J","non-dropping-particle":"","parse-names":false,"suffix":""},{"dropping-particle":"","family":"Spalding","given":"Mark","non-dropping-particle":"","parse-names":false,"suffix":""},{"dropping-particle":"","family":"Landis","given":"Emily","non-dropping-particle":"","parse-names":false,"suffix":""}],"container-title":"Environmental Research Letters","id":"ITEM-3","issue":"5","issued":{"date-parts":[["2018","5","1"]]},"page":"055002","publisher":"IOP Publishing","title":"A global map of mangrove forest soil carbon at 30 m spatial resolution","type":"article-journal","volume":"13"},"uris":["http://www.mendeley.com/documents/?uuid=a27008a0-a4d5-343e-89c7-c4a4c0b60818"]},{"id":"ITEM-4","itemData":{"DOI":"10.3390/sci2030057","abstract":"Mangrove forests store and sequester large area-specific quantities of blue carbon (Corg). Except for tundra and peatlands, mangroves store more Corg per unit area than any other ecosystem. Mean mangrove Corg stock is 738.9 Mg Corg ha−1 and mean global stock is 6.17 Pg Corg, which equates to only 0.4–7% of terrestrial ecosystem Corg stocks but 17% of total tropical marine Corg stocks. Seagrasses sequester more Corg per unit area than mangroves (179.6 g Corg m−2·a−1) but twice the Corg sequestered by mangroves globally (15 Tg Corg a−1). Mangroves sequester only 4% (range 1.3–8%) of Corg sequestered by terrestrial ecosystems, indicating that mangroves are a minor contributor to global C storage and sequestration. CO2 emissions from mangrove losses equate to 0.036 Pg CO2-equivalents a−1 based on rates of C sequestration but 0.088 Pg CO2-equivalents a−1 based on complete destruction for conversion to aquaculture and agriculture. Mangrove CO2 emissions account for only 0.2% of total global CO2 emissions but 18% of CO2 emissions from the tropical coastal ocean. Despite significant data limitations, the role of mangrove ecosystems in climate change mitigation is globally insignificant but may be more significant and effective at the national and regional scale.","author":[{"dropping-particle":"","family":"Alongi","given":"Daniel M.","non-dropping-particle":"","parse-names":false,"suffix":""}],"container-title":"Sci","id":"ITEM-4","issue":"3","issued":{"date-parts":[["2020"]]},"page":"57","title":"Global Significance of Mangrove Blue Carbon in Climate Change Mitigation (Version 1)","type":"article-journal","volume":"2"},"uris":["http://www.mendeley.com/documents/?uuid=285a902c-afd2-4610-91a7-6d8a28e1cbd4"]}],"mendeley":{"formattedCitation":"(Alongi, 2020; Breithaupt et al., 2012; Hamilton and Friess, 2018; Sanderman et al., 2018)","plainTextFormattedCitation":"(Alongi, 2020; Breithaupt et al., 2012; Hamilton and Friess, 2018; Sanderman et al., 2018)","previouslyFormattedCitation":"(Alongi, 2020; Breithaupt et al., 2012; Hamilton and Friess, 2018; Sanderman et al., 2018)"},"properties":{"noteIndex":0},"schema":"https://github.com/citation-style-language/schema/raw/master/csl-citation.json"}</w:instrText>
      </w:r>
      <w:r w:rsidRPr="00FA6890">
        <w:fldChar w:fldCharType="separate"/>
      </w:r>
      <w:r w:rsidR="008A48C6" w:rsidRPr="008A48C6">
        <w:rPr>
          <w:noProof/>
        </w:rPr>
        <w:t>(Alongi, 2020; Breithaupt et al., 2012; Hamilton and Friess, 2018; Sanderman et al., 2018)</w:t>
      </w:r>
      <w:r w:rsidRPr="00FA6890">
        <w:fldChar w:fldCharType="end"/>
      </w:r>
      <w:r w:rsidRPr="00FA6890">
        <w:t xml:space="preserve">. </w:t>
      </w:r>
      <w:r w:rsidRPr="00392BB3">
        <w:t xml:space="preserve">Present day estimates of global mangrove coverage range from </w:t>
      </w:r>
      <w:r w:rsidRPr="004D6CF0">
        <w:t>~83,000 to ~167,000 km</w:t>
      </w:r>
      <w:r w:rsidRPr="004D6CF0">
        <w:rPr>
          <w:vertAlign w:val="superscript"/>
        </w:rPr>
        <w:t>2</w:t>
      </w:r>
      <w:r w:rsidRPr="004D6CF0">
        <w:t xml:space="preserve"> </w:t>
      </w:r>
      <w:r>
        <w:fldChar w:fldCharType="begin" w:fldLock="1"/>
      </w:r>
      <w:r>
        <w:instrText>ADDIN CSL_CITATION {"citationItems":[{"id":"ITEM-1","itemData":{"author":[{"dropping-particle":"","family":"Hamilton","given":"Stuart","non-dropping-particle":"","parse-names":false,"suffix":""},{"dropping-particle":"","family":"Casey","given":"Daniel","non-dropping-particle":"","parse-names":false,"suffix":""}],"container-title":"Global Ecology and Biogeography","id":"ITEM-1","issue":"6","issued":{"date-parts":[["2016"]]},"page":"729-738","title":"Creation of a high spatiotemporal resolution global database of continuous mangrove forest cover","type":"article-journal","volume":"25"},"uris":["http://www.mendeley.com/documents/?uuid=893008db-4f62-4c3e-95b0-18b063df5b92"]}],"mendeley":{"formattedCitation":"(Hamilton and Casey, 2016)","plainTextFormattedCitation":"(Hamilton and Casey, 2016)","previouslyFormattedCitation":"(Hamilton and Casey, 2016)"},"properties":{"noteIndex":0},"schema":"https://github.com/citation-style-language/schema/raw/master/csl-citation.json"}</w:instrText>
      </w:r>
      <w:r>
        <w:fldChar w:fldCharType="separate"/>
      </w:r>
      <w:r w:rsidRPr="004D6CF0">
        <w:rPr>
          <w:noProof/>
        </w:rPr>
        <w:t>(Hamilton and Casey, 2016)</w:t>
      </w:r>
      <w:r>
        <w:fldChar w:fldCharType="end"/>
      </w:r>
      <w:r>
        <w:t>. For example, g</w:t>
      </w:r>
      <w:r w:rsidRPr="0001160C">
        <w:t xml:space="preserve">lobal soil carbon sequestration rates have ranged from 8.6 to 38.0 </w:t>
      </w:r>
      <w:proofErr w:type="spellStart"/>
      <w:r w:rsidRPr="0001160C">
        <w:lastRenderedPageBreak/>
        <w:t>Tg</w:t>
      </w:r>
      <w:proofErr w:type="spellEnd"/>
      <w:r w:rsidRPr="0001160C">
        <w:t xml:space="preserve"> C </w:t>
      </w:r>
      <w:proofErr w:type="spellStart"/>
      <w:r w:rsidRPr="0001160C">
        <w:t>yr</w:t>
      </w:r>
      <w:proofErr w:type="spellEnd"/>
      <w:r w:rsidRPr="0001160C">
        <w:rPr>
          <w:vertAlign w:val="superscript"/>
        </w:rPr>
        <w:t>–1</w:t>
      </w:r>
      <w:r w:rsidRPr="0001160C">
        <w:t xml:space="preserve"> </w:t>
      </w:r>
      <w:r>
        <w:t xml:space="preserve">using differing global mangrove coverage estimates </w:t>
      </w:r>
      <w:r w:rsidRPr="0001160C">
        <w:fldChar w:fldCharType="begin" w:fldLock="1"/>
      </w:r>
      <w:r w:rsidR="008A48C6">
        <w:instrText>ADDIN CSL_CITATION {"citationItems":[{"id":"ITEM-1","itemData":{"DOI":"10.1007/BF00477106","ISBN":"0049-6979","ISSN":"00496979","abstract":"Nearly 50 % of terrigenous materials delivered to the world's oceans are delivered through just twenty-one major river systems. These river-dominated coastal margins (including estuarine and shelf ecosystems) are thus important both to the regional enhancement of productivity and to the global flux of C that is observed in land-margin ecosystems. The tropical regions of the biosphere are the most biogeochemically active coastal regions and represent potentially important sinks of C in the biosphere. Rates of net primary productivity and biomass accumulation depend on a combination of global factors such a latitude. the average rate of wood production is 12.08 Mg ha yr, which is equivalent to a global estimate of 0.16 Pg C7yr stored in mangrove biomass. Together with carbon accumulation in mangrove sediments (.02 Pg C/yr), the net ecosystem production in mangroves in about .18 Pg C/yr. Global estimates of export from coastal wetlands is about .08 Pg C/yr compared to input of .36 Pg C/yr from rivers to coastal ecosystems. The allochthonous input of .44 Pg C/yr is lower than in situ production of 6.65 Pg C/yr as either contributing to system respiration, or becoming permanently stored in sediments. Accumulation of carbon in coastal sediments is only .41 Pg C/yr; about 6% of the total input. The NEP of coastal wetlands also contribute to the C sink of coastal margins, but the source of this C is part of the terrestial C exchange with the atmosphere. Accumulation of C in wood and sediments of coastal wetlands is .205 Pg C/yr, half the estimate for sequestring of C in coastal sediments. Burial of C in shelf sediments is probably underestimated, particularly in tropical river-dominated coastal margins. better estimates of these two C sinks in the tropics, coastal wetlands and shelf sediments, is needed to better uinderstand the contribution of coastal ecosystems to the global carbon budget.","author":[{"dropping-particle":"","family":"Twilley","given":"R. R.","non-dropping-particle":"","parse-names":false,"suffix":""},{"dropping-particle":"","family":"Chen","given":"R. H.","non-dropping-particle":"","parse-names":false,"suffix":""},{"dropping-particle":"","family":"Hargis","given":"T.","non-dropping-particle":"","parse-names":false,"suffix":""}],"container-title":"Water, Air, and Soil Pollution","id":"ITEM-1","issue":"1-2","issued":{"date-parts":[["1992"]]},"page":"265-288","title":"Carbon sinks in mangroves and their implications to carbon budget of tropical coastal ecosystems","type":"article-journal","volume":"64"},"uris":["http://www.mendeley.com/documents/?uuid=3a998176-f139-4fdf-ab7f-68efcb9c29e3"]},{"id":"ITEM-2","itemData":{"DOI":"10.1007/s00114-001-0283-x","ISSN":"00281042","PMID":"12008969","abstract":"Mangroves are highly complex ecosystems occupying a major part of tropical coastlines. High primary productivity, efficient biological nutrient recyling and a permanent exchange with terrestrial and marine ecosystems are their common features. Despite the high production and export rates of leaf litter, mangrove detritus has been reported to be of minor importance in sustaining marine food webs. The geographical distribution of mangrove-derived organic matter (OM) in marine sediments is found to be restricted to the vicinity of its source. Dissolved nutrient inputs from mangroves and rivers may fuel the production of marine OM. In this paper we assess the relevance of mangroves for the production and sedimentation of OM in the tropical coastal ocean based on data available from the literature and our own research results. We estimate the rates of carbon accumulation in mangrove sediments and of carbon export to the coastal seas. From the rates of litter fall and export we calculate carbon accumulating in mangrove sediments to be in the order of 23×1012 g C per year and mangrove carbon introduced into the coastal ocean to be in the order of 46×1012 g C per year. They account for about 11% of the total input of terrestrial carbon into the ocean and 15% of the total carbon accumulating in modern marine sediments.","author":[{"dropping-particle":"","family":"Jennerjahn","given":"Tim C.","non-dropping-particle":"","parse-names":false,"suffix":""},{"dropping-particle":"","family":"Ittekkot","given":"Venugopalan","non-dropping-particle":"","parse-names":false,"suffix":""}],"container-title":"Naturwissenschaften","id":"ITEM-2","issue":"1","issued":{"date-parts":[["2002"]]},"page":"23-30","title":"Relevance of mangroves for the production and deposition of organic matter along tropical continental margins","type":"article-journal","volume":"89"},"uris":["http://www.mendeley.com/documents/?uuid=324a1572-3434-4a18-8516-9e3f4813267b"]},{"id":"ITEM-3","itemData":{"DOI":"10.1029/2002gb001917","ISBN":"0886-6236","ISSN":"08866236","PMID":"15041479","abstract":"Wetlands represent the largest component of the terrestrial biological carbon pool and thus play an important role in global carbon cycles. Most global carbon budgets, however, have focused on dry land ecosystems that extend over large areas and have not accounted for the many small, scattered carbon-storing ecosystems such as tidal saline wetlands. We compiled data for 154 sites in mangroves and salt marshes from the western and eastern Atlantic and Pacific coasts, as well as the Indian Ocean, Mediterranean Ocean, and Gulf of Mexico. The set of sites spans a latitudinal range from 22.4°S in the Indian Ocean to 55.5°N in the northeastern Atlantic. The average soil carbon density of mangrove swamps (0.055 ± 0.004 g cm-3) is significantly higher than the salt marsh average (0.039 ± 0.003 g cm-3). Soil carbon density in mangrove swamps and Spartina patens marshes declines with increasing average annual temperature, probably due to increased decay rates at higher temperatures. In contrast, carbon sequestration rates were not significantly different between mangrove swamps and salt marshes. Variability in sediment accumulation rates within marshes is a major control of carbon sequestration rates masking any relationship with climatic parameters. Globally, these combined wetlands store at least 44.6 Tg C yr-1 and probably more, as detailed areal inventories are not available for salt marshes in China and South America. Much attention has been given to the role of freshwater wetlands, particularly northern peatlands, as carbon sinks. In contrast to peatlands, salt marshes and mangroves release negligible amounts of greenhouse gases and store more carbon per unit area. Copyright 2003 by the American Geophysical Union.","author":[{"dropping-particle":"","family":"Chmura","given":"Gail L.","non-dropping-particle":"","parse-names":false,"suffix":""},{"dropping-particle":"","family":"Anisfeld","given":"Shimon C.","non-dropping-particle":"","parse-names":false,"suffix":""},{"dropping-particle":"","family":"Cahoon","given":"Donald R.","non-dropping-particle":"","parse-names":false,"suffix":""},{"dropping-particle":"","family":"Lynch","given":"James C.","non-dropping-particle":"","parse-names":false,"suffix":""}],"container-title":"Global Biogeochemical Cycles","id":"ITEM-3","issue":"4","issued":{"date-parts":[["2003","12","10"]]},"title":"Global carbon sequestration in tidal, saline wetland soils","type":"article-journal","volume":"17"},"uris":["http://www.mendeley.com/documents/?uuid=b60e39e6-b3c8-4ef4-bf4a-0a4f7e3aa9f3"]},{"id":"ITEM-4","itemData":{"DOI":"10.5194/bg-2-1-2005","ISSN":"17264189","abstract":"The carbon burial in vegetated sediments, ignored in past assessments of carbon burial in the ocean, was evaluated using a bottom-up approach derived from upscaling a compilation of published individual estimates of carbon burial in vegetated habitats (seagrass meadows, salt marshes and mangrove forests) to the global level and a top-down approach derived from considerations of global sediment balance and a compilation of the organic carbon content of vegeatated sediments. Up-scaling of individual burial estimates values yielded a total carbon burial in vegetated habitats of 111 Tmol C y-1. The total burial in unvegetated sediments was estimated to be 126 Tg C y-1, resulting in a bottom-up estimate of total burial in the ocean of about 244 Tg C y-1, two-fold higher than estimates of oceanic carbon burial that presently enter global carbon budgets. The organic carbon concentrations in vegetated marine sediments exceeds by 2 to 10-fold those in shelf/deltaic sediments. Top-down re-calculation of ocean sediment budgets to account for these, previously neglected, organic-rich sediments, yields a top-down carbon burial estimate of 216 Tg C y-1, with vegetated coastal habitats contributing about 50%. Even though vegetated carbon burial contributes about half of the total carbon burial in the ocean, burial represents a small fraction of the net production of these ecosystems, estimated at about 3388 Tg C y -1, suggesting that bulk of the benthic net ecosystem production must support excess respiration in other compartments, such as unvegetated sediments and the coastal pelagic compartment. The total excess organic carbon available to be exported to the ocean is estimated at between 1126 to 3534 Tg C y -1, the bulk of which must be respired in the open ocean. Widespread loss of vegetated coastal habitats must have reduced carbon burial in the ocean by about 30 Tg Cy-1, identifying the destruction of these ecosystems as an important loss of CO2 sink capacity in the biosphere.","author":[{"dropping-particle":"","family":"Duarte","given":"C. M.","non-dropping-particle":"","parse-names":false,"suffix":""},{"dropping-particle":"","family":"Middelburg","given":"J. J.","non-dropping-particle":"","parse-names":false,"suffix":""},{"dropping-particle":"","family":"Caraco","given":"N.","non-dropping-particle":"","parse-names":false,"suffix":""}],"container-title":"Biogeosciences","id":"ITEM-4","issue":"1","issued":{"date-parts":[["2005"]]},"page":"1-8","title":"Major role of marine vegetation on the oceanic carbon cycle","type":"article-journal","volume":"2"},"uris":["http://www.mendeley.com/documents/?uuid=d0d8796c-82ed-4364-accb-1e9b71cdf4fe"]},{"id":"ITEM-5","itemData":{"DOI":"10.1016/j.aquabot.2007.12.005","ISBN":"0304-3770","ISSN":"03043770","PMID":"961","abstract":"Our current knowledge on production, composition, transport, pathways and transformations of organic carbon in tropical mangrove environments is reviewed and discussed. Organic carbon entering mangrove foodwebs is either produced autochthonously or imported by tides and/or rivers. Mangrove litter and benthic microalgae are usually the most important autochthonous carbon sources. Depending on local conditions, phytoplankton and seagrass detritus imported with tides may represent a significant supplementary carbon input. Litter handling by the fauna not only affects microbial carbon transformations, but also the amount of organic carbon available for export. Most mangrove detritus that enters the sediment is degraded by microorganisms. Aerobic respiration and anaerobic sulfate reduction are usually considered the most important microbial respiration processes, but recent evidence suggests that iron respiration may be important in mangrove sediments as well. Organic carbon that escapes microbial degradation is stored in sediments and in some mangrove ecosystems, organic-rich sediments may extend to several meters depth. Many mangrove forests also lose a significant fraction of their net primary production to coastal waters. Large differences occur between mangrove forests with respect to litter production and export. Mangrove-derived DOC is also released into the water column and can add to the total organic carbon export. Numerous compounds have been characterized from mangrove tissues, including carbohydrates, amino acids, lignin-derived phenols, tannins, fatty acids, triterpenoids and n-alkanes. Many of these may, together with stable isotopes, exhibit a strong source signature and are potentially useful tracers of mangrove-derived organic matter. Our knowledge on mangrove carbon dynamics has improved considerably in recent years, but there are still significant gaps and shortcomings. These are emphasized and relevant research directions are suggested. ?? 2007 Elsevier B.V. All rights reserved.","author":[{"dropping-particle":"","family":"Kristensen","given":"Erik","non-dropping-particle":"","parse-names":false,"suffix":""},{"dropping-particle":"","family":"Bouillon","given":"Steven","non-dropping-particle":"","parse-names":false,"suffix":""},{"dropping-particle":"","family":"Dittmar","given":"Thorsten","non-dropping-particle":"","parse-names":false,"suffix":""},{"dropping-particle":"","family":"Marchand","given":"Cyril","non-dropping-particle":"","parse-names":false,"suffix":""}],"container-title":"Aquatic Botany","id":"ITEM-5","issue":"2","issued":{"date-parts":[["2008"]]},"page":"201-219","title":"Organic carbon dynamics in mangrove ecosystems: A review","type":"article-journal","volume":"89"},"uris":["http://www.mendeley.com/documents/?uuid=662a71f6-6086-3fc9-9108-b7a4c2a67500"]},{"id":"ITEM-6","itemData":{"DOI":"10.1007/978-1-4020-4271-3","ISBN":"9781402042706","abstract":"Despite their importance in sustaining livelihoods for many people living along some of the world's most populous coastlines, tropical mangrove forests are disappearing at an alarming rate. Occupying a crucial place between land and sea, these tidal ecosystems provide a valuable ecological and economic resource as important nursery grounds and breeding sites for many organisms, and as a renewable source of wood and traditional foods and medicines. Perhaps most importantly, they are accumulation sites for sediment, contaminants, carbon and nutrients, and offer significant protection against coastal erosion. This book presents a functional overview of mangrove forest ecosystems; how they live and grow at the edge of tropical seas, how they play a critical role along most of the world's tropical coasts, and how their future might look in a world affected by climate change. Such a process-oriented approach is necessary in order to further understand the role of these dynamic forests in ecosystem function, and as a first step towards developing adequate strategies for their conservation and sustainable use and management. The book will provide a valuable resource for researchers in mangrove ecology as well as reference for resource managers. © 2009 Springer Science + Business Media B.V.","author":[{"dropping-particle":"","family":"Alongi","given":"Daniel M.","non-dropping-particle":"","parse-names":false,"suffix":""}],"container-title":"The Energetics of Mangrove Forests","id":"ITEM-6","issued":{"date-parts":[["2009"]]},"number-of-pages":"1-216","publisher":"Springer Science &amp; Business Media","publisher-place":"New York","title":"The energetics of mangrove forests","type":"book"},"uris":["http://www.mendeley.com/documents/?uuid=cbb1df17-e857-4abd-95d9-5dd9e7b78cbc"]},{"id":"ITEM-7","itemData":{"DOI":"10.3390/sci2030057","abstract":"Mangrove forests store and sequester large area-specific quantities of blue carbon (Corg). Except for tundra and peatlands, mangroves store more Corg per unit area than any other ecosystem. Mean mangrove Corg stock is 738.9 Mg Corg ha−1 and mean global stock is 6.17 Pg Corg, which equates to only 0.4–7% of terrestrial ecosystem Corg stocks but 17% of total tropical marine Corg stocks. Seagrasses sequester more Corg per unit area than mangroves (179.6 g Corg m−2·a−1) but twice the Corg sequestered by mangroves globally (15 Tg Corg a−1). Mangroves sequester only 4% (range 1.3–8%) of Corg sequestered by terrestrial ecosystems, indicating that mangroves are a minor contributor to global C storage and sequestration. CO2 emissions from mangrove losses equate to 0.036 Pg CO2-equivalents a−1 based on rates of C sequestration but 0.088 Pg CO2-equivalents a−1 based on complete destruction for conversion to aquaculture and agriculture. Mangrove CO2 emissions account for only 0.2% of total global CO2 emissions but 18% of CO2 emissions from the tropical coastal ocean. Despite significant data limitations, the role of mangrove ecosystems in climate change mitigation is globally insignificant but may be more significant and effective at the national and regional scale.","author":[{"dropping-particle":"","family":"Alongi","given":"Daniel M.","non-dropping-particle":"","parse-names":false,"suffix":""}],"container-title":"Sci","id":"ITEM-7","issue":"3","issued":{"date-parts":[["2020"]]},"page":"57","title":"Global Significance of Mangrove Blue Carbon in Climate Change Mitigation (Version 1)","type":"article-journal","volume":"2"},"uris":["http://www.mendeley.com/documents/?uuid=285a902c-afd2-4610-91a7-6d8a28e1cbd4"]},{"id":"ITEM-8","itemData":{"DOI":"10.1029/2012GB004375","ISBN":"0886-6236","ISSN":"08866236","abstract":"Mangrove wetlands exist in the transition zone between terrestrial and marine environments and as such were historically overlooked in discussions of terrestrial and marine carbon cycling. In recent decades, mangroves have increasingly been credited with producing and burying large quantities of organic carbon (OC). The amount of available data regarding OC burial in mangrove soils has more than doubled since the last primary literature review (2003). This includes data from some of the largest, most developed mangrove forests in the world, providing an opportunity to strengthen the global estimate. First-time representation is now included for mangroves in Brazil, Colombia, Malaysia, Indonesia, China, Japan, Vietnam, and Thailand, along with additional data from Mexico and the United States. Our objective is to recalculate the centennial-scale burial rate of OC at both the local and global scales. Quantification of this rate enables better understanding of the current carbon sink capacity of mangroves as well as helps to quantify and/or validate the other aspects of the mangrove carbon budget such as import, export, and remineralization. Statistical analysis of the data supports use of the geometric mean as the most reliable central tendency measurement. Our estimate is that mangrove systems bury 163 (+40; -31) g OC m(-2) yr(-1) (95% C.I.). Globally, the 95% confidence interval for the annual burial rate is 26.1 (+6.3; -5.1) Tg OC. This equates to a burial fraction that is 42% larger than that of the most recent mangrove carbon budget (2008), and represents 10-15% of estimated annual mangrove production. This global rate supports previous conclusions that, on a centennial time scale, 8-15% of all OC burial in marine settings occurs in mangrove systems.","author":[{"dropping-particle":"","family":"Breithaupt","given":"Joshua L.","non-dropping-particle":"","parse-names":false,"suffix":""},{"dropping-particle":"","family":"Smoak","given":"Joseph M.","non-dropping-particle":"","parse-names":false,"suffix":""},{"dropping-particle":"","family":"Smith","given":"Thomas J.","non-dropping-particle":"","parse-names":false,"suffix":""},{"dropping-particle":"","family":"Sanders","given":"Christian J.","non-dropping-particle":"","parse-names":false,"suffix":""},{"dropping-particle":"","family":"Hoare","given":"Armando","non-dropping-particle":"","parse-names":false,"suffix":""}],"container-title":"Global Biogeochemical Cycles","id":"ITEM-8","issue":"3","issued":{"date-parts":[["2012"]]},"title":"Organic carbon burial rates in mangrove sediments: Strengthening the global budget","type":"article-journal","volume":"26"},"uris":["http://www.mendeley.com/documents/?uuid=736c75d8-f76f-3adc-af1d-b14863e5a161"]}],"mendeley":{"formattedCitation":"(Alongi, 2020, 2009; Breithaupt et al., 2012; Chmura et al., 2003; Duarte et al., 2005; Jennerjahn and Ittekkot, 2002; Kristensen et al., 2008; Twilley et al., 1992b)","plainTextFormattedCitation":"(Alongi, 2020, 2009; Breithaupt et al., 2012; Chmura et al., 2003; Duarte et al., 2005; Jennerjahn and Ittekkot, 2002; Kristensen et al., 2008; Twilley et al., 1992b)","previouslyFormattedCitation":"(Alongi, 2020, 2009; Breithaupt et al., 2012; Chmura et al., 2003; Duarte et al., 2005; Jennerjahn and Ittekkot, 2002; Kristensen et al., 2008; Twilley et al., 1992b)"},"properties":{"noteIndex":0},"schema":"https://github.com/citation-style-language/schema/raw/master/csl-citation.json"}</w:instrText>
      </w:r>
      <w:r w:rsidRPr="0001160C">
        <w:fldChar w:fldCharType="separate"/>
      </w:r>
      <w:r w:rsidR="008A48C6" w:rsidRPr="008A48C6">
        <w:rPr>
          <w:noProof/>
        </w:rPr>
        <w:t>(Alongi, 2020, 2009; Breithaupt et al., 2012; Chmura et al., 2003; Duarte et al., 2005; Jennerjahn and Ittekkot, 2002; Kristensen et al., 2008; Twilley et al., 1992b)</w:t>
      </w:r>
      <w:r w:rsidRPr="0001160C">
        <w:fldChar w:fldCharType="end"/>
      </w:r>
      <w:r w:rsidRPr="0001160C">
        <w:t>.</w:t>
      </w:r>
      <w:r>
        <w:t xml:space="preserve"> </w:t>
      </w:r>
    </w:p>
    <w:p w14:paraId="05B5C9E7" w14:textId="77777777" w:rsidR="00AC29ED" w:rsidRDefault="00AC29ED" w:rsidP="00AC29ED">
      <w:pPr>
        <w:spacing w:line="480" w:lineRule="auto"/>
      </w:pPr>
    </w:p>
    <w:p w14:paraId="2A0F557F" w14:textId="4D69E318" w:rsidR="00AC29ED" w:rsidRPr="008F1F88" w:rsidRDefault="00AC29ED" w:rsidP="00AC29ED">
      <w:pPr>
        <w:pStyle w:val="Heading2"/>
        <w:rPr>
          <w:rFonts w:asciiTheme="minorHAnsi" w:hAnsiTheme="minorHAnsi" w:cstheme="minorHAnsi"/>
          <w:b/>
          <w:bCs/>
          <w:color w:val="000000" w:themeColor="text1"/>
        </w:rPr>
      </w:pPr>
      <w:bookmarkStart w:id="74" w:name="_Toc120622161"/>
      <w:r w:rsidRPr="008F1F88">
        <w:rPr>
          <w:rFonts w:asciiTheme="minorHAnsi" w:hAnsiTheme="minorHAnsi" w:cstheme="minorHAnsi"/>
          <w:b/>
          <w:bCs/>
          <w:color w:val="000000" w:themeColor="text1"/>
        </w:rPr>
        <w:t>6.5</w:t>
      </w:r>
      <w:r w:rsidRPr="008F1F88">
        <w:rPr>
          <w:rFonts w:asciiTheme="minorHAnsi" w:hAnsiTheme="minorHAnsi" w:cstheme="minorHAnsi"/>
          <w:b/>
          <w:bCs/>
          <w:color w:val="000000" w:themeColor="text1"/>
        </w:rPr>
        <w:tab/>
        <w:t>Future research and applications of results</w:t>
      </w:r>
      <w:bookmarkEnd w:id="74"/>
    </w:p>
    <w:p w14:paraId="294FB3EB" w14:textId="77777777" w:rsidR="00AC29ED" w:rsidRDefault="00AC29ED" w:rsidP="00AC29ED">
      <w:pPr>
        <w:spacing w:line="480" w:lineRule="auto"/>
      </w:pPr>
      <w:r>
        <w:t xml:space="preserve">The future for mangrove science is closely tied to climate change mitigation. Since mangrove conservation has been identified as a potentially effective and profitable means to offsetting greenhouse gas emissions, national governments and private companies have started directing finance towards mangrove conservation and restoration efforts </w:t>
      </w:r>
      <w:r>
        <w:fldChar w:fldCharType="begin" w:fldLock="1"/>
      </w:r>
      <w:r>
        <w:instrText xml:space="preserve">ADDIN CSL_CITATION {"citationItems":[{"id":"ITEM-1","itemData":{"DOI":"10.1016/j.cub.2021.01.070","ISSN":"18790445","PMID":"33600768","abstract":"Despite the outsized role of mangrove forests in sustaining biodiversity, ecosystem function, and local livelihoods, the protection of these vital habitats through blue carbon financing has been limited.1,2 Here, we quantify the extent of this missed conservation and financial opportunity, showing that the protection of </w:instrText>
      </w:r>
      <w:r>
        <w:rPr>
          <w:rFonts w:ascii="Cambria Math" w:hAnsi="Cambria Math" w:cs="Cambria Math"/>
        </w:rPr>
        <w:instrText>∼</w:instrText>
      </w:r>
      <w:r>
        <w:instrText xml:space="preserve">20% of the world's mangrove forests (2.6 Mha) can be funded through carbon financing. Of these investible areas, 1.1–1.3 Mha can be financially sustainable over a 30-year time frame based on carbon prices of US$5–9.4 t−1CO2e. This contributes up to 29.8 MtCO2e year−1 and yields a return on investment of </w:instrText>
      </w:r>
      <w:r>
        <w:rPr>
          <w:rFonts w:ascii="Cambria Math" w:hAnsi="Cambria Math" w:cs="Cambria Math"/>
        </w:rPr>
        <w:instrText>∼</w:instrText>
      </w:r>
      <w:r>
        <w:instrText xml:space="preserve">US$3.7 billion per year. Our results point toward a disproportionately large potential of blue carbon finance that can be leveraged to meet national-level climate mitigation goals, particularly if combined with other conservation interventions that further safeguard carbon stocks and biodiversity in these irreplaceable forests. Robust information on return on investment highlights the potential for currently underutilized tropical coastal carbon credit projects.","author":[{"dropping-particle":"","family":"Zeng","given":"Yiwen","non-dropping-particle":"","parse-names":false,"suffix":""},{"dropping-particle":"","family":"Friess","given":"Daniel A.","non-dropping-particle":"","parse-names":false,"suffix":""},{"dropping-particle":"","family":"Sarira","given":"Tasya Vadya","non-dropping-particle":"","parse-names":false,"suffix":""},{"dropping-particle":"","family":"Siman","given":"Kelly","non-dropping-particle":"","parse-names":false,"suffix":""},{"dropping-particle":"","family":"Koh","given":"Lian Pin","non-dropping-particle":"","parse-names":false,"suffix":""}],"container-title":"Current Biology","id":"ITEM-1","issue":"8","issued":{"date-parts":[["2021"]]},"page":"1737-1743.e3","title":"Global potential and limits of mangrove blue carbon for climate change mitigation","type":"article-journal","volume":"31"},"uris":["http://www.mendeley.com/documents/?uuid=07ea0631-cb8d-4eb2-8298-6dfbbd7b03dc"]},{"id":"ITEM-2","itemData":{"DOI":"10.1016/j.ecoser.2019.101035","ISSN":"22120416","abstract":"Mangroves have generated considerable interest in forest carbon discourse given their disproportionately high carbon storage and sequestration potential compared to terrestrial habitats. Capitalising on this potential, however, remains largely unrealised due in part to an incomplete understanding of the full greenhouse gas mitigation benefits provided, particularly through changes in landuse where aquaculture ponds are converted back to mangroves. Here we address such uncertainties by estimating the overall net greenhouse offset potential from rehabilitating mangroves in Tiwoho, North Sulawesi (Indonesia). Estimates of both baseline emissions and sequestration as mangrove forests regrow after rehabilitation were assessed, with results contrasted against published data on established mangroves and terrestrial forest carbon projects registered with the Verified Carbon Standard. Additionally, net emissions removals and reductions from Tiwoho is scaled-up to the national level in order to estimate the contribution rehabilitation of disused ponds can make to climate change mitigation. We also monetarise potential returns generated to date and frame this against project implementation and opportunity costs. Our data indicates that, on average, Tiwoho's rehabilitating sites could potentially mitigate upwards of −27.6 ± 1.7 Mg CO2-e per hectare per year. This is upwards of 3 times that of other terrestrial forestry carbon projects and, assuming a voluntary carbon market price of USD $8.1 per Mg CO2-e per hectare for afforestation/reforestation projects, equates to recuperation of 76.2% of initial project implementation costs over approximately 10 years with an annual return of 7.6%. This return rate rivals that of most asset classes targeted by private sector investors. Scaling results to encompass the net emissions removals and reduction potential from rehabilitating the </w:instrText>
      </w:r>
      <w:r>
        <w:rPr>
          <w:rFonts w:ascii="Cambria Math" w:hAnsi="Cambria Math" w:cs="Cambria Math"/>
        </w:rPr>
        <w:instrText>∼</w:instrText>
      </w:r>
      <w:r>
        <w:instrText>600, 000 hectares of disused ponds in Indonesia may offset upwards of −16.56 ± 1.02 million Mg CO2-e per hectare per year. Additionally, mitigation benefits from rehabilitation may equate to 6 times that of terrestrial projects if situated in ponds displaying both high baseline emissions and high rates of re-growth whilst accounting for sequestration from benthic algae and the oceanic burial of dissolved inorganic carbon. These findings strengthen the evidence base needed for public and private sector support for mangrove rehabilitation within the forest carbon sector.","author":[{"dropping-particle":"","family":"Cameron","given":"Clint","non-dropping-particle":"","parse-names":false,"suffix":""},{"dropping-particle":"","family":"Hutley","given":"Lindsay B.","non-dropping-particle":"","parse-names":false,"suffix":""},{"dropping-particle":"","family":"Friess","given":"Daniel A.","non-dropping-particle":"","parse-names":false,"suffix":""},{"dropping-particle":"","family":"Brown","given":"Ben","non-dropping-particle":"","parse-names":false,"suffix":""}],"container-title":"Ecosystem Services","id":"ITEM-2","issued":{"date-parts":[["2019"]]},"title":"High greenhouse gas emissions mitigation benefits from mangrove rehabilitation in Sulawesi, Indonesia","type":"article-journal","volume":"40"},"uris":["http://www.mendeley.com/documents/?uuid=37df7189-2c91-473f-9386-68fa3bfc0954"]}],"mendeley":{"formattedCitation":"(Cameron et al., 2019; Zeng et al., 2021)","plainTextFormattedCitation":"(Cameron et al., 2019; Zeng et al., 2021)","previouslyFormattedCitation":"(Cameron et al., 2019; Zeng et al., 2021)"},"properties":{"noteIndex":0},"schema":"https://github.com/citation-style-language/schema/raw/master/csl-citation.json"}</w:instrText>
      </w:r>
      <w:r>
        <w:fldChar w:fldCharType="separate"/>
      </w:r>
      <w:r w:rsidRPr="006215D3">
        <w:rPr>
          <w:noProof/>
        </w:rPr>
        <w:t>(Cameron et al., 2019; Zeng et al., 2021)</w:t>
      </w:r>
      <w:r>
        <w:fldChar w:fldCharType="end"/>
      </w:r>
      <w:r>
        <w:t xml:space="preserve">. Coincidentally, climate change itself has been identified as the biggest threat to mangrove habitats worldwide </w:t>
      </w:r>
      <w:r>
        <w:fldChar w:fldCharType="begin" w:fldLock="1"/>
      </w:r>
      <w:r>
        <w:instrText>ADDIN CSL_CITATION {"citationItems":[{"id":"ITEM-1","itemData":{"DOI":"10.1038/s41467-019-11693-w","ISSN":"20411723","abstract":"The term Blue Carbon (BC) was first coined a decade ago to describe the disproportionately large contribution of coastal vegetated ecosystems to global carbon sequestration. The role of BC in climate change mitigation and adaptation has now reached international prominence. To help prioritise future research, we assembled leading experts in the field to agree upon the top-ten pending questions in BC science. Understanding how climate change affects carbon accumulation in mature BC ecosystems and during their restoration was a high priority. Controversial questions included the role of carbonate and macroalgae in BC cycling, and the degree to which greenhouse gases are released following disturbance of BC ecosystems. Scientists seek improved precision of the extent of BC ecosystems; techniques to determine BC provenance; understanding of the factors that influence sequestration in BC ecosystems, with the corresponding value of BC; and the management actions that are effective in enhancing this value. Overall this overview provides a comprehensive road map for the coming decades on future research in BC science.","author":[{"dropping-particle":"","family":"Macreadie","given":"Peter I.","non-dropping-particle":"","parse-names":false,"suffix":""},{"dropping-particle":"","family":"Anton","given":"Andrea","non-dropping-particle":"","parse-names":false,"suffix":""},{"dropping-particle":"","family":"Raven","given":"John A.","non-dropping-particle":"","parse-names":false,"suffix":""},{"dropping-particle":"","family":"Beaumont","given":"Nicola","non-dropping-particle":"","parse-names":false,"suffix":""},{"dropping-particle":"","family":"Connolly","given":"Rod M.","non-dropping-particle":"","parse-names":false,"suffix":""},{"dropping-particle":"","family":"Friess","given":"Daniel A.","non-dropping-particle":"","parse-names":false,"suffix":""},{"dropping-particle":"","family":"Kelleway","given":"Jeffrey J.","non-dropping-particle":"","parse-names":false,"suffix":""},{"dropping-particle":"","family":"Kennedy","given":"Hilary","non-dropping-particle":"","parse-names":false,"suffix":""},{"dropping-particle":"","family":"Kuwae","given":"Tomohiro","non-dropping-particle":"","parse-names":false,"suffix":""},{"dropping-particle":"","family":"Lavery","given":"Paul S.","non-dropping-particle":"","parse-names":false,"suffix":""},{"dropping-particle":"","family":"Lovelock","given":"Catherine E.","non-dropping-particle":"","parse-names":false,"suffix":""},{"dropping-particle":"","family":"Smale","given":"Dan A.","non-dropping-particle":"","parse-names":false,"suffix":""},{"dropping-particle":"","family":"Apostolaki","given":"Eugenia T.","non-dropping-particle":"","parse-names":false,"suffix":""},{"dropping-particle":"","family":"Atwood","given":"Trisha B.","non-dropping-particle":"","parse-names":false,"suffix":""},{"dropping-particle":"","family":"Baldock","given":"Jeff","non-dropping-particle":"","parse-names":false,"suffix":""},{"dropping-particle":"","family":"Bianchi","given":"Thomas S.","non-dropping-particle":"","parse-names":false,"suffix":""},{"dropping-particle":"","family":"Chmura","given":"Gail L.","non-dropping-particle":"","parse-names":false,"suffix":""},{"dropping-particle":"","family":"Eyre","given":"Bradley D.","non-dropping-particle":"","parse-names":false,"suffix":""},{"dropping-particle":"","family":"Fourqurean","given":"James W.","non-dropping-particle":"","parse-names":false,"suffix":""},{"dropping-particle":"","family":"Hall-Spencer","given":"Jason M.","non-dropping-particle":"","parse-names":false,"suffix":""},{"dropping-particle":"","family":"Huxham","given":"Mark","non-dropping-particle":"","parse-names":false,"suffix":""},{"dropping-particle":"","family":"Hendriks","given":"Iris E.","non-dropping-particle":"","parse-names":false,"suffix":""},{"dropping-particle":"","family":"Krause-Jensen","given":"Dorte","non-dropping-particle":"","parse-names":false,"suffix":""},{"dropping-particle":"","family":"Laffoley","given":"Dan","non-dropping-particle":"","parse-names":false,"suffix":""},{"dropping-particle":"","family":"Luisetti","given":"Tiziana","non-dropping-particle":"","parse-names":false,"suffix":""},{"dropping-particle":"","family":"Marbà","given":"Núria","non-dropping-particle":"","parse-names":false,"suffix":""},{"dropping-particle":"","family":"Masque","given":"Pere","non-dropping-particle":"","parse-names":false,"suffix":""},{"dropping-particle":"","family":"McGlathery","given":"Karen J.","non-dropping-particle":"","parse-names":false,"suffix":""},{"dropping-particle":"","family":"Megonigal","given":"J. Patrick","non-dropping-particle":"","parse-names":false,"suffix":""},{"dropping-particle":"","family":"Murdiyarso","given":"Daniel","non-dropping-particle":"","parse-names":false,"suffix":""},{"dropping-particle":"","family":"Russell","given":"Bayden D.","non-dropping-particle":"","parse-names":false,"suffix":""},{"dropping-particle":"","family":"Santos","given":"Rui","non-dropping-particle":"","parse-names":false,"suffix":""},{"dropping-particle":"","family":"Serrano","given":"Oscar","non-dropping-particle":"","parse-names":false,"suffix":""},{"dropping-particle":"","family":"Silliman","given":"Brian R.","non-dropping-particle":"","parse-names":false,"suffix":""},{"dropping-particle":"","family":"Watanabe","given":"Kenta","non-dropping-particle":"","parse-names":false,"suffix":""},{"dropping-particle":"","family":"Duarte","given":"Carlos M.","non-dropping-particle":"","parse-names":false,"suffix":""}],"container-title":"Nature Communications","id":"ITEM-1","issue":"1","issued":{"date-parts":[["2019"]]},"title":"The future of Blue Carbon science","type":"article-journal","volume":"10"},"uris":["http://www.mendeley.com/documents/?uuid=224fee77-5ae2-467a-957b-9f226c5539d6"]}],"mendeley":{"formattedCitation":"(Macreadie et al., 2019)","plainTextFormattedCitation":"(Macreadie et al., 2019)","previouslyFormattedCitation":"(Macreadie et al., 2019)"},"properties":{"noteIndex":0},"schema":"https://github.com/citation-style-language/schema/raw/master/csl-citation.json"}</w:instrText>
      </w:r>
      <w:r>
        <w:fldChar w:fldCharType="separate"/>
      </w:r>
      <w:r w:rsidRPr="00B610BE">
        <w:rPr>
          <w:noProof/>
        </w:rPr>
        <w:t>(Macreadie et al., 2019)</w:t>
      </w:r>
      <w:r>
        <w:fldChar w:fldCharType="end"/>
      </w:r>
      <w:r>
        <w:t xml:space="preserve"> and there is still uncertainty over regional and global mangrove response to predicted climate change. As a result, as well as other logistical issues, the long-term efficacy of mangrove conservation/restoration as a means to offset greenhouse gas emissions still carries considerable uncertainties.</w:t>
      </w:r>
      <w:r w:rsidRPr="00A06BA3">
        <w:rPr>
          <w:b/>
          <w:bCs/>
        </w:rPr>
        <w:t xml:space="preserve"> </w:t>
      </w:r>
      <w:r>
        <w:t xml:space="preserve">Thus, the future for mangrove science </w:t>
      </w:r>
      <w:r w:rsidRPr="007A1005">
        <w:t>is</w:t>
      </w:r>
      <w:r>
        <w:t xml:space="preserve"> two-fold: 1) future directions of research to reduce uncertainties in current data from both regional and global perspectives and to aid predictions of the effects of climate change to mangrove habitats; and 2) the practical side of using these data to calculate emissions reductions in conservation/restoration efforts and to assess their efficacy.</w:t>
      </w:r>
    </w:p>
    <w:p w14:paraId="71B5FC7C" w14:textId="77777777" w:rsidR="00AC29ED" w:rsidRDefault="00AC29ED" w:rsidP="00AC29ED">
      <w:pPr>
        <w:spacing w:line="480" w:lineRule="auto"/>
      </w:pPr>
    </w:p>
    <w:p w14:paraId="6DA41123" w14:textId="76BECC71" w:rsidR="00AC29ED" w:rsidRDefault="00AC29ED" w:rsidP="00AC29ED">
      <w:pPr>
        <w:spacing w:line="480" w:lineRule="auto"/>
      </w:pPr>
      <w:r>
        <w:t xml:space="preserve">From a regional perspective, there is still a lack of </w:t>
      </w:r>
      <w:r w:rsidRPr="008F1F88">
        <w:rPr>
          <w:i/>
          <w:iCs/>
        </w:rPr>
        <w:t>in situ</w:t>
      </w:r>
      <w:r>
        <w:t xml:space="preserve"> long term experimental data investigating resilience and response to climate change in mangroves. For example, research has shown mangroves are resilient to a degree of sea level rise </w:t>
      </w:r>
      <w:r>
        <w:fldChar w:fldCharType="begin" w:fldLock="1"/>
      </w:r>
      <w:r>
        <w:instrText>ADDIN CSL_CITATION {"citationItems":[{"id":"ITEM-1","itemData":{"DOI":"10.1111/j.1466-8238.2007.00317.x","ISSN":"1466822X","abstract":"Aim: The long-term stability of coastal ecosystems such as mangroves and salt marshes depends upon the maintenance of soil elevations within the intertidal habitat as sea level changes. We examined the rates and processes of peat formation by mangroves of the Caribbean Region to better understand biological controls on habitat stability. Location: Mangrove-dominated islands on the Caribbean coasts of Belize, Honduras and Panama were selected as study sites. Methods: Biological processes controlling mangrove peat formation were manipulated (in Belize) by the addition of nutrients (nitrogen or phosphorus) to Rhizophora mangle (red mangrove), and the effects on the dynamics of soil elevation were determined over a 3-year period using rod surface elevation tables (RSET) and marker horizons. Peat composition and geological accretion rates were determined at all sites using radiocarbon-dated cores. Results: The addition of nutrients to mangroves caused significant changes in rates of mangrove root accumulation, which influenced both the rate and direction of change in elevation. Areas with low root input lost elevation and those with high rates gained elevation. These findings were consistent with peat analyses at multiple Caribbean sites showing that deposits (up to 10 m in depth) were composed primarily of mangrove root matter. Comparison of radiocarbon-dated cores at the study sites with a sea-level curve for the western Atlantic indicated a tight coupling between peat building in Caribbean mangroves and sea-level rise over the Holocene. Main conclusions: Mangroves common to the Caribbean region have adjusted to changing sea level mainly through subsurface accumulation of refractory mangrove roots. Without root and other organic inputs, submergence of these tidal forests is inevitable due to peat decomposition, physical compaction and eustatic sea-level rise. These findings have relevance for predicting the effects of sea-level rise and biophysical processes on tropical mangrove ecosystems. © 2007 The AuthorsJournal compilation © 2007 Blackwell Publishing Ltd.","author":[{"dropping-particle":"","family":"McKee","given":"Karen L.","non-dropping-particle":"","parse-names":false,"suffix":""},{"dropping-particle":"","family":"Cahoon","given":"Donald R.","non-dropping-particle":"","parse-names":false,"suffix":""},{"dropping-particle":"","family":"Feller","given":"Ilka C.","non-dropping-particle":"","parse-names":false,"suffix":""}],"container-title":"Global Ecology and Biogeography","id":"ITEM-1","issue":"5","issued":{"date-parts":[["2007"]]},"page":"545-556","title":"Caribbean mangroves adjust to rising sea level through biotic controls on change in soil elevation","type":"article-journal","volume":"16"},"uris":["http://www.mendeley.com/documents/?uuid=7562476d-5b53-4775-956f-205d4ce65347"]},{"id":"ITEM-2","itemData":{"DOI":"10.1006/ecss.1993.1042","ISSN":"02727714","abstract":"Low island mangroves keep up with slow sea-level rise by peat accumulation. Holocene stratigraphic records show that they maintain the same pace as sea-level rise at rates up to 9 cm/100 years. Tide gauge records from Bermuda since 1932 show sea-level rise at a rate of 28 cm/100 years. The largest mangrove area (6·26 acres) at Hungry Bay has for the last 2000 years been building peat at a rate of 8·5 to 10·6 cm/100 years. Retreat of the seaward edge has caused loss of 2·24 acres of mangroves, commencing in the last few hundred years, with a second dieback between 1900 and 1947, and a third dieback in the last decade. The substrate elevation of the seaward margin of mangroves is below mean sea-level, the normal lower limit for mangroves. Present dieback shows problems of erosion indicating that the Bruun Rule of beach erosion with sea-level rise is also appropriate for mangrove swamps. Stratigraphy shows that before 4000 BP sea-level rose at a rate of 25 cm/100 years, from 4000 to 1000 years BP the rate of sea-level rise declined to 6 cm/100 years during which time mangroves established, and in the last 1000 years there was an increase to 14·3 cm/100 years, during which time the mangroves died back. This study indicates that low island mangroves will experience problems with the rates of sea-level rise predicted for the next 50 years. © 1993 Academic Press. All rights reserved.","author":[{"dropping-particle":"","family":"Ellison","given":"Joanna C.","non-dropping-particle":"","parse-names":false,"suffix":""}],"container-title":"Estuarine, Coastal and Shelf Science","id":"ITEM-2","issue":"1","issued":{"date-parts":[["1993"]]},"page":"75-87","title":"Mangrove Retreat with Rising Sea-level, Bermuda","type":"article-journal","volume":"37"},"uris":["http://www.mendeley.com/documents/?uuid=cc129fda-4e4c-4eb1-bdd9-a783bcf45fa5"]}],"mendeley":{"formattedCitation":"(Ellison, 1993; McKee et al., 2007)","plainTextFormattedCitation":"(Ellison, 1993; McKee et al., 2007)","previouslyFormattedCitation":"(Ellison, 1993; McKee et al., 2007)"},"properties":{"noteIndex":0},"schema":"https://github.com/citation-style-language/schema/raw/master/csl-citation.json"}</w:instrText>
      </w:r>
      <w:r>
        <w:fldChar w:fldCharType="separate"/>
      </w:r>
      <w:r w:rsidRPr="00241261">
        <w:rPr>
          <w:noProof/>
        </w:rPr>
        <w:t xml:space="preserve">(Ellison, 1993; McKee et al., </w:t>
      </w:r>
      <w:r w:rsidRPr="00241261">
        <w:rPr>
          <w:noProof/>
        </w:rPr>
        <w:lastRenderedPageBreak/>
        <w:t>2007)</w:t>
      </w:r>
      <w:r>
        <w:fldChar w:fldCharType="end"/>
      </w:r>
      <w:r>
        <w:t xml:space="preserve">, </w:t>
      </w:r>
      <w:r w:rsidRPr="000D1E46">
        <w:t xml:space="preserve">however, little </w:t>
      </w:r>
      <w:r w:rsidRPr="008F1F88">
        <w:rPr>
          <w:i/>
          <w:iCs/>
        </w:rPr>
        <w:t>in situ</w:t>
      </w:r>
      <w:r w:rsidRPr="000D1E46">
        <w:t xml:space="preserve"> experimental work has been carried out on </w:t>
      </w:r>
      <w:r>
        <w:t xml:space="preserve">effects of </w:t>
      </w:r>
      <w:r w:rsidRPr="000D1E46">
        <w:t>changes to precipitation and temperature regimes over long time-horizons</w:t>
      </w:r>
      <w:r>
        <w:t xml:space="preserve"> and it is still unclear under what range of changes in climate mangroves can persist</w:t>
      </w:r>
      <w:r w:rsidRPr="000D1E46">
        <w:t>.</w:t>
      </w:r>
      <w:r>
        <w:t xml:space="preserve"> Recent work has suggested that millennial-scale shifts in sea level had a weaker effect on mangrove proliferation than changes to air temperature </w:t>
      </w:r>
      <w:r>
        <w:fldChar w:fldCharType="begin" w:fldLock="1"/>
      </w:r>
      <w:r>
        <w:instrText xml:space="preserve">ADDIN CSL_CITATION {"citationItems":[{"id":"ITEM-1","itemData":{"DOI":"10.3389/feart.2021.678189","ISSN":"22966463","abstract":"Mangroves, a blue carbon ecosystem between land and ocean in the (sub)tropics, are sensitive to changes in climate and the sea level. It is imperative to reconstruct the historical dynamics of their development to predict the fate of mangrove ecosystems in the backdrop of rapid global changes. This study analyzes records of the sources of organic matter from sediment core Q43 of Qinzhou Bay in tropical China by using the endmember mixing model based on stable organic carbon isotopes and C/N ratio. Mangrove-derived organic matter (MOM) is regarded as a reliable indicator for reconstructing the historical development of mangroves. The variations in MOM in Qinzhou Bay over the past </w:instrText>
      </w:r>
      <w:r>
        <w:rPr>
          <w:rFonts w:ascii="Cambria Math" w:hAnsi="Cambria Math" w:cs="Cambria Math"/>
        </w:rPr>
        <w:instrText>∼</w:instrText>
      </w:r>
      <w:r>
        <w:instrText xml:space="preserve">3,000 cal yr BP indicate that mangrove forests underwent two periods of flourishment: </w:instrText>
      </w:r>
      <w:r>
        <w:rPr>
          <w:rFonts w:ascii="Cambria Math" w:hAnsi="Cambria Math" w:cs="Cambria Math"/>
        </w:rPr>
        <w:instrText>∼</w:instrText>
      </w:r>
      <w:r>
        <w:instrText xml:space="preserve">2,200–1,750 cal yr BP and </w:instrText>
      </w:r>
      <w:r>
        <w:rPr>
          <w:rFonts w:ascii="Cambria Math" w:hAnsi="Cambria Math" w:cs="Cambria Math"/>
        </w:rPr>
        <w:instrText>∼</w:instrText>
      </w:r>
      <w:r>
        <w:instrText xml:space="preserve">1,370–600 cal yr BP, as well as three periods of deterioration: </w:instrText>
      </w:r>
      <w:r>
        <w:rPr>
          <w:rFonts w:ascii="Cambria Math" w:hAnsi="Cambria Math" w:cs="Cambria Math"/>
        </w:rPr>
        <w:instrText>∼</w:instrText>
      </w:r>
      <w:r>
        <w:instrText xml:space="preserve">3,000–2,200 cal yr BP, </w:instrText>
      </w:r>
      <w:r>
        <w:rPr>
          <w:rFonts w:ascii="Cambria Math" w:hAnsi="Cambria Math" w:cs="Cambria Math"/>
        </w:rPr>
        <w:instrText>∼</w:instrText>
      </w:r>
      <w:r>
        <w:instrText xml:space="preserve">1,750–1,370 cal yr BP, and </w:instrText>
      </w:r>
      <w:r>
        <w:rPr>
          <w:rFonts w:ascii="Cambria Math" w:hAnsi="Cambria Math" w:cs="Cambria Math"/>
        </w:rPr>
        <w:instrText>∼</w:instrText>
      </w:r>
      <w:r>
        <w:instrText>600–0 cal yr BP. Of factors that might have been influential, changes in the relative sea level and the regional hydrological environment (e.g., seawater temperature, salinity, and hydrodynamic conditions) did not appear to have notable effects on mangrove flourishing/degradation. However, climate change, especially the variation in air temperature, formed the primary factor controlling mangrove development. The stages of mangrove flourishing/deterioration corresponded to the warm/cold periods of the climate, respectively. Noteworthy is that the rapid rise in air temperature during the Anthropocene warm period should have promoted mangrove development, but the increasing intensity of human activity has reversed this tendency leading to the degradation of mangroves.","author":[{"dropping-particle":"","family":"Zhang","given":"Yao","non-dropping-particle":"","parse-names":false,"suffix":""},{"dropping-particle":"","family":"Meng","given":"Xianwei","non-dropping-particle":"","parse-names":false,"suffix":""},{"dropping-particle":"","family":"Xia","given":"Peng","non-dropping-particle":"","parse-names":false,"suffix":""},{"dropping-particle":"","family":"Li","given":"Zhen","non-dropping-particle":"","parse-names":false,"suffix":""}],"container-title":"Frontiers in Earth Science","id":"ITEM-1","issued":{"date-parts":[["2021"]]},"title":"Response of Mangrove Development to Air Temperature Variation Over the Past 3000 Years in Qinzhou Bay, Tropical China","type":"article-journal","volume":"9"},"uris":["http://www.mendeley.com/documents/?uuid=f9956e50-c1b9-4182-be1c-e801ffe83f5f"]}],"mendeley":{"formattedCitation":"(Zhang et al., 2021)","plainTextFormattedCitation":"(Zhang et al., 2021)","previouslyFormattedCitation":"(Zhang et al., 2021)"},"properties":{"noteIndex":0},"schema":"https://github.com/citation-style-language/schema/raw/master/csl-citation.json"}</w:instrText>
      </w:r>
      <w:r>
        <w:fldChar w:fldCharType="separate"/>
      </w:r>
      <w:r w:rsidRPr="00DA3A32">
        <w:rPr>
          <w:noProof/>
        </w:rPr>
        <w:t>(Zhang et al., 2021)</w:t>
      </w:r>
      <w:r>
        <w:fldChar w:fldCharType="end"/>
      </w:r>
      <w:r>
        <w:t xml:space="preserve">. As shown by the current study (chapter 5) high air temperatures, previously thought to have minimal impact on mangrove carbon stocks, may result in lower mangrove carbon stocks in some regions. In addition, large uncertainties still remain in mangrove research in response to climate change on a global scale. Studies have looked at differing climate change variables in isolation </w:t>
      </w:r>
      <w:r>
        <w:fldChar w:fldCharType="begin" w:fldLock="1"/>
      </w:r>
      <w:r w:rsidR="008A48C6">
        <w:instrText>ADDIN CSL_CITATION {"citationItems":[{"id":"ITEM-1","itemData":{"DOI":"10.1126/science.aba2656","ISSN":"10959203","PMID":"32499441","abstract":"The response of mangroves to high rates of relative sea level rise (RSLR) is poorly understood. We explore the limits of mangrove vertical accretion to sustained periods of RSLR in the final stages of deglaciation. The timing of initiation and rate of mangrove vertical accretion were compared with independently modeled rates of RSLR for 78 locations. Mangrove forests expanded between 9800 and 7500 years ago, vertically accreting thick sequences of organic sediments at a rate principally driven by the rate of RSLR, representing an important carbon sink. We found it very likely (&gt;90% probability) that mangroves were unable to initiate sustained accretion when RSLR rates exceeded 6.1 millimeters per year. This threshold is likely to be surpassed on tropical coastlines within 30 years under high-emissions scenarios.","author":[{"dropping-particle":"","family":"Saintilan","given":"N.","non-dropping-particle":"","parse-names":false,"suffix":""},{"dropping-particle":"","family":"Khan","given":"N. S.","non-dropping-particle":"","parse-names":false,"suffix":""},{"dropping-particle":"","family":"Ashe","given":"E.","non-dropping-particle":"","parse-names":false,"suffix":""},{"dropping-particle":"","family":"Kelleway","given":"J. J.","non-dropping-particle":"","parse-names":false,"suffix":""},{"dropping-particle":"","family":"Rogers","given":"K.","non-dropping-particle":"","parse-names":false,"suffix":""},{"dropping-particle":"","family":"Woodroffe","given":"C. D.","non-dropping-particle":"","parse-names":false,"suffix":""},{"dropping-particle":"","family":"Horton","given":"B. P.","non-dropping-particle":"","parse-names":false,"suffix":""}],"container-title":"Science","id":"ITEM-1","issue":"6495","issued":{"date-parts":[["2020"]]},"page":"1118-1121","title":"Thresholds of mangrove survival under rapid sea level rise","type":"article-journal","volume":"368"},"uris":["http://www.mendeley.com/documents/?uuid=b0777105-0c75-452c-8f44-c8fa99b1b712"]},{"id":"ITEM-2","itemData":{"DOI":"10.1038/nature15538","ISSN":"14764687","PMID":"26466567","abstract":"Sea-level rise can threaten the long-term sustainability of coastal communities and valuable ecosystems such as coral reefs, salt marshes and mangroves. Mangrove forests have the capacity to keep pace with sea-level rise and to avoid inundation through vertical accretion of sediments, which allows them to maintain wetland soil elevations suitable for plant growth. The Indo-Pacific region holds most of the world's mangrove forests, but sediment delivery in this region is declining, owing to anthropogenic activities such as damming of rivers. This decline is of particular concern because the Indo-Pacific region is expected to have variable, but high, rates of future sea-level rise. Here we analyse recent trends in mangrove surface elevation changes across the Indo-Pacific region using data from a network of surface elevation table instruments. We find that sediment availability can enable mangrove forests to maintain rates of soil-surface elevation gain that match or exceed that of sea-level rise, but for 69 per cent of our study sites the current rate of sea-level rise exceeded the soil surface elevation gain. We also present a model based on our field data, which suggests that mangrove forests at sites with low tidal range and low sediment supply could be submerged as early as 2070.","author":[{"dropping-particle":"","family":"Lovelock","given":"Catherine E.","non-dropping-particle":"","parse-names":false,"suffix":""},{"dropping-particle":"","family":"Cahoon","given":"Donald R.","non-dropping-particle":"","parse-names":false,"suffix":""},{"dropping-particle":"","family":"Friess","given":"Daniel A.","non-dropping-particle":"","parse-names":false,"suffix":""},{"dropping-particle":"","family":"Guntenspergen","given":"Glenn R.","non-dropping-particle":"","parse-names":false,"suffix":""},{"dropping-particle":"","family":"Krauss","given":"Ken W.","non-dropping-particle":"","parse-names":false,"suffix":""},{"dropping-particle":"","family":"Reef","given":"Ruth","non-dropping-particle":"","parse-names":false,"suffix":""},{"dropping-particle":"","family":"Rogers","given":"Kerrylee","non-dropping-particle":"","parse-names":false,"suffix":""},{"dropping-particle":"","family":"Saunders","given":"Megan L.","non-dropping-particle":"","parse-names":false,"suffix":""},{"dropping-particle":"","family":"Sidik","given":"Frida","non-dropping-particle":"","parse-names":false,"suffix":""},{"dropping-particle":"","family":"Swales","given":"Andrew","non-dropping-particle":"","parse-names":false,"suffix":""},{"dropping-particle":"","family":"Saintilan","given":"Neil","non-dropping-particle":"","parse-names":false,"suffix":""},{"dropping-particle":"","family":"Thuyen","given":"Le Xuan","non-dropping-particle":"","parse-names":false,"suffix":""},{"dropping-particle":"","family":"Triet","given":"Tran","non-dropping-particle":"","parse-names":false,"suffix":""}],"container-title":"Nature","id":"ITEM-2","issue":"7574","issued":{"date-parts":[["2015"]]},"page":"559-563","title":"The vulnerability of Indo-Pacific mangrove forests to sea-level rise","type":"article-journal","volume":"526"},"uris":["http://www.mendeley.com/documents/?uuid=c067cc4c-b704-47e4-8924-b4e640d690d3"]},{"id":"ITEM-3","itemData":{"DOI":"10.1016/j.oneear.2020.07.010","ISSN":"25903322","abstract":"Blue carbon provides opportunities to mitigate climate change while increasing ecosystem services for coastal communities, including climate change adaptation; however, blue carbon ecosystems are vulnerable to climate change, leading to uncertainties in the future efficacy of these ecosystems. In this review, we assess the potential impacts of climate change on blue carbon. Despite uncertainties, carbon sequestration in coastal ecosystems is enhanced by landward migration of blue carbon habitats, maintenance of sediment supply, restoration, and improved water quality. As an example, landward migration of mangroves could result in carbon sequestration of 1.5 Pg by 2100. Mudflats, seaweed beds, and coastal swamp forests could also contribute to climate change mitigation, although there are large data gaps. Achieving the full potential of blue carbon requires protection and restoration of ecosystems and facilitation of changes in ecosystem dis- tributions with climate change, actions that will also deliver adaptation benefits. Conversely, in the worst- case coastal squeeze scenario, losses of 3.4 Pg of sequestered carbon by 2100 could occur.","author":[{"dropping-particle":"","family":"Lovelock","given":"Catherine E.","non-dropping-particle":"","parse-names":false,"suffix":""},{"dropping-particle":"","family":"Reef","given":"Ruth","non-dropping-particle":"","parse-names":false,"suffix":""}],"container-title":"One Earth","id":"ITEM-3","issue":"2","issued":{"date-parts":[["2020"]]},"page":"195-211","title":"Variable Impacts of Climate Change on Blue Carbon","type":"article-journal","volume":"3"},"uris":["http://www.mendeley.com/documents/?uuid=9197c631-f9b8-4e86-b5fa-923eba689607"]},{"id":"ITEM-4","itemData":{"DOI":"10.3389/fmars.2022.781876","author":[{"dropping-particle":"","family":"Chatting","given":"M","non-dropping-particle":"","parse-names":false,"suffix":""},{"dropping-particle":"","family":"Al-Maslamani","given":"I","non-dropping-particle":"","parse-names":false,"suffix":""},{"dropping-particle":"","family":"Walton","given":"M","non-dropping-particle":"","parse-names":false,"suffix":""},{"dropping-particle":"","family":"Skov","given":"MW","non-dropping-particle":"","parse-names":false,"suffix":""},{"dropping-particle":"","family":"Kennedy","given":"H","non-dropping-particle":"","parse-names":false,"suffix":""},{"dropping-particle":"","family":"Husrevoglu","given":"YS","non-dropping-particle":"","parse-names":false,"suffix":""},{"dropping-particle":"","family":"LeVay","given":"L","non-dropping-particle":"","parse-names":false,"suffix":""}],"container-title":"Frontiers in Marine Science","id":"ITEM-4","issued":{"date-parts":[["2022"]]},"page":"781876","title":"Future mangrove carbon storage under climate change and deforestation","type":"article-journal","volume":"9"},"uris":["http://www.mendeley.com/documents/?uuid=67e76fff-b01e-443c-8c5e-f31ef407f598"]}],"mendeley":{"formattedCitation":"(Chatting et al., 2022; Lovelock et al., 2015a; Lovelock and Reef, 2020; Saintilan et al., 2020)","plainTextFormattedCitation":"(Chatting et al., 2022; Lovelock et al., 2015a; Lovelock and Reef, 2020; Saintilan et al., 2020)","previouslyFormattedCitation":"(Chatting et al., 2022; Lovelock et al., 2015a; Lovelock and Reef, 2020; Saintilan et al., 2020)"},"properties":{"noteIndex":0},"schema":"https://github.com/citation-style-language/schema/raw/master/csl-citation.json"}</w:instrText>
      </w:r>
      <w:r>
        <w:fldChar w:fldCharType="separate"/>
      </w:r>
      <w:r w:rsidR="008A48C6" w:rsidRPr="008A48C6">
        <w:rPr>
          <w:noProof/>
        </w:rPr>
        <w:t>(Chatting et al., 2022; Lovelock et al., 2015a; Lovelock and Reef, 2020; Saintilan et al., 2020)</w:t>
      </w:r>
      <w:r>
        <w:fldChar w:fldCharType="end"/>
      </w:r>
      <w:r>
        <w:t>. However, understanding of the net effect of climate change impacts, such as temperature, precipitation, sea level rise, coastal squeeze, is still lacking. Moreover, the modelling work in this thesis in particular would have benefited from e</w:t>
      </w:r>
      <w:r w:rsidRPr="00C921C2">
        <w:t>stimate</w:t>
      </w:r>
      <w:r>
        <w:t>s</w:t>
      </w:r>
      <w:r w:rsidRPr="00C921C2">
        <w:t xml:space="preserve"> </w:t>
      </w:r>
      <w:r>
        <w:t xml:space="preserve">of global mangrove </w:t>
      </w:r>
      <w:r w:rsidRPr="00C921C2">
        <w:t xml:space="preserve">coverage change </w:t>
      </w:r>
      <w:r>
        <w:t>in the 21</w:t>
      </w:r>
      <w:r w:rsidRPr="00C10193">
        <w:rPr>
          <w:vertAlign w:val="superscript"/>
        </w:rPr>
        <w:t>st</w:t>
      </w:r>
      <w:r>
        <w:t xml:space="preserve"> century in response to climate change</w:t>
      </w:r>
      <w:r w:rsidRPr="00C921C2">
        <w:t xml:space="preserve">. </w:t>
      </w:r>
      <w:r>
        <w:t>Questions such as “w</w:t>
      </w:r>
      <w:r w:rsidRPr="00C921C2">
        <w:t>here will expansion</w:t>
      </w:r>
      <w:r>
        <w:t xml:space="preserve"> or </w:t>
      </w:r>
      <w:r w:rsidRPr="00C921C2">
        <w:t>contraction of mangroves occur globally</w:t>
      </w:r>
      <w:r>
        <w:t xml:space="preserve">?” have been investigated at local levels </w:t>
      </w:r>
      <w:r>
        <w:fldChar w:fldCharType="begin" w:fldLock="1"/>
      </w:r>
      <w:r w:rsidR="008A48C6">
        <w:instrText>ADDIN CSL_CITATION {"citationItems":[{"id":"ITEM-1","itemData":{"DOI":"10.1111/ddi.13119","author":[{"dropping-particle":"","family":"Osland","given":"MJ","non-dropping-particle":"","parse-names":false,"suffix":""},{"dropping-particle":"","family":"Day","given":"RH","non-dropping-particle":"","parse-names":false,"suffix":""},{"dropping-particle":"","family":"Michot","given":"TC","non-dropping-particle":"","parse-names":false,"suffix":""}],"container-title":"Biodiversity Research","id":"ITEM-1","issued":{"date-parts":[["2020"]]},"page":"1366-1382","title":"Frequency of extreme freeze events controls the distribution and structure of black mangroves (Avicennia germinans) near their northern range limit in coastal Louisiana","type":"article-journal","volume":"26"},"uris":["http://www.mendeley.com/documents/?uuid=43b042a7-5e61-4223-b9c1-46210c53a14c"]}],"mendeley":{"formattedCitation":"(Osland et al., 2020)","plainTextFormattedCitation":"(Osland et al., 2020)","previouslyFormattedCitation":"(Osland et al., 2020)"},"properties":{"noteIndex":0},"schema":"https://github.com/citation-style-language/schema/raw/master/csl-citation.json"}</w:instrText>
      </w:r>
      <w:r>
        <w:fldChar w:fldCharType="separate"/>
      </w:r>
      <w:r w:rsidRPr="001B1D37">
        <w:rPr>
          <w:noProof/>
        </w:rPr>
        <w:t>(Osland et al., 2020)</w:t>
      </w:r>
      <w:r>
        <w:fldChar w:fldCharType="end"/>
      </w:r>
      <w:r>
        <w:t xml:space="preserve">, but are still to receive much attention globally. Mangrove expansion into saltmarsh areas has been reported </w:t>
      </w:r>
      <w:r>
        <w:fldChar w:fldCharType="begin" w:fldLock="1"/>
      </w:r>
      <w:r>
        <w:instrText>ADDIN CSL_CITATION {"citationItems":[{"id":"ITEM-1","itemData":{"DOI":"10.1002/ecm.1248","ISSN":"15577015","abstract":"Mangrove forests are highly productive tidal saline wetland ecosystems found along sheltered tropical and subtropical coasts. Ecologists have long assumed that climatic drivers (i.e., temperature and rainfall regimes) govern the global distribution, structure, and function of mangrove forests. However, data constraints have hindered the quantification of direct climate–mangrove linkages in many parts of the world. Recently, the quality and availability of global-scale climate and mangrove data have been improving. Here, we used these data to better understand the influence of air temperature and rainfall regimes upon the distribution, abundance, and species richness of mangrove forests. Although our analyses identify global-scale relationships and thresholds, we show that the influence of climatic drivers is best characterized via regional range-limit-specific analyses. We quantified climatic controls across targeted gradients in temperature and/or rainfall within 14 mangrove distributional range limits. Climatic thresholds for mangrove presence, abundance, and species richness differed among the 14 studied range limits. We identified minimum temperature-based thresholds for range limits in eastern North America, eastern Australia, New Zealand, eastern Asia, eastern South America, and southeast Africa. We identified rainfall-based thresholds for range limits in western North America, western Gulf of Mexico, western South America, western Australia, Middle East, northwest Africa, east central Africa, and west-central Africa. Our results show that in certain range limits (e.g., eastern North America, western Gulf of Mexico, eastern Asia), winter air temperature extremes play an especially important role. We conclude that rainfall and temperature regimes are both important in western North America, western Gulf of Mexico, and western Australia. With climate change, alterations in temperature and rainfall regimes will affect the global distribution, abundance, and diversity of mangrove forests. In general, warmer winter temperatures are expected to allow mangroves to expand poleward at the expense of salt marshes. However, dispersal and habitat availability constraints may hinder expansion near certain range limits. Along arid and semiarid coasts, decreases or increases in rainfall are expected to lead to mangrove contraction or expansion, respectively. Collectively, our analyses quantify climate–mangrove linkages and improve our understanding of the expect…","author":[{"dropping-particle":"","family":"Osland","given":"Michael J.","non-dropping-particle":"","parse-names":false,"suffix":""},{"dropping-particle":"","family":"Feher","given":"Laura C.","non-dropping-particle":"","parse-names":false,"suffix":""},{"dropping-particle":"","family":"Griffith","given":"Kereen T.","non-dropping-particle":"","parse-names":false,"suffix":""},{"dropping-particle":"","family":"Cavanaugh","given":"Kyle C.","non-dropping-particle":"","parse-names":false,"suffix":""},{"dropping-particle":"","family":"Enwright","given":"Nicholas M.","non-dropping-particle":"","parse-names":false,"suffix":""},{"dropping-particle":"","family":"Day","given":"Richard H.","non-dropping-particle":"","parse-names":false,"suffix":""},{"dropping-particle":"","family":"Stagg","given":"Camille L.","non-dropping-particle":"","parse-names":false,"suffix":""},{"dropping-particle":"","family":"Krauss","given":"Ken W.","non-dropping-particle":"","parse-names":false,"suffix":""},{"dropping-particle":"","family":"Howard","given":"Rebecca J.","non-dropping-particle":"","parse-names":false,"suffix":""},{"dropping-particle":"","family":"Grace","given":"James B.","non-dropping-particle":"","parse-names":false,"suffix":""},{"dropping-particle":"","family":"Rogers","given":"Kerrylee","non-dropping-particle":"","parse-names":false,"suffix":""}],"container-title":"Ecological Monographs","id":"ITEM-1","issue":"2","issued":{"date-parts":[["2017"]]},"page":"341-359","title":"Climatic controls on the global distribution, abundance, and species richness of mangrove forests","type":"article-journal","volume":"87"},"uris":["http://www.mendeley.com/documents/?uuid=550b02d8-1b48-4bbc-8d4f-87ef91a23f84"]}],"mendeley":{"formattedCitation":"(Osland et al., 2017)","plainTextFormattedCitation":"(Osland et al., 2017)","previouslyFormattedCitation":"(Osland et al., 2017)"},"properties":{"noteIndex":0},"schema":"https://github.com/citation-style-language/schema/raw/master/csl-citation.json"}</w:instrText>
      </w:r>
      <w:r>
        <w:fldChar w:fldCharType="separate"/>
      </w:r>
      <w:r w:rsidRPr="00DA271C">
        <w:rPr>
          <w:noProof/>
        </w:rPr>
        <w:t>(Osland et al., 2017)</w:t>
      </w:r>
      <w:r>
        <w:fldChar w:fldCharType="end"/>
      </w:r>
      <w:r>
        <w:t xml:space="preserve"> and is forecasted to become more common this century </w:t>
      </w:r>
      <w:r>
        <w:fldChar w:fldCharType="begin" w:fldLock="1"/>
      </w:r>
      <w:r>
        <w:instrText>ADDIN CSL_CITATION {"citationItems":[{"id":"ITEM-1","itemData":{"DOI":"10.1111/gcb.12341","ISBN":"1354-1013","ISSN":"13541013","PMID":"23907934","abstract":"Mangroves are species of halophytic intertidal trees and shrubs derived from tropical genera and are likely delimited in latitudinal range by varying sensitivity to cold. There is now sufficient evidence that mangrove species have proliferated at or near their poleward limits on at least five continents over the past half century, at the expense of salt marsh. Avicennia is the most cold-tolerant genus worldwide, and is the subject of most of the observed changes. Avicennia germinans has extended in range along the USA Atlantic coast and expanded into salt marsh as a consequence of lower frost frequency and intensity in the southern USA. The genus has also expanded into salt marsh at its southern limit in Peru, and on the Pacific coast of Mexico. Mangroves of several species have expanded in extent and replaced salt marsh where protected within mangrove reserves in Guangdong Province, China. In south-eastern Australia, the expansion of Avicennia marina into salt marshes is now well documented, and Rhizophora stylosa has extended its range southward, while showing strong population growth within estuaries along its southern limits in northern New South Wales. Avicennia marina has extended its range southwards in South Africa. The changes are consistent with the poleward extension of temperature thresholds coincident with sea-level rise, although the specific mechanism of range extension might be complicated by limitations on dispersal or other factors. The shift from salt marsh to mangrove dominance on subtropical and temperate shorelines has important implications for ecological structure, function, and global change adaptation.","author":[{"dropping-particle":"","family":"Saintilan","given":"Neil","non-dropping-particle":"","parse-names":false,"suffix":""},{"dropping-particle":"","family":"Wilson","given":"Nicholas C.","non-dropping-particle":"","parse-names":false,"suffix":""},{"dropping-particle":"","family":"Rogers","given":"Kerrylee","non-dropping-particle":"","parse-names":false,"suffix":""},{"dropping-particle":"","family":"Rajkaran","given":"Anusha","non-dropping-particle":"","parse-names":false,"suffix":""},{"dropping-particle":"","family":"Krauss","given":"Ken W.","non-dropping-particle":"","parse-names":false,"suffix":""}],"container-title":"Global Change Biology","id":"ITEM-1","issue":"1","issued":{"date-parts":[["2014"]]},"page":"147-157","title":"Mangrove expansion and salt marsh decline at mangrove poleward limits","type":"article-journal","volume":"20"},"uris":["http://www.mendeley.com/documents/?uuid=77fc4f27-ec75-3c0f-b64e-363a965f95c1"]}],"mendeley":{"formattedCitation":"(Saintilan et al., 2014)","plainTextFormattedCitation":"(Saintilan et al., 2014)","previouslyFormattedCitation":"(Saintilan et al., 2014)"},"properties":{"noteIndex":0},"schema":"https://github.com/citation-style-language/schema/raw/master/csl-citation.json"}</w:instrText>
      </w:r>
      <w:r>
        <w:fldChar w:fldCharType="separate"/>
      </w:r>
      <w:r w:rsidRPr="00DA271C">
        <w:rPr>
          <w:noProof/>
        </w:rPr>
        <w:t>(Saintilan et al., 2014)</w:t>
      </w:r>
      <w:r>
        <w:fldChar w:fldCharType="end"/>
      </w:r>
      <w:r>
        <w:t>. Additional research could overlay global climate projections used in the current study onto a global mask of mangroves and saltmarshes. A combination of these data could be used to estimate where mangroves and saltmarshes meet and which of these areas future climate conditions would better suit mangroves or saltmarshes.</w:t>
      </w:r>
    </w:p>
    <w:p w14:paraId="4A3261BA" w14:textId="77777777" w:rsidR="00AC29ED" w:rsidRDefault="00AC29ED" w:rsidP="00AC29ED">
      <w:pPr>
        <w:spacing w:line="480" w:lineRule="auto"/>
      </w:pPr>
    </w:p>
    <w:p w14:paraId="51CC0979" w14:textId="77777777" w:rsidR="001947B9" w:rsidRDefault="00AC29ED" w:rsidP="00344027">
      <w:pPr>
        <w:spacing w:line="480" w:lineRule="auto"/>
        <w:sectPr w:rsidR="001947B9" w:rsidSect="00392131">
          <w:pgSz w:w="12240" w:h="15840"/>
          <w:pgMar w:top="1440" w:right="1440" w:bottom="1440" w:left="1440" w:header="720" w:footer="720" w:gutter="0"/>
          <w:cols w:space="720"/>
          <w:docGrid w:linePitch="326"/>
        </w:sectPr>
      </w:pPr>
      <w:r>
        <w:lastRenderedPageBreak/>
        <w:t xml:space="preserve">Even though mangrove research has received much scientific attention in recent years, the majority of work is still centred around quantifying carbon stocks and productivity rates in various locations around the world. These data are important to continually update global datasets of spatially and temporally variable carbon stocks and productivity rates and increase the amount of ground-truth data used to train global models. However, there is a need to move on from solely quantifying mangrove functioning and integrate knowledge gained from these data into management plans identifying opportunities for protection and restoration of mangrove habitats. Moreover, as the potential for mangroves, and wider coastal vegetated wetland habitats, to contribute to climate change mitigation has been identified and mangrove conservation is starting to be used as an emissions offsetting tool, the long-term efficacy of these initiatives is still not well understood. </w:t>
      </w:r>
    </w:p>
    <w:p w14:paraId="1B944A9D" w14:textId="77777777" w:rsidR="001947B9" w:rsidRDefault="001947B9" w:rsidP="00344027">
      <w:pPr>
        <w:spacing w:line="480" w:lineRule="auto"/>
        <w:sectPr w:rsidR="001947B9" w:rsidSect="00392131">
          <w:pgSz w:w="12240" w:h="15840"/>
          <w:pgMar w:top="1440" w:right="1440" w:bottom="1440" w:left="1440" w:header="720" w:footer="720" w:gutter="0"/>
          <w:cols w:space="720"/>
          <w:docGrid w:linePitch="326"/>
        </w:sectPr>
      </w:pPr>
    </w:p>
    <w:p w14:paraId="1E25CFBB" w14:textId="35C21A7F" w:rsidR="00344027" w:rsidRPr="001947B9" w:rsidRDefault="001947B9" w:rsidP="001947B9">
      <w:pPr>
        <w:pStyle w:val="Heading1"/>
        <w:rPr>
          <w:rFonts w:asciiTheme="minorHAnsi" w:hAnsiTheme="minorHAnsi" w:cstheme="minorHAnsi"/>
          <w:b/>
          <w:bCs/>
          <w:color w:val="000000" w:themeColor="text1"/>
        </w:rPr>
      </w:pPr>
      <w:r w:rsidRPr="001947B9">
        <w:rPr>
          <w:rFonts w:asciiTheme="minorHAnsi" w:hAnsiTheme="minorHAnsi" w:cstheme="minorHAnsi"/>
          <w:b/>
          <w:bCs/>
          <w:color w:val="000000" w:themeColor="text1"/>
        </w:rPr>
        <w:lastRenderedPageBreak/>
        <w:tab/>
      </w:r>
      <w:bookmarkStart w:id="75" w:name="_Toc120622162"/>
      <w:r w:rsidRPr="001947B9">
        <w:rPr>
          <w:rFonts w:asciiTheme="minorHAnsi" w:hAnsiTheme="minorHAnsi" w:cstheme="minorHAnsi"/>
          <w:b/>
          <w:bCs/>
          <w:color w:val="000000" w:themeColor="text1"/>
        </w:rPr>
        <w:t>7.</w:t>
      </w:r>
      <w:r w:rsidRPr="001947B9">
        <w:rPr>
          <w:rFonts w:asciiTheme="minorHAnsi" w:hAnsiTheme="minorHAnsi" w:cstheme="minorHAnsi"/>
          <w:b/>
          <w:bCs/>
          <w:color w:val="000000" w:themeColor="text1"/>
        </w:rPr>
        <w:tab/>
        <w:t>References</w:t>
      </w:r>
      <w:bookmarkEnd w:id="75"/>
    </w:p>
    <w:bookmarkStart w:id="76" w:name="fun1"/>
    <w:bookmarkStart w:id="77" w:name="conf1"/>
    <w:bookmarkEnd w:id="76"/>
    <w:bookmarkEnd w:id="77"/>
    <w:p w14:paraId="3CFE53B6" w14:textId="75F78995" w:rsidR="00F24456" w:rsidRPr="00F24456" w:rsidRDefault="008A48C6" w:rsidP="00F24456">
      <w:pPr>
        <w:widowControl w:val="0"/>
        <w:autoSpaceDE w:val="0"/>
        <w:autoSpaceDN w:val="0"/>
        <w:adjustRightInd w:val="0"/>
        <w:spacing w:line="480" w:lineRule="auto"/>
        <w:ind w:left="480" w:hanging="480"/>
        <w:rPr>
          <w:rFonts w:ascii="Calibri" w:hAnsi="Calibri" w:cs="Calibri"/>
          <w:noProof/>
        </w:rPr>
      </w:pPr>
      <w:r>
        <w:fldChar w:fldCharType="begin" w:fldLock="1"/>
      </w:r>
      <w:r>
        <w:instrText xml:space="preserve">ADDIN Mendeley Bibliography CSL_BIBLIOGRAPHY </w:instrText>
      </w:r>
      <w:r>
        <w:fldChar w:fldCharType="separate"/>
      </w:r>
      <w:r w:rsidR="00F24456" w:rsidRPr="00F24456">
        <w:rPr>
          <w:rFonts w:ascii="Calibri" w:hAnsi="Calibri" w:cs="Calibri"/>
          <w:noProof/>
        </w:rPr>
        <w:t>Adame, M.F., Brown, C.J., Bejarano, M., Herrera-Silveira, J.A., Ezcurra, P., Kauffman, J.B., Birdsey, R., 2018. The undervalued contribution of mangrove protection in Mexico to carbon emission targets. Conserv. Lett. 11. https://doi.org/10.1111/conl.12445</w:t>
      </w:r>
    </w:p>
    <w:p w14:paraId="03DE3EB8"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Adame, M.F., Connolly, R.M., Turschwell, M.P., Lovelock, C.E., Fatoyinbo, T., Lagomasino, D., Goldberg, L.A., Holdorf, J., Friess, D.A., Sasmito, S.D., Sanderman, J., Sievers, M., Buelow, C., Kauffman, J.B., Bryan-Brown, D., Brown, C.J., 2021. Future carbon emissions from global mangrove forest loss. Glob. Chang. Biol. 27, 2856</w:t>
      </w:r>
      <w:r w:rsidRPr="00F24456">
        <w:rPr>
          <w:rFonts w:ascii="Calibri" w:hAnsi="Calibri" w:cs="Calibri" w:hint="cs"/>
          <w:noProof/>
        </w:rPr>
        <w:t>–</w:t>
      </w:r>
      <w:r w:rsidRPr="00F24456">
        <w:rPr>
          <w:rFonts w:ascii="Calibri" w:hAnsi="Calibri" w:cs="Calibri"/>
          <w:noProof/>
        </w:rPr>
        <w:t>2866. https://doi.org/10.1111/gcb.15571</w:t>
      </w:r>
    </w:p>
    <w:p w14:paraId="0018C4E8"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Adame, M.F., Neil, D., Wright, S.F., Lovelock, C.E., 2010. Sedimentation within and among mangrove forests along a gradient of geomorphological settings. Estuar. Coast. Shelf Sci. 86, 21</w:t>
      </w:r>
      <w:r w:rsidRPr="00F24456">
        <w:rPr>
          <w:rFonts w:ascii="Calibri" w:hAnsi="Calibri" w:cs="Calibri" w:hint="cs"/>
          <w:noProof/>
        </w:rPr>
        <w:t>–</w:t>
      </w:r>
      <w:r w:rsidRPr="00F24456">
        <w:rPr>
          <w:rFonts w:ascii="Calibri" w:hAnsi="Calibri" w:cs="Calibri"/>
          <w:noProof/>
        </w:rPr>
        <w:t>30. https://doi.org/10.1016/j.ecss.2009.10.013</w:t>
      </w:r>
    </w:p>
    <w:p w14:paraId="5146A443"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Adame, M.F., Reef, R., Santini, N.S., Najera, E., Turschwell, M.P., Hayes, M.A., Masque, P., Lovelock, C.E., 2020. Mangroves in arid regions: Ecology, threats, and opportunities. Estuar. Coast. Shelf Sci. https://doi.org/10.1016/j.ecss.2020.106796</w:t>
      </w:r>
    </w:p>
    <w:p w14:paraId="1E189016"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Adame, M.F., Teutli, C., Santini, N.S., Caamal, J.P., Zald</w:t>
      </w:r>
      <w:r w:rsidRPr="00F24456">
        <w:rPr>
          <w:rFonts w:ascii="Calibri" w:hAnsi="Calibri" w:cs="Calibri" w:hint="cs"/>
          <w:noProof/>
        </w:rPr>
        <w:t>í</w:t>
      </w:r>
      <w:r w:rsidRPr="00F24456">
        <w:rPr>
          <w:rFonts w:ascii="Calibri" w:hAnsi="Calibri" w:cs="Calibri"/>
          <w:noProof/>
        </w:rPr>
        <w:t>var-Jim</w:t>
      </w:r>
      <w:r w:rsidRPr="00F24456">
        <w:rPr>
          <w:rFonts w:ascii="Calibri" w:hAnsi="Calibri" w:cs="Calibri" w:hint="cs"/>
          <w:noProof/>
        </w:rPr>
        <w:t>é</w:t>
      </w:r>
      <w:r w:rsidRPr="00F24456">
        <w:rPr>
          <w:rFonts w:ascii="Calibri" w:hAnsi="Calibri" w:cs="Calibri"/>
          <w:noProof/>
        </w:rPr>
        <w:t>nez, A., Her</w:t>
      </w:r>
      <w:r w:rsidRPr="00F24456">
        <w:rPr>
          <w:rFonts w:ascii="Calibri" w:hAnsi="Calibri" w:cs="Calibri" w:hint="cs"/>
          <w:noProof/>
        </w:rPr>
        <w:t>ń</w:t>
      </w:r>
      <w:r w:rsidRPr="00F24456">
        <w:rPr>
          <w:rFonts w:ascii="Calibri" w:hAnsi="Calibri" w:cs="Calibri"/>
          <w:noProof/>
        </w:rPr>
        <w:t>ndez, R., Herrera-Silveira, J.A., 2014. Root biomass and production of mangroves surrounding a karstic oligotrophic coastal lagoon. Wetlands 34, 479</w:t>
      </w:r>
      <w:r w:rsidRPr="00F24456">
        <w:rPr>
          <w:rFonts w:ascii="Calibri" w:hAnsi="Calibri" w:cs="Calibri" w:hint="cs"/>
          <w:noProof/>
        </w:rPr>
        <w:t>–</w:t>
      </w:r>
      <w:r w:rsidRPr="00F24456">
        <w:rPr>
          <w:rFonts w:ascii="Calibri" w:hAnsi="Calibri" w:cs="Calibri"/>
          <w:noProof/>
        </w:rPr>
        <w:t>488. https://doi.org/10.1007/s13157-014-0514-5</w:t>
      </w:r>
    </w:p>
    <w:p w14:paraId="2F5C52C4"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Afefe, A.A., Khedr, A.H.A., Abbas, M.S., Soliman, A.S., 2021. Responses and Tolerance Mechanisms of Mangrove Trees to the Ambient Salinity along the Egyptian Red Sea Coast. Limnol. Rev. 21, 3</w:t>
      </w:r>
      <w:r w:rsidRPr="00F24456">
        <w:rPr>
          <w:rFonts w:ascii="Calibri" w:hAnsi="Calibri" w:cs="Calibri" w:hint="cs"/>
          <w:noProof/>
        </w:rPr>
        <w:t>–</w:t>
      </w:r>
      <w:r w:rsidRPr="00F24456">
        <w:rPr>
          <w:rFonts w:ascii="Calibri" w:hAnsi="Calibri" w:cs="Calibri"/>
          <w:noProof/>
        </w:rPr>
        <w:t>13. https://doi.org/10.2478/limre-2021-0001</w:t>
      </w:r>
    </w:p>
    <w:p w14:paraId="03DFFA94"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lastRenderedPageBreak/>
        <w:t>Al-Khayat, J., Balakrishnan, P., 2014. Avicennia Marina around Qatar: Tree, Seedling and Pneumatophore Densities in Natural and Planted Mangroves using Remote Sensing. Int. J. Sci. 3, 18</w:t>
      </w:r>
      <w:r w:rsidRPr="00F24456">
        <w:rPr>
          <w:rFonts w:ascii="Calibri" w:hAnsi="Calibri" w:cs="Calibri" w:hint="cs"/>
          <w:noProof/>
        </w:rPr>
        <w:t>–</w:t>
      </w:r>
      <w:r w:rsidRPr="00F24456">
        <w:rPr>
          <w:rFonts w:ascii="Calibri" w:hAnsi="Calibri" w:cs="Calibri"/>
          <w:noProof/>
        </w:rPr>
        <w:t>27.</w:t>
      </w:r>
    </w:p>
    <w:p w14:paraId="429CBD48"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Al-Khayat, J.A., Giraldes, B.W., 2020. Burrowing crabs in arid mangrove forests on the southwestern Arabian Gulf: Ecological and biogeographical considerations. Reg. Stud. Mar. Sci. 39. https://doi.org/10.1016/j.rsma.2020.101416</w:t>
      </w:r>
    </w:p>
    <w:p w14:paraId="121651DE"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Al-Khayat, J.A., Jones, D.A., 1999. A Comparison of the Macrofauna of Natural and Replanted Mangroves in Qatar. Estuar. Coast. Shelf Sci. 49, 55</w:t>
      </w:r>
      <w:r w:rsidRPr="00F24456">
        <w:rPr>
          <w:rFonts w:ascii="Calibri" w:hAnsi="Calibri" w:cs="Calibri" w:hint="cs"/>
          <w:noProof/>
        </w:rPr>
        <w:t>–</w:t>
      </w:r>
      <w:r w:rsidRPr="00F24456">
        <w:rPr>
          <w:rFonts w:ascii="Calibri" w:hAnsi="Calibri" w:cs="Calibri"/>
          <w:noProof/>
        </w:rPr>
        <w:t>63. https://doi.org/10.1016/S0272-7714(99)80009-2</w:t>
      </w:r>
    </w:p>
    <w:p w14:paraId="7D4F7BE6"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Al-Maslamani, I., Walton, M.E.M., Kennedy, H.A., Al-Mohannadi, M., Le Vay, L., 2013. Are mangroves in arid environments isolated systems? Life-history and evidence of dietary contribution from inwelling in a mangrove-resident shrimp species. Estuar. Coast. Shelf Sci. 124, 56</w:t>
      </w:r>
      <w:r w:rsidRPr="00F24456">
        <w:rPr>
          <w:rFonts w:ascii="Calibri" w:hAnsi="Calibri" w:cs="Calibri" w:hint="cs"/>
          <w:noProof/>
        </w:rPr>
        <w:t>–</w:t>
      </w:r>
      <w:r w:rsidRPr="00F24456">
        <w:rPr>
          <w:rFonts w:ascii="Calibri" w:hAnsi="Calibri" w:cs="Calibri"/>
          <w:noProof/>
        </w:rPr>
        <w:t>63. https://doi.org/10.1016/j.ecss.2013.03.007</w:t>
      </w:r>
    </w:p>
    <w:p w14:paraId="6D5126FB"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Almahasheer, H., Duarte, C.M., Irigoien, X., 2016. Phenology and Growth dynamics of Avicennia marina in the Central Red Sea. Sci. Rep. 6, 37785. https://doi.org/10.1038/srep37785</w:t>
      </w:r>
    </w:p>
    <w:p w14:paraId="5D5151E9"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Almahasheer, H., Serrano, O., Duarte, C.M., Arias-Ortiz, A., Masque, P., Irigoien, X., 2017. Low Carbon sink capacity of Red Sea mangroves. Sci. Rep. 7, 9700. https://doi.org/10.1038/s41598-017-10424-9</w:t>
      </w:r>
    </w:p>
    <w:p w14:paraId="13C032AF"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Alongi, D.., Dixon, P., 2000. Mangrove primary production and above-and belowground biomass in Sawi Bay, Southern Thailand. Phuk 38, 31</w:t>
      </w:r>
      <w:r w:rsidRPr="00F24456">
        <w:rPr>
          <w:rFonts w:ascii="Calibri" w:hAnsi="Calibri" w:cs="Calibri" w:hint="cs"/>
          <w:noProof/>
        </w:rPr>
        <w:t>–</w:t>
      </w:r>
      <w:r w:rsidRPr="00F24456">
        <w:rPr>
          <w:rFonts w:ascii="Calibri" w:hAnsi="Calibri" w:cs="Calibri"/>
          <w:noProof/>
        </w:rPr>
        <w:t>38.</w:t>
      </w:r>
    </w:p>
    <w:p w14:paraId="4F6531A6"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Alongi, D.M., 2020. Global Significance of Mangrove Blue Carbon in Climate Change Mitigation (Version 1). Sci 2, 57. https://doi.org/10.3390/sci2030057</w:t>
      </w:r>
    </w:p>
    <w:p w14:paraId="782E917B"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lastRenderedPageBreak/>
        <w:t>Alongi, D.M., 2015. The Impact of Climate Change on Mangrove Forests. Curr. Clim. Chang. Reports 1, 30</w:t>
      </w:r>
      <w:r w:rsidRPr="00F24456">
        <w:rPr>
          <w:rFonts w:ascii="Calibri" w:hAnsi="Calibri" w:cs="Calibri" w:hint="cs"/>
          <w:noProof/>
        </w:rPr>
        <w:t>–</w:t>
      </w:r>
      <w:r w:rsidRPr="00F24456">
        <w:rPr>
          <w:rFonts w:ascii="Calibri" w:hAnsi="Calibri" w:cs="Calibri"/>
          <w:noProof/>
        </w:rPr>
        <w:t>39. https://doi.org/10.1007/s40641-015-0002-x</w:t>
      </w:r>
    </w:p>
    <w:p w14:paraId="2D901645"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Alongi, D.M., 2014. Carbon Cycling and Storage in Mangrove Forests. Ann. Rev. Mar. Sci. 6, 195</w:t>
      </w:r>
      <w:r w:rsidRPr="00F24456">
        <w:rPr>
          <w:rFonts w:ascii="Calibri" w:hAnsi="Calibri" w:cs="Calibri" w:hint="cs"/>
          <w:noProof/>
        </w:rPr>
        <w:t>–</w:t>
      </w:r>
      <w:r w:rsidRPr="00F24456">
        <w:rPr>
          <w:rFonts w:ascii="Calibri" w:hAnsi="Calibri" w:cs="Calibri"/>
          <w:noProof/>
        </w:rPr>
        <w:t>219. https://doi.org/10.1146/annurev-marine-010213-135020</w:t>
      </w:r>
    </w:p>
    <w:p w14:paraId="0BB30ED7"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Alongi, D.M., 2012. Carbon sequestration in mangrove forests. Carbon Manag. 3, 313</w:t>
      </w:r>
      <w:r w:rsidRPr="00F24456">
        <w:rPr>
          <w:rFonts w:ascii="Calibri" w:hAnsi="Calibri" w:cs="Calibri" w:hint="cs"/>
          <w:noProof/>
        </w:rPr>
        <w:t>–</w:t>
      </w:r>
      <w:r w:rsidRPr="00F24456">
        <w:rPr>
          <w:rFonts w:ascii="Calibri" w:hAnsi="Calibri" w:cs="Calibri"/>
          <w:noProof/>
        </w:rPr>
        <w:t>322. https://doi.org/10.4155/cmt.12.20</w:t>
      </w:r>
    </w:p>
    <w:p w14:paraId="6F4D034D"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Alongi, D.M., 2009. The energetics of mangrove forests, The Energetics of Mangrove Forests. Springer Science &amp; Business Media, New York. https://doi.org/10.1007/978-1-4020-4271-3</w:t>
      </w:r>
    </w:p>
    <w:p w14:paraId="78849FD3"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Alongi, D.M., 2008. Mangrove forests: Resilience, protection from tsunamis, and responses to global climate change. Estuar. Coast. Shelf Sci. https://doi.org/10.1016/j.ecss.2007.08.024</w:t>
      </w:r>
    </w:p>
    <w:p w14:paraId="12F44F6D"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Alongi, D.M., 2002. Present state and future of the world</w:t>
      </w:r>
      <w:r w:rsidRPr="00F24456">
        <w:rPr>
          <w:rFonts w:ascii="Calibri" w:hAnsi="Calibri" w:cs="Calibri" w:hint="cs"/>
          <w:noProof/>
        </w:rPr>
        <w:t>’</w:t>
      </w:r>
      <w:r w:rsidRPr="00F24456">
        <w:rPr>
          <w:rFonts w:ascii="Calibri" w:hAnsi="Calibri" w:cs="Calibri"/>
          <w:noProof/>
        </w:rPr>
        <w:t>s mangrove forests. Environ. Conserv. https://doi.org/10.1017/S0376892902000231</w:t>
      </w:r>
    </w:p>
    <w:p w14:paraId="4197C01F"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Alongi, D.M., Clough, B.F., Dixon, P., Tirendi, F., 2003. Nutrient partitioning and storage in arid-zone forests of the mangroves Rhizophora stylosa and Avicennia marina. Trees - Struct. Funct. 17, 51</w:t>
      </w:r>
      <w:r w:rsidRPr="00F24456">
        <w:rPr>
          <w:rFonts w:ascii="Calibri" w:hAnsi="Calibri" w:cs="Calibri" w:hint="cs"/>
          <w:noProof/>
        </w:rPr>
        <w:t>–</w:t>
      </w:r>
      <w:r w:rsidRPr="00F24456">
        <w:rPr>
          <w:rFonts w:ascii="Calibri" w:hAnsi="Calibri" w:cs="Calibri"/>
          <w:noProof/>
        </w:rPr>
        <w:t>60. https://doi.org/10.1007/s00468-002-0206-2</w:t>
      </w:r>
    </w:p>
    <w:p w14:paraId="75B22F96"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Alongi, D.M., Tirendi, F., Clough, B.F., 2000. Below-ground decomposition of organic matter in forests of the mangroves Rhizophora stylosa and Avicennia marina along the arid coast of Western Australia. Aquat. Bot. 68, 97</w:t>
      </w:r>
      <w:r w:rsidRPr="00F24456">
        <w:rPr>
          <w:rFonts w:ascii="Calibri" w:hAnsi="Calibri" w:cs="Calibri" w:hint="cs"/>
          <w:noProof/>
        </w:rPr>
        <w:t>–</w:t>
      </w:r>
      <w:r w:rsidRPr="00F24456">
        <w:rPr>
          <w:rFonts w:ascii="Calibri" w:hAnsi="Calibri" w:cs="Calibri"/>
          <w:noProof/>
        </w:rPr>
        <w:t>122. https://doi.org/10.1016/S0304-3770(00)00110-8</w:t>
      </w:r>
    </w:p>
    <w:p w14:paraId="4FD894E3"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Alongi, D.M., Wattayakorn, G., Pfitzner, J., Tirendi, F., Zagorskis, I., Brunskill, G.., Davidson, A., Clough, B.., 2001. Organic carbon accumulation and metabolic pathways in sediments of mangrove forests in southern Thailand. Mar. Geol. 179, 85</w:t>
      </w:r>
      <w:r w:rsidRPr="00F24456">
        <w:rPr>
          <w:rFonts w:ascii="Calibri" w:hAnsi="Calibri" w:cs="Calibri" w:hint="cs"/>
          <w:noProof/>
        </w:rPr>
        <w:t>–</w:t>
      </w:r>
      <w:r w:rsidRPr="00F24456">
        <w:rPr>
          <w:rFonts w:ascii="Calibri" w:hAnsi="Calibri" w:cs="Calibri"/>
          <w:noProof/>
        </w:rPr>
        <w:t xml:space="preserve">103. </w:t>
      </w:r>
      <w:r w:rsidRPr="00F24456">
        <w:rPr>
          <w:rFonts w:ascii="Calibri" w:hAnsi="Calibri" w:cs="Calibri"/>
          <w:noProof/>
        </w:rPr>
        <w:lastRenderedPageBreak/>
        <w:t>https://doi.org/10.1016/S0025-3227(01)00195-5</w:t>
      </w:r>
    </w:p>
    <w:p w14:paraId="42D4AAFF"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Alongi, D.M., Wattayakorn, G., Tirendi, F., Dixon, P., 2004. Nutrient capital in different aged forests of the mangrove Rhizophora apiculata. Bot. Mar. 47, 116</w:t>
      </w:r>
      <w:r w:rsidRPr="00F24456">
        <w:rPr>
          <w:rFonts w:ascii="Calibri" w:hAnsi="Calibri" w:cs="Calibri" w:hint="cs"/>
          <w:noProof/>
        </w:rPr>
        <w:t>–</w:t>
      </w:r>
      <w:r w:rsidRPr="00F24456">
        <w:rPr>
          <w:rFonts w:ascii="Calibri" w:hAnsi="Calibri" w:cs="Calibri"/>
          <w:noProof/>
        </w:rPr>
        <w:t>124. https://doi.org/10.1515/BOT.2004.011</w:t>
      </w:r>
    </w:p>
    <w:p w14:paraId="73B0CD01"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Amien, I., Rejekiningrum, P., Pramudia, A., Susanti, E., 1996. Effects of interannual climate variability and climate change on rice yield in Java, Indonesia. Water. Air. Soil Pollut. 92, 29</w:t>
      </w:r>
      <w:r w:rsidRPr="00F24456">
        <w:rPr>
          <w:rFonts w:ascii="Calibri" w:hAnsi="Calibri" w:cs="Calibri" w:hint="cs"/>
          <w:noProof/>
        </w:rPr>
        <w:t>–</w:t>
      </w:r>
      <w:r w:rsidRPr="00F24456">
        <w:rPr>
          <w:rFonts w:ascii="Calibri" w:hAnsi="Calibri" w:cs="Calibri"/>
          <w:noProof/>
        </w:rPr>
        <w:t>39.</w:t>
      </w:r>
    </w:p>
    <w:p w14:paraId="60B58D6E"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Analuddin, K., Kadidae, L.O., Yasir Haya, L.O.M., Septiana, A., Sahidin, I., Syahrir, L., Rahim, S., Fajar, L.O.A., Nadaoka, K., 2020. Aboveground biomass, productivity and carbon sequestration in rhizophora stylosa mangrove forest of southeast sulawesi, indonesia. Biodiversitas 21, 1316</w:t>
      </w:r>
      <w:r w:rsidRPr="00F24456">
        <w:rPr>
          <w:rFonts w:ascii="Calibri" w:hAnsi="Calibri" w:cs="Calibri" w:hint="cs"/>
          <w:noProof/>
        </w:rPr>
        <w:t>–</w:t>
      </w:r>
      <w:r w:rsidRPr="00F24456">
        <w:rPr>
          <w:rFonts w:ascii="Calibri" w:hAnsi="Calibri" w:cs="Calibri"/>
          <w:noProof/>
        </w:rPr>
        <w:t>1325. https://doi.org/10.13057/biodiv/d210407</w:t>
      </w:r>
    </w:p>
    <w:p w14:paraId="2FFFAEB9"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Arnaud, M., Baird, A.J., Morris, P.J., Dang, T.H., Nguyen, T.T., 2020. Sensitivity of mangrove soil organic matter decay to warming and sea level change. Glob. Chang. Biol. 26, 1899</w:t>
      </w:r>
      <w:r w:rsidRPr="00F24456">
        <w:rPr>
          <w:rFonts w:ascii="Calibri" w:hAnsi="Calibri" w:cs="Calibri" w:hint="cs"/>
          <w:noProof/>
        </w:rPr>
        <w:t>–</w:t>
      </w:r>
      <w:r w:rsidRPr="00F24456">
        <w:rPr>
          <w:rFonts w:ascii="Calibri" w:hAnsi="Calibri" w:cs="Calibri"/>
          <w:noProof/>
        </w:rPr>
        <w:t>1907. https://doi.org/10.1111/gcb.14931</w:t>
      </w:r>
    </w:p>
    <w:p w14:paraId="7EDEA90C"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Asbridge, E., Lucas, R., Accad, A., Dowling, R., 2015. Mangrove response to environmental changes predicted under varying climates: Case studies from Australia. Curr. For. Reports 1, 178</w:t>
      </w:r>
      <w:r w:rsidRPr="00F24456">
        <w:rPr>
          <w:rFonts w:ascii="Calibri" w:hAnsi="Calibri" w:cs="Calibri" w:hint="cs"/>
          <w:noProof/>
        </w:rPr>
        <w:t>–</w:t>
      </w:r>
      <w:r w:rsidRPr="00F24456">
        <w:rPr>
          <w:rFonts w:ascii="Calibri" w:hAnsi="Calibri" w:cs="Calibri"/>
          <w:noProof/>
        </w:rPr>
        <w:t>194. https://doi.org/10.1007/s40725-015-0018-4</w:t>
      </w:r>
    </w:p>
    <w:p w14:paraId="3F083A41"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Atwood, T.B., Connolly, R.M., Almahasheer, H., Carnell, P.E., Duarte, C.M., Lewis, C.J.E., Irigoien, X., Kelleway, J.J., Lavery, P.S., Macreadie, P.I., Serrano, O., Sanders, C.J., Santos, I., Steven, A.D.L., Lovelock, C.E., 2017. Global patterns in mangrove soil carbon stocks and losses. Nat. Clim. Chang. 7, 523</w:t>
      </w:r>
      <w:r w:rsidRPr="00F24456">
        <w:rPr>
          <w:rFonts w:ascii="Calibri" w:hAnsi="Calibri" w:cs="Calibri" w:hint="cs"/>
          <w:noProof/>
        </w:rPr>
        <w:t>–</w:t>
      </w:r>
      <w:r w:rsidRPr="00F24456">
        <w:rPr>
          <w:rFonts w:ascii="Calibri" w:hAnsi="Calibri" w:cs="Calibri"/>
          <w:noProof/>
        </w:rPr>
        <w:t>528. https://doi.org/10.1038/nclimate3326</w:t>
      </w:r>
    </w:p>
    <w:p w14:paraId="39AFA40F"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Au, S.W.C., 1998. Rain-induced slope instability in Hong Kong. Eng. Geol. 51, 1</w:t>
      </w:r>
      <w:r w:rsidRPr="00F24456">
        <w:rPr>
          <w:rFonts w:ascii="Calibri" w:hAnsi="Calibri" w:cs="Calibri" w:hint="cs"/>
          <w:noProof/>
        </w:rPr>
        <w:t>–</w:t>
      </w:r>
      <w:r w:rsidRPr="00F24456">
        <w:rPr>
          <w:rFonts w:ascii="Calibri" w:hAnsi="Calibri" w:cs="Calibri"/>
          <w:noProof/>
        </w:rPr>
        <w:t xml:space="preserve">36. </w:t>
      </w:r>
      <w:r w:rsidRPr="00F24456">
        <w:rPr>
          <w:rFonts w:ascii="Calibri" w:hAnsi="Calibri" w:cs="Calibri"/>
          <w:noProof/>
        </w:rPr>
        <w:lastRenderedPageBreak/>
        <w:t>https://doi.org/10.1016/S0013-7952(98)00038-6</w:t>
      </w:r>
    </w:p>
    <w:p w14:paraId="2235A220"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Avia, L.Q., 2019. Change in rainfall per-decades over Java Island, Indonesia. IOP Conf. Ser. Earth Environ. Sci. 374. https://doi.org/10.1088/1755-1315/374/1/012037</w:t>
      </w:r>
    </w:p>
    <w:p w14:paraId="7E9974D2"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Banerjee, K., Sengupta, K., Raha, A., Mitra, A., 2013. Salinity based allometric equations for biomass estimation of Sundarban mangroves. Biomass and Bioenergy 56, 382</w:t>
      </w:r>
      <w:r w:rsidRPr="00F24456">
        <w:rPr>
          <w:rFonts w:ascii="Calibri" w:hAnsi="Calibri" w:cs="Calibri" w:hint="cs"/>
          <w:noProof/>
        </w:rPr>
        <w:t>–</w:t>
      </w:r>
      <w:r w:rsidRPr="00F24456">
        <w:rPr>
          <w:rFonts w:ascii="Calibri" w:hAnsi="Calibri" w:cs="Calibri"/>
          <w:noProof/>
        </w:rPr>
        <w:t>391. https://doi.org/10.1016/j.biombioe.2013.05.010</w:t>
      </w:r>
    </w:p>
    <w:p w14:paraId="60239C44"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Bathmann, J., Peters, R., Reef, R., Berger, U., Walther, M., Lovelock, C., 2021. Modelling mangrove forest structure and species composition over tidal inundation gradients: The feedback between plant water use and porewater salinity in an arid mangrove ecosystem. Agric. For. Meteorol. 308</w:t>
      </w:r>
      <w:r w:rsidRPr="00F24456">
        <w:rPr>
          <w:rFonts w:ascii="Calibri" w:hAnsi="Calibri" w:cs="Calibri" w:hint="cs"/>
          <w:noProof/>
        </w:rPr>
        <w:t>–</w:t>
      </w:r>
      <w:r w:rsidRPr="00F24456">
        <w:rPr>
          <w:rFonts w:ascii="Calibri" w:hAnsi="Calibri" w:cs="Calibri"/>
          <w:noProof/>
        </w:rPr>
        <w:t>309, 108547. https://doi.org/https://doi.org/10.1016/j.agrformet.2021.108547</w:t>
      </w:r>
    </w:p>
    <w:p w14:paraId="512EBFD5"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Blankespoor, B., Dasgupta, S., Laplante, B., 2014. Sea level rise and coastal wetlands. Ambio 996</w:t>
      </w:r>
      <w:r w:rsidRPr="00F24456">
        <w:rPr>
          <w:rFonts w:ascii="Calibri" w:hAnsi="Calibri" w:cs="Calibri" w:hint="cs"/>
          <w:noProof/>
        </w:rPr>
        <w:t>–</w:t>
      </w:r>
      <w:r w:rsidRPr="00F24456">
        <w:rPr>
          <w:rFonts w:ascii="Calibri" w:hAnsi="Calibri" w:cs="Calibri"/>
          <w:noProof/>
        </w:rPr>
        <w:t>1005. https://doi.org/10.17226/10590</w:t>
      </w:r>
    </w:p>
    <w:p w14:paraId="09823423"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Boonstra, R., Bodner, K., Bosson, C., Delehanty, B., Richardson, E.S., Lunn, N.J., Derocher, A.E., Moln</w:t>
      </w:r>
      <w:r w:rsidRPr="00F24456">
        <w:rPr>
          <w:rFonts w:ascii="Calibri" w:hAnsi="Calibri" w:cs="Calibri" w:hint="cs"/>
          <w:noProof/>
        </w:rPr>
        <w:t>á</w:t>
      </w:r>
      <w:r w:rsidRPr="00F24456">
        <w:rPr>
          <w:rFonts w:ascii="Calibri" w:hAnsi="Calibri" w:cs="Calibri"/>
          <w:noProof/>
        </w:rPr>
        <w:t>r, P.K., 2020. The stress of Arctic warming on polar bears. Glob. Chang. Biol. 26, 4197</w:t>
      </w:r>
      <w:r w:rsidRPr="00F24456">
        <w:rPr>
          <w:rFonts w:ascii="Calibri" w:hAnsi="Calibri" w:cs="Calibri" w:hint="cs"/>
          <w:noProof/>
        </w:rPr>
        <w:t>–</w:t>
      </w:r>
      <w:r w:rsidRPr="00F24456">
        <w:rPr>
          <w:rFonts w:ascii="Calibri" w:hAnsi="Calibri" w:cs="Calibri"/>
          <w:noProof/>
        </w:rPr>
        <w:t>4214. https://doi.org/10.1111/gcb.15142</w:t>
      </w:r>
    </w:p>
    <w:p w14:paraId="6316C973"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Bouillon, S., Borges, A. V., Casta</w:t>
      </w:r>
      <w:r w:rsidRPr="00F24456">
        <w:rPr>
          <w:rFonts w:ascii="Calibri" w:hAnsi="Calibri" w:cs="Calibri" w:hint="cs"/>
          <w:noProof/>
        </w:rPr>
        <w:t>ñ</w:t>
      </w:r>
      <w:r w:rsidRPr="00F24456">
        <w:rPr>
          <w:rFonts w:ascii="Calibri" w:hAnsi="Calibri" w:cs="Calibri"/>
          <w:noProof/>
        </w:rPr>
        <w:t>eda-Moya, E., Diele, K., Dittmar, T., Duke, N.C., Kristensen, E., Lee, S.Y., Marchand, C., Middelburg, J.J., Rivera-Monroy, V.H., Smith, T.J., Twilley, R.R., 2008. Mangrove production and carbon sinks: A revision of global budget estimates. Global Biogeochem. Cycles 22. https://doi.org/10.1029/2007GB003052</w:t>
      </w:r>
    </w:p>
    <w:p w14:paraId="7C3B3D74"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 xml:space="preserve">Breithaupt, J.L., Smoak, J.M., Smith, T.J., Sanders, C.J., 2014. Temporal variability of carbon and nutrient burial, sediment accretion, and mass accumulation over the past century in a </w:t>
      </w:r>
      <w:r w:rsidRPr="00F24456">
        <w:rPr>
          <w:rFonts w:ascii="Calibri" w:hAnsi="Calibri" w:cs="Calibri"/>
          <w:noProof/>
        </w:rPr>
        <w:lastRenderedPageBreak/>
        <w:t>carbonate platform mangrove forest of the Florida Everglades. J. Geophys. Res. G Biogeosciences 119, 2032</w:t>
      </w:r>
      <w:r w:rsidRPr="00F24456">
        <w:rPr>
          <w:rFonts w:ascii="Calibri" w:hAnsi="Calibri" w:cs="Calibri" w:hint="cs"/>
          <w:noProof/>
        </w:rPr>
        <w:t>–</w:t>
      </w:r>
      <w:r w:rsidRPr="00F24456">
        <w:rPr>
          <w:rFonts w:ascii="Calibri" w:hAnsi="Calibri" w:cs="Calibri"/>
          <w:noProof/>
        </w:rPr>
        <w:t>2048. https://doi.org/10.1002/2014JG002715</w:t>
      </w:r>
    </w:p>
    <w:p w14:paraId="07B194F0"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Breithaupt, J.L., Smoak, J.M., Smith, T.J., Sanders, C.J., Hoare, A., 2012. Organic carbon burial rates in mangrove sediments: Strengthening the global budget. Global Biogeochem. Cycles 26. https://doi.org/10.1029/2012GB004375</w:t>
      </w:r>
    </w:p>
    <w:p w14:paraId="42AB7029"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Bukoski, J.J., Broadhead, J.S., Donato, D.C., Murdiyarso, D., Gregoire, T.G., 2017. The use of mixed effects models for obtaining low-cost ecosystem carbon stock estimates in mangroves of the Asia-Pacific. PLoS One 12, e0169096. https://doi.org/10.1371/journal.pone.0169096</w:t>
      </w:r>
    </w:p>
    <w:p w14:paraId="45FABED8"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Cameron, C., Hutley, L.B., Friess, D.A., Brown, B., 2019. High greenhouse gas emissions mitigation benefits from mangrove rehabilitation in Sulawesi, Indonesia. Ecosyst. Serv. 40. https://doi.org/10.1016/j.ecoser.2019.101035</w:t>
      </w:r>
    </w:p>
    <w:p w14:paraId="3F78382A"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Carrere, L., Lyard, F., Cancet, M., Guillot, A., Roblou, L., 2012. FES 2012: a new global tidal model taking advantage of nearly 20 years of altimetry. 20 Years Prog. Radar Altimetry 6.</w:t>
      </w:r>
    </w:p>
    <w:p w14:paraId="020F78FB"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Casta</w:t>
      </w:r>
      <w:r w:rsidRPr="00F24456">
        <w:rPr>
          <w:rFonts w:ascii="Calibri" w:hAnsi="Calibri" w:cs="Calibri" w:hint="cs"/>
          <w:noProof/>
        </w:rPr>
        <w:t>ñ</w:t>
      </w:r>
      <w:r w:rsidRPr="00F24456">
        <w:rPr>
          <w:rFonts w:ascii="Calibri" w:hAnsi="Calibri" w:cs="Calibri"/>
          <w:noProof/>
        </w:rPr>
        <w:t>eda-Moya, E., Rivera-Monroy, V.H., Twilley, R.R., 2006. Mangrove zonation in the dry life zone of the Gulf of Fonseca, Honduras. Estuaries &amp; Coasts. https://doi.org/10.1007/BF02786526</w:t>
      </w:r>
    </w:p>
    <w:p w14:paraId="26A0E0DE"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Castillo, J.A.A., Apan, A.A., Maraseni, T.N., Salmo, S.G., 2017. Soil greenhouse gas fluxes in tropical mangrove forests and in land uses on deforested mangrove lands. Catena 159, 60</w:t>
      </w:r>
      <w:r w:rsidRPr="00F24456">
        <w:rPr>
          <w:rFonts w:ascii="Calibri" w:hAnsi="Calibri" w:cs="Calibri" w:hint="cs"/>
          <w:noProof/>
        </w:rPr>
        <w:t>–</w:t>
      </w:r>
      <w:r w:rsidRPr="00F24456">
        <w:rPr>
          <w:rFonts w:ascii="Calibri" w:hAnsi="Calibri" w:cs="Calibri"/>
          <w:noProof/>
        </w:rPr>
        <w:t>69. https://doi.org/10.1016/j.catena.2017.08.005</w:t>
      </w:r>
    </w:p>
    <w:p w14:paraId="04DF7A86"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 xml:space="preserve">Chatting, M., Al-Maslamani, I., Walton, M., Skov, M., Kennedy, H., Husrevoglu, Y., LeVay, L., 2022. Future mangrove carbon storage under climate change and deforestation. Front. </w:t>
      </w:r>
      <w:r w:rsidRPr="00F24456">
        <w:rPr>
          <w:rFonts w:ascii="Calibri" w:hAnsi="Calibri" w:cs="Calibri"/>
          <w:noProof/>
        </w:rPr>
        <w:lastRenderedPageBreak/>
        <w:t>Mar. Sci. 9, 781876. https://doi.org/10.3389/fmars.2022.781876</w:t>
      </w:r>
    </w:p>
    <w:p w14:paraId="0C6C10F1"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Chatting, M., LeVay, L., Walton, M., Skov, M.W., Kennedy, H., Wilson, S., Al-Maslamani, I., 2020. Mangrove carbon stocks and biomass partitioning in an extreme environment. Estuar. Coast. Shelf Sci. 244. https://doi.org/10.1016/j.ecss.2020.106940</w:t>
      </w:r>
    </w:p>
    <w:p w14:paraId="28D2B21D"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Chave, J., Andalo, C., Brown, S., Cairns, M.A., Chambers, J.Q., Eamus, D., F</w:t>
      </w:r>
      <w:r w:rsidRPr="00F24456">
        <w:rPr>
          <w:rFonts w:ascii="Calibri" w:hAnsi="Calibri" w:cs="Calibri" w:hint="cs"/>
          <w:noProof/>
        </w:rPr>
        <w:t>ö</w:t>
      </w:r>
      <w:r w:rsidRPr="00F24456">
        <w:rPr>
          <w:rFonts w:ascii="Calibri" w:hAnsi="Calibri" w:cs="Calibri"/>
          <w:noProof/>
        </w:rPr>
        <w:t>lster, H., Fromard, F., Higuchi, N., Kira, T., Lescure, J.P., Nelson, B.W., Ogawa, H., Puig, H., Ri</w:t>
      </w:r>
      <w:r w:rsidRPr="00F24456">
        <w:rPr>
          <w:rFonts w:ascii="Calibri" w:hAnsi="Calibri" w:cs="Calibri" w:hint="cs"/>
          <w:noProof/>
        </w:rPr>
        <w:t>é</w:t>
      </w:r>
      <w:r w:rsidRPr="00F24456">
        <w:rPr>
          <w:rFonts w:ascii="Calibri" w:hAnsi="Calibri" w:cs="Calibri"/>
          <w:noProof/>
        </w:rPr>
        <w:t>ra, B., Yamakura, T., 2005. Tree allometry and improved estimation of carbon stocks and balance in tropical forests. Oecologia 145, 87</w:t>
      </w:r>
      <w:r w:rsidRPr="00F24456">
        <w:rPr>
          <w:rFonts w:ascii="Calibri" w:hAnsi="Calibri" w:cs="Calibri" w:hint="cs"/>
          <w:noProof/>
        </w:rPr>
        <w:t>–</w:t>
      </w:r>
      <w:r w:rsidRPr="00F24456">
        <w:rPr>
          <w:rFonts w:ascii="Calibri" w:hAnsi="Calibri" w:cs="Calibri"/>
          <w:noProof/>
        </w:rPr>
        <w:t>99. https://doi.org/10.1007/s00442-005-0100-x</w:t>
      </w:r>
    </w:p>
    <w:p w14:paraId="3607BDBB"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Chen, G.C., Tam, N.F.Y., Ye, Y., 2012. Spatial and seasonal variations of atmospheric N2O and CO2 fluxes from a subtropical mangrove swamp and their relationships with soil characteristics. Soil Biol. Biochem. 48, 175</w:t>
      </w:r>
      <w:r w:rsidRPr="00F24456">
        <w:rPr>
          <w:rFonts w:ascii="Calibri" w:hAnsi="Calibri" w:cs="Calibri" w:hint="cs"/>
          <w:noProof/>
        </w:rPr>
        <w:t>–</w:t>
      </w:r>
      <w:r w:rsidRPr="00F24456">
        <w:rPr>
          <w:rFonts w:ascii="Calibri" w:hAnsi="Calibri" w:cs="Calibri"/>
          <w:noProof/>
        </w:rPr>
        <w:t>181. https://doi.org/10.1016/j.soilbio.2012.01.029</w:t>
      </w:r>
    </w:p>
    <w:p w14:paraId="62067570"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Chen, S., Chmura, G.L., Wang, Y., Yu, D., Ou, D., Chen, B., Ye, Y., Chen, G., 2019. Benthic microalgae offset the sediment carbon dioxide emission in subtropical mangrove in cold seasons. Limnol. Oceanogr. 64, 1297</w:t>
      </w:r>
      <w:r w:rsidRPr="00F24456">
        <w:rPr>
          <w:rFonts w:ascii="Calibri" w:hAnsi="Calibri" w:cs="Calibri" w:hint="cs"/>
          <w:noProof/>
        </w:rPr>
        <w:t>–</w:t>
      </w:r>
      <w:r w:rsidRPr="00F24456">
        <w:rPr>
          <w:rFonts w:ascii="Calibri" w:hAnsi="Calibri" w:cs="Calibri"/>
          <w:noProof/>
        </w:rPr>
        <w:t>1308. https://doi.org/10.1002/lno.11116</w:t>
      </w:r>
    </w:p>
    <w:p w14:paraId="2CD446F8"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Chmura, G.L., Anisfeld, S.C., Cahoon, D.R., Lynch, J.C., 2003. Global carbon sequestration in tidal, saline wetland soils. Global Biogeochem. Cycles 17. https://doi.org/10.1029/2002gb001917</w:t>
      </w:r>
    </w:p>
    <w:p w14:paraId="66B3668B"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Chowdhury, R., Sutradhar, T., Begam, M.M., Mukherjee, C., Chatterjee, K., Basak, S.K., Ray, K., 2019. Effects of nutrient limitation, salinity increase, and associated stressors on mangrove forest cover, structure, and zonation across Indian Sundarbans. Hydrobiologia 842, 191</w:t>
      </w:r>
      <w:r w:rsidRPr="00F24456">
        <w:rPr>
          <w:rFonts w:ascii="Calibri" w:hAnsi="Calibri" w:cs="Calibri" w:hint="cs"/>
          <w:noProof/>
        </w:rPr>
        <w:t>–</w:t>
      </w:r>
      <w:r w:rsidRPr="00F24456">
        <w:rPr>
          <w:rFonts w:ascii="Calibri" w:hAnsi="Calibri" w:cs="Calibri"/>
          <w:noProof/>
        </w:rPr>
        <w:t>217. https://doi.org/10.1007/s10750-019-04036-9</w:t>
      </w:r>
    </w:p>
    <w:p w14:paraId="0B71C328"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lastRenderedPageBreak/>
        <w:t>Cintron, G., Lugo, A.E., Pool, D.J., Morris, G., 1978. Mangroves of Arid Environments in Puerto Rico and Adjacent Islands. Biotropica 10, 110. https://doi.org/10.2307/2388013</w:t>
      </w:r>
    </w:p>
    <w:p w14:paraId="26589526"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Clough, B.F., Andrews, T.J., Cowan, I.R., 1982. Physiological processes in mangroves. Mangrove Ecosyst. Aust. Struct. Funct. Manag. 193</w:t>
      </w:r>
      <w:r w:rsidRPr="00F24456">
        <w:rPr>
          <w:rFonts w:ascii="Calibri" w:hAnsi="Calibri" w:cs="Calibri" w:hint="cs"/>
          <w:noProof/>
        </w:rPr>
        <w:t>–</w:t>
      </w:r>
      <w:r w:rsidRPr="00F24456">
        <w:rPr>
          <w:rFonts w:ascii="Calibri" w:hAnsi="Calibri" w:cs="Calibri"/>
          <w:noProof/>
        </w:rPr>
        <w:t>210.</w:t>
      </w:r>
    </w:p>
    <w:p w14:paraId="2F5E8E73"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Clough, B.F., Dixon, P., Dalhaus, O., 1997. Allometric Relationships for Estimating Biomass in Multi-stemmed Mangrove Trees. Aust. J. Bot. 45, 1023</w:t>
      </w:r>
      <w:r w:rsidRPr="00F24456">
        <w:rPr>
          <w:rFonts w:ascii="Calibri" w:hAnsi="Calibri" w:cs="Calibri" w:hint="cs"/>
          <w:noProof/>
        </w:rPr>
        <w:t>–</w:t>
      </w:r>
      <w:r w:rsidRPr="00F24456">
        <w:rPr>
          <w:rFonts w:ascii="Calibri" w:hAnsi="Calibri" w:cs="Calibri"/>
          <w:noProof/>
        </w:rPr>
        <w:t>1031. https://doi.org/10.1071/BT96075</w:t>
      </w:r>
    </w:p>
    <w:p w14:paraId="598B9BBB"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Comley, B.W.T., McGuinness, K.A., 2005. Above- and below-ground biomass, and allometry, of four common northern Australian mangroves. Aust. J. Bot. 53, 431</w:t>
      </w:r>
      <w:r w:rsidRPr="00F24456">
        <w:rPr>
          <w:rFonts w:ascii="Calibri" w:hAnsi="Calibri" w:cs="Calibri" w:hint="cs"/>
          <w:noProof/>
        </w:rPr>
        <w:t>–</w:t>
      </w:r>
      <w:r w:rsidRPr="00F24456">
        <w:rPr>
          <w:rFonts w:ascii="Calibri" w:hAnsi="Calibri" w:cs="Calibri"/>
          <w:noProof/>
        </w:rPr>
        <w:t>436. https://doi.org/10.1071/BT04162</w:t>
      </w:r>
    </w:p>
    <w:p w14:paraId="5BE2397C"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Cooray, P.L.I.G.M., Kodikara, K.A.S., Kumara, M.P., Jayasinghe, U.I., Madarasinghe, S.K., Dahdouh-Guebas, F., Gorman, D., Huxham, M., Jayatissa, L.P., 2021. Climate and intertidal zonation drive variability in the carbon stocks of Sri Lankan mangrove forests. Geoderma 389, 114929.</w:t>
      </w:r>
    </w:p>
    <w:p w14:paraId="10C4411C"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Coronado-Molina, C., Alvarez-Guillen, H., Day, J.W., Reyes, E., Perez, B.C., Vera-Herrera, F., Twilley, R., 2012. Litterfall dynamics in carbonate and deltaic mangrove ecosystems in the Gulf of Mexico. Wetl. Ecol. Manag. 20, 123</w:t>
      </w:r>
      <w:r w:rsidRPr="00F24456">
        <w:rPr>
          <w:rFonts w:ascii="Calibri" w:hAnsi="Calibri" w:cs="Calibri" w:hint="cs"/>
          <w:noProof/>
        </w:rPr>
        <w:t>–</w:t>
      </w:r>
      <w:r w:rsidRPr="00F24456">
        <w:rPr>
          <w:rFonts w:ascii="Calibri" w:hAnsi="Calibri" w:cs="Calibri"/>
          <w:noProof/>
        </w:rPr>
        <w:t>136. https://doi.org/10.1007/s11273-012-9249-3</w:t>
      </w:r>
    </w:p>
    <w:p w14:paraId="54029AB3"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Cusack, M., Saderne, V., Arias-Ortiz, A., Masqu</w:t>
      </w:r>
      <w:r w:rsidRPr="00F24456">
        <w:rPr>
          <w:rFonts w:ascii="Calibri" w:hAnsi="Calibri" w:cs="Calibri" w:hint="cs"/>
          <w:noProof/>
        </w:rPr>
        <w:t>é</w:t>
      </w:r>
      <w:r w:rsidRPr="00F24456">
        <w:rPr>
          <w:rFonts w:ascii="Calibri" w:hAnsi="Calibri" w:cs="Calibri"/>
          <w:noProof/>
        </w:rPr>
        <w:t>, P., Krishnakumar, P.K., Rabaoui, L., Qurban, M.A., Qasem, A.M., Prihartato, P., Loughland, R.A., Elyas, A.A., Duarte, C.M., 2018. Organic carbon sequestration and storage in vegetated coastal habitats along the western coast of the Arabian Gulf. Environ. Res. Lett. 13. https://doi.org/10.1088/1748-9326/aac899</w:t>
      </w:r>
    </w:p>
    <w:p w14:paraId="02F5A278"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lastRenderedPageBreak/>
        <w:t>Day, J., Conner, W., Ley-Lou, F., Day, R.H., Navarro, A., 1987. The productivity and composition of mangrove forests, Laguna de T</w:t>
      </w:r>
      <w:r w:rsidRPr="00F24456">
        <w:rPr>
          <w:rFonts w:ascii="Calibri" w:hAnsi="Calibri" w:cs="Calibri" w:hint="cs"/>
          <w:noProof/>
        </w:rPr>
        <w:t>é</w:t>
      </w:r>
      <w:r w:rsidRPr="00F24456">
        <w:rPr>
          <w:rFonts w:ascii="Calibri" w:hAnsi="Calibri" w:cs="Calibri"/>
          <w:noProof/>
        </w:rPr>
        <w:t>rminos, Mexico. Aquat. Bot. 27, 267</w:t>
      </w:r>
      <w:r w:rsidRPr="00F24456">
        <w:rPr>
          <w:rFonts w:ascii="Calibri" w:hAnsi="Calibri" w:cs="Calibri" w:hint="cs"/>
          <w:noProof/>
        </w:rPr>
        <w:t>–</w:t>
      </w:r>
      <w:r w:rsidRPr="00F24456">
        <w:rPr>
          <w:rFonts w:ascii="Calibri" w:hAnsi="Calibri" w:cs="Calibri"/>
          <w:noProof/>
        </w:rPr>
        <w:t>284. https://doi.org/10.1016/0304-3770(87)90046-5</w:t>
      </w:r>
    </w:p>
    <w:p w14:paraId="2466761D"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Day, J., Coronado-Molina, C., Vera-Herrera, F., Twilley, R., Rivera-Monroy, V., Alvarez-Guillen, H., Day, R., Conner, W., 1996. A 7 year record of above-ground net primary production in a southeastern Mexican mangrove forest. Aquat. Bot. 55, 39</w:t>
      </w:r>
      <w:r w:rsidRPr="00F24456">
        <w:rPr>
          <w:rFonts w:ascii="Calibri" w:hAnsi="Calibri" w:cs="Calibri" w:hint="cs"/>
          <w:noProof/>
        </w:rPr>
        <w:t>–</w:t>
      </w:r>
      <w:r w:rsidRPr="00F24456">
        <w:rPr>
          <w:rFonts w:ascii="Calibri" w:hAnsi="Calibri" w:cs="Calibri"/>
          <w:noProof/>
        </w:rPr>
        <w:t>60. https://doi.org/10.1016/0304-3770(96)01063-7</w:t>
      </w:r>
    </w:p>
    <w:p w14:paraId="09CE09F0"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Donato, D.C., Kauffman, J.B., Mackenzie, R.A., Ainsworth, A., Pfleeger, A.Z., 2012. Whole-island carbon stocks in the tropical Pacific: Implications for mangrove conservation and upland restoration. J. Environ. Manage. 97, 89</w:t>
      </w:r>
      <w:r w:rsidRPr="00F24456">
        <w:rPr>
          <w:rFonts w:ascii="Calibri" w:hAnsi="Calibri" w:cs="Calibri" w:hint="cs"/>
          <w:noProof/>
        </w:rPr>
        <w:t>–</w:t>
      </w:r>
      <w:r w:rsidRPr="00F24456">
        <w:rPr>
          <w:rFonts w:ascii="Calibri" w:hAnsi="Calibri" w:cs="Calibri"/>
          <w:noProof/>
        </w:rPr>
        <w:t>96. https://doi.org/10.1016/j.jenvman.2011.12.004</w:t>
      </w:r>
    </w:p>
    <w:p w14:paraId="405FE6AC"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Donato, D.C., Kauffman, J.B., Murdiyarso, D., Kurnianto, S., Stidham, M., Kanninen, M., 2011. Mangroves among the most carbon-rich forests in the tropics. Nat. Geosci. 4, 293</w:t>
      </w:r>
      <w:r w:rsidRPr="00F24456">
        <w:rPr>
          <w:rFonts w:ascii="Calibri" w:hAnsi="Calibri" w:cs="Calibri" w:hint="cs"/>
          <w:noProof/>
        </w:rPr>
        <w:t>–</w:t>
      </w:r>
      <w:r w:rsidRPr="00F24456">
        <w:rPr>
          <w:rFonts w:ascii="Calibri" w:hAnsi="Calibri" w:cs="Calibri"/>
          <w:noProof/>
        </w:rPr>
        <w:t>297. https://doi.org/10.1038/ngeo1123</w:t>
      </w:r>
    </w:p>
    <w:p w14:paraId="3A212DF3"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Duarte, C.M., 2017. Reviews and syntheses: Hidden forests, the role of vegetated coastal habitats in the ocean carbon budget. Biogeosciences 14, 301</w:t>
      </w:r>
      <w:r w:rsidRPr="00F24456">
        <w:rPr>
          <w:rFonts w:ascii="Calibri" w:hAnsi="Calibri" w:cs="Calibri" w:hint="cs"/>
          <w:noProof/>
        </w:rPr>
        <w:t>–</w:t>
      </w:r>
      <w:r w:rsidRPr="00F24456">
        <w:rPr>
          <w:rFonts w:ascii="Calibri" w:hAnsi="Calibri" w:cs="Calibri"/>
          <w:noProof/>
        </w:rPr>
        <w:t>310. https://doi.org/10.5194/bg-14-301-2017</w:t>
      </w:r>
    </w:p>
    <w:p w14:paraId="25EC9879"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Duarte, C.M., Losada, I.J., Hendriks, I.E., Mazarrasa, I., Marb</w:t>
      </w:r>
      <w:r w:rsidRPr="00F24456">
        <w:rPr>
          <w:rFonts w:ascii="Calibri" w:hAnsi="Calibri" w:cs="Calibri" w:hint="cs"/>
          <w:noProof/>
        </w:rPr>
        <w:t>à</w:t>
      </w:r>
      <w:r w:rsidRPr="00F24456">
        <w:rPr>
          <w:rFonts w:ascii="Calibri" w:hAnsi="Calibri" w:cs="Calibri"/>
          <w:noProof/>
        </w:rPr>
        <w:t>, N., 2013. The role of coastal plant communities for climate change mitigation and adaptation. Nat. Clim. Chang. 3, 961</w:t>
      </w:r>
      <w:r w:rsidRPr="00F24456">
        <w:rPr>
          <w:rFonts w:ascii="Calibri" w:hAnsi="Calibri" w:cs="Calibri" w:hint="cs"/>
          <w:noProof/>
        </w:rPr>
        <w:t>–</w:t>
      </w:r>
      <w:r w:rsidRPr="00F24456">
        <w:rPr>
          <w:rFonts w:ascii="Calibri" w:hAnsi="Calibri" w:cs="Calibri"/>
          <w:noProof/>
        </w:rPr>
        <w:t>968. https://doi.org/10.1038/nclimate1970</w:t>
      </w:r>
    </w:p>
    <w:p w14:paraId="00A22198"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Duarte, C.M., Middelburg, J.J., Caraco, N., 2005. Major role of marine vegetation on the oceanic carbon cycle. Biogeosciences 2, 1</w:t>
      </w:r>
      <w:r w:rsidRPr="00F24456">
        <w:rPr>
          <w:rFonts w:ascii="Calibri" w:hAnsi="Calibri" w:cs="Calibri" w:hint="cs"/>
          <w:noProof/>
        </w:rPr>
        <w:t>–</w:t>
      </w:r>
      <w:r w:rsidRPr="00F24456">
        <w:rPr>
          <w:rFonts w:ascii="Calibri" w:hAnsi="Calibri" w:cs="Calibri"/>
          <w:noProof/>
        </w:rPr>
        <w:t>8. https://doi.org/10.5194/bg-2-1-2005</w:t>
      </w:r>
    </w:p>
    <w:p w14:paraId="66EF6A35"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lastRenderedPageBreak/>
        <w:t>Duke, N.C., Field, C., Mackenzie, J.R., Meynecke, J.O., Wood, A.L., 2019. Rainfall and its possible hysteresis effect on the proportional cover of tropical tidal-wetland mangroves and saltmarsh-saltpans. Mar. Freshw. Res. 70, 1047</w:t>
      </w:r>
      <w:r w:rsidRPr="00F24456">
        <w:rPr>
          <w:rFonts w:ascii="Calibri" w:hAnsi="Calibri" w:cs="Calibri" w:hint="cs"/>
          <w:noProof/>
        </w:rPr>
        <w:t>–</w:t>
      </w:r>
      <w:r w:rsidRPr="00F24456">
        <w:rPr>
          <w:rFonts w:ascii="Calibri" w:hAnsi="Calibri" w:cs="Calibri"/>
          <w:noProof/>
        </w:rPr>
        <w:t>1055. https://doi.org/10.1071/MF18321</w:t>
      </w:r>
    </w:p>
    <w:p w14:paraId="09CA509F"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Duke, N.C., Meynecke, J.-O., Dittmann, S., Ellison, A.M., Anger, K., Berger, U., Cannicci, S., Diele, K., Ewel, K.C., Field, C.D., Koedam, N., Lee, S.Y., Marchand, C., Nordhaus, I., Dahdouh-Guebas, F., 2007. A World Without Mangroves? Science (80-. ). 317, 41b-42b. https://doi.org/10.1126/science.317.5834.41b</w:t>
      </w:r>
    </w:p>
    <w:p w14:paraId="318388C7"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Eid, E.M., Shaltout, K.H., 2016. Distribution of soil organic carbon in the mangrove Avicennia marina (Forssk.) Vierh. along the Egyptian Red Sea Coast. Reg. Stud. Mar. Sci. 3, 76</w:t>
      </w:r>
      <w:r w:rsidRPr="00F24456">
        <w:rPr>
          <w:rFonts w:ascii="Calibri" w:hAnsi="Calibri" w:cs="Calibri" w:hint="cs"/>
          <w:noProof/>
        </w:rPr>
        <w:t>–</w:t>
      </w:r>
      <w:r w:rsidRPr="00F24456">
        <w:rPr>
          <w:rFonts w:ascii="Calibri" w:hAnsi="Calibri" w:cs="Calibri"/>
          <w:noProof/>
        </w:rPr>
        <w:t>82. https://doi.org/10.1016/j.rsma.2015.05.006</w:t>
      </w:r>
    </w:p>
    <w:p w14:paraId="1E2309CB"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Ellison, J.C., 1993. Mangrove Retreat with Rising Sea-level, Bermuda. Estuar. Coast. Shelf Sci. 37, 75</w:t>
      </w:r>
      <w:r w:rsidRPr="00F24456">
        <w:rPr>
          <w:rFonts w:ascii="Calibri" w:hAnsi="Calibri" w:cs="Calibri" w:hint="cs"/>
          <w:noProof/>
        </w:rPr>
        <w:t>–</w:t>
      </w:r>
      <w:r w:rsidRPr="00F24456">
        <w:rPr>
          <w:rFonts w:ascii="Calibri" w:hAnsi="Calibri" w:cs="Calibri"/>
          <w:noProof/>
        </w:rPr>
        <w:t>87. https://doi.org/10.1006/ecss.1993.1042</w:t>
      </w:r>
    </w:p>
    <w:p w14:paraId="413B7FDF"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Emmerson, W.D., McGwynne, L.E., 1992. Feeding and assimilation of mangrove leaves by the crab Sesarma meinerti de Man in relation to leaf-litter production in Mgazana, a warm-temperate southern African mangrove swamp. J. Exp. Mar. Bio. Ecol. 157, 41</w:t>
      </w:r>
      <w:r w:rsidRPr="00F24456">
        <w:rPr>
          <w:rFonts w:ascii="Calibri" w:hAnsi="Calibri" w:cs="Calibri" w:hint="cs"/>
          <w:noProof/>
        </w:rPr>
        <w:t>–</w:t>
      </w:r>
      <w:r w:rsidRPr="00F24456">
        <w:rPr>
          <w:rFonts w:ascii="Calibri" w:hAnsi="Calibri" w:cs="Calibri"/>
          <w:noProof/>
        </w:rPr>
        <w:t>53. https://doi.org/10.1016/0022-0981(92)90073-J</w:t>
      </w:r>
    </w:p>
    <w:p w14:paraId="22A560A9"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Estrada, G.C.D., Soares, M.L.G., Santos, D.M.C., Fernandez, V., de Almeida, P.M.M., Estevam, M.R. de M., Machado, M.R.O., 2014. Allometric models for aboveground biomass estimation of the mangrove Avicennia schaueriana. Hydrobiologia 734, 171</w:t>
      </w:r>
      <w:r w:rsidRPr="00F24456">
        <w:rPr>
          <w:rFonts w:ascii="Calibri" w:hAnsi="Calibri" w:cs="Calibri" w:hint="cs"/>
          <w:noProof/>
        </w:rPr>
        <w:t>–</w:t>
      </w:r>
      <w:r w:rsidRPr="00F24456">
        <w:rPr>
          <w:rFonts w:ascii="Calibri" w:hAnsi="Calibri" w:cs="Calibri"/>
          <w:noProof/>
        </w:rPr>
        <w:t>185. https://doi.org/10.1007/s10750-014-1878-5</w:t>
      </w:r>
    </w:p>
    <w:p w14:paraId="3D79F448"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Ezcurra, P., Ezcurra, E., Garcill</w:t>
      </w:r>
      <w:r w:rsidRPr="00F24456">
        <w:rPr>
          <w:rFonts w:ascii="Calibri" w:hAnsi="Calibri" w:cs="Calibri" w:hint="cs"/>
          <w:noProof/>
        </w:rPr>
        <w:t>á</w:t>
      </w:r>
      <w:r w:rsidRPr="00F24456">
        <w:rPr>
          <w:rFonts w:ascii="Calibri" w:hAnsi="Calibri" w:cs="Calibri"/>
          <w:noProof/>
        </w:rPr>
        <w:t xml:space="preserve">n, P.P., Costa, M.T., Aburto-Oropeza, O., 2016. Coastal landforms and accumulation of mangrove peat increase carbon sequestration and storage. Proc. Natl. </w:t>
      </w:r>
      <w:r w:rsidRPr="00F24456">
        <w:rPr>
          <w:rFonts w:ascii="Calibri" w:hAnsi="Calibri" w:cs="Calibri"/>
          <w:noProof/>
        </w:rPr>
        <w:lastRenderedPageBreak/>
        <w:t>Acad. Sci. 113, 4404</w:t>
      </w:r>
      <w:r w:rsidRPr="00F24456">
        <w:rPr>
          <w:rFonts w:ascii="Calibri" w:hAnsi="Calibri" w:cs="Calibri" w:hint="cs"/>
          <w:noProof/>
        </w:rPr>
        <w:t>–</w:t>
      </w:r>
      <w:r w:rsidRPr="00F24456">
        <w:rPr>
          <w:rFonts w:ascii="Calibri" w:hAnsi="Calibri" w:cs="Calibri"/>
          <w:noProof/>
        </w:rPr>
        <w:t>4409. https://doi.org/10.1073/pnas.1519774113</w:t>
      </w:r>
    </w:p>
    <w:p w14:paraId="0A9D538A"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FAO, 2007. The world</w:t>
      </w:r>
      <w:r w:rsidRPr="00F24456">
        <w:rPr>
          <w:rFonts w:ascii="Calibri" w:hAnsi="Calibri" w:cs="Calibri" w:hint="cs"/>
          <w:noProof/>
        </w:rPr>
        <w:t>’</w:t>
      </w:r>
      <w:r w:rsidRPr="00F24456">
        <w:rPr>
          <w:rFonts w:ascii="Calibri" w:hAnsi="Calibri" w:cs="Calibri"/>
          <w:noProof/>
        </w:rPr>
        <w:t>s Mangroves 1980-2005. Rome.</w:t>
      </w:r>
    </w:p>
    <w:p w14:paraId="509A7F64"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Fekete, B.M., V</w:t>
      </w:r>
      <w:r w:rsidRPr="00F24456">
        <w:rPr>
          <w:rFonts w:ascii="Calibri" w:hAnsi="Calibri" w:cs="Calibri" w:hint="cs"/>
          <w:noProof/>
        </w:rPr>
        <w:t>ö</w:t>
      </w:r>
      <w:r w:rsidRPr="00F24456">
        <w:rPr>
          <w:rFonts w:ascii="Calibri" w:hAnsi="Calibri" w:cs="Calibri"/>
          <w:noProof/>
        </w:rPr>
        <w:t>r</w:t>
      </w:r>
      <w:r w:rsidRPr="00F24456">
        <w:rPr>
          <w:rFonts w:ascii="Calibri" w:hAnsi="Calibri" w:cs="Calibri" w:hint="cs"/>
          <w:noProof/>
        </w:rPr>
        <w:t>ö</w:t>
      </w:r>
      <w:r w:rsidRPr="00F24456">
        <w:rPr>
          <w:rFonts w:ascii="Calibri" w:hAnsi="Calibri" w:cs="Calibri"/>
          <w:noProof/>
        </w:rPr>
        <w:t>smarty, C.J., Grabs, W., 2002. High-resolution fields of global runoff combining observed river discharge and simulated water balances. Global Biogeochem. Cycles 16, 15-1-15</w:t>
      </w:r>
      <w:r w:rsidRPr="00F24456">
        <w:rPr>
          <w:rFonts w:ascii="Calibri" w:hAnsi="Calibri" w:cs="Calibri" w:hint="cs"/>
          <w:noProof/>
        </w:rPr>
        <w:t>–</w:t>
      </w:r>
      <w:r w:rsidRPr="00F24456">
        <w:rPr>
          <w:rFonts w:ascii="Calibri" w:hAnsi="Calibri" w:cs="Calibri"/>
          <w:noProof/>
        </w:rPr>
        <w:t>10. https://doi.org/10.1029/1999gb001254</w:t>
      </w:r>
    </w:p>
    <w:p w14:paraId="52160A40"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Feller, I.C., Whigham, D.F., McKee, K.L., Lovelock, C.E., 2003. Nitrogen limitation of growth and nutrient dynamics in a disturbed mangrove forest, Indian River Lagoon, Florida. Oecologia 134, 405</w:t>
      </w:r>
      <w:r w:rsidRPr="00F24456">
        <w:rPr>
          <w:rFonts w:ascii="Calibri" w:hAnsi="Calibri" w:cs="Calibri" w:hint="cs"/>
          <w:noProof/>
        </w:rPr>
        <w:t>–</w:t>
      </w:r>
      <w:r w:rsidRPr="00F24456">
        <w:rPr>
          <w:rFonts w:ascii="Calibri" w:hAnsi="Calibri" w:cs="Calibri"/>
          <w:noProof/>
        </w:rPr>
        <w:t>414. https://doi.org/10.1007/s00442-002-1117-z</w:t>
      </w:r>
    </w:p>
    <w:p w14:paraId="32941ACF"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Fourqurean, J.W., Duarte, C.M., Kennedy, H., Marb</w:t>
      </w:r>
      <w:r w:rsidRPr="00F24456">
        <w:rPr>
          <w:rFonts w:ascii="Calibri" w:hAnsi="Calibri" w:cs="Calibri" w:hint="cs"/>
          <w:noProof/>
        </w:rPr>
        <w:t>à</w:t>
      </w:r>
      <w:r w:rsidRPr="00F24456">
        <w:rPr>
          <w:rFonts w:ascii="Calibri" w:hAnsi="Calibri" w:cs="Calibri"/>
          <w:noProof/>
        </w:rPr>
        <w:t>, N., Holmer, M., Mateo, M.A., Apostolaki, E.T., Kendrick, G.A., Krause-Jensen, D., McGlathery, K.J., Serrano, O., 2012. Seagrass ecosystems as a globally significant carbon stock. Nat. Geosci. 5, 505</w:t>
      </w:r>
      <w:r w:rsidRPr="00F24456">
        <w:rPr>
          <w:rFonts w:ascii="Calibri" w:hAnsi="Calibri" w:cs="Calibri" w:hint="cs"/>
          <w:noProof/>
        </w:rPr>
        <w:t>–</w:t>
      </w:r>
      <w:r w:rsidRPr="00F24456">
        <w:rPr>
          <w:rFonts w:ascii="Calibri" w:hAnsi="Calibri" w:cs="Calibri"/>
          <w:noProof/>
        </w:rPr>
        <w:t>509. https://doi.org/10.1038/ngeo1477</w:t>
      </w:r>
    </w:p>
    <w:p w14:paraId="76D53DB4"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Friess, D.A., Webb, E.L., 2014. Variability in mangrove change estimates and implications for the assessment of ecosystem service provision. Glob. Ecol. Biogeogr. 23, 715</w:t>
      </w:r>
      <w:r w:rsidRPr="00F24456">
        <w:rPr>
          <w:rFonts w:ascii="Calibri" w:hAnsi="Calibri" w:cs="Calibri" w:hint="cs"/>
          <w:noProof/>
        </w:rPr>
        <w:t>–</w:t>
      </w:r>
      <w:r w:rsidRPr="00F24456">
        <w:rPr>
          <w:rFonts w:ascii="Calibri" w:hAnsi="Calibri" w:cs="Calibri"/>
          <w:noProof/>
        </w:rPr>
        <w:t>725. https://doi.org/10.1111/geb.12140</w:t>
      </w:r>
    </w:p>
    <w:p w14:paraId="6DAD1FAB"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Fromard, F., Puig, H., Mougin, E., Marty, G., Betoulle, J.L., Cadamuro, L., 1998. Structure, above-ground biomass and dynamics of mangrove ecosystems: New data from French Guiana. Oecologia 115, 39</w:t>
      </w:r>
      <w:r w:rsidRPr="00F24456">
        <w:rPr>
          <w:rFonts w:ascii="Calibri" w:hAnsi="Calibri" w:cs="Calibri" w:hint="cs"/>
          <w:noProof/>
        </w:rPr>
        <w:t>–</w:t>
      </w:r>
      <w:r w:rsidRPr="00F24456">
        <w:rPr>
          <w:rFonts w:ascii="Calibri" w:hAnsi="Calibri" w:cs="Calibri"/>
          <w:noProof/>
        </w:rPr>
        <w:t>53. https://doi.org/10.1007/s004420050489</w:t>
      </w:r>
    </w:p>
    <w:p w14:paraId="25A4D7F0"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Gab-Alla, A., Fouda, M., Morsy, W., 2010. Ecology of Avicennia marina mangals along Gulf of Aqaba, South Sinai, Red Sea. Egypt. J. Aquat. Biol. Fish. 14, 79</w:t>
      </w:r>
      <w:r w:rsidRPr="00F24456">
        <w:rPr>
          <w:rFonts w:ascii="Calibri" w:hAnsi="Calibri" w:cs="Calibri" w:hint="cs"/>
          <w:noProof/>
        </w:rPr>
        <w:t>–</w:t>
      </w:r>
      <w:r w:rsidRPr="00F24456">
        <w:rPr>
          <w:rFonts w:ascii="Calibri" w:hAnsi="Calibri" w:cs="Calibri"/>
          <w:noProof/>
        </w:rPr>
        <w:t>93. https://doi.org/10.21608/ejabf.2010.2063</w:t>
      </w:r>
    </w:p>
    <w:p w14:paraId="3FFCCC8F"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 xml:space="preserve">Gabler, C.A., Osland, M.J., Grace, J.B., Stagg, C.L., Day, R.H., Hartley, S.B., Enwright, N.M., From, </w:t>
      </w:r>
      <w:r w:rsidRPr="00F24456">
        <w:rPr>
          <w:rFonts w:ascii="Calibri" w:hAnsi="Calibri" w:cs="Calibri"/>
          <w:noProof/>
        </w:rPr>
        <w:lastRenderedPageBreak/>
        <w:t>A.S., McCoy, M.L., McLeod, J.L., 2017. Macroclimatic change expected to transform coastal wetland ecosystems this century. Nat. Clim. Chang. 7, 142</w:t>
      </w:r>
      <w:r w:rsidRPr="00F24456">
        <w:rPr>
          <w:rFonts w:ascii="Calibri" w:hAnsi="Calibri" w:cs="Calibri" w:hint="cs"/>
          <w:noProof/>
        </w:rPr>
        <w:t>–</w:t>
      </w:r>
      <w:r w:rsidRPr="00F24456">
        <w:rPr>
          <w:rFonts w:ascii="Calibri" w:hAnsi="Calibri" w:cs="Calibri"/>
          <w:noProof/>
        </w:rPr>
        <w:t>147. https://doi.org/10.1038/nclimate3203</w:t>
      </w:r>
    </w:p>
    <w:p w14:paraId="60405088"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Geoghegan, E.K., Langley, J.A., Chapman, S.K., 2021. A comparison of mangrove and marsh influences on soil respiration rates: A mesocosm study. Estuar. Coast. Shelf Sci. 248. https://doi.org/10.1016/j.ecss.2020.106877</w:t>
      </w:r>
    </w:p>
    <w:p w14:paraId="1E5E4F4B"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Ghosh, P.B., Singh, B.N., Chakrabarty, C., Saha, A., Das, R.L., Choudhury, A., 1990. Mangrove Litter Production in a Tidal Creek of Lothian Island of Sundarbans, India. Indian J. Mar. Sci. 19, 292</w:t>
      </w:r>
      <w:r w:rsidRPr="00F24456">
        <w:rPr>
          <w:rFonts w:ascii="Calibri" w:hAnsi="Calibri" w:cs="Calibri" w:hint="cs"/>
          <w:noProof/>
        </w:rPr>
        <w:t>–</w:t>
      </w:r>
      <w:r w:rsidRPr="00F24456">
        <w:rPr>
          <w:rFonts w:ascii="Calibri" w:hAnsi="Calibri" w:cs="Calibri"/>
          <w:noProof/>
        </w:rPr>
        <w:t>293.</w:t>
      </w:r>
    </w:p>
    <w:p w14:paraId="2314BA94"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Giorgi, F., Raffaele, F., Coppola, E., 2019. The response of precipitation characteristics to global warming from climate projections. Earth Syst. Dyn. 10, 73</w:t>
      </w:r>
      <w:r w:rsidRPr="00F24456">
        <w:rPr>
          <w:rFonts w:ascii="Calibri" w:hAnsi="Calibri" w:cs="Calibri" w:hint="cs"/>
          <w:noProof/>
        </w:rPr>
        <w:t>–</w:t>
      </w:r>
      <w:r w:rsidRPr="00F24456">
        <w:rPr>
          <w:rFonts w:ascii="Calibri" w:hAnsi="Calibri" w:cs="Calibri"/>
          <w:noProof/>
        </w:rPr>
        <w:t>89. https://doi.org/10.5194/esd-10-73-2019</w:t>
      </w:r>
    </w:p>
    <w:p w14:paraId="6D467A6F"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Giri, C., Ochieng, E., Tieszen, L.L., Zhu, Z., Singh, A., Loveland, T., Masek, J., Duke, N., 2011. Status and distribution of mangrove forests of the world using earth observation satellite data. Glob. Ecol. Biogeogr. 20, 154</w:t>
      </w:r>
      <w:r w:rsidRPr="00F24456">
        <w:rPr>
          <w:rFonts w:ascii="Calibri" w:hAnsi="Calibri" w:cs="Calibri" w:hint="cs"/>
          <w:noProof/>
        </w:rPr>
        <w:t>–</w:t>
      </w:r>
      <w:r w:rsidRPr="00F24456">
        <w:rPr>
          <w:rFonts w:ascii="Calibri" w:hAnsi="Calibri" w:cs="Calibri"/>
          <w:noProof/>
        </w:rPr>
        <w:t>159. https://doi.org/10.1111/j.1466-8238.2010.00584.x</w:t>
      </w:r>
    </w:p>
    <w:p w14:paraId="43D3D6C8"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Gladstone-Gallagher, R. V., Lundquist, C.J., Pilditch, C.A., 2014. Mangrove (Avicennia marina subsp. australasica) litter production and decomposition in a temperate estuary. New Zeal. J. Mar. Freshw. Res. 48, 24</w:t>
      </w:r>
      <w:r w:rsidRPr="00F24456">
        <w:rPr>
          <w:rFonts w:ascii="Calibri" w:hAnsi="Calibri" w:cs="Calibri" w:hint="cs"/>
          <w:noProof/>
        </w:rPr>
        <w:t>–</w:t>
      </w:r>
      <w:r w:rsidRPr="00F24456">
        <w:rPr>
          <w:rFonts w:ascii="Calibri" w:hAnsi="Calibri" w:cs="Calibri"/>
          <w:noProof/>
        </w:rPr>
        <w:t>37. https://doi.org/10.1080/00288330.2013.827124</w:t>
      </w:r>
    </w:p>
    <w:p w14:paraId="30E38435"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 xml:space="preserve">Gnanamoorthy, P., Selvam, V., Burman, P.K.D., Chakraborty, S., Karipot, A., Nagarajan, R., Ramasubramanian, R., Song, Q., Zhang, Y., Grace, J., 2020. Seasonal variations of net ecosystem (CO2) exchange in the Indian tropical mangrove forest of Pichavaram. Estuar. </w:t>
      </w:r>
      <w:r w:rsidRPr="00F24456">
        <w:rPr>
          <w:rFonts w:ascii="Calibri" w:hAnsi="Calibri" w:cs="Calibri"/>
          <w:noProof/>
        </w:rPr>
        <w:lastRenderedPageBreak/>
        <w:t>Coast. Shelf Sci. 243, p.106828. https://doi.org/doi.org/10.1016/j.ecss.2020.106828</w:t>
      </w:r>
    </w:p>
    <w:p w14:paraId="2353BF05"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Gnanamoorthy, P., Selvam, V., Ramasubramanian, R., Nagarajan, R., Chakraborty, S., Deb Burman, P.K., Karipot, A., 2019. Diurnal and seasonal patterns of soil CO 2 efflux from the Pichavaram mangroves, India. Environ. Monit. Assess. 191. https://doi.org/10.1007/s10661-019-7407-2</w:t>
      </w:r>
    </w:p>
    <w:p w14:paraId="5ED3ED85"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Gress, S., Huxham, M., Kairo, J., Mugi, L., 2017. Evaluating, predicting and mapping belowground carbon stores in Kenyan mangroves - Gress - 2016 - Global Change Biology - Wiley Online Library. Glob. Chang. 23, 224</w:t>
      </w:r>
      <w:r w:rsidRPr="00F24456">
        <w:rPr>
          <w:rFonts w:ascii="Calibri" w:hAnsi="Calibri" w:cs="Calibri" w:hint="cs"/>
          <w:noProof/>
        </w:rPr>
        <w:t>–</w:t>
      </w:r>
      <w:r w:rsidRPr="00F24456">
        <w:rPr>
          <w:rFonts w:ascii="Calibri" w:hAnsi="Calibri" w:cs="Calibri"/>
          <w:noProof/>
        </w:rPr>
        <w:t>234.</w:t>
      </w:r>
    </w:p>
    <w:p w14:paraId="034BE4D5"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Halwagy, R., Moustafa, A.F., Kamel, S.M., 1982. On the ecology of the desert vegetation in Kuwait. J. Arid Environ. 5, 95</w:t>
      </w:r>
      <w:r w:rsidRPr="00F24456">
        <w:rPr>
          <w:rFonts w:ascii="Calibri" w:hAnsi="Calibri" w:cs="Calibri" w:hint="cs"/>
          <w:noProof/>
        </w:rPr>
        <w:t>–</w:t>
      </w:r>
      <w:r w:rsidRPr="00F24456">
        <w:rPr>
          <w:rFonts w:ascii="Calibri" w:hAnsi="Calibri" w:cs="Calibri"/>
          <w:noProof/>
        </w:rPr>
        <w:t>107. https://doi.org/10.1016/s0140-1963(18)31543-x</w:t>
      </w:r>
    </w:p>
    <w:p w14:paraId="119666DF"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Hamilton, S., Casey, D., 2016. Creation of a high spatiotemporal resolution global database of continuous mangrove forest cover. Glob. Ecol. Biogeogr. 25, 729</w:t>
      </w:r>
      <w:r w:rsidRPr="00F24456">
        <w:rPr>
          <w:rFonts w:ascii="Calibri" w:hAnsi="Calibri" w:cs="Calibri" w:hint="cs"/>
          <w:noProof/>
        </w:rPr>
        <w:t>–</w:t>
      </w:r>
      <w:r w:rsidRPr="00F24456">
        <w:rPr>
          <w:rFonts w:ascii="Calibri" w:hAnsi="Calibri" w:cs="Calibri"/>
          <w:noProof/>
        </w:rPr>
        <w:t>738.</w:t>
      </w:r>
    </w:p>
    <w:p w14:paraId="51F521ED"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Hamilton, S.E., Friess, D.A., 2018. Global carbon stocks and potential emissions due to mangrove deforestation from 2000 to 2012. Nat. Clim. Chang. 8, 240</w:t>
      </w:r>
      <w:r w:rsidRPr="00F24456">
        <w:rPr>
          <w:rFonts w:ascii="Calibri" w:hAnsi="Calibri" w:cs="Calibri" w:hint="cs"/>
          <w:noProof/>
        </w:rPr>
        <w:t>–</w:t>
      </w:r>
      <w:r w:rsidRPr="00F24456">
        <w:rPr>
          <w:rFonts w:ascii="Calibri" w:hAnsi="Calibri" w:cs="Calibri"/>
          <w:noProof/>
        </w:rPr>
        <w:t>244. https://doi.org/10.1038/s41558-018-0090-4</w:t>
      </w:r>
    </w:p>
    <w:p w14:paraId="44235252"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Hutchison, J., Manica, A., Swetnam, R., Balmford, A., Spalding, M., 2014. Predicting global patterns in mangrove forest biomass. Conserv. Lett. 7, 233</w:t>
      </w:r>
      <w:r w:rsidRPr="00F24456">
        <w:rPr>
          <w:rFonts w:ascii="Calibri" w:hAnsi="Calibri" w:cs="Calibri" w:hint="cs"/>
          <w:noProof/>
        </w:rPr>
        <w:t>–</w:t>
      </w:r>
      <w:r w:rsidRPr="00F24456">
        <w:rPr>
          <w:rFonts w:ascii="Calibri" w:hAnsi="Calibri" w:cs="Calibri"/>
          <w:noProof/>
        </w:rPr>
        <w:t>240. https://doi.org/10.1111/conl.12060</w:t>
      </w:r>
    </w:p>
    <w:p w14:paraId="1A19E9BC"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Igulu, M.M., Nagelkerken, I., Dorenbosch, M., Grol, M.G.G., Harborne, A.R., Kimirei, I.A., Mumby, P.J., Olds, A.D., Mgaya, Y.D., 2014. Mangrove habitat use by juvenile reef fish: Meta-analysis reveals that tidal regime matters more than biogeographic region. PLoS One 9. https://doi.org/10.1371/journal.pone.0114715</w:t>
      </w:r>
    </w:p>
    <w:p w14:paraId="6F2891E2"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lastRenderedPageBreak/>
        <w:t>J</w:t>
      </w:r>
      <w:r w:rsidRPr="00F24456">
        <w:rPr>
          <w:rFonts w:ascii="Calibri" w:hAnsi="Calibri" w:cs="Calibri" w:hint="cs"/>
          <w:noProof/>
        </w:rPr>
        <w:t>ä</w:t>
      </w:r>
      <w:r w:rsidRPr="00F24456">
        <w:rPr>
          <w:rFonts w:ascii="Calibri" w:hAnsi="Calibri" w:cs="Calibri"/>
          <w:noProof/>
        </w:rPr>
        <w:t>nes, H., Macreadie, P.I., Zu Ermgassen, P.S.E., Gair, J.R., Treby, S., Reeves, S., Nicholson, E., Ierodiaconou, D., Carnell, P., 2020. Quantifying fisheries enhancement from coastal vegetated ecosystems. Ecosyst. Serv. 43. https://doi.org/10.1016/j.ecoser.2020.101105</w:t>
      </w:r>
    </w:p>
    <w:p w14:paraId="02717AF9"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Jardine, S.L., Siikam</w:t>
      </w:r>
      <w:r w:rsidRPr="00F24456">
        <w:rPr>
          <w:rFonts w:ascii="Calibri" w:hAnsi="Calibri" w:cs="Calibri" w:hint="cs"/>
          <w:noProof/>
        </w:rPr>
        <w:t>ä</w:t>
      </w:r>
      <w:r w:rsidRPr="00F24456">
        <w:rPr>
          <w:rFonts w:ascii="Calibri" w:hAnsi="Calibri" w:cs="Calibri"/>
          <w:noProof/>
        </w:rPr>
        <w:t>ki, J. V, 2014. A global predictive model of carbon in mangrove soils. Environ. Res. Lett. 9, 104013. https://doi.org/10.1088/1748-9326/9/10/104013</w:t>
      </w:r>
    </w:p>
    <w:p w14:paraId="56875D46"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Jennerjahn, T.C., Ittekkot, V., 2002. Relevance of mangroves for the production and deposition of organic matter along tropical continental margins. Naturwissenschaften 89, 23</w:t>
      </w:r>
      <w:r w:rsidRPr="00F24456">
        <w:rPr>
          <w:rFonts w:ascii="Calibri" w:hAnsi="Calibri" w:cs="Calibri" w:hint="cs"/>
          <w:noProof/>
        </w:rPr>
        <w:t>–</w:t>
      </w:r>
      <w:r w:rsidRPr="00F24456">
        <w:rPr>
          <w:rFonts w:ascii="Calibri" w:hAnsi="Calibri" w:cs="Calibri"/>
          <w:noProof/>
        </w:rPr>
        <w:t>30. https://doi.org/10.1007/s00114-001-0283-x</w:t>
      </w:r>
    </w:p>
    <w:p w14:paraId="221236D4"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John, C. V, Coles, S.L., Abozed, A., 1990. Seasonal cycles of temperature, salinity and water masses  of the Western Arabian Gulf . Oceanol. Acta 13, 273</w:t>
      </w:r>
      <w:r w:rsidRPr="00F24456">
        <w:rPr>
          <w:rFonts w:ascii="Calibri" w:hAnsi="Calibri" w:cs="Calibri" w:hint="cs"/>
          <w:noProof/>
        </w:rPr>
        <w:t>–</w:t>
      </w:r>
      <w:r w:rsidRPr="00F24456">
        <w:rPr>
          <w:rFonts w:ascii="Calibri" w:hAnsi="Calibri" w:cs="Calibri"/>
          <w:noProof/>
        </w:rPr>
        <w:t>281.</w:t>
      </w:r>
    </w:p>
    <w:p w14:paraId="2FCE18D1"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Kalnay, E., Kanamitsu, M., Kistler, R., Collins, W., Deaven, D., Gandin, L., Iredell, M., Saha, S., White, G., Woollen, J., Zhu, Y., Chelliah, M., Ebisuzaki, W., Higgins, W., Janowiak, J.E., Mo, K.C.C., Ropelewski, C., Wang, J., Leetma, A., Reynolds, R.W., Jenne, R., Joseph, D., Leetmaa, A., Reynolds, R.W., Jenne, R., Joseph, D., Chelliah, M., Ebisuzaki, W., Higgins, W., Janowiak, J.E., Mo, K.C.C., Ropelewski, C., Wang, J., Jenne, R., Joseph, D., 1996. The NCEP/NCAR 40-year reanalysis project. Bull. Am. Meteorol. Soc. 77, 437</w:t>
      </w:r>
      <w:r w:rsidRPr="00F24456">
        <w:rPr>
          <w:rFonts w:ascii="Calibri" w:hAnsi="Calibri" w:cs="Calibri" w:hint="cs"/>
          <w:noProof/>
        </w:rPr>
        <w:t>–</w:t>
      </w:r>
      <w:r w:rsidRPr="00F24456">
        <w:rPr>
          <w:rFonts w:ascii="Calibri" w:hAnsi="Calibri" w:cs="Calibri"/>
          <w:noProof/>
        </w:rPr>
        <w:t>495. https://doi.org/10.1175/1520-0477(1996)077&lt;0437:TNYRP&gt;2.0.CO;2</w:t>
      </w:r>
    </w:p>
    <w:p w14:paraId="109ACD70"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Kathiresan, K., Rajendran, N., 2005. Coastal mangrove forests mitigated tsunami. Estuar. Coast. Shelf Sci. 65, 601</w:t>
      </w:r>
      <w:r w:rsidRPr="00F24456">
        <w:rPr>
          <w:rFonts w:ascii="Calibri" w:hAnsi="Calibri" w:cs="Calibri" w:hint="cs"/>
          <w:noProof/>
        </w:rPr>
        <w:t>–</w:t>
      </w:r>
      <w:r w:rsidRPr="00F24456">
        <w:rPr>
          <w:rFonts w:ascii="Calibri" w:hAnsi="Calibri" w:cs="Calibri"/>
          <w:noProof/>
        </w:rPr>
        <w:t>606.</w:t>
      </w:r>
    </w:p>
    <w:p w14:paraId="1DC80E6B"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Kauffman, B.J., Arifanti, V.B., Hern</w:t>
      </w:r>
      <w:r w:rsidRPr="00F24456">
        <w:rPr>
          <w:rFonts w:ascii="Calibri" w:hAnsi="Calibri" w:cs="Calibri" w:hint="cs"/>
          <w:noProof/>
        </w:rPr>
        <w:t>á</w:t>
      </w:r>
      <w:r w:rsidRPr="00F24456">
        <w:rPr>
          <w:rFonts w:ascii="Calibri" w:hAnsi="Calibri" w:cs="Calibri"/>
          <w:noProof/>
        </w:rPr>
        <w:t>ndez Trejo, H., del Carmen Jes</w:t>
      </w:r>
      <w:r w:rsidRPr="00F24456">
        <w:rPr>
          <w:rFonts w:ascii="Calibri" w:hAnsi="Calibri" w:cs="Calibri" w:hint="cs"/>
          <w:noProof/>
        </w:rPr>
        <w:t>ú</w:t>
      </w:r>
      <w:r w:rsidRPr="00F24456">
        <w:rPr>
          <w:rFonts w:ascii="Calibri" w:hAnsi="Calibri" w:cs="Calibri"/>
          <w:noProof/>
        </w:rPr>
        <w:t>s Garc</w:t>
      </w:r>
      <w:r w:rsidRPr="00F24456">
        <w:rPr>
          <w:rFonts w:ascii="Calibri" w:hAnsi="Calibri" w:cs="Calibri" w:hint="cs"/>
          <w:noProof/>
        </w:rPr>
        <w:t>í</w:t>
      </w:r>
      <w:r w:rsidRPr="00F24456">
        <w:rPr>
          <w:rFonts w:ascii="Calibri" w:hAnsi="Calibri" w:cs="Calibri"/>
          <w:noProof/>
        </w:rPr>
        <w:t>a, M., Norfolk, J., Cifuentes, M., Hadriyanto, D., Murdiyarso, D., 2017. The jumbo carbon footprint of a shrimp: carbon losses from mangrove deforestation. Front. Ecol. Environ. 15, 183</w:t>
      </w:r>
      <w:r w:rsidRPr="00F24456">
        <w:rPr>
          <w:rFonts w:ascii="Calibri" w:hAnsi="Calibri" w:cs="Calibri" w:hint="cs"/>
          <w:noProof/>
        </w:rPr>
        <w:t>–</w:t>
      </w:r>
      <w:r w:rsidRPr="00F24456">
        <w:rPr>
          <w:rFonts w:ascii="Calibri" w:hAnsi="Calibri" w:cs="Calibri"/>
          <w:noProof/>
        </w:rPr>
        <w:t xml:space="preserve">188. </w:t>
      </w:r>
      <w:r w:rsidRPr="00F24456">
        <w:rPr>
          <w:rFonts w:ascii="Calibri" w:hAnsi="Calibri" w:cs="Calibri"/>
          <w:noProof/>
        </w:rPr>
        <w:lastRenderedPageBreak/>
        <w:t>https://doi.org/10.1002/fee.1482</w:t>
      </w:r>
    </w:p>
    <w:p w14:paraId="1EDDD259"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Kauffman, J., Donato, D., 2012. Protocols for the measurement, monitoring and reporting of structure, biomass and carbon stocks in mangrove forests, Center for International Forestry. Bogor, Indonesia. https://doi.org/10.17528/cifor/003749</w:t>
      </w:r>
    </w:p>
    <w:p w14:paraId="3EDB7201"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Kauffman, J.B., Adame, M.F., Arifanti, V.B., Schile-Beers, L.M., Bernardino, A.F., Bhomia, R.K., Donato, D.C., Feller, I.C., Ferreira, T.O., Jesus Garcia, M. del C., MacKenzie, R.A., Megonigal, J.P., Murdiyarso, D., Simpson, L., Hern</w:t>
      </w:r>
      <w:r w:rsidRPr="00F24456">
        <w:rPr>
          <w:rFonts w:ascii="Calibri" w:hAnsi="Calibri" w:cs="Calibri" w:hint="cs"/>
          <w:noProof/>
        </w:rPr>
        <w:t>á</w:t>
      </w:r>
      <w:r w:rsidRPr="00F24456">
        <w:rPr>
          <w:rFonts w:ascii="Calibri" w:hAnsi="Calibri" w:cs="Calibri"/>
          <w:noProof/>
        </w:rPr>
        <w:t>ndez Trejo, H., 2020. Total ecosystem carbon stocks of mangroves across broad global environmental and physical gradients. Ecol. Monogr. https://doi.org/10.1002/ecm.1405</w:t>
      </w:r>
    </w:p>
    <w:p w14:paraId="03B169C2"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Kauffman, J.B., Bhomia, R.K., 2017. Ecosystem carbon stocks of mangroves across broad environmental gradients in West-Central Africa: Global and regional comparisons. PLoS One 12, e0187749. https://doi.org/10.1371/journal.pone.0187749</w:t>
      </w:r>
    </w:p>
    <w:p w14:paraId="4832DF57"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Kauffman, J.B., Heider, C., Cole, T.G., Dwire, K.A., Donato, D.C., 2011. Ecosystem carbon stocks of micronesian mangrove forests. Wetlands 31, 343</w:t>
      </w:r>
      <w:r w:rsidRPr="00F24456">
        <w:rPr>
          <w:rFonts w:ascii="Calibri" w:hAnsi="Calibri" w:cs="Calibri" w:hint="cs"/>
          <w:noProof/>
        </w:rPr>
        <w:t>–</w:t>
      </w:r>
      <w:r w:rsidRPr="00F24456">
        <w:rPr>
          <w:rFonts w:ascii="Calibri" w:hAnsi="Calibri" w:cs="Calibri"/>
          <w:noProof/>
        </w:rPr>
        <w:t>352. https://doi.org/10.1007/s13157-011-0148-9</w:t>
      </w:r>
    </w:p>
    <w:p w14:paraId="62AED85B"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Kauffman, J.B., Heider, C., Norfolk, J., Payton, F., 2014. Carbon stocks of intact mangroves and carbon emissions arising from their conversion in the Dominican Republic. Ecol. Appl. 24, 518</w:t>
      </w:r>
      <w:r w:rsidRPr="00F24456">
        <w:rPr>
          <w:rFonts w:ascii="Calibri" w:hAnsi="Calibri" w:cs="Calibri" w:hint="cs"/>
          <w:noProof/>
        </w:rPr>
        <w:t>–</w:t>
      </w:r>
      <w:r w:rsidRPr="00F24456">
        <w:rPr>
          <w:rFonts w:ascii="Calibri" w:hAnsi="Calibri" w:cs="Calibri"/>
          <w:noProof/>
        </w:rPr>
        <w:t>527. https://doi.org/10.1890/13-0640.1</w:t>
      </w:r>
    </w:p>
    <w:p w14:paraId="68AF0D66"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Kock, N., Lynn, G.S., 2012. Lateral collinearity and misleading results in variance-based SEM: An illustration and recommendations. J. Assoc. Inf. Syst. 13, 546</w:t>
      </w:r>
      <w:r w:rsidRPr="00F24456">
        <w:rPr>
          <w:rFonts w:ascii="Calibri" w:hAnsi="Calibri" w:cs="Calibri" w:hint="cs"/>
          <w:noProof/>
        </w:rPr>
        <w:t>–</w:t>
      </w:r>
      <w:r w:rsidRPr="00F24456">
        <w:rPr>
          <w:rFonts w:ascii="Calibri" w:hAnsi="Calibri" w:cs="Calibri"/>
          <w:noProof/>
        </w:rPr>
        <w:t>580. https://doi.org/10.17705/1jais.00302</w:t>
      </w:r>
    </w:p>
    <w:p w14:paraId="1EA1E2F0"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 xml:space="preserve">Komiyama, A., Havanond, S., Srisawatt, W., Mochida, Y., Fujimoto, K., Ohnishi, T., Ishihara, S., </w:t>
      </w:r>
      <w:r w:rsidRPr="00F24456">
        <w:rPr>
          <w:rFonts w:ascii="Calibri" w:hAnsi="Calibri" w:cs="Calibri"/>
          <w:noProof/>
        </w:rPr>
        <w:lastRenderedPageBreak/>
        <w:t>Miyagi, T., 2000. Top/root biomass ratio of a secondary mangrove (Ceriops tagal (Perr.) C.B. Rob.) forest. For. Ecol. Manage. 139, 127</w:t>
      </w:r>
      <w:r w:rsidRPr="00F24456">
        <w:rPr>
          <w:rFonts w:ascii="Calibri" w:hAnsi="Calibri" w:cs="Calibri" w:hint="cs"/>
          <w:noProof/>
        </w:rPr>
        <w:t>–</w:t>
      </w:r>
      <w:r w:rsidRPr="00F24456">
        <w:rPr>
          <w:rFonts w:ascii="Calibri" w:hAnsi="Calibri" w:cs="Calibri"/>
          <w:noProof/>
        </w:rPr>
        <w:t>134. https://doi.org/10.1016/S0378-1127(99)00339-4</w:t>
      </w:r>
    </w:p>
    <w:p w14:paraId="438BE5B5"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Komiyama, A., Ong, J., Poungparn, S., 2008. Allometry, biomass, and productivity of mangrove forests: a review. (Special Issue: Mangrove ecology - applications in forestry and coastal zone management.). Aquat. Bot. 89, 128</w:t>
      </w:r>
      <w:r w:rsidRPr="00F24456">
        <w:rPr>
          <w:rFonts w:ascii="Calibri" w:hAnsi="Calibri" w:cs="Calibri" w:hint="cs"/>
          <w:noProof/>
        </w:rPr>
        <w:t>–</w:t>
      </w:r>
      <w:r w:rsidRPr="00F24456">
        <w:rPr>
          <w:rFonts w:ascii="Calibri" w:hAnsi="Calibri" w:cs="Calibri"/>
          <w:noProof/>
        </w:rPr>
        <w:t>137. https://doi.org/http://dx.doi.org/10.1016/j.aquabot.2007.12.006</w:t>
      </w:r>
    </w:p>
    <w:p w14:paraId="68F82665"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Komiyama, A., Poungparn, S., Kato, S., 2005. Common allometric equations for estimating the tree weight of mangroves. J. Trop. Ecol. 21, 471</w:t>
      </w:r>
      <w:r w:rsidRPr="00F24456">
        <w:rPr>
          <w:rFonts w:ascii="Calibri" w:hAnsi="Calibri" w:cs="Calibri" w:hint="cs"/>
          <w:noProof/>
        </w:rPr>
        <w:t>–</w:t>
      </w:r>
      <w:r w:rsidRPr="00F24456">
        <w:rPr>
          <w:rFonts w:ascii="Calibri" w:hAnsi="Calibri" w:cs="Calibri"/>
          <w:noProof/>
        </w:rPr>
        <w:t>477. https://doi.org/10.1017/S0266467405002476</w:t>
      </w:r>
    </w:p>
    <w:p w14:paraId="12E5E223"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Kristensen, E., Bouillon, S., Dittmar, T., Marchand, C., 2008. Organic carbon dynamics in mangrove ecosystems: A review. Aquat. Bot. 89, 201</w:t>
      </w:r>
      <w:r w:rsidRPr="00F24456">
        <w:rPr>
          <w:rFonts w:ascii="Calibri" w:hAnsi="Calibri" w:cs="Calibri" w:hint="cs"/>
          <w:noProof/>
        </w:rPr>
        <w:t>–</w:t>
      </w:r>
      <w:r w:rsidRPr="00F24456">
        <w:rPr>
          <w:rFonts w:ascii="Calibri" w:hAnsi="Calibri" w:cs="Calibri"/>
          <w:noProof/>
        </w:rPr>
        <w:t>219. https://doi.org/10.1016/j.aquabot.2007.12.005</w:t>
      </w:r>
    </w:p>
    <w:p w14:paraId="18210C58"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Kusumaningtyas, M.A., Hutahaean, A.A., Fischer, H.W., P</w:t>
      </w:r>
      <w:r w:rsidRPr="00F24456">
        <w:rPr>
          <w:rFonts w:ascii="Calibri" w:hAnsi="Calibri" w:cs="Calibri" w:hint="cs"/>
          <w:noProof/>
        </w:rPr>
        <w:t>é</w:t>
      </w:r>
      <w:r w:rsidRPr="00F24456">
        <w:rPr>
          <w:rFonts w:ascii="Calibri" w:hAnsi="Calibri" w:cs="Calibri"/>
          <w:noProof/>
        </w:rPr>
        <w:t>rez-Mayo, M., Ransby, D., Jennerjahn, T.C., 2019. Variability in the organic carbon stocks, sources, and accumulation rates of Indonesian mangrove ecosystems. Estuar. Coast. Shelf Sci. 218, 310</w:t>
      </w:r>
      <w:r w:rsidRPr="00F24456">
        <w:rPr>
          <w:rFonts w:ascii="Calibri" w:hAnsi="Calibri" w:cs="Calibri" w:hint="cs"/>
          <w:noProof/>
        </w:rPr>
        <w:t>–</w:t>
      </w:r>
      <w:r w:rsidRPr="00F24456">
        <w:rPr>
          <w:rFonts w:ascii="Calibri" w:hAnsi="Calibri" w:cs="Calibri"/>
          <w:noProof/>
        </w:rPr>
        <w:t>323. https://doi.org/10.1016/j.ecss.2018.12.007</w:t>
      </w:r>
    </w:p>
    <w:p w14:paraId="46E34537"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Lang</w:t>
      </w:r>
      <w:r w:rsidRPr="00F24456">
        <w:rPr>
          <w:rFonts w:ascii="Calibri" w:hAnsi="Calibri" w:cs="Calibri" w:hint="cs"/>
          <w:noProof/>
        </w:rPr>
        <w:t>’</w:t>
      </w:r>
      <w:r w:rsidRPr="00F24456">
        <w:rPr>
          <w:rFonts w:ascii="Calibri" w:hAnsi="Calibri" w:cs="Calibri"/>
          <w:noProof/>
        </w:rPr>
        <w:t>at, J.K.S., Kairo, J.G., Mencuccini, M., Bouillon, S., Skov, M.W., Waldron, S., Huxham, M., 2014. Rapid losses of surface elevation following tree girdling and cutting in tropical mangroves. PLoS One 9. https://doi.org/10.1371/journal.pone.0107868</w:t>
      </w:r>
    </w:p>
    <w:p w14:paraId="17E32021"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Leach, G.J., Burgin, S., 1985. Litter production and seasonality of mangroves in Papua New Guinea. Aquat. Bot. 23, 215</w:t>
      </w:r>
      <w:r w:rsidRPr="00F24456">
        <w:rPr>
          <w:rFonts w:ascii="Calibri" w:hAnsi="Calibri" w:cs="Calibri" w:hint="cs"/>
          <w:noProof/>
        </w:rPr>
        <w:t>–</w:t>
      </w:r>
      <w:r w:rsidRPr="00F24456">
        <w:rPr>
          <w:rFonts w:ascii="Calibri" w:hAnsi="Calibri" w:cs="Calibri"/>
          <w:noProof/>
        </w:rPr>
        <w:t>224. https://doi.org/10.1016/0304-3770(85)90067-1</w:t>
      </w:r>
    </w:p>
    <w:p w14:paraId="7F5460F6"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lastRenderedPageBreak/>
        <w:t>Lee, S.Y., 1995. Mangrove outwelling: a review. Hydrobiologia 295, 203</w:t>
      </w:r>
      <w:r w:rsidRPr="00F24456">
        <w:rPr>
          <w:rFonts w:ascii="Calibri" w:hAnsi="Calibri" w:cs="Calibri" w:hint="cs"/>
          <w:noProof/>
        </w:rPr>
        <w:t>–</w:t>
      </w:r>
      <w:r w:rsidRPr="00F24456">
        <w:rPr>
          <w:rFonts w:ascii="Calibri" w:hAnsi="Calibri" w:cs="Calibri"/>
          <w:noProof/>
        </w:rPr>
        <w:t>212. https://doi.org/10.1007/BF00029127</w:t>
      </w:r>
    </w:p>
    <w:p w14:paraId="6318A870"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Lee, S.Y., 1989. Litter Production and Turnover of the Mangrove Kandelia candel (L.) Druce in a Hong Kong Tidal Shrimp Pond. Estuar. Coast. Shelf Sci. 29, 75</w:t>
      </w:r>
      <w:r w:rsidRPr="00F24456">
        <w:rPr>
          <w:rFonts w:ascii="Calibri" w:hAnsi="Calibri" w:cs="Calibri" w:hint="cs"/>
          <w:noProof/>
        </w:rPr>
        <w:t>–</w:t>
      </w:r>
      <w:r w:rsidRPr="00F24456">
        <w:rPr>
          <w:rFonts w:ascii="Calibri" w:hAnsi="Calibri" w:cs="Calibri"/>
          <w:noProof/>
        </w:rPr>
        <w:t>87.</w:t>
      </w:r>
    </w:p>
    <w:p w14:paraId="4402C041"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Leopold, A., Marchand, C., Deborde, J., Chaduteau, C., Allenbach, M., 2013. Influence of mangrove zonation on CO2 fluxes at the sediment-air interface (New Caledonia). Geoderma 202</w:t>
      </w:r>
      <w:r w:rsidRPr="00F24456">
        <w:rPr>
          <w:rFonts w:ascii="Calibri" w:hAnsi="Calibri" w:cs="Calibri" w:hint="cs"/>
          <w:noProof/>
        </w:rPr>
        <w:t>–</w:t>
      </w:r>
      <w:r w:rsidRPr="00F24456">
        <w:rPr>
          <w:rFonts w:ascii="Calibri" w:hAnsi="Calibri" w:cs="Calibri"/>
          <w:noProof/>
        </w:rPr>
        <w:t>203, 62</w:t>
      </w:r>
      <w:r w:rsidRPr="00F24456">
        <w:rPr>
          <w:rFonts w:ascii="Calibri" w:hAnsi="Calibri" w:cs="Calibri" w:hint="cs"/>
          <w:noProof/>
        </w:rPr>
        <w:t>–</w:t>
      </w:r>
      <w:r w:rsidRPr="00F24456">
        <w:rPr>
          <w:rFonts w:ascii="Calibri" w:hAnsi="Calibri" w:cs="Calibri"/>
          <w:noProof/>
        </w:rPr>
        <w:t>70. https://doi.org/10.1016/j.geoderma.2013.03.008</w:t>
      </w:r>
    </w:p>
    <w:p w14:paraId="38966936"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Liu, H., Ren, H., Hui, D., Wang, W., Liao, B., Cao, Q., 2014. Carbon stocks and potential carbon storage in the mangrove forests of</w:t>
      </w:r>
      <w:r w:rsidRPr="00F24456">
        <w:rPr>
          <w:rFonts w:ascii="Calibri" w:hAnsi="Calibri" w:cs="Calibri" w:hint="cs"/>
          <w:noProof/>
        </w:rPr>
        <w:t> </w:t>
      </w:r>
      <w:r w:rsidRPr="00F24456">
        <w:rPr>
          <w:rFonts w:ascii="Calibri" w:hAnsi="Calibri" w:cs="Calibri"/>
          <w:noProof/>
        </w:rPr>
        <w:t>China. J. Environ. Manage. 133, 86</w:t>
      </w:r>
      <w:r w:rsidRPr="00F24456">
        <w:rPr>
          <w:rFonts w:ascii="Calibri" w:hAnsi="Calibri" w:cs="Calibri" w:hint="cs"/>
          <w:noProof/>
        </w:rPr>
        <w:t>–</w:t>
      </w:r>
      <w:r w:rsidRPr="00F24456">
        <w:rPr>
          <w:rFonts w:ascii="Calibri" w:hAnsi="Calibri" w:cs="Calibri"/>
          <w:noProof/>
        </w:rPr>
        <w:t>93. https://doi.org/10.1016/j.jenvman.2013.11.037</w:t>
      </w:r>
    </w:p>
    <w:p w14:paraId="7D4F1029"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Livesley, S.J., Andrusiak, S.M., 2012. Temperate mangrove and salt marsh sediments are a small methane and nitrous oxide source but important carbon store. Estuar. Coast. Shelf Sci. 97, 19</w:t>
      </w:r>
      <w:r w:rsidRPr="00F24456">
        <w:rPr>
          <w:rFonts w:ascii="Calibri" w:hAnsi="Calibri" w:cs="Calibri" w:hint="cs"/>
          <w:noProof/>
        </w:rPr>
        <w:t>–</w:t>
      </w:r>
      <w:r w:rsidRPr="00F24456">
        <w:rPr>
          <w:rFonts w:ascii="Calibri" w:hAnsi="Calibri" w:cs="Calibri"/>
          <w:noProof/>
        </w:rPr>
        <w:t>27. https://doi.org/10.1016/j.ecss.2011.11.002</w:t>
      </w:r>
    </w:p>
    <w:p w14:paraId="5D2BE30A"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Lovelock, C.E., 2008. Soil respiration and belowground carbon allocation in mangrove forests. Ecosystems 11, 342</w:t>
      </w:r>
      <w:r w:rsidRPr="00F24456">
        <w:rPr>
          <w:rFonts w:ascii="Calibri" w:hAnsi="Calibri" w:cs="Calibri" w:hint="cs"/>
          <w:noProof/>
        </w:rPr>
        <w:t>–</w:t>
      </w:r>
      <w:r w:rsidRPr="00F24456">
        <w:rPr>
          <w:rFonts w:ascii="Calibri" w:hAnsi="Calibri" w:cs="Calibri"/>
          <w:noProof/>
        </w:rPr>
        <w:t>354. https://doi.org/10.1007/s10021-008-9125-4</w:t>
      </w:r>
    </w:p>
    <w:p w14:paraId="77B1D111"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Lovelock, C.E., Cahoon, D.R., Friess, D.A., Guntenspergen, G.R., Krauss, K.W., Reef, R., Rogers, K., Saunders, M.L., Sidik, F., Swales, A., Saintilan, N., Thuyen, L.X., Triet, T., 2015a. The vulnerability of Indo-Pacific mangrove forests to sea-level rise. Nature 526, 559</w:t>
      </w:r>
      <w:r w:rsidRPr="00F24456">
        <w:rPr>
          <w:rFonts w:ascii="Calibri" w:hAnsi="Calibri" w:cs="Calibri" w:hint="cs"/>
          <w:noProof/>
        </w:rPr>
        <w:t>–</w:t>
      </w:r>
      <w:r w:rsidRPr="00F24456">
        <w:rPr>
          <w:rFonts w:ascii="Calibri" w:hAnsi="Calibri" w:cs="Calibri"/>
          <w:noProof/>
        </w:rPr>
        <w:t>563. https://doi.org/10.1038/nature15538</w:t>
      </w:r>
    </w:p>
    <w:p w14:paraId="7BAE8297"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Lovelock, C.E., Feller, I.C., McKee, K.L., Engelbrecht, B.M.J., Ball, M.C., 2004. The effect of nutrient enrichment on growth, photosynthesis and hydraulic conductance of dwarf mangroves in Panam</w:t>
      </w:r>
      <w:r w:rsidRPr="00F24456">
        <w:rPr>
          <w:rFonts w:ascii="Calibri" w:hAnsi="Calibri" w:cs="Calibri" w:hint="cs"/>
          <w:noProof/>
        </w:rPr>
        <w:t>á</w:t>
      </w:r>
      <w:r w:rsidRPr="00F24456">
        <w:rPr>
          <w:rFonts w:ascii="Calibri" w:hAnsi="Calibri" w:cs="Calibri"/>
          <w:noProof/>
        </w:rPr>
        <w:t>. Funct. Ecol. 18, 25</w:t>
      </w:r>
      <w:r w:rsidRPr="00F24456">
        <w:rPr>
          <w:rFonts w:ascii="Calibri" w:hAnsi="Calibri" w:cs="Calibri" w:hint="cs"/>
          <w:noProof/>
        </w:rPr>
        <w:t>–</w:t>
      </w:r>
      <w:r w:rsidRPr="00F24456">
        <w:rPr>
          <w:rFonts w:ascii="Calibri" w:hAnsi="Calibri" w:cs="Calibri"/>
          <w:noProof/>
        </w:rPr>
        <w:t>33. https://doi.org/10.1046/j.0269-</w:t>
      </w:r>
      <w:r w:rsidRPr="00F24456">
        <w:rPr>
          <w:rFonts w:ascii="Calibri" w:hAnsi="Calibri" w:cs="Calibri"/>
          <w:noProof/>
        </w:rPr>
        <w:lastRenderedPageBreak/>
        <w:t>8463.2004.00805.x</w:t>
      </w:r>
    </w:p>
    <w:p w14:paraId="70D4E026"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Lovelock, C.E., Feller, I.C., Reef, R., Ruess, R.W., 2014. Variable effects of nutrient enrichment on soil respiration in mangrove forests. Plant Soil 379, 135</w:t>
      </w:r>
      <w:r w:rsidRPr="00F24456">
        <w:rPr>
          <w:rFonts w:ascii="Calibri" w:hAnsi="Calibri" w:cs="Calibri" w:hint="cs"/>
          <w:noProof/>
        </w:rPr>
        <w:t>–</w:t>
      </w:r>
      <w:r w:rsidRPr="00F24456">
        <w:rPr>
          <w:rFonts w:ascii="Calibri" w:hAnsi="Calibri" w:cs="Calibri"/>
          <w:noProof/>
        </w:rPr>
        <w:t>148. https://doi.org/10.1007/s11104-014-2036-6</w:t>
      </w:r>
    </w:p>
    <w:p w14:paraId="31A81767"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Lovelock, C.E., Krauss, K.W., Osland, M.J., Reef, R., Ball, M.C., 2016. The Physiology of Mangrove Trees with Changing Climate. pp. 149</w:t>
      </w:r>
      <w:r w:rsidRPr="00F24456">
        <w:rPr>
          <w:rFonts w:ascii="Calibri" w:hAnsi="Calibri" w:cs="Calibri" w:hint="cs"/>
          <w:noProof/>
        </w:rPr>
        <w:t>–</w:t>
      </w:r>
      <w:r w:rsidRPr="00F24456">
        <w:rPr>
          <w:rFonts w:ascii="Calibri" w:hAnsi="Calibri" w:cs="Calibri"/>
          <w:noProof/>
        </w:rPr>
        <w:t>179. https://doi.org/10.1007/978-3-319-27422-5_7</w:t>
      </w:r>
    </w:p>
    <w:p w14:paraId="18969F2A"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Lovelock, C.E., Reef, R., 2020. Variable Impacts of Climate Change on Blue Carbon. One Earth 3, 195</w:t>
      </w:r>
      <w:r w:rsidRPr="00F24456">
        <w:rPr>
          <w:rFonts w:ascii="Calibri" w:hAnsi="Calibri" w:cs="Calibri" w:hint="cs"/>
          <w:noProof/>
        </w:rPr>
        <w:t>–</w:t>
      </w:r>
      <w:r w:rsidRPr="00F24456">
        <w:rPr>
          <w:rFonts w:ascii="Calibri" w:hAnsi="Calibri" w:cs="Calibri"/>
          <w:noProof/>
        </w:rPr>
        <w:t>211. https://doi.org/10.1016/j.oneear.2020.07.010</w:t>
      </w:r>
    </w:p>
    <w:p w14:paraId="6564D271"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Lovelock, C.E., Ruess, R.W., Feller, I.C., 2011. Co2 efflux from cleared mangrove peat. PLoS One 6. https://doi.org/10.1371/journal.pone.0021279</w:t>
      </w:r>
    </w:p>
    <w:p w14:paraId="67EA1E20"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Lovelock, C.E., Simpson, L.T., Duckett, L.J., Feller, I.C., 2015b. Carbon budgets for Caribbean mangrove forests of varying structure and with phosphorus enrichment. Forests 6, 3528</w:t>
      </w:r>
      <w:r w:rsidRPr="00F24456">
        <w:rPr>
          <w:rFonts w:ascii="Calibri" w:hAnsi="Calibri" w:cs="Calibri" w:hint="cs"/>
          <w:noProof/>
        </w:rPr>
        <w:t>–</w:t>
      </w:r>
      <w:r w:rsidRPr="00F24456">
        <w:rPr>
          <w:rFonts w:ascii="Calibri" w:hAnsi="Calibri" w:cs="Calibri"/>
          <w:noProof/>
        </w:rPr>
        <w:t>3546. https://doi.org/10.3390/f6103528</w:t>
      </w:r>
    </w:p>
    <w:p w14:paraId="1B92B31B"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Luo, M., Liu, T., Meng, F., Duan, Y., Frankl, A., Bao, A., De Maeyer, P., 2018. Comparing bias correction methods used in downscaling precipitation and temperature from regional climate models: A case study from the Kaidu River Basin in Western China. Water 10. https://doi.org/10.3390/w10081046</w:t>
      </w:r>
    </w:p>
    <w:p w14:paraId="65EDC17D"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Macreadie, P., Costa, M., Atwood, T., Friess, D., Kelleway, J., Kennedy, H., Lovelock, C., Serrano, O., Duarte, C., 2021. Blue carbon as a natural climate solution. Nat. Rev. Earth Environ. 1</w:t>
      </w:r>
      <w:r w:rsidRPr="00F24456">
        <w:rPr>
          <w:rFonts w:ascii="Calibri" w:hAnsi="Calibri" w:cs="Calibri" w:hint="cs"/>
          <w:noProof/>
        </w:rPr>
        <w:t>–</w:t>
      </w:r>
      <w:r w:rsidRPr="00F24456">
        <w:rPr>
          <w:rFonts w:ascii="Calibri" w:hAnsi="Calibri" w:cs="Calibri"/>
          <w:noProof/>
        </w:rPr>
        <w:t>14. https://doi.org/10.1038/ s43017-021-00224-1</w:t>
      </w:r>
    </w:p>
    <w:p w14:paraId="6D24B877"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 xml:space="preserve">Macreadie, P.I., Anton, A., Raven, J.A., Beaumont, N., Connolly, R.M., Friess, D.A., Kelleway, J.J., Kennedy, H., Kuwae, T., Lavery, P.S., Lovelock, C.E., Smale, D.A., Apostolaki, E.T., Atwood, </w:t>
      </w:r>
      <w:r w:rsidRPr="00F24456">
        <w:rPr>
          <w:rFonts w:ascii="Calibri" w:hAnsi="Calibri" w:cs="Calibri"/>
          <w:noProof/>
        </w:rPr>
        <w:lastRenderedPageBreak/>
        <w:t>T.B., Baldock, J., Bianchi, T.S., Chmura, G.L., Eyre, B.D., Fourqurean, J.W., Hall-Spencer, J.M., Huxham, M., Hendriks, I.E., Krause-Jensen, D., Laffoley, D., Luisetti, T., Marb</w:t>
      </w:r>
      <w:r w:rsidRPr="00F24456">
        <w:rPr>
          <w:rFonts w:ascii="Calibri" w:hAnsi="Calibri" w:cs="Calibri" w:hint="cs"/>
          <w:noProof/>
        </w:rPr>
        <w:t>à</w:t>
      </w:r>
      <w:r w:rsidRPr="00F24456">
        <w:rPr>
          <w:rFonts w:ascii="Calibri" w:hAnsi="Calibri" w:cs="Calibri"/>
          <w:noProof/>
        </w:rPr>
        <w:t>, N., Masque, P., McGlathery, K.J., Megonigal, J.P., Murdiyarso, D., Russell, B.D., Santos, R., Serrano, O., Silliman, B.R., Watanabe, K., Duarte, C.M., 2019. The future of Blue Carbon science. Nat. Commun. 10. https://doi.org/10.1038/s41467-019-11693-w</w:t>
      </w:r>
    </w:p>
    <w:p w14:paraId="34C5A830"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Mamoon, A. Al, Rahman, A., 2017. Rainfall in Qatar: Is it changing? Nat. Hazards 85, 453</w:t>
      </w:r>
      <w:r w:rsidRPr="00F24456">
        <w:rPr>
          <w:rFonts w:ascii="Calibri" w:hAnsi="Calibri" w:cs="Calibri" w:hint="cs"/>
          <w:noProof/>
        </w:rPr>
        <w:t>–</w:t>
      </w:r>
      <w:r w:rsidRPr="00F24456">
        <w:rPr>
          <w:rFonts w:ascii="Calibri" w:hAnsi="Calibri" w:cs="Calibri"/>
          <w:noProof/>
        </w:rPr>
        <w:t>470. https://doi.org/10.1007/s11069-016-2576-6</w:t>
      </w:r>
    </w:p>
    <w:p w14:paraId="1DD21620"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Mart</w:t>
      </w:r>
      <w:r w:rsidRPr="00F24456">
        <w:rPr>
          <w:rFonts w:ascii="Calibri" w:hAnsi="Calibri" w:cs="Calibri" w:hint="cs"/>
          <w:noProof/>
        </w:rPr>
        <w:t>í</w:t>
      </w:r>
      <w:r w:rsidRPr="00F24456">
        <w:rPr>
          <w:rFonts w:ascii="Calibri" w:hAnsi="Calibri" w:cs="Calibri"/>
          <w:noProof/>
        </w:rPr>
        <w:t>n-Mart</w:t>
      </w:r>
      <w:r w:rsidRPr="00F24456">
        <w:rPr>
          <w:rFonts w:ascii="Calibri" w:hAnsi="Calibri" w:cs="Calibri" w:hint="cs"/>
          <w:noProof/>
        </w:rPr>
        <w:t>í</w:t>
      </w:r>
      <w:r w:rsidRPr="00F24456">
        <w:rPr>
          <w:rFonts w:ascii="Calibri" w:hAnsi="Calibri" w:cs="Calibri"/>
          <w:noProof/>
        </w:rPr>
        <w:t>n, A., Orduna-Malea, E., Thelwall, M., Delgado L</w:t>
      </w:r>
      <w:r w:rsidRPr="00F24456">
        <w:rPr>
          <w:rFonts w:ascii="Calibri" w:hAnsi="Calibri" w:cs="Calibri" w:hint="cs"/>
          <w:noProof/>
        </w:rPr>
        <w:t>ó</w:t>
      </w:r>
      <w:r w:rsidRPr="00F24456">
        <w:rPr>
          <w:rFonts w:ascii="Calibri" w:hAnsi="Calibri" w:cs="Calibri"/>
          <w:noProof/>
        </w:rPr>
        <w:t>pez-C</w:t>
      </w:r>
      <w:r w:rsidRPr="00F24456">
        <w:rPr>
          <w:rFonts w:ascii="Calibri" w:hAnsi="Calibri" w:cs="Calibri" w:hint="cs"/>
          <w:noProof/>
        </w:rPr>
        <w:t>ó</w:t>
      </w:r>
      <w:r w:rsidRPr="00F24456">
        <w:rPr>
          <w:rFonts w:ascii="Calibri" w:hAnsi="Calibri" w:cs="Calibri"/>
          <w:noProof/>
        </w:rPr>
        <w:t>zar, E., 2018. Google Scholar, Web of Science, and Scopus: A systematic comparison of citations in 252 subject categories. J. Informetr. 12, 1160</w:t>
      </w:r>
      <w:r w:rsidRPr="00F24456">
        <w:rPr>
          <w:rFonts w:ascii="Calibri" w:hAnsi="Calibri" w:cs="Calibri" w:hint="cs"/>
          <w:noProof/>
        </w:rPr>
        <w:t>–</w:t>
      </w:r>
      <w:r w:rsidRPr="00F24456">
        <w:rPr>
          <w:rFonts w:ascii="Calibri" w:hAnsi="Calibri" w:cs="Calibri"/>
          <w:noProof/>
        </w:rPr>
        <w:t>1177. https://doi.org/10.1016/j.joi.2018.09.002</w:t>
      </w:r>
    </w:p>
    <w:p w14:paraId="1FA7978D"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Mashaly, I.A., Hegazy, A.K., Aal, M.A., El-Hussieny, S.A., 2016. Habitat-Based Estimate of Carbon Content in Mangrove Avicennia marina (Forssk.) Vierh. of South Sinai, Egypt. IOSR J. Environ. Sci. Ver. II 10, 2319</w:t>
      </w:r>
      <w:r w:rsidRPr="00F24456">
        <w:rPr>
          <w:rFonts w:ascii="Calibri" w:hAnsi="Calibri" w:cs="Calibri" w:hint="cs"/>
          <w:noProof/>
        </w:rPr>
        <w:t>–</w:t>
      </w:r>
      <w:r w:rsidRPr="00F24456">
        <w:rPr>
          <w:rFonts w:ascii="Calibri" w:hAnsi="Calibri" w:cs="Calibri"/>
          <w:noProof/>
        </w:rPr>
        <w:t>2399.</w:t>
      </w:r>
    </w:p>
    <w:p w14:paraId="7B6DD276"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Masih, A., 2019. Application of Random Forest Algorithm to Predict the Atmospheric Concentration of NO2. Proc. - 2019 Ural Symp. Biomed. Eng. Radioelectron. Inf. Technol. USBEREIT 2019 252</w:t>
      </w:r>
      <w:r w:rsidRPr="00F24456">
        <w:rPr>
          <w:rFonts w:ascii="Calibri" w:hAnsi="Calibri" w:cs="Calibri" w:hint="cs"/>
          <w:noProof/>
        </w:rPr>
        <w:t>–</w:t>
      </w:r>
      <w:r w:rsidRPr="00F24456">
        <w:rPr>
          <w:rFonts w:ascii="Calibri" w:hAnsi="Calibri" w:cs="Calibri"/>
          <w:noProof/>
        </w:rPr>
        <w:t>255. https://doi.org/10.1109/USBEREIT.2019.8736679</w:t>
      </w:r>
    </w:p>
    <w:p w14:paraId="3F2FFBB1"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Matsui, N., 1998. Estimated stocks of organic carbon in mangrove roots and sediments in Hinchinbrook Channel, Australia. Mangroves Salt Marshes 2, 199</w:t>
      </w:r>
      <w:r w:rsidRPr="00F24456">
        <w:rPr>
          <w:rFonts w:ascii="Calibri" w:hAnsi="Calibri" w:cs="Calibri" w:hint="cs"/>
          <w:noProof/>
        </w:rPr>
        <w:t>–</w:t>
      </w:r>
      <w:r w:rsidRPr="00F24456">
        <w:rPr>
          <w:rFonts w:ascii="Calibri" w:hAnsi="Calibri" w:cs="Calibri"/>
          <w:noProof/>
        </w:rPr>
        <w:t>204. https://doi.org/10.1023/A:1009959909208</w:t>
      </w:r>
    </w:p>
    <w:p w14:paraId="2ED794D6"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McIvor, A., M</w:t>
      </w:r>
      <w:r w:rsidRPr="00F24456">
        <w:rPr>
          <w:rFonts w:ascii="Calibri" w:hAnsi="Calibri" w:cs="Calibri" w:hint="cs"/>
          <w:noProof/>
        </w:rPr>
        <w:t>ö</w:t>
      </w:r>
      <w:r w:rsidRPr="00F24456">
        <w:rPr>
          <w:rFonts w:ascii="Calibri" w:hAnsi="Calibri" w:cs="Calibri"/>
          <w:noProof/>
        </w:rPr>
        <w:t>ller, I., Spencer, T., 2012. Reduction of Wind and Swell Waves by Mangroves. Nat. Coast. Prot. Ser. 1</w:t>
      </w:r>
      <w:r w:rsidRPr="00F24456">
        <w:rPr>
          <w:rFonts w:ascii="Calibri" w:hAnsi="Calibri" w:cs="Calibri" w:hint="cs"/>
          <w:noProof/>
        </w:rPr>
        <w:t>–</w:t>
      </w:r>
      <w:r w:rsidRPr="00F24456">
        <w:rPr>
          <w:rFonts w:ascii="Calibri" w:hAnsi="Calibri" w:cs="Calibri"/>
          <w:noProof/>
        </w:rPr>
        <w:t>27.</w:t>
      </w:r>
    </w:p>
    <w:p w14:paraId="1F759FEC"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McIvor, A., Spencer, T., M</w:t>
      </w:r>
      <w:r w:rsidRPr="00F24456">
        <w:rPr>
          <w:rFonts w:ascii="Calibri" w:hAnsi="Calibri" w:cs="Calibri" w:hint="cs"/>
          <w:noProof/>
        </w:rPr>
        <w:t>ö</w:t>
      </w:r>
      <w:r w:rsidRPr="00F24456">
        <w:rPr>
          <w:rFonts w:ascii="Calibri" w:hAnsi="Calibri" w:cs="Calibri"/>
          <w:noProof/>
        </w:rPr>
        <w:t xml:space="preserve">ller, I., Spalding, M., 2016. Coastal Defense Services Provided by </w:t>
      </w:r>
      <w:r w:rsidRPr="00F24456">
        <w:rPr>
          <w:rFonts w:ascii="Calibri" w:hAnsi="Calibri" w:cs="Calibri"/>
          <w:noProof/>
        </w:rPr>
        <w:lastRenderedPageBreak/>
        <w:t>Mangroves. WAVES Tech. Rep. 167.</w:t>
      </w:r>
    </w:p>
    <w:p w14:paraId="7E84F3D4"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McKee, K.L., 2001. Root proliferation in decaying roots and old root channels: A nutrient conservation mechanism in oligotrophic mangrove forests? J. Ecol. 89, 876</w:t>
      </w:r>
      <w:r w:rsidRPr="00F24456">
        <w:rPr>
          <w:rFonts w:ascii="Calibri" w:hAnsi="Calibri" w:cs="Calibri" w:hint="cs"/>
          <w:noProof/>
        </w:rPr>
        <w:t>–</w:t>
      </w:r>
      <w:r w:rsidRPr="00F24456">
        <w:rPr>
          <w:rFonts w:ascii="Calibri" w:hAnsi="Calibri" w:cs="Calibri"/>
          <w:noProof/>
        </w:rPr>
        <w:t>887. https://doi.org/10.1046/j.0022-0477.2001.00606.x</w:t>
      </w:r>
    </w:p>
    <w:p w14:paraId="4D8AF6B7"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McKee, K.L., Cahoon, D.R., Feller, I.C., 2007. Caribbean mangroves adjust to rising sea level through biotic controls on change in soil elevation. Glob. Ecol. Biogeogr. 16, 545</w:t>
      </w:r>
      <w:r w:rsidRPr="00F24456">
        <w:rPr>
          <w:rFonts w:ascii="Calibri" w:hAnsi="Calibri" w:cs="Calibri" w:hint="cs"/>
          <w:noProof/>
        </w:rPr>
        <w:t>–</w:t>
      </w:r>
      <w:r w:rsidRPr="00F24456">
        <w:rPr>
          <w:rFonts w:ascii="Calibri" w:hAnsi="Calibri" w:cs="Calibri"/>
          <w:noProof/>
        </w:rPr>
        <w:t>556. https://doi.org/10.1111/j.1466-8238.2007.00317.x</w:t>
      </w:r>
    </w:p>
    <w:p w14:paraId="67279721"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McLeod, E., Chmura, G.L., Bouillon, S., Salm, R., Bj</w:t>
      </w:r>
      <w:r w:rsidRPr="00F24456">
        <w:rPr>
          <w:rFonts w:ascii="Calibri" w:hAnsi="Calibri" w:cs="Calibri" w:hint="cs"/>
          <w:noProof/>
        </w:rPr>
        <w:t>ö</w:t>
      </w:r>
      <w:r w:rsidRPr="00F24456">
        <w:rPr>
          <w:rFonts w:ascii="Calibri" w:hAnsi="Calibri" w:cs="Calibri"/>
          <w:noProof/>
        </w:rPr>
        <w:t>rk, M., Duarte, C.M., Lovelock, C.E., Schlesinger, W.H., Silliman, B.R., 2011. A blueprint for blue carbon: Toward an improved understanding of the role of vegetated coastal habitats in sequestering CO2. Front. Ecol. Environ. 9, 552</w:t>
      </w:r>
      <w:r w:rsidRPr="00F24456">
        <w:rPr>
          <w:rFonts w:ascii="Calibri" w:hAnsi="Calibri" w:cs="Calibri" w:hint="cs"/>
          <w:noProof/>
        </w:rPr>
        <w:t>–</w:t>
      </w:r>
      <w:r w:rsidRPr="00F24456">
        <w:rPr>
          <w:rFonts w:ascii="Calibri" w:hAnsi="Calibri" w:cs="Calibri"/>
          <w:noProof/>
        </w:rPr>
        <w:t>560. https://doi.org/10.1890/110004</w:t>
      </w:r>
    </w:p>
    <w:p w14:paraId="74DDC638"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Mehlig, U., 2006. Phenology of the red mangrove, Rhizophora mangle L., in the Caet</w:t>
      </w:r>
      <w:r w:rsidRPr="00F24456">
        <w:rPr>
          <w:rFonts w:ascii="Calibri" w:hAnsi="Calibri" w:cs="Calibri" w:hint="cs"/>
          <w:noProof/>
        </w:rPr>
        <w:t>é</w:t>
      </w:r>
      <w:r w:rsidRPr="00F24456">
        <w:rPr>
          <w:rFonts w:ascii="Calibri" w:hAnsi="Calibri" w:cs="Calibri"/>
          <w:noProof/>
        </w:rPr>
        <w:t xml:space="preserve"> Estuary, Par</w:t>
      </w:r>
      <w:r w:rsidRPr="00F24456">
        <w:rPr>
          <w:rFonts w:ascii="Calibri" w:hAnsi="Calibri" w:cs="Calibri" w:hint="cs"/>
          <w:noProof/>
        </w:rPr>
        <w:t>á</w:t>
      </w:r>
      <w:r w:rsidRPr="00F24456">
        <w:rPr>
          <w:rFonts w:ascii="Calibri" w:hAnsi="Calibri" w:cs="Calibri"/>
          <w:noProof/>
        </w:rPr>
        <w:t>, equatorial Brazil. Aquat. Bot. 84, 158</w:t>
      </w:r>
      <w:r w:rsidRPr="00F24456">
        <w:rPr>
          <w:rFonts w:ascii="Calibri" w:hAnsi="Calibri" w:cs="Calibri" w:hint="cs"/>
          <w:noProof/>
        </w:rPr>
        <w:t>–</w:t>
      </w:r>
      <w:r w:rsidRPr="00F24456">
        <w:rPr>
          <w:rFonts w:ascii="Calibri" w:hAnsi="Calibri" w:cs="Calibri"/>
          <w:noProof/>
        </w:rPr>
        <w:t>164. https://doi.org/10.1016/j.aquabot.2005.09.007</w:t>
      </w:r>
    </w:p>
    <w:p w14:paraId="7B0A4E7F"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Men</w:t>
      </w:r>
      <w:r w:rsidRPr="00F24456">
        <w:rPr>
          <w:rFonts w:ascii="Calibri" w:hAnsi="Calibri" w:cs="Calibri" w:hint="cs"/>
          <w:noProof/>
        </w:rPr>
        <w:t>é</w:t>
      </w:r>
      <w:r w:rsidRPr="00F24456">
        <w:rPr>
          <w:rFonts w:ascii="Calibri" w:hAnsi="Calibri" w:cs="Calibri"/>
          <w:noProof/>
        </w:rPr>
        <w:t>ndez, P., Losada, I.J., Torres-Ortega, S., Narayan, S., Beck, M.W., 2020. The Global Flood Protection Benefits of Mangroves. Sci. Rep. 10. https://doi.org/10.1038/s41598-020-61136-6</w:t>
      </w:r>
    </w:p>
    <w:p w14:paraId="55725D97"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Mign</w:t>
      </w:r>
      <w:r w:rsidRPr="00F24456">
        <w:rPr>
          <w:rFonts w:ascii="Calibri" w:hAnsi="Calibri" w:cs="Calibri" w:hint="cs"/>
          <w:noProof/>
        </w:rPr>
        <w:t>é</w:t>
      </w:r>
      <w:r w:rsidRPr="00F24456">
        <w:rPr>
          <w:rFonts w:ascii="Calibri" w:hAnsi="Calibri" w:cs="Calibri"/>
          <w:noProof/>
        </w:rPr>
        <w:t>, A., Davoult, D., Spilmont, N., Menu, D., Boucher, G., Gattuso, J., Rybarczyk, H., 2002. A closed-chamber CO 2 -flux method for estimating intertidal primary production and respiration under emersed conditions. Mar. Biol. 140, 865</w:t>
      </w:r>
      <w:r w:rsidRPr="00F24456">
        <w:rPr>
          <w:rFonts w:ascii="Calibri" w:hAnsi="Calibri" w:cs="Calibri" w:hint="cs"/>
          <w:noProof/>
        </w:rPr>
        <w:t>–</w:t>
      </w:r>
      <w:r w:rsidRPr="00F24456">
        <w:rPr>
          <w:rFonts w:ascii="Calibri" w:hAnsi="Calibri" w:cs="Calibri"/>
          <w:noProof/>
        </w:rPr>
        <w:t>869. https://doi.org/10.1007/s00227-001-0741-1</w:t>
      </w:r>
    </w:p>
    <w:p w14:paraId="1F7D42A6"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 xml:space="preserve">Ministry of Environment and Forestry Directorate General of Climate Change, 2021. Updated </w:t>
      </w:r>
      <w:r w:rsidRPr="00F24456">
        <w:rPr>
          <w:rFonts w:ascii="Calibri" w:hAnsi="Calibri" w:cs="Calibri"/>
          <w:noProof/>
        </w:rPr>
        <w:lastRenderedPageBreak/>
        <w:t>Nationally Determined Contribution Republic of Indonesia 2021.</w:t>
      </w:r>
    </w:p>
    <w:p w14:paraId="23729726"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Mizanur Rahman, M., Nabiul Islam Khan, M., Fazlul Hoque, A.K., Ahmed, I., 2015. Carbon stock in the Sundarbans mangrove forest: spatial variations in vegetation types and salinity zones. Wetl. Ecol. Manag. 23, 269</w:t>
      </w:r>
      <w:r w:rsidRPr="00F24456">
        <w:rPr>
          <w:rFonts w:ascii="Calibri" w:hAnsi="Calibri" w:cs="Calibri" w:hint="cs"/>
          <w:noProof/>
        </w:rPr>
        <w:t>–</w:t>
      </w:r>
      <w:r w:rsidRPr="00F24456">
        <w:rPr>
          <w:rFonts w:ascii="Calibri" w:hAnsi="Calibri" w:cs="Calibri"/>
          <w:noProof/>
        </w:rPr>
        <w:t>283. https://doi.org/10.1007/s11273-014-9379-x</w:t>
      </w:r>
    </w:p>
    <w:p w14:paraId="7E1D5329"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Muhammad-Nor, S.M., Huxham, M., Salmon, Y., Duddy, S.J., Mazars-Simon, A., Mencuccini, M., Meir, P., Jackson, G., 2019. Exceptionally high mangrove root production rates in the Kelantan Delta, Malaysia; An experimental and comparative study. For. Ecol. Manage. 444, 214</w:t>
      </w:r>
      <w:r w:rsidRPr="00F24456">
        <w:rPr>
          <w:rFonts w:ascii="Calibri" w:hAnsi="Calibri" w:cs="Calibri" w:hint="cs"/>
          <w:noProof/>
        </w:rPr>
        <w:t>–</w:t>
      </w:r>
      <w:r w:rsidRPr="00F24456">
        <w:rPr>
          <w:rFonts w:ascii="Calibri" w:hAnsi="Calibri" w:cs="Calibri"/>
          <w:noProof/>
        </w:rPr>
        <w:t>224. https://doi.org/10.1016/j.foreco.2019.04.026</w:t>
      </w:r>
    </w:p>
    <w:p w14:paraId="460C3B3D"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Muhling, B., Lee, S., Lamkin, J., Liu, Y., 2011. Predicting the effects of climate change on bluefin tuna (Thunnus thynnus) spawning habitat in the Gulf of Mexico. ICES J. Mar. Sci. 68, 1051</w:t>
      </w:r>
      <w:r w:rsidRPr="00F24456">
        <w:rPr>
          <w:rFonts w:ascii="Calibri" w:hAnsi="Calibri" w:cs="Calibri" w:hint="cs"/>
          <w:noProof/>
        </w:rPr>
        <w:t>–</w:t>
      </w:r>
      <w:r w:rsidRPr="00F24456">
        <w:rPr>
          <w:rFonts w:ascii="Calibri" w:hAnsi="Calibri" w:cs="Calibri"/>
          <w:noProof/>
        </w:rPr>
        <w:t>1062. https://doi.org/10.1093/icesjms/fsr008</w:t>
      </w:r>
    </w:p>
    <w:p w14:paraId="5E496A00"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Murdiyarso, D., Purbopuspito, J., Kauffman, J.B., Warren, M.W., Sasmito, S.D., Donato, D.C., Manuri, S., Krisnawati, H., Taberima, S., Kurnianto, S., 2015. The potential of Indonesian mangrove forests for global climate change mitigation. Nat. Clim. Chang. 5, 1089</w:t>
      </w:r>
      <w:r w:rsidRPr="00F24456">
        <w:rPr>
          <w:rFonts w:ascii="Calibri" w:hAnsi="Calibri" w:cs="Calibri" w:hint="cs"/>
          <w:noProof/>
        </w:rPr>
        <w:t>–</w:t>
      </w:r>
      <w:r w:rsidRPr="00F24456">
        <w:rPr>
          <w:rFonts w:ascii="Calibri" w:hAnsi="Calibri" w:cs="Calibri"/>
          <w:noProof/>
        </w:rPr>
        <w:t>1092. https://doi.org/10.1038/nclimate2734</w:t>
      </w:r>
    </w:p>
    <w:p w14:paraId="41746FD8"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Nagelkerken, I., van der Veldet, G., Dorenboschr, M., van Rielr, M.C., Cocheret de la Morini</w:t>
      </w:r>
      <w:r w:rsidRPr="00F24456">
        <w:rPr>
          <w:rFonts w:ascii="Calibri" w:hAnsi="Calibri" w:cs="Calibri" w:hint="cs"/>
          <w:noProof/>
        </w:rPr>
        <w:t>è</w:t>
      </w:r>
      <w:r w:rsidRPr="00F24456">
        <w:rPr>
          <w:rFonts w:ascii="Calibri" w:hAnsi="Calibri" w:cs="Calibri"/>
          <w:noProof/>
        </w:rPr>
        <w:t>re, E., Nienhuis, P.H., 2002. How important are mangroves and seagrass beds for coral-reef fish? The nursery hypothesis tested on an island scale. Mar. Ecol. Prog. Ser. 244, 299</w:t>
      </w:r>
      <w:r w:rsidRPr="00F24456">
        <w:rPr>
          <w:rFonts w:ascii="Calibri" w:hAnsi="Calibri" w:cs="Calibri" w:hint="cs"/>
          <w:noProof/>
        </w:rPr>
        <w:t>–</w:t>
      </w:r>
      <w:r w:rsidRPr="00F24456">
        <w:rPr>
          <w:rFonts w:ascii="Calibri" w:hAnsi="Calibri" w:cs="Calibri"/>
          <w:noProof/>
        </w:rPr>
        <w:t>305.</w:t>
      </w:r>
    </w:p>
    <w:p w14:paraId="2AF39640"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Nasrin, S., Hossain, M., Rahman, M.M., 2019. Adaptive responses to salinity: nutrient resorption efficiency of Sonneratia apetala (Buch.-Ham.) along the salinity gradient in the Sundarbans of Bangladesh. Wetl. Ecol. Manag. https://doi.org/10.1007/s11273-019-09663-6</w:t>
      </w:r>
    </w:p>
    <w:p w14:paraId="5DD7D47D"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O</w:t>
      </w:r>
      <w:r w:rsidRPr="00F24456">
        <w:rPr>
          <w:rFonts w:ascii="Calibri" w:hAnsi="Calibri" w:cs="Calibri" w:hint="cs"/>
          <w:noProof/>
        </w:rPr>
        <w:t>’</w:t>
      </w:r>
      <w:r w:rsidRPr="00F24456">
        <w:rPr>
          <w:rFonts w:ascii="Calibri" w:hAnsi="Calibri" w:cs="Calibri"/>
          <w:noProof/>
        </w:rPr>
        <w:t xml:space="preserve">Connell, C.S., Ruan, L., Silver, W.L., 2018. Drought drives rapid shifts in tropical rainforest soil </w:t>
      </w:r>
      <w:r w:rsidRPr="00F24456">
        <w:rPr>
          <w:rFonts w:ascii="Calibri" w:hAnsi="Calibri" w:cs="Calibri"/>
          <w:noProof/>
        </w:rPr>
        <w:lastRenderedPageBreak/>
        <w:t>biogeochemistry and greenhouse gas emissions. Nat. Commun. 9. https://doi.org/10.1038/s41467-018-03352-3</w:t>
      </w:r>
    </w:p>
    <w:p w14:paraId="3BFFA4F0"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O</w:t>
      </w:r>
      <w:r w:rsidRPr="00F24456">
        <w:rPr>
          <w:rFonts w:ascii="Calibri" w:hAnsi="Calibri" w:cs="Calibri" w:hint="cs"/>
          <w:noProof/>
        </w:rPr>
        <w:t>’</w:t>
      </w:r>
      <w:r w:rsidRPr="00F24456">
        <w:rPr>
          <w:rFonts w:ascii="Calibri" w:hAnsi="Calibri" w:cs="Calibri"/>
          <w:noProof/>
        </w:rPr>
        <w:t>Donnell, M.S., Ignizio, D.A., 2012. Bioclimatic Predictors for Supporting Ecological Applications in the Conterminous United States, US Geological Survey Data Series. https://doi.org/10.1016/j.mimet.2011.04.001</w:t>
      </w:r>
    </w:p>
    <w:p w14:paraId="596769BF"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Odum, W.E., Heald, E.J., 1972. Trophic Analyses of an Estuarine Mangrove Community. Bull. Mar. Sci. 22, 671</w:t>
      </w:r>
      <w:r w:rsidRPr="00F24456">
        <w:rPr>
          <w:rFonts w:ascii="Calibri" w:hAnsi="Calibri" w:cs="Calibri" w:hint="cs"/>
          <w:noProof/>
        </w:rPr>
        <w:t>–</w:t>
      </w:r>
      <w:r w:rsidRPr="00F24456">
        <w:rPr>
          <w:rFonts w:ascii="Calibri" w:hAnsi="Calibri" w:cs="Calibri"/>
          <w:noProof/>
        </w:rPr>
        <w:t>738.</w:t>
      </w:r>
    </w:p>
    <w:p w14:paraId="6F50A711"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Osland, M., Day, R., Michot, T., 2020. Frequency of extreme freeze events controls the distribution and structure of black mangroves (Avicennia germinans) near their northern range limit in coastal Louisiana. Biodivers. Res. 26, 1366</w:t>
      </w:r>
      <w:r w:rsidRPr="00F24456">
        <w:rPr>
          <w:rFonts w:ascii="Calibri" w:hAnsi="Calibri" w:cs="Calibri" w:hint="cs"/>
          <w:noProof/>
        </w:rPr>
        <w:t>–</w:t>
      </w:r>
      <w:r w:rsidRPr="00F24456">
        <w:rPr>
          <w:rFonts w:ascii="Calibri" w:hAnsi="Calibri" w:cs="Calibri"/>
          <w:noProof/>
        </w:rPr>
        <w:t>1382. https://doi.org/10.1111/ddi.13119</w:t>
      </w:r>
    </w:p>
    <w:p w14:paraId="0426197C"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Osland, M.J., Day, R.H., Larriviere, J.C., From, A.S., 2014. Aboveground allometric models for freeze-affected black mangroves (Avicennia germinans): Equations for a climate sensitive mangrove-marsh ecotone. PLoS One 9, e99604. https://doi.org/10.1371/journal.pone.0099604</w:t>
      </w:r>
    </w:p>
    <w:p w14:paraId="44AC6983"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Osland, M.J., Enwright, N., Day, R.H., Doyle, T.W., 2013. Winter climate change and coastal wetland foundation species: Salt marshes vs. mangrove forests in the southeastern United States. Glob. Chang. Biol. 19, 1482</w:t>
      </w:r>
      <w:r w:rsidRPr="00F24456">
        <w:rPr>
          <w:rFonts w:ascii="Calibri" w:hAnsi="Calibri" w:cs="Calibri" w:hint="cs"/>
          <w:noProof/>
        </w:rPr>
        <w:t>–</w:t>
      </w:r>
      <w:r w:rsidRPr="00F24456">
        <w:rPr>
          <w:rFonts w:ascii="Calibri" w:hAnsi="Calibri" w:cs="Calibri"/>
          <w:noProof/>
        </w:rPr>
        <w:t>1494. https://doi.org/10.1111/gcb.12126</w:t>
      </w:r>
    </w:p>
    <w:p w14:paraId="25589AA9"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Osland, M.J., Feher, L.C., Griffith, K.T., Cavanaugh, K.C., Enwright, N.M., Day, R.H., Stagg, C.L., Krauss, K.W., Howard, R.J., Grace, J.B., Rogers, K., 2017. Climatic controls on the global distribution, abundance, and species richness of mangrove forests. Ecol. Monogr. 87, 341</w:t>
      </w:r>
      <w:r w:rsidRPr="00F24456">
        <w:rPr>
          <w:rFonts w:ascii="Calibri" w:hAnsi="Calibri" w:cs="Calibri" w:hint="cs"/>
          <w:noProof/>
        </w:rPr>
        <w:t>–</w:t>
      </w:r>
      <w:r w:rsidRPr="00F24456">
        <w:rPr>
          <w:rFonts w:ascii="Calibri" w:hAnsi="Calibri" w:cs="Calibri"/>
          <w:noProof/>
        </w:rPr>
        <w:t>359. https://doi.org/10.1002/ecm.1248</w:t>
      </w:r>
    </w:p>
    <w:p w14:paraId="53321797"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lastRenderedPageBreak/>
        <w:t>Osland, M.J., Gabler, C.A., Grace, J.B., Day, R.H., McCoy, M.L., McLeod, J.L., From, A.S., Enwright, N.M., Feher, L.C., Stagg, C.L., Hartley, S.B., 2018. Climate and plant controls on soil organic matter in coastal wetlands. Glob. Chang. Biol. 24, 5361</w:t>
      </w:r>
      <w:r w:rsidRPr="00F24456">
        <w:rPr>
          <w:rFonts w:ascii="Calibri" w:hAnsi="Calibri" w:cs="Calibri" w:hint="cs"/>
          <w:noProof/>
        </w:rPr>
        <w:t>–</w:t>
      </w:r>
      <w:r w:rsidRPr="00F24456">
        <w:rPr>
          <w:rFonts w:ascii="Calibri" w:hAnsi="Calibri" w:cs="Calibri"/>
          <w:noProof/>
        </w:rPr>
        <w:t>5379. https://doi.org/10.1111/gcb.14376</w:t>
      </w:r>
    </w:p>
    <w:p w14:paraId="43BFDFA9"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Ouyang, X., Lee, S.Y., 2020. Improved estimates on global carbon stock and carbon pools in tidal wetlands. Nat. Commun. 11. https://doi.org/10.1038/s41467-019-14120-2</w:t>
      </w:r>
    </w:p>
    <w:p w14:paraId="32F42E23"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Ouyang, X., Lee, S.Y., Connolly, R.M., 2017. Structural equation modelling reveals factors regulating surface sediment organic carbon content and CO2 efflux in a subtropical mangrove. Sci. Total Environ. 578, 513</w:t>
      </w:r>
      <w:r w:rsidRPr="00F24456">
        <w:rPr>
          <w:rFonts w:ascii="Calibri" w:hAnsi="Calibri" w:cs="Calibri" w:hint="cs"/>
          <w:noProof/>
        </w:rPr>
        <w:t>–</w:t>
      </w:r>
      <w:r w:rsidRPr="00F24456">
        <w:rPr>
          <w:rFonts w:ascii="Calibri" w:hAnsi="Calibri" w:cs="Calibri"/>
          <w:noProof/>
        </w:rPr>
        <w:t>522. https://doi.org/10.1016/j.scitotenv.2016.10.218</w:t>
      </w:r>
    </w:p>
    <w:p w14:paraId="5C9AC317"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Parvaresh, H., Parvaresh, E., Zahedi, G., 2012. Establishing Allometric Relationship Using Crown Diameter for the Estimation of above-Ground Biomass of Grey Mangrove , Avicennia marina ( Forsk ) Vierh in Mangrove Forests of Sirik , Iran. J. Basic. Appl. Sci. Res. 2, 1763</w:t>
      </w:r>
      <w:r w:rsidRPr="00F24456">
        <w:rPr>
          <w:rFonts w:ascii="Calibri" w:hAnsi="Calibri" w:cs="Calibri" w:hint="cs"/>
          <w:noProof/>
        </w:rPr>
        <w:t>–</w:t>
      </w:r>
      <w:r w:rsidRPr="00F24456">
        <w:rPr>
          <w:rFonts w:ascii="Calibri" w:hAnsi="Calibri" w:cs="Calibri"/>
          <w:noProof/>
        </w:rPr>
        <w:t>1769.</w:t>
      </w:r>
    </w:p>
    <w:p w14:paraId="383B230C"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 xml:space="preserve">Pendelton, L., Donato, D.C., Murray, B.C., Crooks, S., Jenkins, A.W., Sifleet, S., Craft, C., Fourqurean, J.W., Kauffman, B.J., Marba, N., Megonigal, P., Pidgeon, E., Herr, D., Gordon, D., Baldera, A., 2012. Estimating Global </w:t>
      </w:r>
      <w:r w:rsidRPr="00F24456">
        <w:rPr>
          <w:rFonts w:ascii="Calibri" w:hAnsi="Calibri" w:cs="Calibri" w:hint="cs"/>
          <w:noProof/>
        </w:rPr>
        <w:t>“</w:t>
      </w:r>
      <w:r w:rsidRPr="00F24456">
        <w:rPr>
          <w:rFonts w:ascii="Calibri" w:hAnsi="Calibri" w:cs="Calibri"/>
          <w:noProof/>
        </w:rPr>
        <w:t>Blue Carbon</w:t>
      </w:r>
      <w:r w:rsidRPr="00F24456">
        <w:rPr>
          <w:rFonts w:ascii="Calibri" w:hAnsi="Calibri" w:cs="Calibri" w:hint="cs"/>
          <w:noProof/>
        </w:rPr>
        <w:t>”</w:t>
      </w:r>
      <w:r w:rsidRPr="00F24456">
        <w:rPr>
          <w:rFonts w:ascii="Calibri" w:hAnsi="Calibri" w:cs="Calibri"/>
          <w:noProof/>
        </w:rPr>
        <w:t xml:space="preserve"> Emissions from Conversion and Degradation of Vegetated Coastal Ecosystems. PLoS One 7.</w:t>
      </w:r>
    </w:p>
    <w:p w14:paraId="4FBC4718"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Perri, E., Tucker, M.E., S</w:t>
      </w:r>
      <w:r w:rsidRPr="00F24456">
        <w:rPr>
          <w:rFonts w:ascii="Calibri" w:hAnsi="Calibri" w:cs="Calibri" w:hint="cs"/>
          <w:noProof/>
        </w:rPr>
        <w:t>ł</w:t>
      </w:r>
      <w:r w:rsidRPr="00F24456">
        <w:rPr>
          <w:rFonts w:ascii="Calibri" w:hAnsi="Calibri" w:cs="Calibri"/>
          <w:noProof/>
        </w:rPr>
        <w:t>owakiewicz, M., Whitaker, F., Bowen, L., Perrotta, I.D., 2018. Carbonate and silicate biomineralization in a hypersaline microbial mat (Mesaieed sabkha, Qatar): Roles of bacteria, extracellular polymeric substances and viruses. Sedimentology 65, 1213</w:t>
      </w:r>
      <w:r w:rsidRPr="00F24456">
        <w:rPr>
          <w:rFonts w:ascii="Calibri" w:hAnsi="Calibri" w:cs="Calibri" w:hint="cs"/>
          <w:noProof/>
        </w:rPr>
        <w:t>–</w:t>
      </w:r>
      <w:r w:rsidRPr="00F24456">
        <w:rPr>
          <w:rFonts w:ascii="Calibri" w:hAnsi="Calibri" w:cs="Calibri"/>
          <w:noProof/>
        </w:rPr>
        <w:t>1245. https://doi.org/10.1111/sed.12419</w:t>
      </w:r>
    </w:p>
    <w:p w14:paraId="0500455B"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lastRenderedPageBreak/>
        <w:t>Pestana, D.F., P</w:t>
      </w:r>
      <w:r w:rsidRPr="00F24456">
        <w:rPr>
          <w:rFonts w:ascii="Calibri" w:hAnsi="Calibri" w:cs="Calibri" w:hint="cs"/>
          <w:noProof/>
        </w:rPr>
        <w:t>ü</w:t>
      </w:r>
      <w:r w:rsidRPr="00F24456">
        <w:rPr>
          <w:rFonts w:ascii="Calibri" w:hAnsi="Calibri" w:cs="Calibri"/>
          <w:noProof/>
        </w:rPr>
        <w:t>lmanns, N., Nordhaus, I., Diele, K., Zimmer, M., 2017. The influence of crab burrows on sediment salinity in a Rhizophora-dominated mangrove forest in North Brazil during the dry season. Hydrobiologia 803, 295</w:t>
      </w:r>
      <w:r w:rsidRPr="00F24456">
        <w:rPr>
          <w:rFonts w:ascii="Calibri" w:hAnsi="Calibri" w:cs="Calibri" w:hint="cs"/>
          <w:noProof/>
        </w:rPr>
        <w:t>–</w:t>
      </w:r>
      <w:r w:rsidRPr="00F24456">
        <w:rPr>
          <w:rFonts w:ascii="Calibri" w:hAnsi="Calibri" w:cs="Calibri"/>
          <w:noProof/>
        </w:rPr>
        <w:t>305. https://doi.org/10.1007/s10750-017-3282-4</w:t>
      </w:r>
    </w:p>
    <w:p w14:paraId="76715B2B"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Poungparn, S., Komiyama, A., Patanaponpaiboon, P., Maknual, C., Sangtiean, T., Kato, S., 2004. A quantitative analysis of the root system of a mangrove, Sonneratia caseolaris (L.) Engler, with reference to the pipe model. Tropics 13, 249</w:t>
      </w:r>
      <w:r w:rsidRPr="00F24456">
        <w:rPr>
          <w:rFonts w:ascii="Calibri" w:hAnsi="Calibri" w:cs="Calibri" w:hint="cs"/>
          <w:noProof/>
        </w:rPr>
        <w:t>–</w:t>
      </w:r>
      <w:r w:rsidRPr="00F24456">
        <w:rPr>
          <w:rFonts w:ascii="Calibri" w:hAnsi="Calibri" w:cs="Calibri"/>
          <w:noProof/>
        </w:rPr>
        <w:t>253. https://doi.org/10.3759/tropics.13.249</w:t>
      </w:r>
    </w:p>
    <w:p w14:paraId="75C379C7"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Poungparn, S., Komiyama, A., Tanaka, A., Sangtiean, T., Maknual, C., Kato, S., Tanapermpool, P., Patanaponpaiboon, P., 2009. Carbon dioxide emission through soil respiration in a secondary mangrove forest of eastern Thailand. J. Trop. Ecol. 25, 393</w:t>
      </w:r>
      <w:r w:rsidRPr="00F24456">
        <w:rPr>
          <w:rFonts w:ascii="Calibri" w:hAnsi="Calibri" w:cs="Calibri" w:hint="cs"/>
          <w:noProof/>
        </w:rPr>
        <w:t>–</w:t>
      </w:r>
      <w:r w:rsidRPr="00F24456">
        <w:rPr>
          <w:rFonts w:ascii="Calibri" w:hAnsi="Calibri" w:cs="Calibri"/>
          <w:noProof/>
        </w:rPr>
        <w:t>400. https://doi.org/10.1017/S0266467409006154</w:t>
      </w:r>
    </w:p>
    <w:p w14:paraId="6723BC8E"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Price, A.R.G., Sheppard, C.R.C., Roberts, C.M., 1993. The Gulf: Its biological setting. Mar. Pollut. Bull. 27, 9</w:t>
      </w:r>
      <w:r w:rsidRPr="00F24456">
        <w:rPr>
          <w:rFonts w:ascii="Calibri" w:hAnsi="Calibri" w:cs="Calibri" w:hint="cs"/>
          <w:noProof/>
        </w:rPr>
        <w:t>–</w:t>
      </w:r>
      <w:r w:rsidRPr="00F24456">
        <w:rPr>
          <w:rFonts w:ascii="Calibri" w:hAnsi="Calibri" w:cs="Calibri"/>
          <w:noProof/>
        </w:rPr>
        <w:t>15. https://doi.org/10.1016/0025-326X(93)90004-4</w:t>
      </w:r>
    </w:p>
    <w:p w14:paraId="610577C3"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Rajkaran, A., Adams, J., 2012. The effects of environmental variables on mortality and growth of mangroves at Mngazana Estuary, Eastern Cape, South Africa. Wetl. Ecol. Manag. 20, 297</w:t>
      </w:r>
      <w:r w:rsidRPr="00F24456">
        <w:rPr>
          <w:rFonts w:ascii="Calibri" w:hAnsi="Calibri" w:cs="Calibri" w:hint="cs"/>
          <w:noProof/>
        </w:rPr>
        <w:t>–</w:t>
      </w:r>
      <w:r w:rsidRPr="00F24456">
        <w:rPr>
          <w:rFonts w:ascii="Calibri" w:hAnsi="Calibri" w:cs="Calibri"/>
          <w:noProof/>
        </w:rPr>
        <w:t>312. https://doi.org/10.1007/s11273-012-9254-6</w:t>
      </w:r>
    </w:p>
    <w:p w14:paraId="29D06E6D"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Riahi, K., van Vuuren, D.P., Kriegler, E., Edmonds, J., O</w:t>
      </w:r>
      <w:r w:rsidRPr="00F24456">
        <w:rPr>
          <w:rFonts w:ascii="Calibri" w:hAnsi="Calibri" w:cs="Calibri" w:hint="cs"/>
          <w:noProof/>
        </w:rPr>
        <w:t>’</w:t>
      </w:r>
      <w:r w:rsidRPr="00F24456">
        <w:rPr>
          <w:rFonts w:ascii="Calibri" w:hAnsi="Calibri" w:cs="Calibri"/>
          <w:noProof/>
        </w:rPr>
        <w:t>Neill, B.C., Fujimori, S., Bauer, N., Calvin, K., Dellink, R., Fricko, O., Lutz, W., Popp, A., Cuaresma, J.C., KC, S., Leimbach, M., Jiang, L., Kram, T., Rao, S., Emmerling, J., Ebi, K., Hasegawa, T., Havlik, P., Humpen</w:t>
      </w:r>
      <w:r w:rsidRPr="00F24456">
        <w:rPr>
          <w:rFonts w:ascii="Calibri" w:hAnsi="Calibri" w:cs="Calibri" w:hint="cs"/>
          <w:noProof/>
        </w:rPr>
        <w:t>ö</w:t>
      </w:r>
      <w:r w:rsidRPr="00F24456">
        <w:rPr>
          <w:rFonts w:ascii="Calibri" w:hAnsi="Calibri" w:cs="Calibri"/>
          <w:noProof/>
        </w:rPr>
        <w:t xml:space="preserve">der, F., Da Silva, L.A., Smith, S., Stehfest, E., Bosetti, V., Eom, J., Gernaat, D., Masui, T., Rogelj, J., Strefler, J., Drouet, L., Krey, V., Luderer, G., Harmsen, M., Takahashi, K., Baumstark, L., Doelman, J.C., </w:t>
      </w:r>
      <w:r w:rsidRPr="00F24456">
        <w:rPr>
          <w:rFonts w:ascii="Calibri" w:hAnsi="Calibri" w:cs="Calibri"/>
          <w:noProof/>
        </w:rPr>
        <w:lastRenderedPageBreak/>
        <w:t>Kainuma, M., Klimont, Z., Marangoni, G., Lotze-Campen, H., Obersteiner, M., Tabeau, A., Tavoni, M., 2017. The Shared Socioeconomic Pathways and their energy, land use, and greenhouse gas emissions implications: An overview. Glob. Environ. Chang. 42, 153</w:t>
      </w:r>
      <w:r w:rsidRPr="00F24456">
        <w:rPr>
          <w:rFonts w:ascii="Calibri" w:hAnsi="Calibri" w:cs="Calibri" w:hint="cs"/>
          <w:noProof/>
        </w:rPr>
        <w:t>–</w:t>
      </w:r>
      <w:r w:rsidRPr="00F24456">
        <w:rPr>
          <w:rFonts w:ascii="Calibri" w:hAnsi="Calibri" w:cs="Calibri"/>
          <w:noProof/>
        </w:rPr>
        <w:t>168. https://doi.org/10.1016/j.gloenvcha.2016.05.009</w:t>
      </w:r>
    </w:p>
    <w:p w14:paraId="3C29055E"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Ribeiro, R. de A., Rovai, A.S., Twilley, R.R., Casta</w:t>
      </w:r>
      <w:r w:rsidRPr="00F24456">
        <w:rPr>
          <w:rFonts w:ascii="Calibri" w:hAnsi="Calibri" w:cs="Calibri" w:hint="cs"/>
          <w:noProof/>
        </w:rPr>
        <w:t>ñ</w:t>
      </w:r>
      <w:r w:rsidRPr="00F24456">
        <w:rPr>
          <w:rFonts w:ascii="Calibri" w:hAnsi="Calibri" w:cs="Calibri"/>
          <w:noProof/>
        </w:rPr>
        <w:t>eda-Moya, E., 2019. Spatial variability of mangrove primary productivity in the neotropics. Ecosphere 10. https://doi.org/10.1002/ecs2.2841</w:t>
      </w:r>
    </w:p>
    <w:p w14:paraId="0CBFC2B7"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Richards, D.R., Thompson, B.S., Wijedasa, L., 2020. Quantifying net loss of global mangrove carbon stocks from 20 years of land cover change. Nat. Commun. 11. https://doi.org/10.1038/s41467-020-18118-z</w:t>
      </w:r>
    </w:p>
    <w:p w14:paraId="339D989C"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Rivera-Monroy, V.H., Kristensen, E., Lee, S.Y., Twilley, R.R., 2017. Mangrove ecosystems: A global biogeographic perspective: Structure, function, and services, Mangrove Ecosystems: A Global Biogeographic Perspective: Structure, Function, and Services. https://doi.org/10.1007/978-3-319-62206-4</w:t>
      </w:r>
    </w:p>
    <w:p w14:paraId="3FF46001"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Rivera-Monroy, V.H., Twilley, R.R., Davis, S.E., Childers, D.L., Simard, M., Chambers, R., Jaffe, R., Boyer, J.N., Rudnick, D.T., Zhang, K., Castaneda-Moya, E., Ewe, S.M.L., Price, R.M., Coronado-Molina, C., Ross, M., Smith, T.J., Michot, B., Meselhe, E., Nuttle, W., Troxler, T.G., Noe, G.B., 2011. The role of the everglades mangrove ecotone region (EMER) in regulating nutrient cycling and wetland productivity in South Florida. Crit. Rev. Environ. Sci. Technol. 41, 633</w:t>
      </w:r>
      <w:r w:rsidRPr="00F24456">
        <w:rPr>
          <w:rFonts w:ascii="Calibri" w:hAnsi="Calibri" w:cs="Calibri" w:hint="cs"/>
          <w:noProof/>
        </w:rPr>
        <w:t>–</w:t>
      </w:r>
      <w:r w:rsidRPr="00F24456">
        <w:rPr>
          <w:rFonts w:ascii="Calibri" w:hAnsi="Calibri" w:cs="Calibri"/>
          <w:noProof/>
        </w:rPr>
        <w:t>669. https://doi.org/10.1080/10643389.2010.530907</w:t>
      </w:r>
    </w:p>
    <w:p w14:paraId="1D13DD35"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 xml:space="preserve">Rogelj, J., Popp, A., Calvin, K. V., Luderer, G., Emmerling, J., Gernaat, D., Fujimori, S., Strefler, J., Hasegawa, T., Marangoni, G., Krey, V., Kriegler, E., Riahi, K., Van Vuuren, D.P., Doelman, J., </w:t>
      </w:r>
      <w:r w:rsidRPr="00F24456">
        <w:rPr>
          <w:rFonts w:ascii="Calibri" w:hAnsi="Calibri" w:cs="Calibri"/>
          <w:noProof/>
        </w:rPr>
        <w:lastRenderedPageBreak/>
        <w:t>Drouet, L., Edmonds, J., Fricko, O., Harmsen, M., Havl</w:t>
      </w:r>
      <w:r w:rsidRPr="00F24456">
        <w:rPr>
          <w:rFonts w:ascii="Calibri" w:hAnsi="Calibri" w:cs="Calibri" w:hint="cs"/>
          <w:noProof/>
        </w:rPr>
        <w:t>í</w:t>
      </w:r>
      <w:r w:rsidRPr="00F24456">
        <w:rPr>
          <w:rFonts w:ascii="Calibri" w:hAnsi="Calibri" w:cs="Calibri"/>
          <w:noProof/>
        </w:rPr>
        <w:t>k, P., Humpen</w:t>
      </w:r>
      <w:r w:rsidRPr="00F24456">
        <w:rPr>
          <w:rFonts w:ascii="Calibri" w:hAnsi="Calibri" w:cs="Calibri" w:hint="cs"/>
          <w:noProof/>
        </w:rPr>
        <w:t>ö</w:t>
      </w:r>
      <w:r w:rsidRPr="00F24456">
        <w:rPr>
          <w:rFonts w:ascii="Calibri" w:hAnsi="Calibri" w:cs="Calibri"/>
          <w:noProof/>
        </w:rPr>
        <w:t xml:space="preserve">der, F., Stehfest, E., Tavoni, M., 2018. Scenarios towards limiting global mean temperature increase below 1.5 </w:t>
      </w:r>
      <w:r w:rsidRPr="00F24456">
        <w:rPr>
          <w:rFonts w:ascii="Calibri" w:hAnsi="Calibri" w:cs="Calibri" w:hint="cs"/>
          <w:noProof/>
        </w:rPr>
        <w:t>°</w:t>
      </w:r>
      <w:r w:rsidRPr="00F24456">
        <w:rPr>
          <w:rFonts w:ascii="Calibri" w:hAnsi="Calibri" w:cs="Calibri"/>
          <w:noProof/>
        </w:rPr>
        <w:t>c. Nat. Clim. Chang. 8, 325</w:t>
      </w:r>
      <w:r w:rsidRPr="00F24456">
        <w:rPr>
          <w:rFonts w:ascii="Calibri" w:hAnsi="Calibri" w:cs="Calibri" w:hint="cs"/>
          <w:noProof/>
        </w:rPr>
        <w:t>–</w:t>
      </w:r>
      <w:r w:rsidRPr="00F24456">
        <w:rPr>
          <w:rFonts w:ascii="Calibri" w:hAnsi="Calibri" w:cs="Calibri"/>
          <w:noProof/>
        </w:rPr>
        <w:t>332. https://doi.org/10.1038/s41558-018-0091-3</w:t>
      </w:r>
    </w:p>
    <w:p w14:paraId="1E1A01BD"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Rogers, A., Mumby, P.J., 2019. Mangroves reduce the vulnerability of coral reef fisheries to habitat degradation. PLoS Biol. 17. https://doi.org/10.1371/journal.pbio.3000510</w:t>
      </w:r>
    </w:p>
    <w:p w14:paraId="66C16E13"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Rogers, K., Kelleway, J.J., Saintilan, N., Megonigal, J.P., Adams, J.B., Holmquist, J.R., Lu, M., Schile-Beers, L., Zawadzki, A., Mazumder, D., Woodroffe, C.D., 2019. Wetland carbon storage controlled by millennial-scale variation in relative sea-level rise. Nature 567, 91</w:t>
      </w:r>
      <w:r w:rsidRPr="00F24456">
        <w:rPr>
          <w:rFonts w:ascii="Calibri" w:hAnsi="Calibri" w:cs="Calibri" w:hint="cs"/>
          <w:noProof/>
        </w:rPr>
        <w:t>–</w:t>
      </w:r>
      <w:r w:rsidRPr="00F24456">
        <w:rPr>
          <w:rFonts w:ascii="Calibri" w:hAnsi="Calibri" w:cs="Calibri"/>
          <w:noProof/>
        </w:rPr>
        <w:t>95. https://doi.org/10.1038/s41586-019-0951-7</w:t>
      </w:r>
    </w:p>
    <w:p w14:paraId="25A8B482"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 xml:space="preserve">Rosentreter, J.A., Maher, D.T., Erler, D. V., Murray, R., Eyre, B.D., 2018. Seasonal and temporal CO2 dynamics in three tropical mangrove creeks </w:t>
      </w:r>
      <w:r w:rsidRPr="00F24456">
        <w:rPr>
          <w:rFonts w:ascii="Calibri" w:hAnsi="Calibri" w:cs="Calibri" w:hint="cs"/>
          <w:noProof/>
        </w:rPr>
        <w:t>–</w:t>
      </w:r>
      <w:r w:rsidRPr="00F24456">
        <w:rPr>
          <w:rFonts w:ascii="Calibri" w:hAnsi="Calibri" w:cs="Calibri"/>
          <w:noProof/>
        </w:rPr>
        <w:t xml:space="preserve"> A revision of global mangrove CO2 emissions. Geochim. Cosmochim. Acta 222, 729</w:t>
      </w:r>
      <w:r w:rsidRPr="00F24456">
        <w:rPr>
          <w:rFonts w:ascii="Calibri" w:hAnsi="Calibri" w:cs="Calibri" w:hint="cs"/>
          <w:noProof/>
        </w:rPr>
        <w:t>–</w:t>
      </w:r>
      <w:r w:rsidRPr="00F24456">
        <w:rPr>
          <w:rFonts w:ascii="Calibri" w:hAnsi="Calibri" w:cs="Calibri"/>
          <w:noProof/>
        </w:rPr>
        <w:t>745. https://doi.org/10.1016/j.gca.2017.11.026</w:t>
      </w:r>
    </w:p>
    <w:p w14:paraId="54219E64"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Rovai, A.S., Twilley, R.R., Casta</w:t>
      </w:r>
      <w:r w:rsidRPr="00F24456">
        <w:rPr>
          <w:rFonts w:ascii="Calibri" w:hAnsi="Calibri" w:cs="Calibri" w:hint="cs"/>
          <w:noProof/>
        </w:rPr>
        <w:t>ñ</w:t>
      </w:r>
      <w:r w:rsidRPr="00F24456">
        <w:rPr>
          <w:rFonts w:ascii="Calibri" w:hAnsi="Calibri" w:cs="Calibri"/>
          <w:noProof/>
        </w:rPr>
        <w:t>eda-Moya, E., Riul, P., Cifuentes-Jara, M., Manrow-Villalobos, M., Horta, P.A., Simonassi, J.C., Fonseca, A.L., Pagliosa, P.R., 2018. Global controls on carbon storage in mangrove soils. Nat. Clim. Chang. 8, 534</w:t>
      </w:r>
      <w:r w:rsidRPr="00F24456">
        <w:rPr>
          <w:rFonts w:ascii="Calibri" w:hAnsi="Calibri" w:cs="Calibri" w:hint="cs"/>
          <w:noProof/>
        </w:rPr>
        <w:t>–</w:t>
      </w:r>
      <w:r w:rsidRPr="00F24456">
        <w:rPr>
          <w:rFonts w:ascii="Calibri" w:hAnsi="Calibri" w:cs="Calibri"/>
          <w:noProof/>
        </w:rPr>
        <w:t>538. https://doi.org/10.1038/s41558-018-0162-5</w:t>
      </w:r>
    </w:p>
    <w:p w14:paraId="28C640E4"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Saifullah, S.M., Khafaji, A.K., Mandura, A.S., 1989. Litter production in a mangrove stand of the Saudi Arabian Red Sea coast. Aquat. Bot. 36, 79</w:t>
      </w:r>
      <w:r w:rsidRPr="00F24456">
        <w:rPr>
          <w:rFonts w:ascii="Calibri" w:hAnsi="Calibri" w:cs="Calibri" w:hint="cs"/>
          <w:noProof/>
        </w:rPr>
        <w:t>–</w:t>
      </w:r>
      <w:r w:rsidRPr="00F24456">
        <w:rPr>
          <w:rFonts w:ascii="Calibri" w:hAnsi="Calibri" w:cs="Calibri"/>
          <w:noProof/>
        </w:rPr>
        <w:t>86. https://doi.org/10.1016/0304-3770(89)90093-4</w:t>
      </w:r>
    </w:p>
    <w:p w14:paraId="58B42725"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Saintilan, N., Khan, N.S., Ashe, E., Kelleway, J.J., Rogers, K., Woodroffe, C.D., Horton, B.P., 2020. Thresholds of mangrove survival under rapid sea level rise. Science (80-. ). 368, 1118</w:t>
      </w:r>
      <w:r w:rsidRPr="00F24456">
        <w:rPr>
          <w:rFonts w:ascii="Calibri" w:hAnsi="Calibri" w:cs="Calibri" w:hint="cs"/>
          <w:noProof/>
        </w:rPr>
        <w:t>–</w:t>
      </w:r>
      <w:r w:rsidRPr="00F24456">
        <w:rPr>
          <w:rFonts w:ascii="Calibri" w:hAnsi="Calibri" w:cs="Calibri"/>
          <w:noProof/>
        </w:rPr>
        <w:lastRenderedPageBreak/>
        <w:t>1121. https://doi.org/10.1126/science.aba2656</w:t>
      </w:r>
    </w:p>
    <w:p w14:paraId="124E98C0"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Saintilan, N., Rogers, K., Mazumder, D., Woodroffe, C., 2013. Allochthonous and autochthonous contributions to carbon accumulation and carbon store in southeastern Australian coastal wetlands. Estuar. Coast. Shelf Sci. 128, 84</w:t>
      </w:r>
      <w:r w:rsidRPr="00F24456">
        <w:rPr>
          <w:rFonts w:ascii="Calibri" w:hAnsi="Calibri" w:cs="Calibri" w:hint="cs"/>
          <w:noProof/>
        </w:rPr>
        <w:t>–</w:t>
      </w:r>
      <w:r w:rsidRPr="00F24456">
        <w:rPr>
          <w:rFonts w:ascii="Calibri" w:hAnsi="Calibri" w:cs="Calibri"/>
          <w:noProof/>
        </w:rPr>
        <w:t>92. https://doi.org/10.1016/j.ecss.2013.05.010</w:t>
      </w:r>
    </w:p>
    <w:p w14:paraId="6C46BD36"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Saintilan, N., Wilson, N.C., Rogers, K., Rajkaran, A., Krauss, K.W., 2014. Mangrove expansion and salt marsh decline at mangrove poleward limits. Glob. Chang. Biol. 20, 147</w:t>
      </w:r>
      <w:r w:rsidRPr="00F24456">
        <w:rPr>
          <w:rFonts w:ascii="Calibri" w:hAnsi="Calibri" w:cs="Calibri" w:hint="cs"/>
          <w:noProof/>
        </w:rPr>
        <w:t>–</w:t>
      </w:r>
      <w:r w:rsidRPr="00F24456">
        <w:rPr>
          <w:rFonts w:ascii="Calibri" w:hAnsi="Calibri" w:cs="Calibri"/>
          <w:noProof/>
        </w:rPr>
        <w:t>157. https://doi.org/10.1111/gcb.12341</w:t>
      </w:r>
    </w:p>
    <w:p w14:paraId="70D5BB0C"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Sanchez-Andres, R., Sanchez-Carillo, S., Alatorre, L., Cirujano, S., Alvarez-Cobelas, M., 2010. Litterfall dynamics and nutrient decomposition of arid mangroves in the Gulf of California: Their role sustaining ecosystem heterotrophy. Estuar. Coast. Shelf Sci. 89, 191</w:t>
      </w:r>
      <w:r w:rsidRPr="00F24456">
        <w:rPr>
          <w:rFonts w:ascii="Calibri" w:hAnsi="Calibri" w:cs="Calibri" w:hint="cs"/>
          <w:noProof/>
        </w:rPr>
        <w:t>–</w:t>
      </w:r>
      <w:r w:rsidRPr="00F24456">
        <w:rPr>
          <w:rFonts w:ascii="Calibri" w:hAnsi="Calibri" w:cs="Calibri"/>
          <w:noProof/>
        </w:rPr>
        <w:t>199. https://doi.org/https://doi.org/10.1016/j.ecss.2010.07.005</w:t>
      </w:r>
    </w:p>
    <w:p w14:paraId="5275B411"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S</w:t>
      </w:r>
      <w:r w:rsidRPr="00F24456">
        <w:rPr>
          <w:rFonts w:ascii="Calibri" w:hAnsi="Calibri" w:cs="Calibri" w:hint="cs"/>
          <w:noProof/>
        </w:rPr>
        <w:t>á</w:t>
      </w:r>
      <w:r w:rsidRPr="00F24456">
        <w:rPr>
          <w:rFonts w:ascii="Calibri" w:hAnsi="Calibri" w:cs="Calibri"/>
          <w:noProof/>
        </w:rPr>
        <w:t>nchez, B.G., 2005. Belowground Productivity of Mangrove Forests in Southwest Florida Department of Oceanography and Coastal Sciences. Dissertation.</w:t>
      </w:r>
    </w:p>
    <w:p w14:paraId="0889E1FF"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Sanderman, J., Hengl, T., Fiske, G., Solvik, K., Adame, M.F., Benson, L., Bukoski, J.J., Carnell, P., Cifuentes-Jara, M., Donato, D., Duncan, C., Eid, E.M., Ermgassen, P. zu, Lewis, C.J.E., Macreadie, P.I., Glass, L., Gress, S., Jardine, S.L., Jones, T.G., Nsombo, E.N., Rahman, M.M., Sanders, C.J., Spalding, M., Landis, E., 2018. A global map of mangrove forest soil carbon at 30 m spatial resolution. Environ. Res. Lett. 13, 055002. https://doi.org/10.1088/1748-9326/aabe1c</w:t>
      </w:r>
    </w:p>
    <w:p w14:paraId="2CAFA3BE"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Sanders, C.J., Maher, D.T., Tait, D.R., Williams, D., Holloway, C., Sippo, J.Z., Santos, I.R., 2016. Are global mangrove carbon stocks driven by rainfall? J. Geophys. Res. Biogeosciences 121, 2600</w:t>
      </w:r>
      <w:r w:rsidRPr="00F24456">
        <w:rPr>
          <w:rFonts w:ascii="Calibri" w:hAnsi="Calibri" w:cs="Calibri" w:hint="cs"/>
          <w:noProof/>
        </w:rPr>
        <w:t>–</w:t>
      </w:r>
      <w:r w:rsidRPr="00F24456">
        <w:rPr>
          <w:rFonts w:ascii="Calibri" w:hAnsi="Calibri" w:cs="Calibri"/>
          <w:noProof/>
        </w:rPr>
        <w:t>2609. https://doi.org/10.1002/2016JG003510</w:t>
      </w:r>
    </w:p>
    <w:p w14:paraId="69297B06"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lastRenderedPageBreak/>
        <w:t>Santos, I., Buridge, D., Jennerjahn, T., Bouillon, S., Cabral, A., Serrano, O., Wernberg, T., Filbee-Dexter, K., Guimond, J., Tamborski, J., 2021. The renaissance of Odum</w:t>
      </w:r>
      <w:r w:rsidRPr="00F24456">
        <w:rPr>
          <w:rFonts w:ascii="Calibri" w:hAnsi="Calibri" w:cs="Calibri" w:hint="cs"/>
          <w:noProof/>
        </w:rPr>
        <w:t>’</w:t>
      </w:r>
      <w:r w:rsidRPr="00F24456">
        <w:rPr>
          <w:rFonts w:ascii="Calibri" w:hAnsi="Calibri" w:cs="Calibri"/>
          <w:noProof/>
        </w:rPr>
        <w:t xml:space="preserve">s outwelling hypothesis in </w:t>
      </w:r>
      <w:r w:rsidRPr="00F24456">
        <w:rPr>
          <w:rFonts w:ascii="Calibri" w:hAnsi="Calibri" w:cs="Calibri" w:hint="cs"/>
          <w:noProof/>
        </w:rPr>
        <w:t>’</w:t>
      </w:r>
      <w:r w:rsidRPr="00F24456">
        <w:rPr>
          <w:rFonts w:ascii="Calibri" w:hAnsi="Calibri" w:cs="Calibri"/>
          <w:noProof/>
        </w:rPr>
        <w:t>Blue Carbon</w:t>
      </w:r>
      <w:r w:rsidRPr="00F24456">
        <w:rPr>
          <w:rFonts w:ascii="Calibri" w:hAnsi="Calibri" w:cs="Calibri" w:hint="cs"/>
          <w:noProof/>
        </w:rPr>
        <w:t>’</w:t>
      </w:r>
      <w:r w:rsidRPr="00F24456">
        <w:rPr>
          <w:rFonts w:ascii="Calibri" w:hAnsi="Calibri" w:cs="Calibri"/>
          <w:noProof/>
        </w:rPr>
        <w:t xml:space="preserve"> science. Estuar. Coast. Shelf Sci. 255, 107361. https://doi.org/10.1016/j.ecss.2021.107361</w:t>
      </w:r>
    </w:p>
    <w:p w14:paraId="77618E8F"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Santos, I., Maher, D., Larkin, R., Webb, J., Sanders, C., 2019. Carbon outwelling and outgassing vs. burial in an estuarine tidal creek surrounded by mangrove and saltmarsh wetlands. Limnol. Oceanogr. 64, 996</w:t>
      </w:r>
      <w:r w:rsidRPr="00F24456">
        <w:rPr>
          <w:rFonts w:ascii="Calibri" w:hAnsi="Calibri" w:cs="Calibri" w:hint="cs"/>
          <w:noProof/>
        </w:rPr>
        <w:t>–</w:t>
      </w:r>
      <w:r w:rsidRPr="00F24456">
        <w:rPr>
          <w:rFonts w:ascii="Calibri" w:hAnsi="Calibri" w:cs="Calibri"/>
          <w:noProof/>
        </w:rPr>
        <w:t>1013. https://doi.org/10.1002/lno.11090</w:t>
      </w:r>
    </w:p>
    <w:p w14:paraId="74A70E0A"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Sasekumar, A., Loi, J.J., 1983. Litter production in three mangrove forest zones in the malay peninsula. Aquat. Bot. 17, 283</w:t>
      </w:r>
      <w:r w:rsidRPr="00F24456">
        <w:rPr>
          <w:rFonts w:ascii="Calibri" w:hAnsi="Calibri" w:cs="Calibri" w:hint="cs"/>
          <w:noProof/>
        </w:rPr>
        <w:t>–</w:t>
      </w:r>
      <w:r w:rsidRPr="00F24456">
        <w:rPr>
          <w:rFonts w:ascii="Calibri" w:hAnsi="Calibri" w:cs="Calibri"/>
          <w:noProof/>
        </w:rPr>
        <w:t>290. https://doi.org/10.1016/0304-3770(83)90063-3</w:t>
      </w:r>
    </w:p>
    <w:p w14:paraId="47D28CD8"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Sasmito, S.D., Silanp</w:t>
      </w:r>
      <w:r w:rsidRPr="00F24456">
        <w:rPr>
          <w:rFonts w:ascii="Calibri" w:hAnsi="Calibri" w:cs="Calibri" w:hint="cs"/>
          <w:noProof/>
        </w:rPr>
        <w:t>ää</w:t>
      </w:r>
      <w:r w:rsidRPr="00F24456">
        <w:rPr>
          <w:rFonts w:ascii="Calibri" w:hAnsi="Calibri" w:cs="Calibri"/>
          <w:noProof/>
        </w:rPr>
        <w:t>, M., Hayes, M.A., Bachri, S., Saragi-Sasmito, M.F., Sidik, F., Hanggara, B., Mofu, W.Y., Rumbiak, V.I., Hendri, Rumbiak, M.I., Taberima, S., Suhaemi, Nugroho, J.D., Pattiasina, T.F., Widagti, N., Barakalla, Rahajoe, J.S., Hartantri, H., Nikijuluw, V., Jowey, R.N., Heatunubun, C., Ermgassen, P.Z., Worthington, T.A., Howard, J., Lovelock, C.E., Friess, D.A., Hutley, L.B., Murdiyarso, D., 2019. SWAMP Dataset-Mangrove soil carbon-West Papua-2019 [WWW Document]. Cent. Int. For. Res. https://doi.org/10.17528/CIFOR/DATA.00192</w:t>
      </w:r>
    </w:p>
    <w:p w14:paraId="73721401"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Schile, L.M., Kauffman, J.B., Crooks, S., Fourqurean, J.W., Glavan, J., Megonigal, J.P., 2017. Limits on carbon sequestration in arid blue carbon ecosystems. Ecol. Appl. 27, 859</w:t>
      </w:r>
      <w:r w:rsidRPr="00F24456">
        <w:rPr>
          <w:rFonts w:ascii="Calibri" w:hAnsi="Calibri" w:cs="Calibri" w:hint="cs"/>
          <w:noProof/>
        </w:rPr>
        <w:t>–</w:t>
      </w:r>
      <w:r w:rsidRPr="00F24456">
        <w:rPr>
          <w:rFonts w:ascii="Calibri" w:hAnsi="Calibri" w:cs="Calibri"/>
          <w:noProof/>
        </w:rPr>
        <w:t>874. https://doi.org/10.1002/eap.1489</w:t>
      </w:r>
    </w:p>
    <w:p w14:paraId="7A766CE3"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Schneider, U., Becker, A., Finger, P., Meyer-Christoffer, A., Rudolf, B., Ziese, M., 2011. GPCC full data reanalysis version 6.0 at 0.5</w:t>
      </w:r>
      <w:r w:rsidRPr="00F24456">
        <w:rPr>
          <w:rFonts w:ascii="Calibri" w:hAnsi="Calibri" w:cs="Calibri" w:hint="cs"/>
          <w:noProof/>
        </w:rPr>
        <w:t>°</w:t>
      </w:r>
      <w:r w:rsidRPr="00F24456">
        <w:rPr>
          <w:rFonts w:ascii="Calibri" w:hAnsi="Calibri" w:cs="Calibri"/>
          <w:noProof/>
        </w:rPr>
        <w:t>: monthly land-surface precipitation from rain-gauges built on GTS-based and historic data. https://doi.org/10.5676/DWD_GPCC/FD_M_V7_050</w:t>
      </w:r>
    </w:p>
    <w:p w14:paraId="2C3C2A7D"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lastRenderedPageBreak/>
        <w:t>Sheppard, C., Al-Husiani, M., Al-Jamali, F., Al-Yamani, F., Baldwin, R., Bishop, J., Benzoni, F., Dutrieux, E., Dulvy, N.K., Durvasula, S.R. V., Jones, D.A., Loughland, R., Medio, D., Nithyanandan, M., Pilling, G.M., Polikarpov, I., Price, A.R.G., Purkis, S., Riegl, B., Saburova, M., Namin, K.S., Taylor, O., Wilson, S., Zainal, K., 2010. The Gulf: A young sea in decline. Mar. Pollut. Bull. 60, 13</w:t>
      </w:r>
      <w:r w:rsidRPr="00F24456">
        <w:rPr>
          <w:rFonts w:ascii="Calibri" w:hAnsi="Calibri" w:cs="Calibri" w:hint="cs"/>
          <w:noProof/>
        </w:rPr>
        <w:t>–</w:t>
      </w:r>
      <w:r w:rsidRPr="00F24456">
        <w:rPr>
          <w:rFonts w:ascii="Calibri" w:hAnsi="Calibri" w:cs="Calibri"/>
          <w:noProof/>
        </w:rPr>
        <w:t>38. https://doi.org/10.1016/j.marpolbul.2009.10.017</w:t>
      </w:r>
    </w:p>
    <w:p w14:paraId="1B36D827"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Sherman, R.E., Fahey, T.J., Martinez, P., 2003. Spatial Patterns of Biomass and Aboveground Net Primary Productivity in a Mangrove Ecosystem in the Dominican Republic. Ecosystems 6, 384</w:t>
      </w:r>
      <w:r w:rsidRPr="00F24456">
        <w:rPr>
          <w:rFonts w:ascii="Calibri" w:hAnsi="Calibri" w:cs="Calibri" w:hint="cs"/>
          <w:noProof/>
        </w:rPr>
        <w:t>–</w:t>
      </w:r>
      <w:r w:rsidRPr="00F24456">
        <w:rPr>
          <w:rFonts w:ascii="Calibri" w:hAnsi="Calibri" w:cs="Calibri"/>
          <w:noProof/>
        </w:rPr>
        <w:t>398. https://doi.org/10.1007/s10021-002-0191-8</w:t>
      </w:r>
    </w:p>
    <w:p w14:paraId="220F025F"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Sillmann, J., Kharin, V. V., Zhang, X., Zwiers, F.W., Bronaugh, D., 2013. Climate extremes indices in the CMIP5 multimodel ensemble: Part 1. Model evaluation in the present climate. J. Geophys. Res. Atmos. 118, 1716</w:t>
      </w:r>
      <w:r w:rsidRPr="00F24456">
        <w:rPr>
          <w:rFonts w:ascii="Calibri" w:hAnsi="Calibri" w:cs="Calibri" w:hint="cs"/>
          <w:noProof/>
        </w:rPr>
        <w:t>–</w:t>
      </w:r>
      <w:r w:rsidRPr="00F24456">
        <w:rPr>
          <w:rFonts w:ascii="Calibri" w:hAnsi="Calibri" w:cs="Calibri"/>
          <w:noProof/>
        </w:rPr>
        <w:t>1733. https://doi.org/10.1002/jgrd.50203</w:t>
      </w:r>
    </w:p>
    <w:p w14:paraId="34DAC4D0"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Sillmann, J, Kharin, V. V, Zwiers, F.W., Zhang, X., Bronaugh, D., 2013. Climate extremes indices in the CMIP5 multimodel ensemble: Part 2. Future climate projections. J. Geophys. Res. Atmos. 118, 2473</w:t>
      </w:r>
      <w:r w:rsidRPr="00F24456">
        <w:rPr>
          <w:rFonts w:ascii="Calibri" w:hAnsi="Calibri" w:cs="Calibri" w:hint="cs"/>
          <w:noProof/>
        </w:rPr>
        <w:t>–</w:t>
      </w:r>
      <w:r w:rsidRPr="00F24456">
        <w:rPr>
          <w:rFonts w:ascii="Calibri" w:hAnsi="Calibri" w:cs="Calibri"/>
          <w:noProof/>
        </w:rPr>
        <w:t>2493. https://doi.org/10.1002/jgrd.50188</w:t>
      </w:r>
    </w:p>
    <w:p w14:paraId="47BD3248"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Silva, J., Santos, R., Calleja, M.L., Duarte, C.M., 2005. Submerged versus air-exposed intertidal macrophyte productivity: From physiological to community-level assessments. J. Exp. Mar. Bio. Ecol. 317, 87</w:t>
      </w:r>
      <w:r w:rsidRPr="00F24456">
        <w:rPr>
          <w:rFonts w:ascii="Calibri" w:hAnsi="Calibri" w:cs="Calibri" w:hint="cs"/>
          <w:noProof/>
        </w:rPr>
        <w:t>–</w:t>
      </w:r>
      <w:r w:rsidRPr="00F24456">
        <w:rPr>
          <w:rFonts w:ascii="Calibri" w:hAnsi="Calibri" w:cs="Calibri"/>
          <w:noProof/>
        </w:rPr>
        <w:t>95. https://doi.org/10.1016/j.jembe.2004.11.010</w:t>
      </w:r>
    </w:p>
    <w:p w14:paraId="403EE260"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Silva, R., Carlos, A., Oliveira, S.R., R</w:t>
      </w:r>
      <w:r w:rsidRPr="00F24456">
        <w:rPr>
          <w:rFonts w:ascii="Calibri" w:hAnsi="Calibri" w:cs="Calibri" w:hint="cs"/>
          <w:noProof/>
        </w:rPr>
        <w:t>ê</w:t>
      </w:r>
      <w:r w:rsidRPr="00F24456">
        <w:rPr>
          <w:rFonts w:ascii="Calibri" w:hAnsi="Calibri" w:cs="Calibri"/>
          <w:noProof/>
        </w:rPr>
        <w:t>go, R.D.P., Mozeto, A.A., 2007. Dynamics of phosphorus and nitrogen through litter fall and decomposition in a tropical mangrove forest. Mar. Environ. Res. 64, 524</w:t>
      </w:r>
      <w:r w:rsidRPr="00F24456">
        <w:rPr>
          <w:rFonts w:ascii="Calibri" w:hAnsi="Calibri" w:cs="Calibri" w:hint="cs"/>
          <w:noProof/>
        </w:rPr>
        <w:t>–</w:t>
      </w:r>
      <w:r w:rsidRPr="00F24456">
        <w:rPr>
          <w:rFonts w:ascii="Calibri" w:hAnsi="Calibri" w:cs="Calibri"/>
          <w:noProof/>
        </w:rPr>
        <w:t>534. https://doi.org/10.1016/j.marenvres.2007.04.007</w:t>
      </w:r>
    </w:p>
    <w:p w14:paraId="477F5E22"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 xml:space="preserve">Simard, M., Fatoyinbo, T., Smetanka, C., Rivera-Monroy, V., Castaneda-Moya, E., Thomas, N., Van der Stocken, T., 2019. Mangrove canopy height globally related to precipitation, </w:t>
      </w:r>
      <w:r w:rsidRPr="00F24456">
        <w:rPr>
          <w:rFonts w:ascii="Calibri" w:hAnsi="Calibri" w:cs="Calibri"/>
          <w:noProof/>
        </w:rPr>
        <w:lastRenderedPageBreak/>
        <w:t>temperature and cyclone frequency. Nat. Geosci. 12, 40</w:t>
      </w:r>
      <w:r w:rsidRPr="00F24456">
        <w:rPr>
          <w:rFonts w:ascii="Calibri" w:hAnsi="Calibri" w:cs="Calibri" w:hint="cs"/>
          <w:noProof/>
        </w:rPr>
        <w:t>–</w:t>
      </w:r>
      <w:r w:rsidRPr="00F24456">
        <w:rPr>
          <w:rFonts w:ascii="Calibri" w:hAnsi="Calibri" w:cs="Calibri"/>
          <w:noProof/>
        </w:rPr>
        <w:t>45. https://doi.org/10.1038/s41561-018-0279-1</w:t>
      </w:r>
    </w:p>
    <w:p w14:paraId="7C4B0F58"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Simard, M., Pinto, N., Fisher, J.B., Baccini, A., 2011. Mapping forest canopy height globally with spaceborne lidar. J. Geophys. Res. Biogeosciences 116. https://doi.org/10.1029/2011JG001708</w:t>
      </w:r>
    </w:p>
    <w:p w14:paraId="6698B0BB"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Smith, T.J., Whelan, K.R.T., 2006. Development of allometric relations for three mangrove species in South Florida for use in the Greater Everglades Ecosystem restoration. Wetl. Ecol. Manag. 14, 409</w:t>
      </w:r>
      <w:r w:rsidRPr="00F24456">
        <w:rPr>
          <w:rFonts w:ascii="Calibri" w:hAnsi="Calibri" w:cs="Calibri" w:hint="cs"/>
          <w:noProof/>
        </w:rPr>
        <w:t>–</w:t>
      </w:r>
      <w:r w:rsidRPr="00F24456">
        <w:rPr>
          <w:rFonts w:ascii="Calibri" w:hAnsi="Calibri" w:cs="Calibri"/>
          <w:noProof/>
        </w:rPr>
        <w:t>419. https://doi.org/10.1007/s11273-005-6243-z</w:t>
      </w:r>
    </w:p>
    <w:p w14:paraId="0AC0E940"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Soares, P.M.M., Careto, J.A.M., Cardoso, R.M., Goergen, K., Trigo, R.M., 2019. Land-Atmosphere Coupling Regimes in a Future Climate in Africa: From Model Evaluation to Projections Based on CORDEX-Africa. J. Geophys. Res. Atmos. 124, 11118</w:t>
      </w:r>
      <w:r w:rsidRPr="00F24456">
        <w:rPr>
          <w:rFonts w:ascii="Calibri" w:hAnsi="Calibri" w:cs="Calibri" w:hint="cs"/>
          <w:noProof/>
        </w:rPr>
        <w:t>–</w:t>
      </w:r>
      <w:r w:rsidRPr="00F24456">
        <w:rPr>
          <w:rFonts w:ascii="Calibri" w:hAnsi="Calibri" w:cs="Calibri"/>
          <w:noProof/>
        </w:rPr>
        <w:t>11142. https://doi.org/10.1029/2018JD029473</w:t>
      </w:r>
    </w:p>
    <w:p w14:paraId="25C104A2"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Spalding, M., Fox, H., Allen, G., Davidson, N., Ferdana, Z., Finlayson, M., Halpern, B., Jorge, M., Lombana, A., Lourie, S., Kirsten, M., McManus, E., Molnar, J., Recchia, C., Robertson, J., Fox, H.E., Allen, G.R., Davidson, N., Ferda</w:t>
      </w:r>
      <w:r w:rsidRPr="00F24456">
        <w:rPr>
          <w:rFonts w:ascii="Calibri" w:hAnsi="Calibri" w:cs="Calibri" w:hint="cs"/>
          <w:noProof/>
        </w:rPr>
        <w:t>ñ</w:t>
      </w:r>
      <w:r w:rsidRPr="00F24456">
        <w:rPr>
          <w:rFonts w:ascii="Calibri" w:hAnsi="Calibri" w:cs="Calibri"/>
          <w:noProof/>
        </w:rPr>
        <w:t>a, Z.A., Finlayson, M.A.X., Halpern, B.S., Jorge, M.A., Lombana, A.L., Lourie, S.A., Martin, K.D., Manus, M.C., Molnar, J., Recchia, C.A., Robertson, J., 2007. Marine Ecoregions of the World</w:t>
      </w:r>
      <w:r w:rsidRPr="00F24456">
        <w:rPr>
          <w:rFonts w:ascii="Calibri" w:hAnsi="Calibri" w:cs="Calibri" w:hint="cs"/>
          <w:noProof/>
        </w:rPr>
        <w:t> </w:t>
      </w:r>
      <w:r w:rsidRPr="00F24456">
        <w:rPr>
          <w:rFonts w:ascii="Calibri" w:hAnsi="Calibri" w:cs="Calibri"/>
          <w:noProof/>
        </w:rPr>
        <w:t>: A Bioregionalization of Coastal and Shelf Areas. Bioscience 57, 573</w:t>
      </w:r>
      <w:r w:rsidRPr="00F24456">
        <w:rPr>
          <w:rFonts w:ascii="Calibri" w:hAnsi="Calibri" w:cs="Calibri" w:hint="cs"/>
          <w:noProof/>
        </w:rPr>
        <w:t>–</w:t>
      </w:r>
      <w:r w:rsidRPr="00F24456">
        <w:rPr>
          <w:rFonts w:ascii="Calibri" w:hAnsi="Calibri" w:cs="Calibri"/>
          <w:noProof/>
        </w:rPr>
        <w:t>583.</w:t>
      </w:r>
    </w:p>
    <w:p w14:paraId="78DB8028"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Suhardiman, A., Tsuyuki, S., Setiawan, Y., 2016. Estimating Mean Tree Crown Diameter of Mangrove Stands Using Aerial Photo. Procedia Environ. Sci. 33, 416</w:t>
      </w:r>
      <w:r w:rsidRPr="00F24456">
        <w:rPr>
          <w:rFonts w:ascii="Calibri" w:hAnsi="Calibri" w:cs="Calibri" w:hint="cs"/>
          <w:noProof/>
        </w:rPr>
        <w:t>–</w:t>
      </w:r>
      <w:r w:rsidRPr="00F24456">
        <w:rPr>
          <w:rFonts w:ascii="Calibri" w:hAnsi="Calibri" w:cs="Calibri"/>
          <w:noProof/>
        </w:rPr>
        <w:t>427. https://doi.org/10.1016/j.proenv.2016.03.092</w:t>
      </w:r>
    </w:p>
    <w:p w14:paraId="17D07F69"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 xml:space="preserve">Sukardjo, S., Yamada, I., 1992. Biomass and productivity of a Rhizophora mucronata Lamarck </w:t>
      </w:r>
      <w:r w:rsidRPr="00F24456">
        <w:rPr>
          <w:rFonts w:ascii="Calibri" w:hAnsi="Calibri" w:cs="Calibri"/>
          <w:noProof/>
        </w:rPr>
        <w:lastRenderedPageBreak/>
        <w:t>plantation in Tritih, Central Java, Indonesia. For. Ecol. Manage. 49, 195</w:t>
      </w:r>
      <w:r w:rsidRPr="00F24456">
        <w:rPr>
          <w:rFonts w:ascii="Calibri" w:hAnsi="Calibri" w:cs="Calibri" w:hint="cs"/>
          <w:noProof/>
        </w:rPr>
        <w:t>–</w:t>
      </w:r>
      <w:r w:rsidRPr="00F24456">
        <w:rPr>
          <w:rFonts w:ascii="Calibri" w:hAnsi="Calibri" w:cs="Calibri"/>
          <w:noProof/>
        </w:rPr>
        <w:t>209. https://doi.org/10.1016/0378-1127(92)90135-V</w:t>
      </w:r>
    </w:p>
    <w:p w14:paraId="34B4A2CE"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Taillardat, P., Friess, D.A., Lupascu, M., 2018. Mangrove blue carbon strategies for climate change mitigation are most effective at the national scale. Biol. Lett. 14. https://doi.org/10.1098/rsbl.2018.0251</w:t>
      </w:r>
    </w:p>
    <w:p w14:paraId="10D69381"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Teraminami, T., Nakashima, A., Ominami, M., Matsuo, N., Nakamura, R., Nawata, H., Abdelwahab, A.A., El-Shaffai, A.A., Yoshikawa, K., 2014. Effects of shoot position on shoot and leaf morphology of Avicennia marina in the hyperarid Red Sea coastal region of Egypt. Landsc. Ecol. Eng. 10, 285</w:t>
      </w:r>
      <w:r w:rsidRPr="00F24456">
        <w:rPr>
          <w:rFonts w:ascii="Calibri" w:hAnsi="Calibri" w:cs="Calibri" w:hint="cs"/>
          <w:noProof/>
        </w:rPr>
        <w:t>–</w:t>
      </w:r>
      <w:r w:rsidRPr="00F24456">
        <w:rPr>
          <w:rFonts w:ascii="Calibri" w:hAnsi="Calibri" w:cs="Calibri"/>
          <w:noProof/>
        </w:rPr>
        <w:t>293. https://doi.org/10.1007/s11355-013-0224-9</w:t>
      </w:r>
    </w:p>
    <w:p w14:paraId="12E5671A"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Tse, P., Nip, T.H.M., Wong, C.K., 2008. Nursery function of mangrove: A comparison with mudflat in terms of fish species composition and fish diet. Estuar. Coast. Shelf Sci. 80, 235</w:t>
      </w:r>
      <w:r w:rsidRPr="00F24456">
        <w:rPr>
          <w:rFonts w:ascii="Calibri" w:hAnsi="Calibri" w:cs="Calibri" w:hint="cs"/>
          <w:noProof/>
        </w:rPr>
        <w:t>–</w:t>
      </w:r>
      <w:r w:rsidRPr="00F24456">
        <w:rPr>
          <w:rFonts w:ascii="Calibri" w:hAnsi="Calibri" w:cs="Calibri"/>
          <w:noProof/>
        </w:rPr>
        <w:t>242. https://doi.org/10.1016/j.ecss.2008.08.002</w:t>
      </w:r>
    </w:p>
    <w:p w14:paraId="05B0FC82"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Twilley, R.R., 1995. Properties of mangrove ecosystems related to the energy signature of coastal environments. Maximum power ideas Appl. H. T. Odum 43</w:t>
      </w:r>
      <w:r w:rsidRPr="00F24456">
        <w:rPr>
          <w:rFonts w:ascii="Calibri" w:hAnsi="Calibri" w:cs="Calibri" w:hint="cs"/>
          <w:noProof/>
        </w:rPr>
        <w:t>–</w:t>
      </w:r>
      <w:r w:rsidRPr="00F24456">
        <w:rPr>
          <w:rFonts w:ascii="Calibri" w:hAnsi="Calibri" w:cs="Calibri"/>
          <w:noProof/>
        </w:rPr>
        <w:t>62.</w:t>
      </w:r>
    </w:p>
    <w:p w14:paraId="71D3B335"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Twilley, R.R., Casta</w:t>
      </w:r>
      <w:r w:rsidRPr="00F24456">
        <w:rPr>
          <w:rFonts w:ascii="Calibri" w:hAnsi="Calibri" w:cs="Calibri" w:hint="cs"/>
          <w:noProof/>
        </w:rPr>
        <w:t>ñ</w:t>
      </w:r>
      <w:r w:rsidRPr="00F24456">
        <w:rPr>
          <w:rFonts w:ascii="Calibri" w:hAnsi="Calibri" w:cs="Calibri"/>
          <w:noProof/>
        </w:rPr>
        <w:t>eda-Moya, E., Rivera-Monroy, V.H., Rovai, A., 2017. Productivity and carbon dynamics in mangrove wetlands, in: Mangrove Ecosystems: A Global Biogeographic Perspective: Structure, Function, and Services. pp. 113</w:t>
      </w:r>
      <w:r w:rsidRPr="00F24456">
        <w:rPr>
          <w:rFonts w:ascii="Calibri" w:hAnsi="Calibri" w:cs="Calibri" w:hint="cs"/>
          <w:noProof/>
        </w:rPr>
        <w:t>–</w:t>
      </w:r>
      <w:r w:rsidRPr="00F24456">
        <w:rPr>
          <w:rFonts w:ascii="Calibri" w:hAnsi="Calibri" w:cs="Calibri"/>
          <w:noProof/>
        </w:rPr>
        <w:t>162. https://doi.org/10.1007/978-3-319-62206-4_5</w:t>
      </w:r>
    </w:p>
    <w:p w14:paraId="618EE9FE"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Twilley, R.R., Chen, R.H., Hargis, T., 1992a. Carbon sinks in mangroves and their implications to carbon budget of tropical coastal ecosystems. Water, Air, Soil Pollut. 64, 265</w:t>
      </w:r>
      <w:r w:rsidRPr="00F24456">
        <w:rPr>
          <w:rFonts w:ascii="Calibri" w:hAnsi="Calibri" w:cs="Calibri" w:hint="cs"/>
          <w:noProof/>
        </w:rPr>
        <w:t>–</w:t>
      </w:r>
      <w:r w:rsidRPr="00F24456">
        <w:rPr>
          <w:rFonts w:ascii="Calibri" w:hAnsi="Calibri" w:cs="Calibri"/>
          <w:noProof/>
        </w:rPr>
        <w:t>288. https://doi.org/10.1007/BF00477106</w:t>
      </w:r>
    </w:p>
    <w:p w14:paraId="42B3AB49"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 xml:space="preserve">Twilley, R.R., Chen, R.H., Hargis, T., 1992b. Carbon sinks in mangroves and their implications to </w:t>
      </w:r>
      <w:r w:rsidRPr="00F24456">
        <w:rPr>
          <w:rFonts w:ascii="Calibri" w:hAnsi="Calibri" w:cs="Calibri"/>
          <w:noProof/>
        </w:rPr>
        <w:lastRenderedPageBreak/>
        <w:t>carbon budget of tropical coastal ecosystems. Water. Air. Soil Pollut. 64, 265</w:t>
      </w:r>
      <w:r w:rsidRPr="00F24456">
        <w:rPr>
          <w:rFonts w:ascii="Calibri" w:hAnsi="Calibri" w:cs="Calibri" w:hint="cs"/>
          <w:noProof/>
        </w:rPr>
        <w:t>–</w:t>
      </w:r>
      <w:r w:rsidRPr="00F24456">
        <w:rPr>
          <w:rFonts w:ascii="Calibri" w:hAnsi="Calibri" w:cs="Calibri"/>
          <w:noProof/>
        </w:rPr>
        <w:t>288. https://doi.org/10.1007/BF00477106</w:t>
      </w:r>
    </w:p>
    <w:p w14:paraId="01BEEC96"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Twilley, R.R., Rivera-Monroy, V.H., Rovai, A.S., Casta</w:t>
      </w:r>
      <w:r w:rsidRPr="00F24456">
        <w:rPr>
          <w:rFonts w:ascii="Calibri" w:hAnsi="Calibri" w:cs="Calibri" w:hint="cs"/>
          <w:noProof/>
        </w:rPr>
        <w:t>ñ</w:t>
      </w:r>
      <w:r w:rsidRPr="00F24456">
        <w:rPr>
          <w:rFonts w:ascii="Calibri" w:hAnsi="Calibri" w:cs="Calibri"/>
          <w:noProof/>
        </w:rPr>
        <w:t>eda-Moya, E., Davis, S., 2019. Mangrove biogeochemistry at local to global scales using ecogeomorphic approaches, in: Coastal Wetlands: An Integrated Ecosystem Approach. pp. 717</w:t>
      </w:r>
      <w:r w:rsidRPr="00F24456">
        <w:rPr>
          <w:rFonts w:ascii="Calibri" w:hAnsi="Calibri" w:cs="Calibri" w:hint="cs"/>
          <w:noProof/>
        </w:rPr>
        <w:t>–</w:t>
      </w:r>
      <w:r w:rsidRPr="00F24456">
        <w:rPr>
          <w:rFonts w:ascii="Calibri" w:hAnsi="Calibri" w:cs="Calibri"/>
          <w:noProof/>
        </w:rPr>
        <w:t>785. https://doi.org/10.1016/B978-0-444-63893-9.00021-6</w:t>
      </w:r>
    </w:p>
    <w:p w14:paraId="1486DA89"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Usup, A., Hashimoto, Y., Takahashi, H., Hayasaka, H., 2004. Combustion and thermal characteristics of peat fire in tropical peatland in Central Kalimantan, Indonesia. Tropics 14, 1</w:t>
      </w:r>
      <w:r w:rsidRPr="00F24456">
        <w:rPr>
          <w:rFonts w:ascii="Calibri" w:hAnsi="Calibri" w:cs="Calibri" w:hint="cs"/>
          <w:noProof/>
        </w:rPr>
        <w:t>–</w:t>
      </w:r>
      <w:r w:rsidRPr="00F24456">
        <w:rPr>
          <w:rFonts w:ascii="Calibri" w:hAnsi="Calibri" w:cs="Calibri"/>
          <w:noProof/>
        </w:rPr>
        <w:t>19. https://doi.org/10.3759/tropics.14.1</w:t>
      </w:r>
    </w:p>
    <w:p w14:paraId="147A7B69"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Vermaat, J.E., Thampanya, U., 2006. Mangroves mitigate tsunami damage: A further response. Estuar. Coast. Shelf Sci. 69, 1</w:t>
      </w:r>
      <w:r w:rsidRPr="00F24456">
        <w:rPr>
          <w:rFonts w:ascii="Calibri" w:hAnsi="Calibri" w:cs="Calibri" w:hint="cs"/>
          <w:noProof/>
        </w:rPr>
        <w:t>–</w:t>
      </w:r>
      <w:r w:rsidRPr="00F24456">
        <w:rPr>
          <w:rFonts w:ascii="Calibri" w:hAnsi="Calibri" w:cs="Calibri"/>
          <w:noProof/>
        </w:rPr>
        <w:t>3. https://doi.org/10.1016/j.ecss.2006.04.019</w:t>
      </w:r>
    </w:p>
    <w:p w14:paraId="39DD3A1F"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Vinh, T. Van, Allenbach, M., Joanne, A., Marchand, C., 2019. Seasonal variability of CO2 fluxes at different interfaces and vertical CO2 concentration profiles within a Rhizophora mangrove forest (Can Gio, Viet Nam). Atmos. Environ. 201, 301</w:t>
      </w:r>
      <w:r w:rsidRPr="00F24456">
        <w:rPr>
          <w:rFonts w:ascii="Calibri" w:hAnsi="Calibri" w:cs="Calibri" w:hint="cs"/>
          <w:noProof/>
        </w:rPr>
        <w:t>–</w:t>
      </w:r>
      <w:r w:rsidRPr="00F24456">
        <w:rPr>
          <w:rFonts w:ascii="Calibri" w:hAnsi="Calibri" w:cs="Calibri"/>
          <w:noProof/>
        </w:rPr>
        <w:t>309. https://doi.org/10.1016/j.atmosenv.2018.12.049</w:t>
      </w:r>
    </w:p>
    <w:p w14:paraId="770B7BF8"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Wagner, M., Trutschnig, W., Bathke, A.C., Ruprecht, U., 2018. A first approach to calculate BIOCLIM variables and climate zones for Antarctica. Theor. Appl. Climatol. 131, 1397</w:t>
      </w:r>
      <w:r w:rsidRPr="00F24456">
        <w:rPr>
          <w:rFonts w:ascii="Calibri" w:hAnsi="Calibri" w:cs="Calibri" w:hint="cs"/>
          <w:noProof/>
        </w:rPr>
        <w:t>–</w:t>
      </w:r>
      <w:r w:rsidRPr="00F24456">
        <w:rPr>
          <w:rFonts w:ascii="Calibri" w:hAnsi="Calibri" w:cs="Calibri"/>
          <w:noProof/>
        </w:rPr>
        <w:t>1415. https://doi.org/10.1007/s00704-017-2053-5</w:t>
      </w:r>
    </w:p>
    <w:p w14:paraId="0E9FC897"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Walton, M.E.M., Al-Maslamani, I., Skov, M.W., Al-Shaikh, I., Al-Ansari, I.S., Kennedy, H.A., Le Vay, L., 2014. Outwelling from arid mangrove systems is sustained by inwelling of seagrass productivity. Mar. Ecol. Prog. Ser. 507, 125</w:t>
      </w:r>
      <w:r w:rsidRPr="00F24456">
        <w:rPr>
          <w:rFonts w:ascii="Calibri" w:hAnsi="Calibri" w:cs="Calibri" w:hint="cs"/>
          <w:noProof/>
        </w:rPr>
        <w:t>–</w:t>
      </w:r>
      <w:r w:rsidRPr="00F24456">
        <w:rPr>
          <w:rFonts w:ascii="Calibri" w:hAnsi="Calibri" w:cs="Calibri"/>
          <w:noProof/>
        </w:rPr>
        <w:t>137. https://doi.org/10.3354/meps10827</w:t>
      </w:r>
    </w:p>
    <w:p w14:paraId="22DF071F"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 xml:space="preserve">Wang, F., Sanders, C.J., Santos, I.R., Tang, J., Schuerch, M., Kirwan, M.L., Kopp, R.E., Zhu, K., Li, </w:t>
      </w:r>
      <w:r w:rsidRPr="00F24456">
        <w:rPr>
          <w:rFonts w:ascii="Calibri" w:hAnsi="Calibri" w:cs="Calibri"/>
          <w:noProof/>
        </w:rPr>
        <w:lastRenderedPageBreak/>
        <w:t>X., Yuan, J., Liu, W., Li, Z., 2020. Global blue carbon accumulation in tidal wetlands increases with climate change. Natl. Sci. Rev. https://doi.org/10.1093/nsr/nwaa296</w:t>
      </w:r>
    </w:p>
    <w:p w14:paraId="612107ED"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Wang, G., Guan, D., Peart, M.R., Chen, Y., Peng, Y., 2013. Ecosystem carbon stocks of mangrove forest in Yingluo Bay, Guangdong Province of South China. For. Ecol. Manage. 310, 539</w:t>
      </w:r>
      <w:r w:rsidRPr="00F24456">
        <w:rPr>
          <w:rFonts w:ascii="Calibri" w:hAnsi="Calibri" w:cs="Calibri" w:hint="cs"/>
          <w:noProof/>
        </w:rPr>
        <w:t>–</w:t>
      </w:r>
      <w:r w:rsidRPr="00F24456">
        <w:rPr>
          <w:rFonts w:ascii="Calibri" w:hAnsi="Calibri" w:cs="Calibri"/>
          <w:noProof/>
        </w:rPr>
        <w:t>546. https://doi.org/10.1016/j.foreco.2013.08.045</w:t>
      </w:r>
    </w:p>
    <w:p w14:paraId="4B39FCDE"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Ward, R.D., Friess, D.A., Day, R.H., Mackenzie, R.A., 2016. Impacts of climate change on mangrove ecosystems: a region by region overview. Ecosyst. Heal. Sustain. 2. https://doi.org/10.1002/ehs2.1211</w:t>
      </w:r>
    </w:p>
    <w:p w14:paraId="0AA6AE76"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Woodroffe, C.D., 1985. Studies of a mangrove basin, Tuff Crater, New Zealand: I. Mangrove biomass and production of detritus. Estuar. Coast. Shelf Sci. 20, 265</w:t>
      </w:r>
      <w:r w:rsidRPr="00F24456">
        <w:rPr>
          <w:rFonts w:ascii="Calibri" w:hAnsi="Calibri" w:cs="Calibri" w:hint="cs"/>
          <w:noProof/>
        </w:rPr>
        <w:t>–</w:t>
      </w:r>
      <w:r w:rsidRPr="00F24456">
        <w:rPr>
          <w:rFonts w:ascii="Calibri" w:hAnsi="Calibri" w:cs="Calibri"/>
          <w:noProof/>
        </w:rPr>
        <w:t>280. https://doi.org/10.1016/0272-7714(85)90042-3</w:t>
      </w:r>
    </w:p>
    <w:p w14:paraId="377FA83B"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Xiong, Y., Liao, B., Wang, F., 2018. Mangrove vegetation enhances soil carbon storage primarily through in situ inputs rather than increasing allochthonous sediments. Mar. Pollut. Bull. 131, 378</w:t>
      </w:r>
      <w:r w:rsidRPr="00F24456">
        <w:rPr>
          <w:rFonts w:ascii="Calibri" w:hAnsi="Calibri" w:cs="Calibri" w:hint="cs"/>
          <w:noProof/>
        </w:rPr>
        <w:t>–</w:t>
      </w:r>
      <w:r w:rsidRPr="00F24456">
        <w:rPr>
          <w:rFonts w:ascii="Calibri" w:hAnsi="Calibri" w:cs="Calibri"/>
          <w:noProof/>
        </w:rPr>
        <w:t>385. https://doi.org/10.1016/j.marpolbul.2018.04.043</w:t>
      </w:r>
    </w:p>
    <w:p w14:paraId="37659E39"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Xiong, Y., Liu, X., Guan, W., Liao, B., Chen, Y., Li, M., Zhong, C., 2017. Fine root functional group based estimates of fine root production and turnover rate in natural mangrove forests. Plant Soil 413, 83</w:t>
      </w:r>
      <w:r w:rsidRPr="00F24456">
        <w:rPr>
          <w:rFonts w:ascii="Calibri" w:hAnsi="Calibri" w:cs="Calibri" w:hint="cs"/>
          <w:noProof/>
        </w:rPr>
        <w:t>–</w:t>
      </w:r>
      <w:r w:rsidRPr="00F24456">
        <w:rPr>
          <w:rFonts w:ascii="Calibri" w:hAnsi="Calibri" w:cs="Calibri"/>
          <w:noProof/>
        </w:rPr>
        <w:t>95. https://doi.org/10.1007/s11104-016-3082-z</w:t>
      </w:r>
    </w:p>
    <w:p w14:paraId="5073D2CA"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Zeng, Y., Friess, D.A., Sarira, T.V., Siman, K., Koh, L.P., 2021. Global potential and limits of mangrove blue carbon for climate change mitigation. Curr. Biol. 31, 1737-1743.e3. https://doi.org/10.1016/j.cub.2021.01.070</w:t>
      </w:r>
    </w:p>
    <w:p w14:paraId="066A604F"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Zhang, Y., Meng, X., Xia, P., Li, Z., 2021. Response of Mangrove Development to Air Temperature Variation Over the Past 3000</w:t>
      </w:r>
      <w:r w:rsidRPr="00F24456">
        <w:rPr>
          <w:rFonts w:ascii="Calibri" w:hAnsi="Calibri" w:cs="Calibri" w:hint="cs"/>
          <w:noProof/>
        </w:rPr>
        <w:t> </w:t>
      </w:r>
      <w:r w:rsidRPr="00F24456">
        <w:rPr>
          <w:rFonts w:ascii="Calibri" w:hAnsi="Calibri" w:cs="Calibri"/>
          <w:noProof/>
        </w:rPr>
        <w:t xml:space="preserve">Years in Qinzhou Bay, Tropical China. Front. </w:t>
      </w:r>
      <w:r w:rsidRPr="00F24456">
        <w:rPr>
          <w:rFonts w:ascii="Calibri" w:hAnsi="Calibri" w:cs="Calibri"/>
          <w:noProof/>
        </w:rPr>
        <w:lastRenderedPageBreak/>
        <w:t>Earth Sci. 9. https://doi.org/10.3389/feart.2021.678189</w:t>
      </w:r>
    </w:p>
    <w:p w14:paraId="39FD70C5" w14:textId="77777777" w:rsidR="00F24456" w:rsidRPr="00F24456" w:rsidRDefault="00F24456" w:rsidP="00F24456">
      <w:pPr>
        <w:widowControl w:val="0"/>
        <w:autoSpaceDE w:val="0"/>
        <w:autoSpaceDN w:val="0"/>
        <w:adjustRightInd w:val="0"/>
        <w:spacing w:line="480" w:lineRule="auto"/>
        <w:ind w:left="480" w:hanging="480"/>
        <w:rPr>
          <w:rFonts w:ascii="Calibri" w:hAnsi="Calibri" w:cs="Calibri"/>
          <w:noProof/>
        </w:rPr>
      </w:pPr>
      <w:r w:rsidRPr="00F24456">
        <w:rPr>
          <w:rFonts w:ascii="Calibri" w:hAnsi="Calibri" w:cs="Calibri"/>
          <w:noProof/>
        </w:rPr>
        <w:t>Zuur, A.F., Hilbe, J.M., Ieno, E.N., 2013. A Beginner</w:t>
      </w:r>
      <w:r w:rsidRPr="00F24456">
        <w:rPr>
          <w:rFonts w:ascii="Calibri" w:hAnsi="Calibri" w:cs="Calibri" w:hint="cs"/>
          <w:noProof/>
        </w:rPr>
        <w:t>’</w:t>
      </w:r>
      <w:r w:rsidRPr="00F24456">
        <w:rPr>
          <w:rFonts w:ascii="Calibri" w:hAnsi="Calibri" w:cs="Calibri"/>
          <w:noProof/>
        </w:rPr>
        <w:t>s Guide to GLM and GLMM with R, Beginner</w:t>
      </w:r>
      <w:r w:rsidRPr="00F24456">
        <w:rPr>
          <w:rFonts w:ascii="Calibri" w:hAnsi="Calibri" w:cs="Calibri" w:hint="cs"/>
          <w:noProof/>
        </w:rPr>
        <w:t>’</w:t>
      </w:r>
      <w:r w:rsidRPr="00F24456">
        <w:rPr>
          <w:rFonts w:ascii="Calibri" w:hAnsi="Calibri" w:cs="Calibri"/>
          <w:noProof/>
        </w:rPr>
        <w:t>s Guide Series.</w:t>
      </w:r>
    </w:p>
    <w:p w14:paraId="314ED412" w14:textId="4ADC06A3" w:rsidR="00906374" w:rsidRDefault="008A48C6" w:rsidP="00F24456">
      <w:pPr>
        <w:widowControl w:val="0"/>
        <w:autoSpaceDE w:val="0"/>
        <w:autoSpaceDN w:val="0"/>
        <w:adjustRightInd w:val="0"/>
        <w:spacing w:line="480" w:lineRule="auto"/>
        <w:ind w:left="480" w:hanging="480"/>
        <w:sectPr w:rsidR="00906374" w:rsidSect="00392131">
          <w:pgSz w:w="12240" w:h="15840"/>
          <w:pgMar w:top="1440" w:right="1440" w:bottom="1440" w:left="1440" w:header="720" w:footer="720" w:gutter="0"/>
          <w:cols w:space="720"/>
          <w:docGrid w:linePitch="326"/>
        </w:sectPr>
      </w:pPr>
      <w:r>
        <w:fldChar w:fldCharType="end"/>
      </w:r>
    </w:p>
    <w:p w14:paraId="382A7C86" w14:textId="77777777" w:rsidR="00906374" w:rsidRDefault="00906374" w:rsidP="00FA0744">
      <w:pPr>
        <w:widowControl w:val="0"/>
        <w:autoSpaceDE w:val="0"/>
        <w:autoSpaceDN w:val="0"/>
        <w:adjustRightInd w:val="0"/>
        <w:spacing w:line="480" w:lineRule="auto"/>
        <w:sectPr w:rsidR="00906374" w:rsidSect="00392131">
          <w:pgSz w:w="12240" w:h="15840"/>
          <w:pgMar w:top="1440" w:right="1440" w:bottom="1440" w:left="1440" w:header="720" w:footer="720" w:gutter="0"/>
          <w:cols w:space="720"/>
          <w:docGrid w:linePitch="326"/>
        </w:sectPr>
      </w:pPr>
    </w:p>
    <w:p w14:paraId="1AB1B63D" w14:textId="0D466E4B" w:rsidR="00906374" w:rsidRDefault="00906374" w:rsidP="00906374">
      <w:pPr>
        <w:pStyle w:val="Heading1"/>
        <w:ind w:firstLine="720"/>
        <w:rPr>
          <w:rFonts w:asciiTheme="minorHAnsi" w:hAnsiTheme="minorHAnsi" w:cstheme="minorHAnsi"/>
          <w:b/>
          <w:bCs/>
          <w:color w:val="000000" w:themeColor="text1"/>
        </w:rPr>
      </w:pPr>
      <w:bookmarkStart w:id="78" w:name="_Toc120622163"/>
      <w:r>
        <w:rPr>
          <w:rFonts w:asciiTheme="minorHAnsi" w:hAnsiTheme="minorHAnsi" w:cstheme="minorHAnsi"/>
          <w:b/>
          <w:bCs/>
          <w:color w:val="000000" w:themeColor="text1"/>
        </w:rPr>
        <w:lastRenderedPageBreak/>
        <w:t>8</w:t>
      </w:r>
      <w:r w:rsidRPr="00BE2B4E">
        <w:rPr>
          <w:rFonts w:asciiTheme="minorHAnsi" w:hAnsiTheme="minorHAnsi" w:cstheme="minorHAnsi"/>
          <w:b/>
          <w:bCs/>
          <w:color w:val="000000" w:themeColor="text1"/>
        </w:rPr>
        <w:t>.</w:t>
      </w:r>
      <w:r w:rsidRPr="00BE2B4E">
        <w:rPr>
          <w:rFonts w:asciiTheme="minorHAnsi" w:hAnsiTheme="minorHAnsi" w:cstheme="minorHAnsi"/>
          <w:b/>
          <w:bCs/>
          <w:color w:val="000000" w:themeColor="text1"/>
        </w:rPr>
        <w:tab/>
        <w:t>Appendices</w:t>
      </w:r>
      <w:bookmarkEnd w:id="78"/>
    </w:p>
    <w:p w14:paraId="2EA8F629" w14:textId="74214EE3" w:rsidR="00906374" w:rsidRDefault="00906374" w:rsidP="00906374">
      <w:pPr>
        <w:pStyle w:val="Heading2"/>
        <w:rPr>
          <w:rFonts w:asciiTheme="minorHAnsi" w:hAnsiTheme="minorHAnsi" w:cstheme="minorHAnsi"/>
          <w:b/>
          <w:bCs/>
          <w:color w:val="000000" w:themeColor="text1"/>
        </w:rPr>
      </w:pPr>
      <w:bookmarkStart w:id="79" w:name="_Toc120622164"/>
      <w:r>
        <w:rPr>
          <w:rFonts w:asciiTheme="minorHAnsi" w:hAnsiTheme="minorHAnsi" w:cstheme="minorHAnsi"/>
          <w:b/>
          <w:bCs/>
          <w:color w:val="000000" w:themeColor="text1"/>
        </w:rPr>
        <w:t>8</w:t>
      </w:r>
      <w:r w:rsidRPr="00492CEA">
        <w:rPr>
          <w:rFonts w:asciiTheme="minorHAnsi" w:hAnsiTheme="minorHAnsi" w:cstheme="minorHAnsi"/>
          <w:b/>
          <w:bCs/>
          <w:color w:val="000000" w:themeColor="text1"/>
        </w:rPr>
        <w:t>.1</w:t>
      </w:r>
      <w:r w:rsidRPr="00492CEA">
        <w:rPr>
          <w:rFonts w:asciiTheme="minorHAnsi" w:hAnsiTheme="minorHAnsi" w:cstheme="minorHAnsi"/>
          <w:b/>
          <w:bCs/>
          <w:color w:val="000000" w:themeColor="text1"/>
        </w:rPr>
        <w:tab/>
        <w:t>Tables</w:t>
      </w:r>
      <w:bookmarkEnd w:id="79"/>
    </w:p>
    <w:p w14:paraId="22F85EFC" w14:textId="77777777" w:rsidR="00906374" w:rsidRDefault="00906374" w:rsidP="00906374"/>
    <w:p w14:paraId="2D60A617" w14:textId="77777777" w:rsidR="00906374" w:rsidRPr="009E788F" w:rsidRDefault="00906374" w:rsidP="00906374">
      <w:pPr>
        <w:rPr>
          <w:b/>
          <w:bCs/>
          <w:sz w:val="20"/>
          <w:szCs w:val="20"/>
          <w:lang w:val="en-US"/>
        </w:rPr>
      </w:pPr>
      <w:r w:rsidRPr="009E788F">
        <w:rPr>
          <w:b/>
          <w:bCs/>
          <w:sz w:val="20"/>
          <w:szCs w:val="20"/>
        </w:rPr>
        <w:t xml:space="preserve">Table </w:t>
      </w:r>
      <w:r>
        <w:rPr>
          <w:b/>
          <w:bCs/>
          <w:sz w:val="20"/>
          <w:szCs w:val="20"/>
        </w:rPr>
        <w:t>A</w:t>
      </w:r>
      <w:r w:rsidRPr="009E788F">
        <w:rPr>
          <w:b/>
          <w:bCs/>
          <w:sz w:val="20"/>
          <w:szCs w:val="20"/>
        </w:rPr>
        <w:t>1: Names of climatic variables tested as predictors and how to calculate them.</w:t>
      </w:r>
    </w:p>
    <w:tbl>
      <w:tblPr>
        <w:tblW w:w="14077" w:type="dxa"/>
        <w:tblInd w:w="108" w:type="dxa"/>
        <w:tblLook w:val="04A0" w:firstRow="1" w:lastRow="0" w:firstColumn="1" w:lastColumn="0" w:noHBand="0" w:noVBand="1"/>
      </w:tblPr>
      <w:tblGrid>
        <w:gridCol w:w="1527"/>
        <w:gridCol w:w="5926"/>
        <w:gridCol w:w="5602"/>
        <w:gridCol w:w="1413"/>
      </w:tblGrid>
      <w:tr w:rsidR="00906374" w:rsidRPr="00DA0872" w14:paraId="28142F2C" w14:textId="77777777" w:rsidTr="00672286">
        <w:trPr>
          <w:trHeight w:val="601"/>
        </w:trPr>
        <w:tc>
          <w:tcPr>
            <w:tcW w:w="1527" w:type="dxa"/>
            <w:tcBorders>
              <w:top w:val="single" w:sz="4" w:space="0" w:color="auto"/>
              <w:left w:val="nil"/>
              <w:bottom w:val="single" w:sz="4" w:space="0" w:color="auto"/>
              <w:right w:val="nil"/>
            </w:tcBorders>
            <w:shd w:val="clear" w:color="auto" w:fill="auto"/>
            <w:noWrap/>
            <w:vAlign w:val="center"/>
            <w:hideMark/>
          </w:tcPr>
          <w:p w14:paraId="6FD09133" w14:textId="77777777" w:rsidR="00906374" w:rsidRPr="00DA0872" w:rsidRDefault="00906374" w:rsidP="00672286">
            <w:pPr>
              <w:jc w:val="center"/>
              <w:rPr>
                <w:rFonts w:ascii="Calibri" w:hAnsi="Calibri"/>
                <w:b/>
                <w:bCs/>
                <w:color w:val="000000"/>
              </w:rPr>
            </w:pPr>
            <w:r w:rsidRPr="00DA0872">
              <w:rPr>
                <w:rFonts w:ascii="Calibri" w:hAnsi="Calibri"/>
                <w:b/>
                <w:bCs/>
                <w:color w:val="000000"/>
              </w:rPr>
              <w:t>Code</w:t>
            </w:r>
          </w:p>
        </w:tc>
        <w:tc>
          <w:tcPr>
            <w:tcW w:w="5419" w:type="dxa"/>
            <w:tcBorders>
              <w:top w:val="single" w:sz="4" w:space="0" w:color="auto"/>
              <w:left w:val="nil"/>
              <w:bottom w:val="single" w:sz="4" w:space="0" w:color="auto"/>
              <w:right w:val="nil"/>
            </w:tcBorders>
            <w:shd w:val="clear" w:color="auto" w:fill="auto"/>
            <w:noWrap/>
            <w:vAlign w:val="center"/>
            <w:hideMark/>
          </w:tcPr>
          <w:p w14:paraId="2F5F515B" w14:textId="77777777" w:rsidR="00906374" w:rsidRPr="00DA0872" w:rsidRDefault="00906374" w:rsidP="00672286">
            <w:pPr>
              <w:jc w:val="center"/>
              <w:rPr>
                <w:rFonts w:ascii="Calibri" w:hAnsi="Calibri"/>
                <w:b/>
                <w:bCs/>
                <w:color w:val="000000"/>
              </w:rPr>
            </w:pPr>
            <w:r w:rsidRPr="00DA0872">
              <w:rPr>
                <w:rFonts w:ascii="Calibri" w:hAnsi="Calibri"/>
                <w:b/>
                <w:bCs/>
                <w:color w:val="000000"/>
              </w:rPr>
              <w:t>Name</w:t>
            </w:r>
          </w:p>
        </w:tc>
        <w:tc>
          <w:tcPr>
            <w:tcW w:w="5602" w:type="dxa"/>
            <w:tcBorders>
              <w:top w:val="single" w:sz="4" w:space="0" w:color="auto"/>
              <w:left w:val="nil"/>
              <w:bottom w:val="single" w:sz="4" w:space="0" w:color="auto"/>
              <w:right w:val="nil"/>
            </w:tcBorders>
            <w:shd w:val="clear" w:color="auto" w:fill="auto"/>
            <w:vAlign w:val="center"/>
            <w:hideMark/>
          </w:tcPr>
          <w:p w14:paraId="76C0E566" w14:textId="77777777" w:rsidR="00906374" w:rsidRPr="00DA0872" w:rsidRDefault="00906374" w:rsidP="00672286">
            <w:pPr>
              <w:jc w:val="center"/>
              <w:rPr>
                <w:rFonts w:ascii="Calibri" w:hAnsi="Calibri"/>
                <w:b/>
                <w:bCs/>
                <w:color w:val="000000"/>
              </w:rPr>
            </w:pPr>
            <w:r w:rsidRPr="00DA0872">
              <w:rPr>
                <w:rFonts w:ascii="Calibri" w:hAnsi="Calibri"/>
                <w:b/>
                <w:bCs/>
                <w:color w:val="000000"/>
              </w:rPr>
              <w:t>Equation</w:t>
            </w:r>
          </w:p>
        </w:tc>
        <w:tc>
          <w:tcPr>
            <w:tcW w:w="1529" w:type="dxa"/>
            <w:tcBorders>
              <w:top w:val="single" w:sz="4" w:space="0" w:color="auto"/>
              <w:left w:val="nil"/>
              <w:bottom w:val="single" w:sz="4" w:space="0" w:color="auto"/>
              <w:right w:val="nil"/>
            </w:tcBorders>
            <w:shd w:val="clear" w:color="auto" w:fill="auto"/>
            <w:vAlign w:val="center"/>
            <w:hideMark/>
          </w:tcPr>
          <w:p w14:paraId="612D75FC" w14:textId="77777777" w:rsidR="00906374" w:rsidRPr="00DA0872" w:rsidRDefault="00906374" w:rsidP="00672286">
            <w:pPr>
              <w:jc w:val="center"/>
              <w:rPr>
                <w:rFonts w:ascii="Calibri" w:hAnsi="Calibri"/>
                <w:b/>
                <w:bCs/>
                <w:color w:val="000000"/>
              </w:rPr>
            </w:pPr>
            <w:r w:rsidRPr="00DA0872">
              <w:rPr>
                <w:rFonts w:ascii="Calibri" w:hAnsi="Calibri"/>
                <w:b/>
                <w:bCs/>
                <w:color w:val="000000"/>
              </w:rPr>
              <w:t>Reference</w:t>
            </w:r>
          </w:p>
        </w:tc>
      </w:tr>
      <w:tr w:rsidR="00906374" w:rsidRPr="00DA0872" w14:paraId="7B097B65" w14:textId="77777777" w:rsidTr="00672286">
        <w:trPr>
          <w:trHeight w:val="692"/>
        </w:trPr>
        <w:tc>
          <w:tcPr>
            <w:tcW w:w="1527" w:type="dxa"/>
            <w:tcBorders>
              <w:top w:val="nil"/>
              <w:left w:val="nil"/>
              <w:bottom w:val="nil"/>
              <w:right w:val="nil"/>
            </w:tcBorders>
            <w:shd w:val="clear" w:color="auto" w:fill="auto"/>
            <w:noWrap/>
            <w:vAlign w:val="center"/>
            <w:hideMark/>
          </w:tcPr>
          <w:p w14:paraId="296270AB"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Bio1</w:t>
            </w:r>
          </w:p>
        </w:tc>
        <w:tc>
          <w:tcPr>
            <w:tcW w:w="5419" w:type="dxa"/>
            <w:tcBorders>
              <w:top w:val="nil"/>
              <w:left w:val="nil"/>
              <w:bottom w:val="nil"/>
              <w:right w:val="nil"/>
            </w:tcBorders>
            <w:shd w:val="clear" w:color="auto" w:fill="auto"/>
            <w:noWrap/>
            <w:vAlign w:val="center"/>
            <w:hideMark/>
          </w:tcPr>
          <w:p w14:paraId="4089271D"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Annual Mean Temperature</w:t>
            </w:r>
          </w:p>
        </w:tc>
        <w:tc>
          <w:tcPr>
            <w:tcW w:w="5602" w:type="dxa"/>
            <w:tcBorders>
              <w:top w:val="nil"/>
              <w:left w:val="nil"/>
              <w:bottom w:val="nil"/>
              <w:right w:val="nil"/>
            </w:tcBorders>
            <w:shd w:val="clear" w:color="auto" w:fill="auto"/>
            <w:noWrap/>
            <w:vAlign w:val="center"/>
            <w:hideMark/>
          </w:tcPr>
          <w:p w14:paraId="68AE58F4" w14:textId="77777777" w:rsidR="00906374" w:rsidRPr="00DA0872" w:rsidRDefault="00906374" w:rsidP="00672286">
            <w:pPr>
              <w:jc w:val="center"/>
              <w:rPr>
                <w:rFonts w:ascii="Calibri" w:hAnsi="Calibri"/>
                <w:color w:val="000000"/>
              </w:rPr>
            </w:pPr>
            <w:r>
              <w:rPr>
                <w:rFonts w:ascii="Calibri" w:hAnsi="Calibri"/>
                <w:noProof/>
                <w:color w:val="000000"/>
                <w:lang w:eastAsia="en-GB"/>
              </w:rPr>
              <mc:AlternateContent>
                <mc:Choice Requires="wps">
                  <w:drawing>
                    <wp:anchor distT="0" distB="0" distL="114300" distR="114300" simplePos="0" relativeHeight="251682816" behindDoc="0" locked="0" layoutInCell="1" allowOverlap="1" wp14:anchorId="48BAFAD0" wp14:editId="4834E364">
                      <wp:simplePos x="0" y="0"/>
                      <wp:positionH relativeFrom="column">
                        <wp:posOffset>9525</wp:posOffset>
                      </wp:positionH>
                      <wp:positionV relativeFrom="paragraph">
                        <wp:posOffset>0</wp:posOffset>
                      </wp:positionV>
                      <wp:extent cx="1781175" cy="43815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1778000" cy="433388"/>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77B178A" w14:textId="77777777" w:rsidR="00906374" w:rsidRDefault="00000000" w:rsidP="00906374">
                                  <w:pPr>
                                    <w:pStyle w:val="NormalWeb"/>
                                    <w:spacing w:before="0" w:beforeAutospacing="0" w:after="0" w:afterAutospacing="0"/>
                                  </w:pPr>
                                  <m:oMathPara>
                                    <m:oMathParaPr>
                                      <m:jc m:val="centerGroup"/>
                                    </m:oMathParaPr>
                                    <m:oMath>
                                      <m:f>
                                        <m:fPr>
                                          <m:ctrlPr>
                                            <w:rPr>
                                              <w:rFonts w:ascii="Cambria Math" w:hAnsi="Cambria Math" w:cstheme="minorBidi"/>
                                              <w:i/>
                                              <w:iCs/>
                                              <w:color w:val="000000" w:themeColor="text1"/>
                                              <w:sz w:val="22"/>
                                              <w:szCs w:val="22"/>
                                            </w:rPr>
                                          </m:ctrlPr>
                                        </m:fPr>
                                        <m:num>
                                          <m:nary>
                                            <m:naryPr>
                                              <m:chr m:val="∑"/>
                                              <m:ctrlPr>
                                                <w:rPr>
                                                  <w:rFonts w:ascii="Cambria Math" w:hAnsi="Cambria Math" w:cstheme="minorBidi"/>
                                                  <w:i/>
                                                  <w:iCs/>
                                                  <w:color w:val="000000" w:themeColor="text1"/>
                                                  <w:sz w:val="22"/>
                                                  <w:szCs w:val="22"/>
                                                </w:rPr>
                                              </m:ctrlPr>
                                            </m:naryPr>
                                            <m:sub>
                                              <m:r>
                                                <w:rPr>
                                                  <w:rFonts w:ascii="Cambria Math" w:hAnsi="Cambria Math" w:cstheme="minorBidi"/>
                                                  <w:color w:val="000000" w:themeColor="text1"/>
                                                  <w:sz w:val="22"/>
                                                  <w:szCs w:val="22"/>
                                                  <w:lang w:val="en-US"/>
                                                </w:rPr>
                                                <m:t>1</m:t>
                                              </m:r>
                                            </m:sub>
                                            <m:sup>
                                              <m:r>
                                                <w:rPr>
                                                  <w:rFonts w:ascii="Cambria Math" w:hAnsi="Cambria Math" w:cstheme="minorBidi"/>
                                                  <w:color w:val="000000" w:themeColor="text1"/>
                                                  <w:sz w:val="22"/>
                                                  <w:szCs w:val="22"/>
                                                  <w:lang w:val="en-US"/>
                                                </w:rPr>
                                                <m:t>12</m:t>
                                              </m:r>
                                            </m:sup>
                                            <m:e>
                                              <m:r>
                                                <w:rPr>
                                                  <w:rFonts w:ascii="Cambria Math" w:hAnsi="Cambria Math" w:cstheme="minorBidi"/>
                                                  <w:color w:val="000000" w:themeColor="text1"/>
                                                  <w:sz w:val="22"/>
                                                  <w:szCs w:val="22"/>
                                                  <w:lang w:val="en-US"/>
                                                </w:rPr>
                                                <m:t>Tas</m:t>
                                              </m:r>
                                            </m:e>
                                          </m:nary>
                                        </m:num>
                                        <m:den>
                                          <m:r>
                                            <w:rPr>
                                              <w:rFonts w:ascii="Cambria Math" w:hAnsi="Cambria Math" w:cstheme="minorBidi"/>
                                              <w:color w:val="000000" w:themeColor="text1"/>
                                              <w:sz w:val="22"/>
                                              <w:szCs w:val="22"/>
                                              <w:lang w:val="en-US"/>
                                            </w:rPr>
                                            <m:t>12</m:t>
                                          </m:r>
                                        </m:den>
                                      </m:f>
                                    </m:oMath>
                                  </m:oMathPara>
                                </w:p>
                              </w:txbxContent>
                            </wps:txbx>
                            <wps:bodyPr vertOverflow="clip" horzOverflow="clip" wrap="square" rtlCol="0" anchor="t">
                              <a:spAutoFit/>
                            </wps:bodyPr>
                          </wps:wsp>
                        </a:graphicData>
                      </a:graphic>
                      <wp14:sizeRelH relativeFrom="page">
                        <wp14:pctWidth>0</wp14:pctWidth>
                      </wp14:sizeRelH>
                      <wp14:sizeRelV relativeFrom="page">
                        <wp14:pctHeight>0</wp14:pctHeight>
                      </wp14:sizeRelV>
                    </wp:anchor>
                  </w:drawing>
                </mc:Choice>
                <mc:Fallback>
                  <w:pict>
                    <v:shape w14:anchorId="48BAFAD0" id="Text Box 27" o:spid="_x0000_s1052" type="#_x0000_t202" style="position:absolute;left:0;text-align:left;margin-left:.75pt;margin-top:0;width:140.25pt;height:3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" filled="f" stroked="f">
                      <v:textbox style="mso-fit-shape-to-text:t">
                        <w:txbxContent>
                          <w:p w14:paraId="377B178A" w14:textId="77777777" w:rsidR="00906374" w:rsidRDefault="00000000" w:rsidP="00906374">
                            <w:pPr>
                              <w:pStyle w:val="NormalWeb"/>
                              <w:spacing w:before="0" w:beforeAutospacing="0" w:after="0" w:afterAutospacing="0"/>
                            </w:pPr>
                            <m:oMathPara>
                              <m:oMathParaPr>
                                <m:jc m:val="centerGroup"/>
                              </m:oMathParaPr>
                              <m:oMath>
                                <m:f>
                                  <m:fPr>
                                    <m:ctrlPr>
                                      <w:rPr>
                                        <w:rFonts w:ascii="Cambria Math" w:hAnsi="Cambria Math" w:cstheme="minorBidi"/>
                                        <w:i/>
                                        <w:iCs/>
                                        <w:color w:val="000000" w:themeColor="text1"/>
                                        <w:sz w:val="22"/>
                                        <w:szCs w:val="22"/>
                                      </w:rPr>
                                    </m:ctrlPr>
                                  </m:fPr>
                                  <m:num>
                                    <m:nary>
                                      <m:naryPr>
                                        <m:chr m:val="∑"/>
                                        <m:ctrlPr>
                                          <w:rPr>
                                            <w:rFonts w:ascii="Cambria Math" w:hAnsi="Cambria Math" w:cstheme="minorBidi"/>
                                            <w:i/>
                                            <w:iCs/>
                                            <w:color w:val="000000" w:themeColor="text1"/>
                                            <w:sz w:val="22"/>
                                            <w:szCs w:val="22"/>
                                          </w:rPr>
                                        </m:ctrlPr>
                                      </m:naryPr>
                                      <m:sub>
                                        <m:r>
                                          <w:rPr>
                                            <w:rFonts w:ascii="Cambria Math" w:hAnsi="Cambria Math" w:cstheme="minorBidi"/>
                                            <w:color w:val="000000" w:themeColor="text1"/>
                                            <w:sz w:val="22"/>
                                            <w:szCs w:val="22"/>
                                            <w:lang w:val="en-US"/>
                                          </w:rPr>
                                          <m:t>1</m:t>
                                        </m:r>
                                      </m:sub>
                                      <m:sup>
                                        <m:r>
                                          <w:rPr>
                                            <w:rFonts w:ascii="Cambria Math" w:hAnsi="Cambria Math" w:cstheme="minorBidi"/>
                                            <w:color w:val="000000" w:themeColor="text1"/>
                                            <w:sz w:val="22"/>
                                            <w:szCs w:val="22"/>
                                            <w:lang w:val="en-US"/>
                                          </w:rPr>
                                          <m:t>12</m:t>
                                        </m:r>
                                      </m:sup>
                                      <m:e>
                                        <m:r>
                                          <w:rPr>
                                            <w:rFonts w:ascii="Cambria Math" w:hAnsi="Cambria Math" w:cstheme="minorBidi"/>
                                            <w:color w:val="000000" w:themeColor="text1"/>
                                            <w:sz w:val="22"/>
                                            <w:szCs w:val="22"/>
                                            <w:lang w:val="en-US"/>
                                          </w:rPr>
                                          <m:t>Tas</m:t>
                                        </m:r>
                                      </m:e>
                                    </m:nary>
                                  </m:num>
                                  <m:den>
                                    <m:r>
                                      <w:rPr>
                                        <w:rFonts w:ascii="Cambria Math" w:hAnsi="Cambria Math" w:cstheme="minorBidi"/>
                                        <w:color w:val="000000" w:themeColor="text1"/>
                                        <w:sz w:val="22"/>
                                        <w:szCs w:val="22"/>
                                        <w:lang w:val="en-US"/>
                                      </w:rPr>
                                      <m:t>12</m:t>
                                    </m:r>
                                  </m:den>
                                </m:f>
                              </m:oMath>
                            </m:oMathPara>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3226"/>
            </w:tblGrid>
            <w:tr w:rsidR="00906374" w:rsidRPr="00DA0872" w14:paraId="621155B3" w14:textId="77777777" w:rsidTr="00672286">
              <w:trPr>
                <w:trHeight w:val="692"/>
                <w:tblCellSpacing w:w="0" w:type="dxa"/>
              </w:trPr>
              <w:tc>
                <w:tcPr>
                  <w:tcW w:w="3226" w:type="dxa"/>
                  <w:tcBorders>
                    <w:top w:val="nil"/>
                    <w:left w:val="nil"/>
                    <w:bottom w:val="nil"/>
                    <w:right w:val="nil"/>
                  </w:tcBorders>
                  <w:shd w:val="clear" w:color="auto" w:fill="auto"/>
                  <w:vAlign w:val="center"/>
                  <w:hideMark/>
                </w:tcPr>
                <w:p w14:paraId="0397652E" w14:textId="77777777" w:rsidR="00906374" w:rsidRPr="00DA0872" w:rsidRDefault="00906374" w:rsidP="00672286">
                  <w:pPr>
                    <w:jc w:val="center"/>
                    <w:rPr>
                      <w:rFonts w:ascii="Calibri" w:hAnsi="Calibri"/>
                      <w:color w:val="000000"/>
                    </w:rPr>
                  </w:pPr>
                </w:p>
              </w:tc>
            </w:tr>
          </w:tbl>
          <w:p w14:paraId="4E119283" w14:textId="77777777" w:rsidR="00906374" w:rsidRPr="00DA0872" w:rsidRDefault="00906374" w:rsidP="00672286">
            <w:pPr>
              <w:jc w:val="center"/>
              <w:rPr>
                <w:rFonts w:ascii="Calibri" w:hAnsi="Calibri"/>
                <w:color w:val="000000"/>
              </w:rPr>
            </w:pPr>
          </w:p>
        </w:tc>
        <w:tc>
          <w:tcPr>
            <w:tcW w:w="1529" w:type="dxa"/>
            <w:tcBorders>
              <w:top w:val="nil"/>
              <w:left w:val="nil"/>
              <w:bottom w:val="nil"/>
              <w:right w:val="nil"/>
            </w:tcBorders>
            <w:shd w:val="clear" w:color="auto" w:fill="auto"/>
            <w:vAlign w:val="center"/>
            <w:hideMark/>
          </w:tcPr>
          <w:p w14:paraId="132E874E" w14:textId="77777777" w:rsidR="00906374" w:rsidRPr="002E22A6" w:rsidRDefault="00906374" w:rsidP="00672286">
            <w:pPr>
              <w:jc w:val="center"/>
              <w:rPr>
                <w:rFonts w:ascii="Calibri" w:hAnsi="Calibri"/>
                <w:color w:val="000000"/>
                <w:sz w:val="20"/>
                <w:szCs w:val="20"/>
              </w:rPr>
            </w:pPr>
            <w:r w:rsidRPr="002E22A6">
              <w:rPr>
                <w:rFonts w:ascii="Calibri" w:hAnsi="Calibri"/>
                <w:color w:val="000000"/>
                <w:sz w:val="20"/>
                <w:szCs w:val="20"/>
              </w:rPr>
              <w:t xml:space="preserve">Donnell and </w:t>
            </w:r>
            <w:proofErr w:type="spellStart"/>
            <w:r w:rsidRPr="002E22A6">
              <w:rPr>
                <w:rFonts w:ascii="Calibri" w:hAnsi="Calibri"/>
                <w:color w:val="000000"/>
                <w:sz w:val="20"/>
                <w:szCs w:val="20"/>
              </w:rPr>
              <w:t>Ignizio</w:t>
            </w:r>
            <w:proofErr w:type="spellEnd"/>
            <w:r w:rsidRPr="002E22A6">
              <w:rPr>
                <w:rFonts w:ascii="Calibri" w:hAnsi="Calibri"/>
                <w:color w:val="000000"/>
                <w:sz w:val="20"/>
                <w:szCs w:val="20"/>
              </w:rPr>
              <w:t xml:space="preserve"> 2012</w:t>
            </w:r>
          </w:p>
        </w:tc>
      </w:tr>
      <w:tr w:rsidR="00906374" w:rsidRPr="00DA0872" w14:paraId="626D71D5" w14:textId="77777777" w:rsidTr="00672286">
        <w:trPr>
          <w:trHeight w:val="722"/>
        </w:trPr>
        <w:tc>
          <w:tcPr>
            <w:tcW w:w="1527" w:type="dxa"/>
            <w:tcBorders>
              <w:top w:val="nil"/>
              <w:left w:val="nil"/>
              <w:bottom w:val="nil"/>
              <w:right w:val="nil"/>
            </w:tcBorders>
            <w:shd w:val="clear" w:color="auto" w:fill="auto"/>
            <w:noWrap/>
            <w:vAlign w:val="center"/>
            <w:hideMark/>
          </w:tcPr>
          <w:p w14:paraId="35CFDD82"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Bio2</w:t>
            </w:r>
          </w:p>
        </w:tc>
        <w:tc>
          <w:tcPr>
            <w:tcW w:w="5419" w:type="dxa"/>
            <w:tcBorders>
              <w:top w:val="nil"/>
              <w:left w:val="nil"/>
              <w:bottom w:val="nil"/>
              <w:right w:val="nil"/>
            </w:tcBorders>
            <w:shd w:val="clear" w:color="auto" w:fill="auto"/>
            <w:noWrap/>
            <w:vAlign w:val="center"/>
            <w:hideMark/>
          </w:tcPr>
          <w:p w14:paraId="02719BF9"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Annual Mean Diurnal Range</w:t>
            </w:r>
          </w:p>
        </w:tc>
        <w:tc>
          <w:tcPr>
            <w:tcW w:w="5602" w:type="dxa"/>
            <w:tcBorders>
              <w:top w:val="nil"/>
              <w:left w:val="nil"/>
              <w:bottom w:val="nil"/>
              <w:right w:val="nil"/>
            </w:tcBorders>
            <w:shd w:val="clear" w:color="auto" w:fill="auto"/>
            <w:noWrap/>
            <w:vAlign w:val="center"/>
            <w:hideMark/>
          </w:tcPr>
          <w:p w14:paraId="5B794778" w14:textId="77777777" w:rsidR="00906374" w:rsidRPr="00DA0872" w:rsidRDefault="00906374" w:rsidP="00672286">
            <w:pPr>
              <w:jc w:val="center"/>
              <w:rPr>
                <w:rFonts w:ascii="Calibri" w:hAnsi="Calibri"/>
                <w:color w:val="000000"/>
              </w:rPr>
            </w:pPr>
            <w:r>
              <w:rPr>
                <w:rFonts w:ascii="Calibri" w:hAnsi="Calibri"/>
                <w:noProof/>
                <w:color w:val="000000"/>
                <w:lang w:eastAsia="en-GB"/>
              </w:rPr>
              <mc:AlternateContent>
                <mc:Choice Requires="wps">
                  <w:drawing>
                    <wp:anchor distT="0" distB="0" distL="114300" distR="114300" simplePos="0" relativeHeight="251683840" behindDoc="0" locked="0" layoutInCell="1" allowOverlap="1" wp14:anchorId="30044766" wp14:editId="2F33E641">
                      <wp:simplePos x="0" y="0"/>
                      <wp:positionH relativeFrom="column">
                        <wp:posOffset>0</wp:posOffset>
                      </wp:positionH>
                      <wp:positionV relativeFrom="paragraph">
                        <wp:posOffset>9525</wp:posOffset>
                      </wp:positionV>
                      <wp:extent cx="1781175" cy="43815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1778000" cy="433388"/>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5388C17" w14:textId="77777777" w:rsidR="00906374" w:rsidRDefault="00000000" w:rsidP="00906374">
                                  <w:pPr>
                                    <w:pStyle w:val="NormalWeb"/>
                                    <w:spacing w:before="0" w:beforeAutospacing="0" w:after="0" w:afterAutospacing="0"/>
                                  </w:pPr>
                                  <m:oMathPara>
                                    <m:oMathParaPr>
                                      <m:jc m:val="centerGroup"/>
                                    </m:oMathParaPr>
                                    <m:oMath>
                                      <m:f>
                                        <m:fPr>
                                          <m:ctrlPr>
                                            <w:rPr>
                                              <w:rFonts w:ascii="Cambria Math" w:hAnsi="Cambria Math" w:cstheme="minorBidi"/>
                                              <w:i/>
                                              <w:iCs/>
                                              <w:color w:val="000000" w:themeColor="text1"/>
                                              <w:sz w:val="22"/>
                                              <w:szCs w:val="22"/>
                                            </w:rPr>
                                          </m:ctrlPr>
                                        </m:fPr>
                                        <m:num>
                                          <m:nary>
                                            <m:naryPr>
                                              <m:chr m:val="∑"/>
                                              <m:ctrlPr>
                                                <w:rPr>
                                                  <w:rFonts w:ascii="Cambria Math" w:hAnsi="Cambria Math" w:cstheme="minorBidi"/>
                                                  <w:i/>
                                                  <w:iCs/>
                                                  <w:color w:val="000000" w:themeColor="text1"/>
                                                  <w:sz w:val="22"/>
                                                  <w:szCs w:val="22"/>
                                                </w:rPr>
                                              </m:ctrlPr>
                                            </m:naryPr>
                                            <m:sub>
                                              <m:r>
                                                <w:rPr>
                                                  <w:rFonts w:ascii="Cambria Math" w:hAnsi="Cambria Math" w:cstheme="minorBidi"/>
                                                  <w:color w:val="000000" w:themeColor="text1"/>
                                                  <w:sz w:val="22"/>
                                                  <w:szCs w:val="22"/>
                                                  <w:lang w:val="en-US"/>
                                                </w:rPr>
                                                <m:t>1</m:t>
                                              </m:r>
                                            </m:sub>
                                            <m:sup>
                                              <m:r>
                                                <w:rPr>
                                                  <w:rFonts w:ascii="Cambria Math" w:hAnsi="Cambria Math" w:cstheme="minorBidi"/>
                                                  <w:color w:val="000000" w:themeColor="text1"/>
                                                  <w:sz w:val="22"/>
                                                  <w:szCs w:val="22"/>
                                                  <w:lang w:val="en-US"/>
                                                </w:rPr>
                                                <m:t>12</m:t>
                                              </m:r>
                                            </m:sup>
                                            <m:e>
                                              <m:r>
                                                <w:rPr>
                                                  <w:rFonts w:ascii="Cambria Math" w:hAnsi="Cambria Math" w:cstheme="minorBidi"/>
                                                  <w:color w:val="000000" w:themeColor="text1"/>
                                                  <w:sz w:val="22"/>
                                                  <w:szCs w:val="22"/>
                                                  <w:lang w:val="en-US"/>
                                                </w:rPr>
                                                <m:t>(Tmax -Tmin)</m:t>
                                              </m:r>
                                            </m:e>
                                          </m:nary>
                                        </m:num>
                                        <m:den>
                                          <m:r>
                                            <w:rPr>
                                              <w:rFonts w:ascii="Cambria Math" w:hAnsi="Cambria Math" w:cstheme="minorBidi"/>
                                              <w:color w:val="000000" w:themeColor="text1"/>
                                              <w:sz w:val="22"/>
                                              <w:szCs w:val="22"/>
                                              <w:lang w:val="en-US"/>
                                            </w:rPr>
                                            <m:t>12</m:t>
                                          </m:r>
                                        </m:den>
                                      </m:f>
                                    </m:oMath>
                                  </m:oMathPara>
                                </w:p>
                              </w:txbxContent>
                            </wps:txbx>
                            <wps:bodyPr vertOverflow="clip" horzOverflow="clip" wrap="square" rtlCol="0" anchor="t">
                              <a:spAutoFit/>
                            </wps:bodyPr>
                          </wps:wsp>
                        </a:graphicData>
                      </a:graphic>
                      <wp14:sizeRelH relativeFrom="page">
                        <wp14:pctWidth>0</wp14:pctWidth>
                      </wp14:sizeRelH>
                      <wp14:sizeRelV relativeFrom="page">
                        <wp14:pctHeight>0</wp14:pctHeight>
                      </wp14:sizeRelV>
                    </wp:anchor>
                  </w:drawing>
                </mc:Choice>
                <mc:Fallback>
                  <w:pict>
                    <v:shape w14:anchorId="30044766" id="Text Box 32" o:spid="_x0000_s1053" type="#_x0000_t202" style="position:absolute;left:0;text-align:left;margin-left:0;margin-top:.75pt;width:140.25pt;height:3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" filled="f" stroked="f">
                      <v:textbox style="mso-fit-shape-to-text:t">
                        <w:txbxContent>
                          <w:p w14:paraId="05388C17" w14:textId="77777777" w:rsidR="00906374" w:rsidRDefault="00000000" w:rsidP="00906374">
                            <w:pPr>
                              <w:pStyle w:val="NormalWeb"/>
                              <w:spacing w:before="0" w:beforeAutospacing="0" w:after="0" w:afterAutospacing="0"/>
                            </w:pPr>
                            <m:oMathPara>
                              <m:oMathParaPr>
                                <m:jc m:val="centerGroup"/>
                              </m:oMathParaPr>
                              <m:oMath>
                                <m:f>
                                  <m:fPr>
                                    <m:ctrlPr>
                                      <w:rPr>
                                        <w:rFonts w:ascii="Cambria Math" w:hAnsi="Cambria Math" w:cstheme="minorBidi"/>
                                        <w:i/>
                                        <w:iCs/>
                                        <w:color w:val="000000" w:themeColor="text1"/>
                                        <w:sz w:val="22"/>
                                        <w:szCs w:val="22"/>
                                      </w:rPr>
                                    </m:ctrlPr>
                                  </m:fPr>
                                  <m:num>
                                    <m:nary>
                                      <m:naryPr>
                                        <m:chr m:val="∑"/>
                                        <m:ctrlPr>
                                          <w:rPr>
                                            <w:rFonts w:ascii="Cambria Math" w:hAnsi="Cambria Math" w:cstheme="minorBidi"/>
                                            <w:i/>
                                            <w:iCs/>
                                            <w:color w:val="000000" w:themeColor="text1"/>
                                            <w:sz w:val="22"/>
                                            <w:szCs w:val="22"/>
                                          </w:rPr>
                                        </m:ctrlPr>
                                      </m:naryPr>
                                      <m:sub>
                                        <m:r>
                                          <w:rPr>
                                            <w:rFonts w:ascii="Cambria Math" w:hAnsi="Cambria Math" w:cstheme="minorBidi"/>
                                            <w:color w:val="000000" w:themeColor="text1"/>
                                            <w:sz w:val="22"/>
                                            <w:szCs w:val="22"/>
                                            <w:lang w:val="en-US"/>
                                          </w:rPr>
                                          <m:t>1</m:t>
                                        </m:r>
                                      </m:sub>
                                      <m:sup>
                                        <m:r>
                                          <w:rPr>
                                            <w:rFonts w:ascii="Cambria Math" w:hAnsi="Cambria Math" w:cstheme="minorBidi"/>
                                            <w:color w:val="000000" w:themeColor="text1"/>
                                            <w:sz w:val="22"/>
                                            <w:szCs w:val="22"/>
                                            <w:lang w:val="en-US"/>
                                          </w:rPr>
                                          <m:t>12</m:t>
                                        </m:r>
                                      </m:sup>
                                      <m:e>
                                        <m:r>
                                          <w:rPr>
                                            <w:rFonts w:ascii="Cambria Math" w:hAnsi="Cambria Math" w:cstheme="minorBidi"/>
                                            <w:color w:val="000000" w:themeColor="text1"/>
                                            <w:sz w:val="22"/>
                                            <w:szCs w:val="22"/>
                                            <w:lang w:val="en-US"/>
                                          </w:rPr>
                                          <m:t>(Tmax -Tmin)</m:t>
                                        </m:r>
                                      </m:e>
                                    </m:nary>
                                  </m:num>
                                  <m:den>
                                    <m:r>
                                      <w:rPr>
                                        <w:rFonts w:ascii="Cambria Math" w:hAnsi="Cambria Math" w:cstheme="minorBidi"/>
                                        <w:color w:val="000000" w:themeColor="text1"/>
                                        <w:sz w:val="22"/>
                                        <w:szCs w:val="22"/>
                                        <w:lang w:val="en-US"/>
                                      </w:rPr>
                                      <m:t>12</m:t>
                                    </m:r>
                                  </m:den>
                                </m:f>
                              </m:oMath>
                            </m:oMathPara>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3226"/>
            </w:tblGrid>
            <w:tr w:rsidR="00906374" w:rsidRPr="00DA0872" w14:paraId="5D8CEB42" w14:textId="77777777" w:rsidTr="00672286">
              <w:trPr>
                <w:trHeight w:val="722"/>
                <w:tblCellSpacing w:w="0" w:type="dxa"/>
              </w:trPr>
              <w:tc>
                <w:tcPr>
                  <w:tcW w:w="3226" w:type="dxa"/>
                  <w:tcBorders>
                    <w:top w:val="nil"/>
                    <w:left w:val="nil"/>
                    <w:bottom w:val="nil"/>
                    <w:right w:val="nil"/>
                  </w:tcBorders>
                  <w:shd w:val="clear" w:color="auto" w:fill="auto"/>
                  <w:vAlign w:val="center"/>
                  <w:hideMark/>
                </w:tcPr>
                <w:p w14:paraId="56B7A049" w14:textId="77777777" w:rsidR="00906374" w:rsidRPr="00DA0872" w:rsidRDefault="00906374" w:rsidP="00672286">
                  <w:pPr>
                    <w:jc w:val="center"/>
                    <w:rPr>
                      <w:rFonts w:ascii="Calibri" w:hAnsi="Calibri"/>
                      <w:color w:val="000000"/>
                    </w:rPr>
                  </w:pPr>
                </w:p>
              </w:tc>
            </w:tr>
          </w:tbl>
          <w:p w14:paraId="022A1B8C" w14:textId="77777777" w:rsidR="00906374" w:rsidRPr="00DA0872" w:rsidRDefault="00906374" w:rsidP="00672286">
            <w:pPr>
              <w:jc w:val="center"/>
              <w:rPr>
                <w:rFonts w:ascii="Calibri" w:hAnsi="Calibri"/>
                <w:color w:val="000000"/>
              </w:rPr>
            </w:pPr>
          </w:p>
        </w:tc>
        <w:tc>
          <w:tcPr>
            <w:tcW w:w="1529" w:type="dxa"/>
            <w:tcBorders>
              <w:top w:val="nil"/>
              <w:left w:val="nil"/>
              <w:bottom w:val="nil"/>
              <w:right w:val="nil"/>
            </w:tcBorders>
            <w:shd w:val="clear" w:color="auto" w:fill="auto"/>
            <w:vAlign w:val="center"/>
            <w:hideMark/>
          </w:tcPr>
          <w:p w14:paraId="246F71CC" w14:textId="77777777" w:rsidR="00906374" w:rsidRPr="002E22A6" w:rsidRDefault="00906374" w:rsidP="00672286">
            <w:pPr>
              <w:jc w:val="center"/>
              <w:rPr>
                <w:rFonts w:ascii="Calibri" w:hAnsi="Calibri"/>
                <w:color w:val="000000"/>
                <w:sz w:val="20"/>
                <w:szCs w:val="20"/>
              </w:rPr>
            </w:pPr>
            <w:r w:rsidRPr="002E22A6">
              <w:rPr>
                <w:rFonts w:ascii="Calibri" w:hAnsi="Calibri"/>
                <w:color w:val="000000"/>
                <w:sz w:val="20"/>
                <w:szCs w:val="20"/>
              </w:rPr>
              <w:t xml:space="preserve">Donnell and </w:t>
            </w:r>
            <w:proofErr w:type="spellStart"/>
            <w:r w:rsidRPr="002E22A6">
              <w:rPr>
                <w:rFonts w:ascii="Calibri" w:hAnsi="Calibri"/>
                <w:color w:val="000000"/>
                <w:sz w:val="20"/>
                <w:szCs w:val="20"/>
              </w:rPr>
              <w:t>Ignizio</w:t>
            </w:r>
            <w:proofErr w:type="spellEnd"/>
            <w:r w:rsidRPr="002E22A6">
              <w:rPr>
                <w:rFonts w:ascii="Calibri" w:hAnsi="Calibri"/>
                <w:color w:val="000000"/>
                <w:sz w:val="20"/>
                <w:szCs w:val="20"/>
              </w:rPr>
              <w:t xml:space="preserve"> 2012</w:t>
            </w:r>
          </w:p>
        </w:tc>
      </w:tr>
      <w:tr w:rsidR="00906374" w:rsidRPr="00DA0872" w14:paraId="25BEF5D9" w14:textId="77777777" w:rsidTr="00672286">
        <w:trPr>
          <w:trHeight w:val="692"/>
        </w:trPr>
        <w:tc>
          <w:tcPr>
            <w:tcW w:w="1527" w:type="dxa"/>
            <w:tcBorders>
              <w:top w:val="nil"/>
              <w:left w:val="nil"/>
              <w:bottom w:val="nil"/>
              <w:right w:val="nil"/>
            </w:tcBorders>
            <w:shd w:val="clear" w:color="auto" w:fill="auto"/>
            <w:noWrap/>
            <w:vAlign w:val="center"/>
            <w:hideMark/>
          </w:tcPr>
          <w:p w14:paraId="1BB4D73E"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Bio3</w:t>
            </w:r>
          </w:p>
        </w:tc>
        <w:tc>
          <w:tcPr>
            <w:tcW w:w="5419" w:type="dxa"/>
            <w:tcBorders>
              <w:top w:val="nil"/>
              <w:left w:val="nil"/>
              <w:bottom w:val="nil"/>
              <w:right w:val="nil"/>
            </w:tcBorders>
            <w:shd w:val="clear" w:color="auto" w:fill="auto"/>
            <w:noWrap/>
            <w:vAlign w:val="center"/>
            <w:hideMark/>
          </w:tcPr>
          <w:p w14:paraId="03B2175B" w14:textId="77777777" w:rsidR="00906374" w:rsidRPr="001E65D6" w:rsidRDefault="00906374" w:rsidP="00672286">
            <w:pPr>
              <w:jc w:val="center"/>
              <w:rPr>
                <w:rFonts w:ascii="Calibri" w:hAnsi="Calibri"/>
                <w:color w:val="000000"/>
                <w:sz w:val="22"/>
                <w:szCs w:val="22"/>
              </w:rPr>
            </w:pPr>
            <w:proofErr w:type="spellStart"/>
            <w:r w:rsidRPr="001E65D6">
              <w:rPr>
                <w:rFonts w:ascii="Calibri" w:hAnsi="Calibri"/>
                <w:color w:val="000000"/>
                <w:sz w:val="22"/>
                <w:szCs w:val="22"/>
              </w:rPr>
              <w:t>Isothermality</w:t>
            </w:r>
            <w:proofErr w:type="spellEnd"/>
          </w:p>
        </w:tc>
        <w:tc>
          <w:tcPr>
            <w:tcW w:w="5602" w:type="dxa"/>
            <w:tcBorders>
              <w:top w:val="nil"/>
              <w:left w:val="nil"/>
              <w:bottom w:val="nil"/>
              <w:right w:val="nil"/>
            </w:tcBorders>
            <w:shd w:val="clear" w:color="auto" w:fill="auto"/>
            <w:noWrap/>
            <w:vAlign w:val="center"/>
            <w:hideMark/>
          </w:tcPr>
          <w:p w14:paraId="6236A984" w14:textId="77777777" w:rsidR="00906374" w:rsidRPr="00DA0872" w:rsidRDefault="00906374" w:rsidP="00672286">
            <w:pPr>
              <w:jc w:val="center"/>
              <w:rPr>
                <w:rFonts w:ascii="Calibri" w:hAnsi="Calibri"/>
                <w:color w:val="000000"/>
              </w:rPr>
            </w:pPr>
            <w:r>
              <w:rPr>
                <w:rFonts w:ascii="Calibri" w:hAnsi="Calibri"/>
                <w:noProof/>
                <w:color w:val="000000"/>
                <w:lang w:eastAsia="en-GB"/>
              </w:rPr>
              <mc:AlternateContent>
                <mc:Choice Requires="wps">
                  <w:drawing>
                    <wp:anchor distT="0" distB="0" distL="114300" distR="114300" simplePos="0" relativeHeight="251684864" behindDoc="0" locked="0" layoutInCell="1" allowOverlap="1" wp14:anchorId="7515090D" wp14:editId="430935D4">
                      <wp:simplePos x="0" y="0"/>
                      <wp:positionH relativeFrom="column">
                        <wp:posOffset>0</wp:posOffset>
                      </wp:positionH>
                      <wp:positionV relativeFrom="paragraph">
                        <wp:posOffset>0</wp:posOffset>
                      </wp:positionV>
                      <wp:extent cx="1781175" cy="409575"/>
                      <wp:effectExtent l="0" t="0" r="0" b="0"/>
                      <wp:wrapNone/>
                      <wp:docPr id="33" name="Text Box 33"/>
                      <wp:cNvGraphicFramePr/>
                      <a:graphic xmlns:a="http://schemas.openxmlformats.org/drawingml/2006/main">
                        <a:graphicData uri="http://schemas.microsoft.com/office/word/2010/wordprocessingShape">
                          <wps:wsp>
                            <wps:cNvSpPr txBox="1"/>
                            <wps:spPr>
                              <a:xfrm>
                                <a:off x="0" y="0"/>
                                <a:ext cx="1778000" cy="409279"/>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4EABBCA" w14:textId="77777777" w:rsidR="00906374" w:rsidRDefault="00000000" w:rsidP="00906374">
                                  <w:pPr>
                                    <w:pStyle w:val="NormalWeb"/>
                                    <w:spacing w:before="0" w:beforeAutospacing="0" w:after="0" w:afterAutospacing="0"/>
                                  </w:pPr>
                                  <m:oMathPara>
                                    <m:oMathParaPr>
                                      <m:jc m:val="centerGroup"/>
                                    </m:oMathParaPr>
                                    <m:oMath>
                                      <m:f>
                                        <m:fPr>
                                          <m:ctrlPr>
                                            <w:rPr>
                                              <w:rFonts w:ascii="Cambria Math" w:hAnsi="Cambria Math" w:cstheme="minorBidi"/>
                                              <w:i/>
                                              <w:iCs/>
                                              <w:color w:val="000000" w:themeColor="text1"/>
                                              <w:sz w:val="22"/>
                                              <w:szCs w:val="22"/>
                                            </w:rPr>
                                          </m:ctrlPr>
                                        </m:fPr>
                                        <m:num>
                                          <m:r>
                                            <w:rPr>
                                              <w:rFonts w:ascii="Cambria Math" w:hAnsi="Cambria Math" w:cstheme="minorBidi"/>
                                              <w:color w:val="000000" w:themeColor="text1"/>
                                              <w:sz w:val="22"/>
                                              <w:szCs w:val="22"/>
                                              <w:lang w:val="en-US"/>
                                            </w:rPr>
                                            <m:t>Bio 2</m:t>
                                          </m:r>
                                        </m:num>
                                        <m:den>
                                          <m:r>
                                            <w:rPr>
                                              <w:rFonts w:ascii="Cambria Math" w:hAnsi="Cambria Math" w:cstheme="minorBidi"/>
                                              <w:color w:val="000000" w:themeColor="text1"/>
                                              <w:sz w:val="22"/>
                                              <w:szCs w:val="22"/>
                                              <w:lang w:val="en-US"/>
                                            </w:rPr>
                                            <m:t>Bio 7</m:t>
                                          </m:r>
                                        </m:den>
                                      </m:f>
                                      <m:r>
                                        <m:rPr>
                                          <m:sty m:val="p"/>
                                        </m:rPr>
                                        <w:rPr>
                                          <w:rFonts w:ascii="Cambria Math" w:hAnsi="Cambria Math" w:cstheme="minorBidi"/>
                                          <w:color w:val="000000" w:themeColor="text1"/>
                                          <w:sz w:val="22"/>
                                          <w:szCs w:val="22"/>
                                          <w:lang w:val="en-US"/>
                                        </w:rPr>
                                        <m:t> x 100</m:t>
                                      </m:r>
                                    </m:oMath>
                                  </m:oMathPara>
                                </w:p>
                              </w:txbxContent>
                            </wps:txbx>
                            <wps:bodyPr vertOverflow="clip" horzOverflow="clip" wrap="square" rtlCol="0" anchor="t">
                              <a:spAutoFit/>
                            </wps:bodyPr>
                          </wps:wsp>
                        </a:graphicData>
                      </a:graphic>
                      <wp14:sizeRelH relativeFrom="page">
                        <wp14:pctWidth>0</wp14:pctWidth>
                      </wp14:sizeRelH>
                      <wp14:sizeRelV relativeFrom="page">
                        <wp14:pctHeight>0</wp14:pctHeight>
                      </wp14:sizeRelV>
                    </wp:anchor>
                  </w:drawing>
                </mc:Choice>
                <mc:Fallback>
                  <w:pict>
                    <v:shape w14:anchorId="7515090D" id="Text Box 33" o:spid="_x0000_s1054" type="#_x0000_t202" style="position:absolute;left:0;text-align:left;margin-left:0;margin-top:0;width:140.25pt;height:32.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" filled="f" stroked="f">
                      <v:textbox style="mso-fit-shape-to-text:t">
                        <w:txbxContent>
                          <w:p w14:paraId="24EABBCA" w14:textId="77777777" w:rsidR="00906374" w:rsidRDefault="00000000" w:rsidP="00906374">
                            <w:pPr>
                              <w:pStyle w:val="NormalWeb"/>
                              <w:spacing w:before="0" w:beforeAutospacing="0" w:after="0" w:afterAutospacing="0"/>
                            </w:pPr>
                            <m:oMathPara>
                              <m:oMathParaPr>
                                <m:jc m:val="centerGroup"/>
                              </m:oMathParaPr>
                              <m:oMath>
                                <m:f>
                                  <m:fPr>
                                    <m:ctrlPr>
                                      <w:rPr>
                                        <w:rFonts w:ascii="Cambria Math" w:hAnsi="Cambria Math" w:cstheme="minorBidi"/>
                                        <w:i/>
                                        <w:iCs/>
                                        <w:color w:val="000000" w:themeColor="text1"/>
                                        <w:sz w:val="22"/>
                                        <w:szCs w:val="22"/>
                                      </w:rPr>
                                    </m:ctrlPr>
                                  </m:fPr>
                                  <m:num>
                                    <m:r>
                                      <w:rPr>
                                        <w:rFonts w:ascii="Cambria Math" w:hAnsi="Cambria Math" w:cstheme="minorBidi"/>
                                        <w:color w:val="000000" w:themeColor="text1"/>
                                        <w:sz w:val="22"/>
                                        <w:szCs w:val="22"/>
                                        <w:lang w:val="en-US"/>
                                      </w:rPr>
                                      <m:t>Bio 2</m:t>
                                    </m:r>
                                  </m:num>
                                  <m:den>
                                    <m:r>
                                      <w:rPr>
                                        <w:rFonts w:ascii="Cambria Math" w:hAnsi="Cambria Math" w:cstheme="minorBidi"/>
                                        <w:color w:val="000000" w:themeColor="text1"/>
                                        <w:sz w:val="22"/>
                                        <w:szCs w:val="22"/>
                                        <w:lang w:val="en-US"/>
                                      </w:rPr>
                                      <m:t>Bio 7</m:t>
                                    </m:r>
                                  </m:den>
                                </m:f>
                                <m:r>
                                  <m:rPr>
                                    <m:sty m:val="p"/>
                                  </m:rPr>
                                  <w:rPr>
                                    <w:rFonts w:ascii="Cambria Math" w:hAnsi="Cambria Math" w:cstheme="minorBidi"/>
                                    <w:color w:val="000000" w:themeColor="text1"/>
                                    <w:sz w:val="22"/>
                                    <w:szCs w:val="22"/>
                                    <w:lang w:val="en-US"/>
                                  </w:rPr>
                                  <m:t> x 100</m:t>
                                </m:r>
                              </m:oMath>
                            </m:oMathPara>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3226"/>
            </w:tblGrid>
            <w:tr w:rsidR="00906374" w:rsidRPr="00DA0872" w14:paraId="5EA0D423" w14:textId="77777777" w:rsidTr="00672286">
              <w:trPr>
                <w:trHeight w:val="692"/>
                <w:tblCellSpacing w:w="0" w:type="dxa"/>
              </w:trPr>
              <w:tc>
                <w:tcPr>
                  <w:tcW w:w="3226" w:type="dxa"/>
                  <w:tcBorders>
                    <w:top w:val="nil"/>
                    <w:left w:val="nil"/>
                    <w:bottom w:val="nil"/>
                    <w:right w:val="nil"/>
                  </w:tcBorders>
                  <w:shd w:val="clear" w:color="auto" w:fill="auto"/>
                  <w:vAlign w:val="center"/>
                  <w:hideMark/>
                </w:tcPr>
                <w:p w14:paraId="66121447" w14:textId="77777777" w:rsidR="00906374" w:rsidRPr="00DA0872" w:rsidRDefault="00906374" w:rsidP="00672286">
                  <w:pPr>
                    <w:jc w:val="center"/>
                    <w:rPr>
                      <w:rFonts w:ascii="Calibri" w:hAnsi="Calibri"/>
                      <w:color w:val="000000"/>
                    </w:rPr>
                  </w:pPr>
                </w:p>
              </w:tc>
            </w:tr>
          </w:tbl>
          <w:p w14:paraId="5AF73594" w14:textId="77777777" w:rsidR="00906374" w:rsidRPr="00DA0872" w:rsidRDefault="00906374" w:rsidP="00672286">
            <w:pPr>
              <w:jc w:val="center"/>
              <w:rPr>
                <w:rFonts w:ascii="Calibri" w:hAnsi="Calibri"/>
                <w:color w:val="000000"/>
              </w:rPr>
            </w:pPr>
          </w:p>
        </w:tc>
        <w:tc>
          <w:tcPr>
            <w:tcW w:w="1529" w:type="dxa"/>
            <w:tcBorders>
              <w:top w:val="nil"/>
              <w:left w:val="nil"/>
              <w:bottom w:val="nil"/>
              <w:right w:val="nil"/>
            </w:tcBorders>
            <w:shd w:val="clear" w:color="auto" w:fill="auto"/>
            <w:vAlign w:val="center"/>
            <w:hideMark/>
          </w:tcPr>
          <w:p w14:paraId="58CF5A10" w14:textId="77777777" w:rsidR="00906374" w:rsidRPr="002E22A6" w:rsidRDefault="00906374" w:rsidP="00672286">
            <w:pPr>
              <w:jc w:val="center"/>
              <w:rPr>
                <w:rFonts w:ascii="Calibri" w:hAnsi="Calibri"/>
                <w:color w:val="000000"/>
                <w:sz w:val="20"/>
                <w:szCs w:val="20"/>
              </w:rPr>
            </w:pPr>
            <w:r w:rsidRPr="002E22A6">
              <w:rPr>
                <w:rFonts w:ascii="Calibri" w:hAnsi="Calibri"/>
                <w:color w:val="000000"/>
                <w:sz w:val="20"/>
                <w:szCs w:val="20"/>
              </w:rPr>
              <w:t xml:space="preserve">Donnell and </w:t>
            </w:r>
            <w:proofErr w:type="spellStart"/>
            <w:r w:rsidRPr="002E22A6">
              <w:rPr>
                <w:rFonts w:ascii="Calibri" w:hAnsi="Calibri"/>
                <w:color w:val="000000"/>
                <w:sz w:val="20"/>
                <w:szCs w:val="20"/>
              </w:rPr>
              <w:t>Ignizio</w:t>
            </w:r>
            <w:proofErr w:type="spellEnd"/>
            <w:r w:rsidRPr="002E22A6">
              <w:rPr>
                <w:rFonts w:ascii="Calibri" w:hAnsi="Calibri"/>
                <w:color w:val="000000"/>
                <w:sz w:val="20"/>
                <w:szCs w:val="20"/>
              </w:rPr>
              <w:t xml:space="preserve"> 2012</w:t>
            </w:r>
          </w:p>
        </w:tc>
      </w:tr>
      <w:tr w:rsidR="00906374" w:rsidRPr="00DA0872" w14:paraId="5AB33B55" w14:textId="77777777" w:rsidTr="00672286">
        <w:trPr>
          <w:trHeight w:val="511"/>
        </w:trPr>
        <w:tc>
          <w:tcPr>
            <w:tcW w:w="1527" w:type="dxa"/>
            <w:tcBorders>
              <w:top w:val="nil"/>
              <w:left w:val="nil"/>
              <w:bottom w:val="nil"/>
              <w:right w:val="nil"/>
            </w:tcBorders>
            <w:shd w:val="clear" w:color="auto" w:fill="auto"/>
            <w:noWrap/>
            <w:vAlign w:val="center"/>
            <w:hideMark/>
          </w:tcPr>
          <w:p w14:paraId="29EA5E19"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Bio4</w:t>
            </w:r>
          </w:p>
        </w:tc>
        <w:tc>
          <w:tcPr>
            <w:tcW w:w="5419" w:type="dxa"/>
            <w:tcBorders>
              <w:top w:val="nil"/>
              <w:left w:val="nil"/>
              <w:bottom w:val="nil"/>
              <w:right w:val="nil"/>
            </w:tcBorders>
            <w:shd w:val="clear" w:color="auto" w:fill="auto"/>
            <w:noWrap/>
            <w:vAlign w:val="center"/>
            <w:hideMark/>
          </w:tcPr>
          <w:p w14:paraId="1F28BDE0"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Temperature Seasonality</w:t>
            </w:r>
          </w:p>
        </w:tc>
        <w:tc>
          <w:tcPr>
            <w:tcW w:w="5602" w:type="dxa"/>
            <w:tcBorders>
              <w:top w:val="nil"/>
              <w:left w:val="nil"/>
              <w:bottom w:val="nil"/>
              <w:right w:val="nil"/>
            </w:tcBorders>
            <w:shd w:val="clear" w:color="auto" w:fill="auto"/>
            <w:noWrap/>
            <w:vAlign w:val="center"/>
            <w:hideMark/>
          </w:tcPr>
          <w:p w14:paraId="7908F737" w14:textId="77777777" w:rsidR="00906374" w:rsidRPr="00DA0872" w:rsidRDefault="00906374" w:rsidP="00672286">
            <w:pPr>
              <w:jc w:val="center"/>
              <w:rPr>
                <w:rFonts w:ascii="Calibri" w:hAnsi="Calibri"/>
                <w:color w:val="000000"/>
              </w:rPr>
            </w:pPr>
            <w:r>
              <w:rPr>
                <w:rFonts w:ascii="Calibri" w:hAnsi="Calibri"/>
                <w:noProof/>
                <w:color w:val="000000"/>
                <w:lang w:eastAsia="en-GB"/>
              </w:rPr>
              <mc:AlternateContent>
                <mc:Choice Requires="wps">
                  <w:drawing>
                    <wp:anchor distT="0" distB="0" distL="114300" distR="114300" simplePos="0" relativeHeight="251685888" behindDoc="0" locked="0" layoutInCell="1" allowOverlap="1" wp14:anchorId="5362D477" wp14:editId="117DB9E4">
                      <wp:simplePos x="0" y="0"/>
                      <wp:positionH relativeFrom="column">
                        <wp:posOffset>9525</wp:posOffset>
                      </wp:positionH>
                      <wp:positionV relativeFrom="paragraph">
                        <wp:posOffset>19050</wp:posOffset>
                      </wp:positionV>
                      <wp:extent cx="1781175" cy="276225"/>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77800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CDAFC36" w14:textId="77777777" w:rsidR="00906374" w:rsidRDefault="00906374" w:rsidP="00906374">
                                  <w:pPr>
                                    <w:pStyle w:val="NormalWeb"/>
                                    <w:spacing w:before="0" w:beforeAutospacing="0" w:after="0" w:afterAutospacing="0"/>
                                    <w:jc w:val="center"/>
                                  </w:pPr>
                                  <m:oMath>
                                    <m:r>
                                      <m:rPr>
                                        <m:sty m:val="p"/>
                                      </m:rPr>
                                      <w:rPr>
                                        <w:rFonts w:ascii="Cambria Math" w:hAnsi="Cambria Math" w:cstheme="minorBidi"/>
                                        <w:color w:val="000000" w:themeColor="text1"/>
                                        <w:sz w:val="22"/>
                                        <w:szCs w:val="22"/>
                                        <w:lang w:val="en-US"/>
                                      </w:rPr>
                                      <m:t> SD{Tas1…Tas12</m:t>
                                    </m:r>
                                  </m:oMath>
                                  <w:r>
                                    <w:rPr>
                                      <w:rFonts w:asciiTheme="minorHAnsi" w:hAnsi="Calibri" w:cstheme="minorBidi"/>
                                      <w:color w:val="000000" w:themeColor="text1"/>
                                      <w:sz w:val="22"/>
                                      <w:szCs w:val="22"/>
                                    </w:rPr>
                                    <w:t>}</w:t>
                                  </w:r>
                                </w:p>
                              </w:txbxContent>
                            </wps:txbx>
                            <wps:bodyPr vertOverflow="clip" horzOverflow="clip" wrap="square" rtlCol="0" anchor="t">
                              <a:spAutoFit/>
                            </wps:bodyPr>
                          </wps:wsp>
                        </a:graphicData>
                      </a:graphic>
                      <wp14:sizeRelH relativeFrom="page">
                        <wp14:pctWidth>0</wp14:pctWidth>
                      </wp14:sizeRelH>
                      <wp14:sizeRelV relativeFrom="page">
                        <wp14:pctHeight>0</wp14:pctHeight>
                      </wp14:sizeRelV>
                    </wp:anchor>
                  </w:drawing>
                </mc:Choice>
                <mc:Fallback>
                  <w:pict>
                    <v:shape w14:anchorId="5362D477" id="Text Box 34" o:spid="_x0000_s1055" type="#_x0000_t202" style="position:absolute;left:0;text-align:left;margin-left:.75pt;margin-top:1.5pt;width:140.25pt;height:21.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" filled="f" stroked="f">
                      <v:textbox style="mso-fit-shape-to-text:t">
                        <w:txbxContent>
                          <w:p w14:paraId="2CDAFC36" w14:textId="77777777" w:rsidR="00906374" w:rsidRDefault="00906374" w:rsidP="00906374">
                            <w:pPr>
                              <w:pStyle w:val="NormalWeb"/>
                              <w:spacing w:before="0" w:beforeAutospacing="0" w:after="0" w:afterAutospacing="0"/>
                              <w:jc w:val="center"/>
                            </w:pPr>
                            <m:oMath>
                              <m:r>
                                <m:rPr>
                                  <m:sty m:val="p"/>
                                </m:rPr>
                                <w:rPr>
                                  <w:rFonts w:ascii="Cambria Math" w:hAnsi="Cambria Math" w:cstheme="minorBidi"/>
                                  <w:color w:val="000000" w:themeColor="text1"/>
                                  <w:sz w:val="22"/>
                                  <w:szCs w:val="22"/>
                                  <w:lang w:val="en-US"/>
                                </w:rPr>
                                <m:t> SD{Tas1…Tas12</m:t>
                              </m:r>
                            </m:oMath>
                            <w:r>
                              <w:rPr>
                                <w:rFonts w:asciiTheme="minorHAnsi" w:hAnsi="Calibri" w:cstheme="minorBidi"/>
                                <w:color w:val="000000" w:themeColor="text1"/>
                                <w:sz w:val="22"/>
                                <w:szCs w:val="22"/>
                              </w:rPr>
                              <w:t>}</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3226"/>
            </w:tblGrid>
            <w:tr w:rsidR="00906374" w:rsidRPr="00DA0872" w14:paraId="0578F373" w14:textId="77777777" w:rsidTr="00672286">
              <w:trPr>
                <w:trHeight w:val="511"/>
                <w:tblCellSpacing w:w="0" w:type="dxa"/>
              </w:trPr>
              <w:tc>
                <w:tcPr>
                  <w:tcW w:w="3226" w:type="dxa"/>
                  <w:tcBorders>
                    <w:top w:val="nil"/>
                    <w:left w:val="nil"/>
                    <w:bottom w:val="nil"/>
                    <w:right w:val="nil"/>
                  </w:tcBorders>
                  <w:shd w:val="clear" w:color="auto" w:fill="auto"/>
                  <w:vAlign w:val="center"/>
                  <w:hideMark/>
                </w:tcPr>
                <w:p w14:paraId="6800E5B3" w14:textId="77777777" w:rsidR="00906374" w:rsidRPr="00DA0872" w:rsidRDefault="00906374" w:rsidP="00672286">
                  <w:pPr>
                    <w:jc w:val="center"/>
                    <w:rPr>
                      <w:rFonts w:ascii="Calibri" w:hAnsi="Calibri"/>
                      <w:color w:val="000000"/>
                    </w:rPr>
                  </w:pPr>
                </w:p>
              </w:tc>
            </w:tr>
          </w:tbl>
          <w:p w14:paraId="0C203A14" w14:textId="77777777" w:rsidR="00906374" w:rsidRPr="00DA0872" w:rsidRDefault="00906374" w:rsidP="00672286">
            <w:pPr>
              <w:jc w:val="center"/>
              <w:rPr>
                <w:rFonts w:ascii="Calibri" w:hAnsi="Calibri"/>
                <w:color w:val="000000"/>
              </w:rPr>
            </w:pPr>
          </w:p>
        </w:tc>
        <w:tc>
          <w:tcPr>
            <w:tcW w:w="1529" w:type="dxa"/>
            <w:tcBorders>
              <w:top w:val="nil"/>
              <w:left w:val="nil"/>
              <w:bottom w:val="nil"/>
              <w:right w:val="nil"/>
            </w:tcBorders>
            <w:shd w:val="clear" w:color="auto" w:fill="auto"/>
            <w:vAlign w:val="center"/>
            <w:hideMark/>
          </w:tcPr>
          <w:p w14:paraId="4B60C6B0" w14:textId="77777777" w:rsidR="00906374" w:rsidRPr="002E22A6" w:rsidRDefault="00906374" w:rsidP="00672286">
            <w:pPr>
              <w:jc w:val="center"/>
              <w:rPr>
                <w:rFonts w:ascii="Calibri" w:hAnsi="Calibri"/>
                <w:color w:val="000000"/>
                <w:sz w:val="20"/>
                <w:szCs w:val="20"/>
              </w:rPr>
            </w:pPr>
            <w:r w:rsidRPr="002E22A6">
              <w:rPr>
                <w:rFonts w:ascii="Calibri" w:hAnsi="Calibri"/>
                <w:color w:val="000000"/>
                <w:sz w:val="20"/>
                <w:szCs w:val="20"/>
              </w:rPr>
              <w:t xml:space="preserve">Donnell and </w:t>
            </w:r>
            <w:proofErr w:type="spellStart"/>
            <w:r w:rsidRPr="002E22A6">
              <w:rPr>
                <w:rFonts w:ascii="Calibri" w:hAnsi="Calibri"/>
                <w:color w:val="000000"/>
                <w:sz w:val="20"/>
                <w:szCs w:val="20"/>
              </w:rPr>
              <w:t>Ignizio</w:t>
            </w:r>
            <w:proofErr w:type="spellEnd"/>
            <w:r w:rsidRPr="002E22A6">
              <w:rPr>
                <w:rFonts w:ascii="Calibri" w:hAnsi="Calibri"/>
                <w:color w:val="000000"/>
                <w:sz w:val="20"/>
                <w:szCs w:val="20"/>
              </w:rPr>
              <w:t xml:space="preserve"> 2012</w:t>
            </w:r>
          </w:p>
        </w:tc>
      </w:tr>
      <w:tr w:rsidR="00906374" w:rsidRPr="00DA0872" w14:paraId="662BF9CF" w14:textId="77777777" w:rsidTr="00672286">
        <w:trPr>
          <w:trHeight w:val="496"/>
        </w:trPr>
        <w:tc>
          <w:tcPr>
            <w:tcW w:w="1527" w:type="dxa"/>
            <w:tcBorders>
              <w:top w:val="nil"/>
              <w:left w:val="nil"/>
              <w:bottom w:val="nil"/>
              <w:right w:val="nil"/>
            </w:tcBorders>
            <w:shd w:val="clear" w:color="auto" w:fill="auto"/>
            <w:noWrap/>
            <w:vAlign w:val="center"/>
            <w:hideMark/>
          </w:tcPr>
          <w:p w14:paraId="28F80D36"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Bio5</w:t>
            </w:r>
          </w:p>
        </w:tc>
        <w:tc>
          <w:tcPr>
            <w:tcW w:w="5419" w:type="dxa"/>
            <w:tcBorders>
              <w:top w:val="nil"/>
              <w:left w:val="nil"/>
              <w:bottom w:val="nil"/>
              <w:right w:val="nil"/>
            </w:tcBorders>
            <w:shd w:val="clear" w:color="auto" w:fill="auto"/>
            <w:noWrap/>
            <w:vAlign w:val="center"/>
            <w:hideMark/>
          </w:tcPr>
          <w:p w14:paraId="4F1FA895"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Maximum Temperature of the Warmest Month</w:t>
            </w:r>
          </w:p>
        </w:tc>
        <w:tc>
          <w:tcPr>
            <w:tcW w:w="5602" w:type="dxa"/>
            <w:tcBorders>
              <w:top w:val="nil"/>
              <w:left w:val="nil"/>
              <w:bottom w:val="nil"/>
              <w:right w:val="nil"/>
            </w:tcBorders>
            <w:shd w:val="clear" w:color="auto" w:fill="auto"/>
            <w:noWrap/>
            <w:vAlign w:val="center"/>
            <w:hideMark/>
          </w:tcPr>
          <w:p w14:paraId="0C933F6A" w14:textId="77777777" w:rsidR="00906374" w:rsidRPr="00DA0872" w:rsidRDefault="00906374" w:rsidP="00672286">
            <w:pPr>
              <w:jc w:val="center"/>
              <w:rPr>
                <w:rFonts w:ascii="Calibri" w:hAnsi="Calibri"/>
                <w:color w:val="000000"/>
              </w:rPr>
            </w:pPr>
            <w:r>
              <w:rPr>
                <w:rFonts w:ascii="Calibri" w:hAnsi="Calibri"/>
                <w:noProof/>
                <w:color w:val="000000"/>
                <w:lang w:eastAsia="en-GB"/>
              </w:rPr>
              <mc:AlternateContent>
                <mc:Choice Requires="wps">
                  <w:drawing>
                    <wp:anchor distT="0" distB="0" distL="114300" distR="114300" simplePos="0" relativeHeight="251686912" behindDoc="0" locked="0" layoutInCell="1" allowOverlap="1" wp14:anchorId="1F511F72" wp14:editId="06301410">
                      <wp:simplePos x="0" y="0"/>
                      <wp:positionH relativeFrom="column">
                        <wp:posOffset>0</wp:posOffset>
                      </wp:positionH>
                      <wp:positionV relativeFrom="paragraph">
                        <wp:posOffset>9525</wp:posOffset>
                      </wp:positionV>
                      <wp:extent cx="1781175" cy="26670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177800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09C3B4D" w14:textId="77777777" w:rsidR="00906374" w:rsidRDefault="00906374" w:rsidP="00906374">
                                  <w:pPr>
                                    <w:pStyle w:val="NormalWeb"/>
                                    <w:spacing w:before="0" w:beforeAutospacing="0" w:after="0" w:afterAutospacing="0"/>
                                    <w:jc w:val="center"/>
                                  </w:pPr>
                                  <m:oMath>
                                    <m:r>
                                      <m:rPr>
                                        <m:sty m:val="p"/>
                                      </m:rPr>
                                      <w:rPr>
                                        <w:rFonts w:ascii="Cambria Math" w:hAnsi="Cambria Math" w:cstheme="minorBidi"/>
                                        <w:color w:val="000000" w:themeColor="text1"/>
                                        <w:sz w:val="22"/>
                                        <w:szCs w:val="22"/>
                                        <w:lang w:val="en-US"/>
                                      </w:rPr>
                                      <m:t> max{Tmax1…Tmax12</m:t>
                                    </m:r>
                                  </m:oMath>
                                  <w:r>
                                    <w:rPr>
                                      <w:rFonts w:asciiTheme="minorHAnsi" w:hAnsi="Calibri" w:cstheme="minorBidi"/>
                                      <w:color w:val="000000" w:themeColor="text1"/>
                                      <w:sz w:val="22"/>
                                      <w:szCs w:val="22"/>
                                    </w:rPr>
                                    <w:t>}</w:t>
                                  </w:r>
                                </w:p>
                              </w:txbxContent>
                            </wps:txbx>
                            <wps:bodyPr vertOverflow="clip" horzOverflow="clip" wrap="square" rtlCol="0" anchor="t">
                              <a:spAutoFit/>
                            </wps:bodyPr>
                          </wps:wsp>
                        </a:graphicData>
                      </a:graphic>
                      <wp14:sizeRelH relativeFrom="page">
                        <wp14:pctWidth>0</wp14:pctWidth>
                      </wp14:sizeRelH>
                      <wp14:sizeRelV relativeFrom="page">
                        <wp14:pctHeight>0</wp14:pctHeight>
                      </wp14:sizeRelV>
                    </wp:anchor>
                  </w:drawing>
                </mc:Choice>
                <mc:Fallback>
                  <w:pict>
                    <v:shape w14:anchorId="1F511F72" id="Text Box 35" o:spid="_x0000_s1056" type="#_x0000_t202" style="position:absolute;left:0;text-align:left;margin-left:0;margin-top:.75pt;width:140.25pt;height:2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" filled="f" stroked="f">
                      <v:textbox style="mso-fit-shape-to-text:t">
                        <w:txbxContent>
                          <w:p w14:paraId="709C3B4D" w14:textId="77777777" w:rsidR="00906374" w:rsidRDefault="00906374" w:rsidP="00906374">
                            <w:pPr>
                              <w:pStyle w:val="NormalWeb"/>
                              <w:spacing w:before="0" w:beforeAutospacing="0" w:after="0" w:afterAutospacing="0"/>
                              <w:jc w:val="center"/>
                            </w:pPr>
                            <m:oMath>
                              <m:r>
                                <m:rPr>
                                  <m:sty m:val="p"/>
                                </m:rPr>
                                <w:rPr>
                                  <w:rFonts w:ascii="Cambria Math" w:hAnsi="Cambria Math" w:cstheme="minorBidi"/>
                                  <w:color w:val="000000" w:themeColor="text1"/>
                                  <w:sz w:val="22"/>
                                  <w:szCs w:val="22"/>
                                  <w:lang w:val="en-US"/>
                                </w:rPr>
                                <m:t> max{Tmax1…Tmax12</m:t>
                              </m:r>
                            </m:oMath>
                            <w:r>
                              <w:rPr>
                                <w:rFonts w:asciiTheme="minorHAnsi" w:hAnsi="Calibri" w:cstheme="minorBidi"/>
                                <w:color w:val="000000" w:themeColor="text1"/>
                                <w:sz w:val="22"/>
                                <w:szCs w:val="22"/>
                              </w:rPr>
                              <w:t>}</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3226"/>
            </w:tblGrid>
            <w:tr w:rsidR="00906374" w:rsidRPr="00DA0872" w14:paraId="46F222D1" w14:textId="77777777" w:rsidTr="00672286">
              <w:trPr>
                <w:trHeight w:val="496"/>
                <w:tblCellSpacing w:w="0" w:type="dxa"/>
              </w:trPr>
              <w:tc>
                <w:tcPr>
                  <w:tcW w:w="3226" w:type="dxa"/>
                  <w:tcBorders>
                    <w:top w:val="nil"/>
                    <w:left w:val="nil"/>
                    <w:bottom w:val="nil"/>
                    <w:right w:val="nil"/>
                  </w:tcBorders>
                  <w:shd w:val="clear" w:color="auto" w:fill="auto"/>
                  <w:vAlign w:val="center"/>
                  <w:hideMark/>
                </w:tcPr>
                <w:p w14:paraId="07F46C79" w14:textId="77777777" w:rsidR="00906374" w:rsidRPr="00DA0872" w:rsidRDefault="00906374" w:rsidP="00672286">
                  <w:pPr>
                    <w:jc w:val="center"/>
                    <w:rPr>
                      <w:rFonts w:ascii="Calibri" w:hAnsi="Calibri"/>
                      <w:color w:val="000000"/>
                    </w:rPr>
                  </w:pPr>
                </w:p>
              </w:tc>
            </w:tr>
          </w:tbl>
          <w:p w14:paraId="522E82FE" w14:textId="77777777" w:rsidR="00906374" w:rsidRPr="00DA0872" w:rsidRDefault="00906374" w:rsidP="00672286">
            <w:pPr>
              <w:jc w:val="center"/>
              <w:rPr>
                <w:rFonts w:ascii="Calibri" w:hAnsi="Calibri"/>
                <w:color w:val="000000"/>
              </w:rPr>
            </w:pPr>
          </w:p>
        </w:tc>
        <w:tc>
          <w:tcPr>
            <w:tcW w:w="1529" w:type="dxa"/>
            <w:tcBorders>
              <w:top w:val="nil"/>
              <w:left w:val="nil"/>
              <w:bottom w:val="nil"/>
              <w:right w:val="nil"/>
            </w:tcBorders>
            <w:shd w:val="clear" w:color="auto" w:fill="auto"/>
            <w:vAlign w:val="center"/>
            <w:hideMark/>
          </w:tcPr>
          <w:p w14:paraId="5D6426A9" w14:textId="77777777" w:rsidR="00906374" w:rsidRPr="002E22A6" w:rsidRDefault="00906374" w:rsidP="00672286">
            <w:pPr>
              <w:jc w:val="center"/>
              <w:rPr>
                <w:rFonts w:ascii="Calibri" w:hAnsi="Calibri"/>
                <w:color w:val="000000"/>
                <w:sz w:val="20"/>
                <w:szCs w:val="20"/>
              </w:rPr>
            </w:pPr>
            <w:r w:rsidRPr="002E22A6">
              <w:rPr>
                <w:rFonts w:ascii="Calibri" w:hAnsi="Calibri"/>
                <w:color w:val="000000"/>
                <w:sz w:val="20"/>
                <w:szCs w:val="20"/>
              </w:rPr>
              <w:t xml:space="preserve">Donnell and </w:t>
            </w:r>
            <w:proofErr w:type="spellStart"/>
            <w:r w:rsidRPr="002E22A6">
              <w:rPr>
                <w:rFonts w:ascii="Calibri" w:hAnsi="Calibri"/>
                <w:color w:val="000000"/>
                <w:sz w:val="20"/>
                <w:szCs w:val="20"/>
              </w:rPr>
              <w:t>Ignizio</w:t>
            </w:r>
            <w:proofErr w:type="spellEnd"/>
            <w:r w:rsidRPr="002E22A6">
              <w:rPr>
                <w:rFonts w:ascii="Calibri" w:hAnsi="Calibri"/>
                <w:color w:val="000000"/>
                <w:sz w:val="20"/>
                <w:szCs w:val="20"/>
              </w:rPr>
              <w:t xml:space="preserve"> 2012</w:t>
            </w:r>
          </w:p>
        </w:tc>
      </w:tr>
      <w:tr w:rsidR="00906374" w:rsidRPr="00DA0872" w14:paraId="1F462E5F" w14:textId="77777777" w:rsidTr="00672286">
        <w:trPr>
          <w:trHeight w:val="466"/>
        </w:trPr>
        <w:tc>
          <w:tcPr>
            <w:tcW w:w="1527" w:type="dxa"/>
            <w:tcBorders>
              <w:top w:val="nil"/>
              <w:left w:val="nil"/>
              <w:bottom w:val="nil"/>
              <w:right w:val="nil"/>
            </w:tcBorders>
            <w:shd w:val="clear" w:color="auto" w:fill="auto"/>
            <w:noWrap/>
            <w:vAlign w:val="center"/>
            <w:hideMark/>
          </w:tcPr>
          <w:p w14:paraId="401B60ED"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Bio6</w:t>
            </w:r>
          </w:p>
        </w:tc>
        <w:tc>
          <w:tcPr>
            <w:tcW w:w="5419" w:type="dxa"/>
            <w:tcBorders>
              <w:top w:val="nil"/>
              <w:left w:val="nil"/>
              <w:bottom w:val="nil"/>
              <w:right w:val="nil"/>
            </w:tcBorders>
            <w:shd w:val="clear" w:color="auto" w:fill="auto"/>
            <w:noWrap/>
            <w:vAlign w:val="center"/>
            <w:hideMark/>
          </w:tcPr>
          <w:p w14:paraId="75623F0F"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Minimum Temperature of the Coldest Month</w:t>
            </w:r>
          </w:p>
        </w:tc>
        <w:tc>
          <w:tcPr>
            <w:tcW w:w="5602" w:type="dxa"/>
            <w:tcBorders>
              <w:top w:val="nil"/>
              <w:left w:val="nil"/>
              <w:bottom w:val="nil"/>
              <w:right w:val="nil"/>
            </w:tcBorders>
            <w:shd w:val="clear" w:color="auto" w:fill="auto"/>
            <w:noWrap/>
            <w:vAlign w:val="center"/>
            <w:hideMark/>
          </w:tcPr>
          <w:p w14:paraId="551A0FEB" w14:textId="77777777" w:rsidR="00906374" w:rsidRPr="00DA0872" w:rsidRDefault="00906374" w:rsidP="00672286">
            <w:pPr>
              <w:jc w:val="center"/>
              <w:rPr>
                <w:rFonts w:ascii="Calibri" w:hAnsi="Calibri"/>
                <w:color w:val="000000"/>
              </w:rPr>
            </w:pPr>
            <w:r>
              <w:rPr>
                <w:rFonts w:ascii="Calibri" w:hAnsi="Calibri"/>
                <w:noProof/>
                <w:color w:val="000000"/>
                <w:lang w:eastAsia="en-GB"/>
              </w:rPr>
              <mc:AlternateContent>
                <mc:Choice Requires="wps">
                  <w:drawing>
                    <wp:anchor distT="0" distB="0" distL="114300" distR="114300" simplePos="0" relativeHeight="251687936" behindDoc="0" locked="0" layoutInCell="1" allowOverlap="1" wp14:anchorId="7D7E4D66" wp14:editId="716C4CF8">
                      <wp:simplePos x="0" y="0"/>
                      <wp:positionH relativeFrom="column">
                        <wp:posOffset>0</wp:posOffset>
                      </wp:positionH>
                      <wp:positionV relativeFrom="paragraph">
                        <wp:posOffset>0</wp:posOffset>
                      </wp:positionV>
                      <wp:extent cx="1781175" cy="26670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177800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C741EF5" w14:textId="77777777" w:rsidR="00906374" w:rsidRDefault="00906374" w:rsidP="00906374">
                                  <w:pPr>
                                    <w:pStyle w:val="NormalWeb"/>
                                    <w:spacing w:before="0" w:beforeAutospacing="0" w:after="0" w:afterAutospacing="0"/>
                                    <w:jc w:val="center"/>
                                  </w:pPr>
                                  <m:oMath>
                                    <m:r>
                                      <m:rPr>
                                        <m:sty m:val="p"/>
                                      </m:rPr>
                                      <w:rPr>
                                        <w:rFonts w:ascii="Cambria Math" w:hAnsi="Cambria Math" w:cstheme="minorBidi"/>
                                        <w:color w:val="000000" w:themeColor="text1"/>
                                        <w:sz w:val="22"/>
                                        <w:szCs w:val="22"/>
                                        <w:lang w:val="en-US"/>
                                      </w:rPr>
                                      <m:t> min{Tmin1…Tmin12</m:t>
                                    </m:r>
                                  </m:oMath>
                                  <w:r>
                                    <w:rPr>
                                      <w:rFonts w:asciiTheme="minorHAnsi" w:hAnsi="Calibri" w:cstheme="minorBidi"/>
                                      <w:color w:val="000000" w:themeColor="text1"/>
                                      <w:sz w:val="22"/>
                                      <w:szCs w:val="22"/>
                                    </w:rPr>
                                    <w:t>}</w:t>
                                  </w:r>
                                </w:p>
                              </w:txbxContent>
                            </wps:txbx>
                            <wps:bodyPr vertOverflow="clip" horzOverflow="clip" wrap="square" rtlCol="0" anchor="t">
                              <a:spAutoFit/>
                            </wps:bodyPr>
                          </wps:wsp>
                        </a:graphicData>
                      </a:graphic>
                      <wp14:sizeRelH relativeFrom="page">
                        <wp14:pctWidth>0</wp14:pctWidth>
                      </wp14:sizeRelH>
                      <wp14:sizeRelV relativeFrom="page">
                        <wp14:pctHeight>0</wp14:pctHeight>
                      </wp14:sizeRelV>
                    </wp:anchor>
                  </w:drawing>
                </mc:Choice>
                <mc:Fallback>
                  <w:pict>
                    <v:shape w14:anchorId="7D7E4D66" id="Text Box 36" o:spid="_x0000_s1057" type="#_x0000_t202" style="position:absolute;left:0;text-align:left;margin-left:0;margin-top:0;width:140.25pt;height:2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" filled="f" stroked="f">
                      <v:textbox style="mso-fit-shape-to-text:t">
                        <w:txbxContent>
                          <w:p w14:paraId="5C741EF5" w14:textId="77777777" w:rsidR="00906374" w:rsidRDefault="00906374" w:rsidP="00906374">
                            <w:pPr>
                              <w:pStyle w:val="NormalWeb"/>
                              <w:spacing w:before="0" w:beforeAutospacing="0" w:after="0" w:afterAutospacing="0"/>
                              <w:jc w:val="center"/>
                            </w:pPr>
                            <m:oMath>
                              <m:r>
                                <m:rPr>
                                  <m:sty m:val="p"/>
                                </m:rPr>
                                <w:rPr>
                                  <w:rFonts w:ascii="Cambria Math" w:hAnsi="Cambria Math" w:cstheme="minorBidi"/>
                                  <w:color w:val="000000" w:themeColor="text1"/>
                                  <w:sz w:val="22"/>
                                  <w:szCs w:val="22"/>
                                  <w:lang w:val="en-US"/>
                                </w:rPr>
                                <m:t> min{Tmin1…Tmin12</m:t>
                              </m:r>
                            </m:oMath>
                            <w:r>
                              <w:rPr>
                                <w:rFonts w:asciiTheme="minorHAnsi" w:hAnsi="Calibri" w:cstheme="minorBidi"/>
                                <w:color w:val="000000" w:themeColor="text1"/>
                                <w:sz w:val="22"/>
                                <w:szCs w:val="22"/>
                              </w:rPr>
                              <w:t>}</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3226"/>
            </w:tblGrid>
            <w:tr w:rsidR="00906374" w:rsidRPr="00DA0872" w14:paraId="5FC78433" w14:textId="77777777" w:rsidTr="00672286">
              <w:trPr>
                <w:trHeight w:val="466"/>
                <w:tblCellSpacing w:w="0" w:type="dxa"/>
              </w:trPr>
              <w:tc>
                <w:tcPr>
                  <w:tcW w:w="3226" w:type="dxa"/>
                  <w:tcBorders>
                    <w:top w:val="nil"/>
                    <w:left w:val="nil"/>
                    <w:bottom w:val="nil"/>
                    <w:right w:val="nil"/>
                  </w:tcBorders>
                  <w:shd w:val="clear" w:color="auto" w:fill="auto"/>
                  <w:vAlign w:val="center"/>
                  <w:hideMark/>
                </w:tcPr>
                <w:p w14:paraId="63E192BF" w14:textId="77777777" w:rsidR="00906374" w:rsidRPr="00DA0872" w:rsidRDefault="00906374" w:rsidP="00672286">
                  <w:pPr>
                    <w:jc w:val="center"/>
                    <w:rPr>
                      <w:rFonts w:ascii="Calibri" w:hAnsi="Calibri"/>
                      <w:color w:val="000000"/>
                    </w:rPr>
                  </w:pPr>
                </w:p>
              </w:tc>
            </w:tr>
          </w:tbl>
          <w:p w14:paraId="04277811" w14:textId="77777777" w:rsidR="00906374" w:rsidRPr="00DA0872" w:rsidRDefault="00906374" w:rsidP="00672286">
            <w:pPr>
              <w:jc w:val="center"/>
              <w:rPr>
                <w:rFonts w:ascii="Calibri" w:hAnsi="Calibri"/>
                <w:color w:val="000000"/>
              </w:rPr>
            </w:pPr>
          </w:p>
        </w:tc>
        <w:tc>
          <w:tcPr>
            <w:tcW w:w="1529" w:type="dxa"/>
            <w:tcBorders>
              <w:top w:val="nil"/>
              <w:left w:val="nil"/>
              <w:bottom w:val="nil"/>
              <w:right w:val="nil"/>
            </w:tcBorders>
            <w:shd w:val="clear" w:color="auto" w:fill="auto"/>
            <w:vAlign w:val="center"/>
            <w:hideMark/>
          </w:tcPr>
          <w:p w14:paraId="7935C7FD" w14:textId="77777777" w:rsidR="00906374" w:rsidRPr="002E22A6" w:rsidRDefault="00906374" w:rsidP="00672286">
            <w:pPr>
              <w:jc w:val="center"/>
              <w:rPr>
                <w:rFonts w:ascii="Calibri" w:hAnsi="Calibri"/>
                <w:color w:val="000000"/>
                <w:sz w:val="20"/>
                <w:szCs w:val="20"/>
              </w:rPr>
            </w:pPr>
            <w:r w:rsidRPr="002E22A6">
              <w:rPr>
                <w:rFonts w:ascii="Calibri" w:hAnsi="Calibri"/>
                <w:color w:val="000000"/>
                <w:sz w:val="20"/>
                <w:szCs w:val="20"/>
              </w:rPr>
              <w:t xml:space="preserve">Donnell and </w:t>
            </w:r>
            <w:proofErr w:type="spellStart"/>
            <w:r w:rsidRPr="002E22A6">
              <w:rPr>
                <w:rFonts w:ascii="Calibri" w:hAnsi="Calibri"/>
                <w:color w:val="000000"/>
                <w:sz w:val="20"/>
                <w:szCs w:val="20"/>
              </w:rPr>
              <w:t>Ignizio</w:t>
            </w:r>
            <w:proofErr w:type="spellEnd"/>
            <w:r w:rsidRPr="002E22A6">
              <w:rPr>
                <w:rFonts w:ascii="Calibri" w:hAnsi="Calibri"/>
                <w:color w:val="000000"/>
                <w:sz w:val="20"/>
                <w:szCs w:val="20"/>
              </w:rPr>
              <w:t xml:space="preserve"> 2012</w:t>
            </w:r>
          </w:p>
        </w:tc>
      </w:tr>
      <w:tr w:rsidR="00906374" w:rsidRPr="00DA0872" w14:paraId="0C3652FF" w14:textId="77777777" w:rsidTr="00672286">
        <w:trPr>
          <w:trHeight w:val="420"/>
        </w:trPr>
        <w:tc>
          <w:tcPr>
            <w:tcW w:w="1527" w:type="dxa"/>
            <w:tcBorders>
              <w:top w:val="nil"/>
              <w:left w:val="nil"/>
              <w:bottom w:val="nil"/>
              <w:right w:val="nil"/>
            </w:tcBorders>
            <w:shd w:val="clear" w:color="auto" w:fill="auto"/>
            <w:noWrap/>
            <w:vAlign w:val="center"/>
            <w:hideMark/>
          </w:tcPr>
          <w:p w14:paraId="626DB6EB"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Bio7</w:t>
            </w:r>
          </w:p>
        </w:tc>
        <w:tc>
          <w:tcPr>
            <w:tcW w:w="5419" w:type="dxa"/>
            <w:tcBorders>
              <w:top w:val="nil"/>
              <w:left w:val="nil"/>
              <w:bottom w:val="nil"/>
              <w:right w:val="nil"/>
            </w:tcBorders>
            <w:shd w:val="clear" w:color="auto" w:fill="auto"/>
            <w:noWrap/>
            <w:vAlign w:val="center"/>
            <w:hideMark/>
          </w:tcPr>
          <w:p w14:paraId="260F4F5B"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Annual Temperature Range</w:t>
            </w:r>
          </w:p>
        </w:tc>
        <w:tc>
          <w:tcPr>
            <w:tcW w:w="5602" w:type="dxa"/>
            <w:tcBorders>
              <w:top w:val="nil"/>
              <w:left w:val="nil"/>
              <w:bottom w:val="nil"/>
              <w:right w:val="nil"/>
            </w:tcBorders>
            <w:shd w:val="clear" w:color="auto" w:fill="auto"/>
            <w:noWrap/>
            <w:vAlign w:val="center"/>
            <w:hideMark/>
          </w:tcPr>
          <w:p w14:paraId="346424CF" w14:textId="77777777" w:rsidR="00906374" w:rsidRPr="00DA0872" w:rsidRDefault="00906374" w:rsidP="00672286">
            <w:pPr>
              <w:jc w:val="center"/>
              <w:rPr>
                <w:rFonts w:ascii="Calibri" w:hAnsi="Calibri"/>
                <w:color w:val="000000"/>
              </w:rPr>
            </w:pPr>
            <w:r>
              <w:rPr>
                <w:rFonts w:ascii="Calibri" w:hAnsi="Calibri"/>
                <w:noProof/>
                <w:color w:val="000000"/>
                <w:lang w:eastAsia="en-GB"/>
              </w:rPr>
              <mc:AlternateContent>
                <mc:Choice Requires="wps">
                  <w:drawing>
                    <wp:anchor distT="0" distB="0" distL="114300" distR="114300" simplePos="0" relativeHeight="251688960" behindDoc="0" locked="0" layoutInCell="1" allowOverlap="1" wp14:anchorId="62D1BD4E" wp14:editId="235832E1">
                      <wp:simplePos x="0" y="0"/>
                      <wp:positionH relativeFrom="column">
                        <wp:posOffset>-635</wp:posOffset>
                      </wp:positionH>
                      <wp:positionV relativeFrom="paragraph">
                        <wp:posOffset>84455</wp:posOffset>
                      </wp:positionV>
                      <wp:extent cx="1781175" cy="26670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177800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EA302D2" w14:textId="77777777" w:rsidR="00906374" w:rsidRDefault="00906374" w:rsidP="00906374">
                                  <w:pPr>
                                    <w:pStyle w:val="NormalWeb"/>
                                    <w:spacing w:before="0" w:beforeAutospacing="0" w:after="0" w:afterAutospacing="0"/>
                                    <w:jc w:val="center"/>
                                  </w:pPr>
                                  <m:oMathPara>
                                    <m:oMathParaPr>
                                      <m:jc m:val="centerGroup"/>
                                    </m:oMathParaPr>
                                    <m:oMath>
                                      <m:r>
                                        <m:rPr>
                                          <m:sty m:val="p"/>
                                        </m:rPr>
                                        <w:rPr>
                                          <w:rFonts w:ascii="Cambria Math" w:hAnsi="Cambria Math" w:cstheme="minorBidi"/>
                                          <w:color w:val="000000" w:themeColor="text1"/>
                                          <w:sz w:val="22"/>
                                          <w:szCs w:val="22"/>
                                          <w:lang w:val="en-US"/>
                                        </w:rPr>
                                        <m:t> Bio 5 -Bio 6</m:t>
                                      </m:r>
                                    </m:oMath>
                                  </m:oMathPara>
                                </w:p>
                              </w:txbxContent>
                            </wps:txbx>
                            <wps:bodyPr vertOverflow="clip" horzOverflow="clip" wrap="square" rtlCol="0" anchor="t">
                              <a:spAutoFit/>
                            </wps:bodyPr>
                          </wps:wsp>
                        </a:graphicData>
                      </a:graphic>
                      <wp14:sizeRelH relativeFrom="page">
                        <wp14:pctWidth>0</wp14:pctWidth>
                      </wp14:sizeRelH>
                      <wp14:sizeRelV relativeFrom="page">
                        <wp14:pctHeight>0</wp14:pctHeight>
                      </wp14:sizeRelV>
                    </wp:anchor>
                  </w:drawing>
                </mc:Choice>
                <mc:Fallback>
                  <w:pict>
                    <v:shape w14:anchorId="62D1BD4E" id="Text Box 37" o:spid="_x0000_s1058" type="#_x0000_t202" style="position:absolute;left:0;text-align:left;margin-left:-.05pt;margin-top:6.65pt;width:140.25pt;height:2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" filled="f" stroked="f">
                      <v:textbox style="mso-fit-shape-to-text:t">
                        <w:txbxContent>
                          <w:p w14:paraId="0EA302D2" w14:textId="77777777" w:rsidR="00906374" w:rsidRDefault="00906374" w:rsidP="00906374">
                            <w:pPr>
                              <w:pStyle w:val="NormalWeb"/>
                              <w:spacing w:before="0" w:beforeAutospacing="0" w:after="0" w:afterAutospacing="0"/>
                              <w:jc w:val="center"/>
                            </w:pPr>
                            <m:oMathPara>
                              <m:oMathParaPr>
                                <m:jc m:val="centerGroup"/>
                              </m:oMathParaPr>
                              <m:oMath>
                                <m:r>
                                  <m:rPr>
                                    <m:sty m:val="p"/>
                                  </m:rPr>
                                  <w:rPr>
                                    <w:rFonts w:ascii="Cambria Math" w:hAnsi="Cambria Math" w:cstheme="minorBidi"/>
                                    <w:color w:val="000000" w:themeColor="text1"/>
                                    <w:sz w:val="22"/>
                                    <w:szCs w:val="22"/>
                                    <w:lang w:val="en-US"/>
                                  </w:rPr>
                                  <m:t> Bio 5 -Bio 6</m:t>
                                </m:r>
                              </m:oMath>
                            </m:oMathPara>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3226"/>
            </w:tblGrid>
            <w:tr w:rsidR="00906374" w:rsidRPr="00DA0872" w14:paraId="69BFBEA4" w14:textId="77777777" w:rsidTr="00672286">
              <w:trPr>
                <w:trHeight w:val="420"/>
                <w:tblCellSpacing w:w="0" w:type="dxa"/>
              </w:trPr>
              <w:tc>
                <w:tcPr>
                  <w:tcW w:w="3226" w:type="dxa"/>
                  <w:tcBorders>
                    <w:top w:val="nil"/>
                    <w:left w:val="nil"/>
                    <w:bottom w:val="nil"/>
                    <w:right w:val="nil"/>
                  </w:tcBorders>
                  <w:shd w:val="clear" w:color="auto" w:fill="auto"/>
                  <w:vAlign w:val="center"/>
                  <w:hideMark/>
                </w:tcPr>
                <w:p w14:paraId="00E4EF5F" w14:textId="77777777" w:rsidR="00906374" w:rsidRPr="00DA0872" w:rsidRDefault="00906374" w:rsidP="00672286">
                  <w:pPr>
                    <w:jc w:val="center"/>
                    <w:rPr>
                      <w:rFonts w:ascii="Calibri" w:hAnsi="Calibri"/>
                      <w:color w:val="000000"/>
                    </w:rPr>
                  </w:pPr>
                </w:p>
              </w:tc>
            </w:tr>
          </w:tbl>
          <w:p w14:paraId="7C017D15" w14:textId="77777777" w:rsidR="00906374" w:rsidRPr="00DA0872" w:rsidRDefault="00906374" w:rsidP="00672286">
            <w:pPr>
              <w:jc w:val="center"/>
              <w:rPr>
                <w:rFonts w:ascii="Calibri" w:hAnsi="Calibri"/>
                <w:color w:val="000000"/>
              </w:rPr>
            </w:pPr>
          </w:p>
        </w:tc>
        <w:tc>
          <w:tcPr>
            <w:tcW w:w="1529" w:type="dxa"/>
            <w:tcBorders>
              <w:top w:val="nil"/>
              <w:left w:val="nil"/>
              <w:bottom w:val="nil"/>
              <w:right w:val="nil"/>
            </w:tcBorders>
            <w:shd w:val="clear" w:color="auto" w:fill="auto"/>
            <w:vAlign w:val="center"/>
            <w:hideMark/>
          </w:tcPr>
          <w:p w14:paraId="60287C53" w14:textId="77777777" w:rsidR="00906374" w:rsidRPr="002E22A6" w:rsidRDefault="00906374" w:rsidP="00672286">
            <w:pPr>
              <w:jc w:val="center"/>
              <w:rPr>
                <w:rFonts w:ascii="Calibri" w:hAnsi="Calibri"/>
                <w:color w:val="000000"/>
                <w:sz w:val="20"/>
                <w:szCs w:val="20"/>
              </w:rPr>
            </w:pPr>
            <w:r w:rsidRPr="002E22A6">
              <w:rPr>
                <w:rFonts w:ascii="Calibri" w:hAnsi="Calibri"/>
                <w:color w:val="000000"/>
                <w:sz w:val="20"/>
                <w:szCs w:val="20"/>
              </w:rPr>
              <w:t xml:space="preserve">Donnell and </w:t>
            </w:r>
            <w:proofErr w:type="spellStart"/>
            <w:r w:rsidRPr="002E22A6">
              <w:rPr>
                <w:rFonts w:ascii="Calibri" w:hAnsi="Calibri"/>
                <w:color w:val="000000"/>
                <w:sz w:val="20"/>
                <w:szCs w:val="20"/>
              </w:rPr>
              <w:t>Ignizio</w:t>
            </w:r>
            <w:proofErr w:type="spellEnd"/>
            <w:r w:rsidRPr="002E22A6">
              <w:rPr>
                <w:rFonts w:ascii="Calibri" w:hAnsi="Calibri"/>
                <w:color w:val="000000"/>
                <w:sz w:val="20"/>
                <w:szCs w:val="20"/>
              </w:rPr>
              <w:t xml:space="preserve"> 2012</w:t>
            </w:r>
          </w:p>
        </w:tc>
      </w:tr>
      <w:tr w:rsidR="00906374" w:rsidRPr="00DA0872" w14:paraId="2A1C1509" w14:textId="77777777" w:rsidTr="00672286">
        <w:trPr>
          <w:trHeight w:val="1655"/>
        </w:trPr>
        <w:tc>
          <w:tcPr>
            <w:tcW w:w="1527" w:type="dxa"/>
            <w:tcBorders>
              <w:top w:val="nil"/>
              <w:left w:val="nil"/>
              <w:bottom w:val="nil"/>
              <w:right w:val="nil"/>
            </w:tcBorders>
            <w:shd w:val="clear" w:color="auto" w:fill="auto"/>
            <w:noWrap/>
            <w:vAlign w:val="center"/>
            <w:hideMark/>
          </w:tcPr>
          <w:p w14:paraId="1B1AC81F"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lastRenderedPageBreak/>
              <w:t>Bio8</w:t>
            </w:r>
          </w:p>
        </w:tc>
        <w:tc>
          <w:tcPr>
            <w:tcW w:w="5419" w:type="dxa"/>
            <w:tcBorders>
              <w:top w:val="nil"/>
              <w:left w:val="nil"/>
              <w:bottom w:val="nil"/>
              <w:right w:val="nil"/>
            </w:tcBorders>
            <w:shd w:val="clear" w:color="auto" w:fill="auto"/>
            <w:noWrap/>
            <w:vAlign w:val="center"/>
            <w:hideMark/>
          </w:tcPr>
          <w:p w14:paraId="6D7C0BAD" w14:textId="77777777" w:rsidR="00906374" w:rsidRPr="001E65D6" w:rsidRDefault="00906374" w:rsidP="00672286">
            <w:pPr>
              <w:jc w:val="center"/>
              <w:rPr>
                <w:rFonts w:ascii="Calibri" w:hAnsi="Calibri"/>
                <w:color w:val="000000"/>
                <w:sz w:val="22"/>
                <w:szCs w:val="22"/>
              </w:rPr>
            </w:pPr>
          </w:p>
          <w:tbl>
            <w:tblPr>
              <w:tblW w:w="0" w:type="auto"/>
              <w:tblCellSpacing w:w="0" w:type="dxa"/>
              <w:tblCellMar>
                <w:left w:w="0" w:type="dxa"/>
                <w:right w:w="0" w:type="dxa"/>
              </w:tblCellMar>
              <w:tblLook w:val="04A0" w:firstRow="1" w:lastRow="0" w:firstColumn="1" w:lastColumn="0" w:noHBand="0" w:noVBand="1"/>
            </w:tblPr>
            <w:tblGrid>
              <w:gridCol w:w="5710"/>
            </w:tblGrid>
            <w:tr w:rsidR="00906374" w:rsidRPr="00A47043" w14:paraId="7AE80E4D" w14:textId="77777777" w:rsidTr="00672286">
              <w:trPr>
                <w:trHeight w:val="1655"/>
                <w:tblCellSpacing w:w="0" w:type="dxa"/>
              </w:trPr>
              <w:tc>
                <w:tcPr>
                  <w:tcW w:w="5710" w:type="dxa"/>
                  <w:tcBorders>
                    <w:top w:val="nil"/>
                    <w:left w:val="nil"/>
                    <w:bottom w:val="nil"/>
                    <w:right w:val="nil"/>
                  </w:tcBorders>
                  <w:shd w:val="clear" w:color="auto" w:fill="auto"/>
                  <w:noWrap/>
                  <w:vAlign w:val="center"/>
                  <w:hideMark/>
                </w:tcPr>
                <w:p w14:paraId="4AD8D173"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Mean Temperature of the Wettest Quarter</w:t>
                  </w:r>
                </w:p>
              </w:tc>
            </w:tr>
          </w:tbl>
          <w:p w14:paraId="3379A4E6" w14:textId="77777777" w:rsidR="00906374" w:rsidRPr="001E65D6" w:rsidRDefault="00906374" w:rsidP="00672286">
            <w:pPr>
              <w:jc w:val="center"/>
              <w:rPr>
                <w:rFonts w:ascii="Calibri" w:hAnsi="Calibri"/>
                <w:color w:val="000000"/>
                <w:sz w:val="22"/>
                <w:szCs w:val="22"/>
              </w:rPr>
            </w:pPr>
          </w:p>
        </w:tc>
        <w:tc>
          <w:tcPr>
            <w:tcW w:w="5602" w:type="dxa"/>
            <w:tcBorders>
              <w:top w:val="nil"/>
              <w:left w:val="nil"/>
              <w:bottom w:val="nil"/>
              <w:right w:val="nil"/>
            </w:tcBorders>
            <w:shd w:val="clear" w:color="auto" w:fill="auto"/>
            <w:vAlign w:val="center"/>
            <w:hideMark/>
          </w:tcPr>
          <w:p w14:paraId="5CB7C805" w14:textId="77777777" w:rsidR="00906374" w:rsidRPr="00DA0872" w:rsidRDefault="00906374" w:rsidP="00672286">
            <w:pPr>
              <w:jc w:val="center"/>
              <w:rPr>
                <w:rFonts w:ascii="Calibri" w:hAnsi="Calibri"/>
                <w:color w:val="000000"/>
                <w:sz w:val="20"/>
                <w:szCs w:val="20"/>
              </w:rPr>
            </w:pPr>
            <w:r>
              <w:rPr>
                <w:rFonts w:ascii="Calibri" w:hAnsi="Calibri"/>
                <w:noProof/>
                <w:color w:val="000000"/>
                <w:lang w:eastAsia="en-GB"/>
              </w:rPr>
              <mc:AlternateContent>
                <mc:Choice Requires="wps">
                  <w:drawing>
                    <wp:anchor distT="0" distB="0" distL="114300" distR="114300" simplePos="0" relativeHeight="251689984" behindDoc="0" locked="0" layoutInCell="1" allowOverlap="1" wp14:anchorId="09A4978A" wp14:editId="0A564CA6">
                      <wp:simplePos x="0" y="0"/>
                      <wp:positionH relativeFrom="column">
                        <wp:posOffset>334645</wp:posOffset>
                      </wp:positionH>
                      <wp:positionV relativeFrom="paragraph">
                        <wp:posOffset>312420</wp:posOffset>
                      </wp:positionV>
                      <wp:extent cx="1781175" cy="45720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1781175" cy="45720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D14219D" w14:textId="77777777" w:rsidR="00906374" w:rsidRDefault="00000000" w:rsidP="00906374">
                                  <w:pPr>
                                    <w:pStyle w:val="NormalWeb"/>
                                    <w:spacing w:before="0" w:beforeAutospacing="0" w:after="0" w:afterAutospacing="0"/>
                                  </w:pPr>
                                  <m:oMathPara>
                                    <m:oMathParaPr>
                                      <m:jc m:val="centerGroup"/>
                                    </m:oMathParaPr>
                                    <m:oMath>
                                      <m:f>
                                        <m:fPr>
                                          <m:ctrlPr>
                                            <w:rPr>
                                              <w:rFonts w:ascii="Cambria Math" w:hAnsi="Cambria Math" w:cstheme="minorBidi"/>
                                              <w:i/>
                                              <w:iCs/>
                                              <w:color w:val="000000" w:themeColor="text1"/>
                                              <w:sz w:val="22"/>
                                              <w:szCs w:val="22"/>
                                            </w:rPr>
                                          </m:ctrlPr>
                                        </m:fPr>
                                        <m:num>
                                          <m:nary>
                                            <m:naryPr>
                                              <m:chr m:val="∑"/>
                                              <m:ctrlPr>
                                                <w:rPr>
                                                  <w:rFonts w:ascii="Cambria Math" w:hAnsi="Cambria Math" w:cstheme="minorBidi"/>
                                                  <w:i/>
                                                  <w:iCs/>
                                                  <w:color w:val="000000" w:themeColor="text1"/>
                                                  <w:sz w:val="22"/>
                                                  <w:szCs w:val="22"/>
                                                </w:rPr>
                                              </m:ctrlPr>
                                            </m:naryPr>
                                            <m:sub>
                                              <m:r>
                                                <w:rPr>
                                                  <w:rFonts w:ascii="Cambria Math" w:hAnsi="Cambria Math" w:cstheme="minorBidi"/>
                                                  <w:color w:val="000000" w:themeColor="text1"/>
                                                  <w:sz w:val="22"/>
                                                  <w:szCs w:val="22"/>
                                                  <w:lang w:val="en-US"/>
                                                </w:rPr>
                                                <m:t>1</m:t>
                                              </m:r>
                                            </m:sub>
                                            <m:sup>
                                              <m:r>
                                                <w:rPr>
                                                  <w:rFonts w:ascii="Cambria Math" w:hAnsi="Cambria Math" w:cstheme="minorBidi"/>
                                                  <w:color w:val="000000" w:themeColor="text1"/>
                                                  <w:sz w:val="22"/>
                                                  <w:szCs w:val="22"/>
                                                  <w:lang w:val="en-US"/>
                                                </w:rPr>
                                                <m:t>3</m:t>
                                              </m:r>
                                            </m:sup>
                                            <m:e>
                                              <m:r>
                                                <w:rPr>
                                                  <w:rFonts w:ascii="Cambria Math" w:hAnsi="Cambria Math" w:cstheme="minorBidi"/>
                                                  <w:color w:val="000000" w:themeColor="text1"/>
                                                  <w:sz w:val="22"/>
                                                  <w:szCs w:val="22"/>
                                                  <w:lang w:val="en-US"/>
                                                </w:rPr>
                                                <m:t>Tas</m:t>
                                              </m:r>
                                            </m:e>
                                          </m:nary>
                                        </m:num>
                                        <m:den>
                                          <m:r>
                                            <w:rPr>
                                              <w:rFonts w:ascii="Cambria Math" w:hAnsi="Cambria Math" w:cstheme="minorBidi"/>
                                              <w:color w:val="000000" w:themeColor="text1"/>
                                              <w:sz w:val="22"/>
                                              <w:szCs w:val="22"/>
                                              <w:lang w:val="en-US"/>
                                            </w:rPr>
                                            <m:t>3</m:t>
                                          </m:r>
                                        </m:den>
                                      </m:f>
                                    </m:oMath>
                                  </m:oMathPara>
                                </w:p>
                              </w:txbxContent>
                            </wps:txbx>
                            <wps:bodyPr vertOverflow="clip" horzOverflow="clip" wrap="square" rtlCol="0" anchor="t">
                              <a:spAutoFit/>
                            </wps:bodyPr>
                          </wps:wsp>
                        </a:graphicData>
                      </a:graphic>
                      <wp14:sizeRelH relativeFrom="page">
                        <wp14:pctWidth>0</wp14:pctWidth>
                      </wp14:sizeRelH>
                      <wp14:sizeRelV relativeFrom="page">
                        <wp14:pctHeight>0</wp14:pctHeight>
                      </wp14:sizeRelV>
                    </wp:anchor>
                  </w:drawing>
                </mc:Choice>
                <mc:Fallback>
                  <w:pict>
                    <v:shape w14:anchorId="09A4978A" id="Text Box 38" o:spid="_x0000_s1059" type="#_x0000_t202" style="position:absolute;left:0;text-align:left;margin-left:26.35pt;margin-top:24.6pt;width:140.25pt;height:3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" filled="f" stroked="f">
                      <v:textbox style="mso-fit-shape-to-text:t">
                        <w:txbxContent>
                          <w:p w14:paraId="5D14219D" w14:textId="77777777" w:rsidR="00906374" w:rsidRDefault="00000000" w:rsidP="00906374">
                            <w:pPr>
                              <w:pStyle w:val="NormalWeb"/>
                              <w:spacing w:before="0" w:beforeAutospacing="0" w:after="0" w:afterAutospacing="0"/>
                            </w:pPr>
                            <m:oMathPara>
                              <m:oMathParaPr>
                                <m:jc m:val="centerGroup"/>
                              </m:oMathParaPr>
                              <m:oMath>
                                <m:f>
                                  <m:fPr>
                                    <m:ctrlPr>
                                      <w:rPr>
                                        <w:rFonts w:ascii="Cambria Math" w:hAnsi="Cambria Math" w:cstheme="minorBidi"/>
                                        <w:i/>
                                        <w:iCs/>
                                        <w:color w:val="000000" w:themeColor="text1"/>
                                        <w:sz w:val="22"/>
                                        <w:szCs w:val="22"/>
                                      </w:rPr>
                                    </m:ctrlPr>
                                  </m:fPr>
                                  <m:num>
                                    <m:nary>
                                      <m:naryPr>
                                        <m:chr m:val="∑"/>
                                        <m:ctrlPr>
                                          <w:rPr>
                                            <w:rFonts w:ascii="Cambria Math" w:hAnsi="Cambria Math" w:cstheme="minorBidi"/>
                                            <w:i/>
                                            <w:iCs/>
                                            <w:color w:val="000000" w:themeColor="text1"/>
                                            <w:sz w:val="22"/>
                                            <w:szCs w:val="22"/>
                                          </w:rPr>
                                        </m:ctrlPr>
                                      </m:naryPr>
                                      <m:sub>
                                        <m:r>
                                          <w:rPr>
                                            <w:rFonts w:ascii="Cambria Math" w:hAnsi="Cambria Math" w:cstheme="minorBidi"/>
                                            <w:color w:val="000000" w:themeColor="text1"/>
                                            <w:sz w:val="22"/>
                                            <w:szCs w:val="22"/>
                                            <w:lang w:val="en-US"/>
                                          </w:rPr>
                                          <m:t>1</m:t>
                                        </m:r>
                                      </m:sub>
                                      <m:sup>
                                        <m:r>
                                          <w:rPr>
                                            <w:rFonts w:ascii="Cambria Math" w:hAnsi="Cambria Math" w:cstheme="minorBidi"/>
                                            <w:color w:val="000000" w:themeColor="text1"/>
                                            <w:sz w:val="22"/>
                                            <w:szCs w:val="22"/>
                                            <w:lang w:val="en-US"/>
                                          </w:rPr>
                                          <m:t>3</m:t>
                                        </m:r>
                                      </m:sup>
                                      <m:e>
                                        <m:r>
                                          <w:rPr>
                                            <w:rFonts w:ascii="Cambria Math" w:hAnsi="Cambria Math" w:cstheme="minorBidi"/>
                                            <w:color w:val="000000" w:themeColor="text1"/>
                                            <w:sz w:val="22"/>
                                            <w:szCs w:val="22"/>
                                            <w:lang w:val="en-US"/>
                                          </w:rPr>
                                          <m:t>Tas</m:t>
                                        </m:r>
                                      </m:e>
                                    </m:nary>
                                  </m:num>
                                  <m:den>
                                    <m:r>
                                      <w:rPr>
                                        <w:rFonts w:ascii="Cambria Math" w:hAnsi="Cambria Math" w:cstheme="minorBidi"/>
                                        <w:color w:val="000000" w:themeColor="text1"/>
                                        <w:sz w:val="22"/>
                                        <w:szCs w:val="22"/>
                                        <w:lang w:val="en-US"/>
                                      </w:rPr>
                                      <m:t>3</m:t>
                                    </m:r>
                                  </m:den>
                                </m:f>
                              </m:oMath>
                            </m:oMathPara>
                          </w:p>
                        </w:txbxContent>
                      </v:textbox>
                    </v:shape>
                  </w:pict>
                </mc:Fallback>
              </mc:AlternateContent>
            </w:r>
            <w:r w:rsidRPr="00DA0872">
              <w:rPr>
                <w:rFonts w:ascii="Calibri" w:hAnsi="Calibri"/>
                <w:color w:val="000000"/>
                <w:sz w:val="20"/>
                <w:szCs w:val="20"/>
              </w:rPr>
              <w:t xml:space="preserve">The maximum of 12 consecutive quarters' precipitation </w:t>
            </w:r>
            <w:proofErr w:type="gramStart"/>
            <w:r w:rsidRPr="00DA0872">
              <w:rPr>
                <w:rFonts w:ascii="Calibri" w:hAnsi="Calibri"/>
                <w:color w:val="000000"/>
                <w:sz w:val="20"/>
                <w:szCs w:val="20"/>
              </w:rPr>
              <w:t>are</w:t>
            </w:r>
            <w:proofErr w:type="gramEnd"/>
            <w:r w:rsidRPr="00DA0872">
              <w:rPr>
                <w:rFonts w:ascii="Calibri" w:hAnsi="Calibri"/>
                <w:color w:val="000000"/>
                <w:sz w:val="20"/>
                <w:szCs w:val="20"/>
              </w:rPr>
              <w:t xml:space="preserve"> first calculated then:</w:t>
            </w:r>
          </w:p>
        </w:tc>
        <w:tc>
          <w:tcPr>
            <w:tcW w:w="1529" w:type="dxa"/>
            <w:tcBorders>
              <w:top w:val="nil"/>
              <w:left w:val="nil"/>
              <w:bottom w:val="nil"/>
              <w:right w:val="nil"/>
            </w:tcBorders>
            <w:shd w:val="clear" w:color="auto" w:fill="auto"/>
            <w:vAlign w:val="center"/>
            <w:hideMark/>
          </w:tcPr>
          <w:p w14:paraId="11815810" w14:textId="77777777" w:rsidR="00906374" w:rsidRPr="002E22A6" w:rsidRDefault="00906374" w:rsidP="00672286">
            <w:pPr>
              <w:jc w:val="center"/>
              <w:rPr>
                <w:rFonts w:ascii="Calibri" w:hAnsi="Calibri"/>
                <w:color w:val="000000"/>
                <w:sz w:val="20"/>
                <w:szCs w:val="20"/>
              </w:rPr>
            </w:pPr>
            <w:r w:rsidRPr="002E22A6">
              <w:rPr>
                <w:rFonts w:ascii="Calibri" w:hAnsi="Calibri"/>
                <w:color w:val="000000"/>
                <w:sz w:val="20"/>
                <w:szCs w:val="20"/>
              </w:rPr>
              <w:t xml:space="preserve">Donnell and </w:t>
            </w:r>
            <w:proofErr w:type="spellStart"/>
            <w:r w:rsidRPr="002E22A6">
              <w:rPr>
                <w:rFonts w:ascii="Calibri" w:hAnsi="Calibri"/>
                <w:color w:val="000000"/>
                <w:sz w:val="20"/>
                <w:szCs w:val="20"/>
              </w:rPr>
              <w:t>Ignizio</w:t>
            </w:r>
            <w:proofErr w:type="spellEnd"/>
            <w:r w:rsidRPr="002E22A6">
              <w:rPr>
                <w:rFonts w:ascii="Calibri" w:hAnsi="Calibri"/>
                <w:color w:val="000000"/>
                <w:sz w:val="20"/>
                <w:szCs w:val="20"/>
              </w:rPr>
              <w:t xml:space="preserve"> 2012</w:t>
            </w:r>
          </w:p>
        </w:tc>
      </w:tr>
      <w:tr w:rsidR="00906374" w:rsidRPr="00DA0872" w14:paraId="244F6B73" w14:textId="77777777" w:rsidTr="00672286">
        <w:trPr>
          <w:trHeight w:val="1655"/>
        </w:trPr>
        <w:tc>
          <w:tcPr>
            <w:tcW w:w="1527" w:type="dxa"/>
            <w:tcBorders>
              <w:top w:val="nil"/>
              <w:left w:val="nil"/>
              <w:bottom w:val="nil"/>
              <w:right w:val="nil"/>
            </w:tcBorders>
            <w:shd w:val="clear" w:color="auto" w:fill="auto"/>
            <w:noWrap/>
            <w:vAlign w:val="center"/>
            <w:hideMark/>
          </w:tcPr>
          <w:p w14:paraId="125FCF17"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Bio9</w:t>
            </w:r>
          </w:p>
        </w:tc>
        <w:tc>
          <w:tcPr>
            <w:tcW w:w="5419" w:type="dxa"/>
            <w:tcBorders>
              <w:top w:val="nil"/>
              <w:left w:val="nil"/>
              <w:bottom w:val="nil"/>
              <w:right w:val="nil"/>
            </w:tcBorders>
            <w:shd w:val="clear" w:color="auto" w:fill="auto"/>
            <w:noWrap/>
            <w:vAlign w:val="center"/>
            <w:hideMark/>
          </w:tcPr>
          <w:p w14:paraId="00987083"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Mean Temperature of the Driest Quarter</w:t>
            </w:r>
          </w:p>
        </w:tc>
        <w:tc>
          <w:tcPr>
            <w:tcW w:w="5602" w:type="dxa"/>
            <w:tcBorders>
              <w:top w:val="nil"/>
              <w:left w:val="nil"/>
              <w:bottom w:val="nil"/>
              <w:right w:val="nil"/>
            </w:tcBorders>
            <w:shd w:val="clear" w:color="auto" w:fill="auto"/>
            <w:vAlign w:val="center"/>
            <w:hideMark/>
          </w:tcPr>
          <w:p w14:paraId="73210C2E" w14:textId="77777777" w:rsidR="00906374" w:rsidRPr="00DA0872" w:rsidRDefault="00906374" w:rsidP="00672286">
            <w:pPr>
              <w:jc w:val="center"/>
              <w:rPr>
                <w:rFonts w:ascii="Calibri" w:hAnsi="Calibri"/>
                <w:color w:val="000000"/>
                <w:sz w:val="20"/>
                <w:szCs w:val="20"/>
              </w:rPr>
            </w:pPr>
            <w:r>
              <w:rPr>
                <w:rFonts w:ascii="Calibri" w:hAnsi="Calibri"/>
                <w:noProof/>
                <w:color w:val="000000"/>
                <w:lang w:eastAsia="en-GB"/>
              </w:rPr>
              <mc:AlternateContent>
                <mc:Choice Requires="wps">
                  <w:drawing>
                    <wp:anchor distT="0" distB="0" distL="114300" distR="114300" simplePos="0" relativeHeight="251692032" behindDoc="0" locked="0" layoutInCell="1" allowOverlap="1" wp14:anchorId="2BC722AB" wp14:editId="1189D3F7">
                      <wp:simplePos x="0" y="0"/>
                      <wp:positionH relativeFrom="column">
                        <wp:posOffset>333375</wp:posOffset>
                      </wp:positionH>
                      <wp:positionV relativeFrom="paragraph">
                        <wp:posOffset>318770</wp:posOffset>
                      </wp:positionV>
                      <wp:extent cx="1781175" cy="45720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1781175" cy="45720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24278D5" w14:textId="77777777" w:rsidR="00906374" w:rsidRDefault="00000000" w:rsidP="00906374">
                                  <w:pPr>
                                    <w:pStyle w:val="NormalWeb"/>
                                    <w:spacing w:before="0" w:beforeAutospacing="0" w:after="0" w:afterAutospacing="0"/>
                                  </w:pPr>
                                  <m:oMathPara>
                                    <m:oMathParaPr>
                                      <m:jc m:val="centerGroup"/>
                                    </m:oMathParaPr>
                                    <m:oMath>
                                      <m:f>
                                        <m:fPr>
                                          <m:ctrlPr>
                                            <w:rPr>
                                              <w:rFonts w:ascii="Cambria Math" w:hAnsi="Cambria Math" w:cstheme="minorBidi"/>
                                              <w:i/>
                                              <w:iCs/>
                                              <w:color w:val="000000" w:themeColor="text1"/>
                                              <w:sz w:val="22"/>
                                              <w:szCs w:val="22"/>
                                            </w:rPr>
                                          </m:ctrlPr>
                                        </m:fPr>
                                        <m:num>
                                          <m:nary>
                                            <m:naryPr>
                                              <m:chr m:val="∑"/>
                                              <m:ctrlPr>
                                                <w:rPr>
                                                  <w:rFonts w:ascii="Cambria Math" w:hAnsi="Cambria Math" w:cstheme="minorBidi"/>
                                                  <w:i/>
                                                  <w:iCs/>
                                                  <w:color w:val="000000" w:themeColor="text1"/>
                                                  <w:sz w:val="22"/>
                                                  <w:szCs w:val="22"/>
                                                </w:rPr>
                                              </m:ctrlPr>
                                            </m:naryPr>
                                            <m:sub>
                                              <m:r>
                                                <w:rPr>
                                                  <w:rFonts w:ascii="Cambria Math" w:hAnsi="Cambria Math" w:cstheme="minorBidi"/>
                                                  <w:color w:val="000000" w:themeColor="text1"/>
                                                  <w:sz w:val="22"/>
                                                  <w:szCs w:val="22"/>
                                                  <w:lang w:val="en-US"/>
                                                </w:rPr>
                                                <m:t>1</m:t>
                                              </m:r>
                                            </m:sub>
                                            <m:sup>
                                              <m:r>
                                                <w:rPr>
                                                  <w:rFonts w:ascii="Cambria Math" w:hAnsi="Cambria Math" w:cstheme="minorBidi"/>
                                                  <w:color w:val="000000" w:themeColor="text1"/>
                                                  <w:sz w:val="22"/>
                                                  <w:szCs w:val="22"/>
                                                  <w:lang w:val="en-US"/>
                                                </w:rPr>
                                                <m:t>3</m:t>
                                              </m:r>
                                            </m:sup>
                                            <m:e>
                                              <m:r>
                                                <w:rPr>
                                                  <w:rFonts w:ascii="Cambria Math" w:hAnsi="Cambria Math" w:cstheme="minorBidi"/>
                                                  <w:color w:val="000000" w:themeColor="text1"/>
                                                  <w:sz w:val="22"/>
                                                  <w:szCs w:val="22"/>
                                                  <w:lang w:val="en-US"/>
                                                </w:rPr>
                                                <m:t>Tas</m:t>
                                              </m:r>
                                            </m:e>
                                          </m:nary>
                                        </m:num>
                                        <m:den>
                                          <m:r>
                                            <w:rPr>
                                              <w:rFonts w:ascii="Cambria Math" w:hAnsi="Cambria Math" w:cstheme="minorBidi"/>
                                              <w:color w:val="000000" w:themeColor="text1"/>
                                              <w:sz w:val="22"/>
                                              <w:szCs w:val="22"/>
                                              <w:lang w:val="en-US"/>
                                            </w:rPr>
                                            <m:t>3</m:t>
                                          </m:r>
                                        </m:den>
                                      </m:f>
                                    </m:oMath>
                                  </m:oMathPara>
                                </w:p>
                              </w:txbxContent>
                            </wps:txbx>
                            <wps:bodyPr vertOverflow="clip" horzOverflow="clip" wrap="square" rtlCol="0" anchor="t">
                              <a:spAutoFit/>
                            </wps:bodyPr>
                          </wps:wsp>
                        </a:graphicData>
                      </a:graphic>
                      <wp14:sizeRelH relativeFrom="page">
                        <wp14:pctWidth>0</wp14:pctWidth>
                      </wp14:sizeRelH>
                      <wp14:sizeRelV relativeFrom="page">
                        <wp14:pctHeight>0</wp14:pctHeight>
                      </wp14:sizeRelV>
                    </wp:anchor>
                  </w:drawing>
                </mc:Choice>
                <mc:Fallback>
                  <w:pict>
                    <v:shape w14:anchorId="2BC722AB" id="Text Box 39" o:spid="_x0000_s1060" type="#_x0000_t202" style="position:absolute;left:0;text-align:left;margin-left:26.25pt;margin-top:25.1pt;width:140.25pt;height:3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" filled="f" stroked="f">
                      <v:textbox style="mso-fit-shape-to-text:t">
                        <w:txbxContent>
                          <w:p w14:paraId="724278D5" w14:textId="77777777" w:rsidR="00906374" w:rsidRDefault="00000000" w:rsidP="00906374">
                            <w:pPr>
                              <w:pStyle w:val="NormalWeb"/>
                              <w:spacing w:before="0" w:beforeAutospacing="0" w:after="0" w:afterAutospacing="0"/>
                            </w:pPr>
                            <m:oMathPara>
                              <m:oMathParaPr>
                                <m:jc m:val="centerGroup"/>
                              </m:oMathParaPr>
                              <m:oMath>
                                <m:f>
                                  <m:fPr>
                                    <m:ctrlPr>
                                      <w:rPr>
                                        <w:rFonts w:ascii="Cambria Math" w:hAnsi="Cambria Math" w:cstheme="minorBidi"/>
                                        <w:i/>
                                        <w:iCs/>
                                        <w:color w:val="000000" w:themeColor="text1"/>
                                        <w:sz w:val="22"/>
                                        <w:szCs w:val="22"/>
                                      </w:rPr>
                                    </m:ctrlPr>
                                  </m:fPr>
                                  <m:num>
                                    <m:nary>
                                      <m:naryPr>
                                        <m:chr m:val="∑"/>
                                        <m:ctrlPr>
                                          <w:rPr>
                                            <w:rFonts w:ascii="Cambria Math" w:hAnsi="Cambria Math" w:cstheme="minorBidi"/>
                                            <w:i/>
                                            <w:iCs/>
                                            <w:color w:val="000000" w:themeColor="text1"/>
                                            <w:sz w:val="22"/>
                                            <w:szCs w:val="22"/>
                                          </w:rPr>
                                        </m:ctrlPr>
                                      </m:naryPr>
                                      <m:sub>
                                        <m:r>
                                          <w:rPr>
                                            <w:rFonts w:ascii="Cambria Math" w:hAnsi="Cambria Math" w:cstheme="minorBidi"/>
                                            <w:color w:val="000000" w:themeColor="text1"/>
                                            <w:sz w:val="22"/>
                                            <w:szCs w:val="22"/>
                                            <w:lang w:val="en-US"/>
                                          </w:rPr>
                                          <m:t>1</m:t>
                                        </m:r>
                                      </m:sub>
                                      <m:sup>
                                        <m:r>
                                          <w:rPr>
                                            <w:rFonts w:ascii="Cambria Math" w:hAnsi="Cambria Math" w:cstheme="minorBidi"/>
                                            <w:color w:val="000000" w:themeColor="text1"/>
                                            <w:sz w:val="22"/>
                                            <w:szCs w:val="22"/>
                                            <w:lang w:val="en-US"/>
                                          </w:rPr>
                                          <m:t>3</m:t>
                                        </m:r>
                                      </m:sup>
                                      <m:e>
                                        <m:r>
                                          <w:rPr>
                                            <w:rFonts w:ascii="Cambria Math" w:hAnsi="Cambria Math" w:cstheme="minorBidi"/>
                                            <w:color w:val="000000" w:themeColor="text1"/>
                                            <w:sz w:val="22"/>
                                            <w:szCs w:val="22"/>
                                            <w:lang w:val="en-US"/>
                                          </w:rPr>
                                          <m:t>Tas</m:t>
                                        </m:r>
                                      </m:e>
                                    </m:nary>
                                  </m:num>
                                  <m:den>
                                    <m:r>
                                      <w:rPr>
                                        <w:rFonts w:ascii="Cambria Math" w:hAnsi="Cambria Math" w:cstheme="minorBidi"/>
                                        <w:color w:val="000000" w:themeColor="text1"/>
                                        <w:sz w:val="22"/>
                                        <w:szCs w:val="22"/>
                                        <w:lang w:val="en-US"/>
                                      </w:rPr>
                                      <m:t>3</m:t>
                                    </m:r>
                                  </m:den>
                                </m:f>
                              </m:oMath>
                            </m:oMathPara>
                          </w:p>
                        </w:txbxContent>
                      </v:textbox>
                    </v:shape>
                  </w:pict>
                </mc:Fallback>
              </mc:AlternateContent>
            </w:r>
            <w:r w:rsidRPr="00DA0872">
              <w:rPr>
                <w:rFonts w:ascii="Calibri" w:hAnsi="Calibri"/>
                <w:color w:val="000000"/>
                <w:sz w:val="20"/>
                <w:szCs w:val="20"/>
              </w:rPr>
              <w:t xml:space="preserve">The minimum of 12 consecutive quarters' precipitation </w:t>
            </w:r>
            <w:proofErr w:type="gramStart"/>
            <w:r w:rsidRPr="00DA0872">
              <w:rPr>
                <w:rFonts w:ascii="Calibri" w:hAnsi="Calibri"/>
                <w:color w:val="000000"/>
                <w:sz w:val="20"/>
                <w:szCs w:val="20"/>
              </w:rPr>
              <w:t>are</w:t>
            </w:r>
            <w:proofErr w:type="gramEnd"/>
            <w:r w:rsidRPr="00DA0872">
              <w:rPr>
                <w:rFonts w:ascii="Calibri" w:hAnsi="Calibri"/>
                <w:color w:val="000000"/>
                <w:sz w:val="20"/>
                <w:szCs w:val="20"/>
              </w:rPr>
              <w:t xml:space="preserve"> first calculated then:</w:t>
            </w:r>
          </w:p>
        </w:tc>
        <w:tc>
          <w:tcPr>
            <w:tcW w:w="1529" w:type="dxa"/>
            <w:tcBorders>
              <w:top w:val="nil"/>
              <w:left w:val="nil"/>
              <w:bottom w:val="nil"/>
              <w:right w:val="nil"/>
            </w:tcBorders>
            <w:shd w:val="clear" w:color="auto" w:fill="auto"/>
            <w:vAlign w:val="center"/>
            <w:hideMark/>
          </w:tcPr>
          <w:p w14:paraId="55DD4290" w14:textId="77777777" w:rsidR="00906374" w:rsidRPr="002E22A6" w:rsidRDefault="00906374" w:rsidP="00672286">
            <w:pPr>
              <w:jc w:val="center"/>
              <w:rPr>
                <w:rFonts w:ascii="Calibri" w:hAnsi="Calibri"/>
                <w:color w:val="000000"/>
                <w:sz w:val="20"/>
                <w:szCs w:val="20"/>
              </w:rPr>
            </w:pPr>
            <w:r w:rsidRPr="002E22A6">
              <w:rPr>
                <w:rFonts w:ascii="Calibri" w:hAnsi="Calibri"/>
                <w:color w:val="000000"/>
                <w:sz w:val="20"/>
                <w:szCs w:val="20"/>
              </w:rPr>
              <w:t xml:space="preserve">Donnell and </w:t>
            </w:r>
            <w:proofErr w:type="spellStart"/>
            <w:r w:rsidRPr="002E22A6">
              <w:rPr>
                <w:rFonts w:ascii="Calibri" w:hAnsi="Calibri"/>
                <w:color w:val="000000"/>
                <w:sz w:val="20"/>
                <w:szCs w:val="20"/>
              </w:rPr>
              <w:t>Ignizio</w:t>
            </w:r>
            <w:proofErr w:type="spellEnd"/>
            <w:r w:rsidRPr="002E22A6">
              <w:rPr>
                <w:rFonts w:ascii="Calibri" w:hAnsi="Calibri"/>
                <w:color w:val="000000"/>
                <w:sz w:val="20"/>
                <w:szCs w:val="20"/>
              </w:rPr>
              <w:t xml:space="preserve"> 2012</w:t>
            </w:r>
          </w:p>
        </w:tc>
      </w:tr>
      <w:tr w:rsidR="00906374" w:rsidRPr="00DA0872" w14:paraId="6E7184FE" w14:textId="77777777" w:rsidTr="00672286">
        <w:trPr>
          <w:trHeight w:val="1640"/>
        </w:trPr>
        <w:tc>
          <w:tcPr>
            <w:tcW w:w="1527" w:type="dxa"/>
            <w:tcBorders>
              <w:top w:val="nil"/>
              <w:left w:val="nil"/>
              <w:bottom w:val="nil"/>
              <w:right w:val="nil"/>
            </w:tcBorders>
            <w:shd w:val="clear" w:color="auto" w:fill="auto"/>
            <w:noWrap/>
            <w:vAlign w:val="center"/>
            <w:hideMark/>
          </w:tcPr>
          <w:p w14:paraId="15D9EC27"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Bio10</w:t>
            </w:r>
          </w:p>
        </w:tc>
        <w:tc>
          <w:tcPr>
            <w:tcW w:w="5419" w:type="dxa"/>
            <w:tcBorders>
              <w:top w:val="nil"/>
              <w:left w:val="nil"/>
              <w:bottom w:val="nil"/>
              <w:right w:val="nil"/>
            </w:tcBorders>
            <w:shd w:val="clear" w:color="auto" w:fill="auto"/>
            <w:noWrap/>
            <w:vAlign w:val="center"/>
            <w:hideMark/>
          </w:tcPr>
          <w:p w14:paraId="644551AF"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Mean Temperature of the Warmest Quarter</w:t>
            </w:r>
          </w:p>
        </w:tc>
        <w:tc>
          <w:tcPr>
            <w:tcW w:w="5602" w:type="dxa"/>
            <w:tcBorders>
              <w:top w:val="nil"/>
              <w:left w:val="nil"/>
              <w:bottom w:val="nil"/>
              <w:right w:val="nil"/>
            </w:tcBorders>
            <w:shd w:val="clear" w:color="auto" w:fill="auto"/>
            <w:vAlign w:val="center"/>
            <w:hideMark/>
          </w:tcPr>
          <w:p w14:paraId="525B8548" w14:textId="77777777" w:rsidR="00906374" w:rsidRPr="00DA0872" w:rsidRDefault="00906374" w:rsidP="00672286">
            <w:pPr>
              <w:jc w:val="center"/>
              <w:rPr>
                <w:rFonts w:ascii="Calibri" w:hAnsi="Calibri"/>
                <w:color w:val="000000"/>
                <w:sz w:val="20"/>
                <w:szCs w:val="20"/>
              </w:rPr>
            </w:pPr>
            <w:r>
              <w:rPr>
                <w:rFonts w:ascii="Calibri" w:hAnsi="Calibri"/>
                <w:noProof/>
                <w:color w:val="000000"/>
                <w:lang w:eastAsia="en-GB"/>
              </w:rPr>
              <mc:AlternateContent>
                <mc:Choice Requires="wps">
                  <w:drawing>
                    <wp:anchor distT="0" distB="0" distL="114300" distR="114300" simplePos="0" relativeHeight="251693056" behindDoc="0" locked="0" layoutInCell="1" allowOverlap="1" wp14:anchorId="6F955609" wp14:editId="4F129706">
                      <wp:simplePos x="0" y="0"/>
                      <wp:positionH relativeFrom="column">
                        <wp:posOffset>334645</wp:posOffset>
                      </wp:positionH>
                      <wp:positionV relativeFrom="paragraph">
                        <wp:posOffset>294005</wp:posOffset>
                      </wp:positionV>
                      <wp:extent cx="1781175" cy="457200"/>
                      <wp:effectExtent l="0" t="0" r="0" b="0"/>
                      <wp:wrapNone/>
                      <wp:docPr id="40" name="Text Box 40"/>
                      <wp:cNvGraphicFramePr/>
                      <a:graphic xmlns:a="http://schemas.openxmlformats.org/drawingml/2006/main">
                        <a:graphicData uri="http://schemas.microsoft.com/office/word/2010/wordprocessingShape">
                          <wps:wsp>
                            <wps:cNvSpPr txBox="1"/>
                            <wps:spPr>
                              <a:xfrm>
                                <a:off x="0" y="0"/>
                                <a:ext cx="1781175" cy="45720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2F42158" w14:textId="77777777" w:rsidR="00906374" w:rsidRDefault="00000000" w:rsidP="00906374">
                                  <w:pPr>
                                    <w:pStyle w:val="NormalWeb"/>
                                    <w:spacing w:before="0" w:beforeAutospacing="0" w:after="0" w:afterAutospacing="0"/>
                                  </w:pPr>
                                  <m:oMathPara>
                                    <m:oMathParaPr>
                                      <m:jc m:val="centerGroup"/>
                                    </m:oMathParaPr>
                                    <m:oMath>
                                      <m:f>
                                        <m:fPr>
                                          <m:ctrlPr>
                                            <w:rPr>
                                              <w:rFonts w:ascii="Cambria Math" w:hAnsi="Cambria Math" w:cstheme="minorBidi"/>
                                              <w:i/>
                                              <w:iCs/>
                                              <w:color w:val="000000" w:themeColor="text1"/>
                                              <w:sz w:val="22"/>
                                              <w:szCs w:val="22"/>
                                            </w:rPr>
                                          </m:ctrlPr>
                                        </m:fPr>
                                        <m:num>
                                          <m:nary>
                                            <m:naryPr>
                                              <m:chr m:val="∑"/>
                                              <m:ctrlPr>
                                                <w:rPr>
                                                  <w:rFonts w:ascii="Cambria Math" w:hAnsi="Cambria Math" w:cstheme="minorBidi"/>
                                                  <w:i/>
                                                  <w:iCs/>
                                                  <w:color w:val="000000" w:themeColor="text1"/>
                                                  <w:sz w:val="22"/>
                                                  <w:szCs w:val="22"/>
                                                </w:rPr>
                                              </m:ctrlPr>
                                            </m:naryPr>
                                            <m:sub>
                                              <m:r>
                                                <w:rPr>
                                                  <w:rFonts w:ascii="Cambria Math" w:hAnsi="Cambria Math" w:cstheme="minorBidi"/>
                                                  <w:color w:val="000000" w:themeColor="text1"/>
                                                  <w:sz w:val="22"/>
                                                  <w:szCs w:val="22"/>
                                                  <w:lang w:val="en-US"/>
                                                </w:rPr>
                                                <m:t>1</m:t>
                                              </m:r>
                                            </m:sub>
                                            <m:sup>
                                              <m:r>
                                                <w:rPr>
                                                  <w:rFonts w:ascii="Cambria Math" w:hAnsi="Cambria Math" w:cstheme="minorBidi"/>
                                                  <w:color w:val="000000" w:themeColor="text1"/>
                                                  <w:sz w:val="22"/>
                                                  <w:szCs w:val="22"/>
                                                  <w:lang w:val="en-US"/>
                                                </w:rPr>
                                                <m:t>3</m:t>
                                              </m:r>
                                            </m:sup>
                                            <m:e>
                                              <m:r>
                                                <w:rPr>
                                                  <w:rFonts w:ascii="Cambria Math" w:hAnsi="Cambria Math" w:cstheme="minorBidi"/>
                                                  <w:color w:val="000000" w:themeColor="text1"/>
                                                  <w:sz w:val="22"/>
                                                  <w:szCs w:val="22"/>
                                                  <w:lang w:val="en-US"/>
                                                </w:rPr>
                                                <m:t>Tas</m:t>
                                              </m:r>
                                            </m:e>
                                          </m:nary>
                                        </m:num>
                                        <m:den>
                                          <m:r>
                                            <w:rPr>
                                              <w:rFonts w:ascii="Cambria Math" w:hAnsi="Cambria Math" w:cstheme="minorBidi"/>
                                              <w:color w:val="000000" w:themeColor="text1"/>
                                              <w:sz w:val="22"/>
                                              <w:szCs w:val="22"/>
                                              <w:lang w:val="en-US"/>
                                            </w:rPr>
                                            <m:t>3</m:t>
                                          </m:r>
                                        </m:den>
                                      </m:f>
                                    </m:oMath>
                                  </m:oMathPara>
                                </w:p>
                              </w:txbxContent>
                            </wps:txbx>
                            <wps:bodyPr vertOverflow="clip" horzOverflow="clip" wrap="square" rtlCol="0" anchor="t">
                              <a:spAutoFit/>
                            </wps:bodyPr>
                          </wps:wsp>
                        </a:graphicData>
                      </a:graphic>
                      <wp14:sizeRelH relativeFrom="page">
                        <wp14:pctWidth>0</wp14:pctWidth>
                      </wp14:sizeRelH>
                      <wp14:sizeRelV relativeFrom="page">
                        <wp14:pctHeight>0</wp14:pctHeight>
                      </wp14:sizeRelV>
                    </wp:anchor>
                  </w:drawing>
                </mc:Choice>
                <mc:Fallback>
                  <w:pict>
                    <v:shape w14:anchorId="6F955609" id="Text Box 40" o:spid="_x0000_s1061" type="#_x0000_t202" style="position:absolute;left:0;text-align:left;margin-left:26.35pt;margin-top:23.15pt;width:140.25pt;height:3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" filled="f" stroked="f">
                      <v:textbox style="mso-fit-shape-to-text:t">
                        <w:txbxContent>
                          <w:p w14:paraId="72F42158" w14:textId="77777777" w:rsidR="00906374" w:rsidRDefault="00000000" w:rsidP="00906374">
                            <w:pPr>
                              <w:pStyle w:val="NormalWeb"/>
                              <w:spacing w:before="0" w:beforeAutospacing="0" w:after="0" w:afterAutospacing="0"/>
                            </w:pPr>
                            <m:oMathPara>
                              <m:oMathParaPr>
                                <m:jc m:val="centerGroup"/>
                              </m:oMathParaPr>
                              <m:oMath>
                                <m:f>
                                  <m:fPr>
                                    <m:ctrlPr>
                                      <w:rPr>
                                        <w:rFonts w:ascii="Cambria Math" w:hAnsi="Cambria Math" w:cstheme="minorBidi"/>
                                        <w:i/>
                                        <w:iCs/>
                                        <w:color w:val="000000" w:themeColor="text1"/>
                                        <w:sz w:val="22"/>
                                        <w:szCs w:val="22"/>
                                      </w:rPr>
                                    </m:ctrlPr>
                                  </m:fPr>
                                  <m:num>
                                    <m:nary>
                                      <m:naryPr>
                                        <m:chr m:val="∑"/>
                                        <m:ctrlPr>
                                          <w:rPr>
                                            <w:rFonts w:ascii="Cambria Math" w:hAnsi="Cambria Math" w:cstheme="minorBidi"/>
                                            <w:i/>
                                            <w:iCs/>
                                            <w:color w:val="000000" w:themeColor="text1"/>
                                            <w:sz w:val="22"/>
                                            <w:szCs w:val="22"/>
                                          </w:rPr>
                                        </m:ctrlPr>
                                      </m:naryPr>
                                      <m:sub>
                                        <m:r>
                                          <w:rPr>
                                            <w:rFonts w:ascii="Cambria Math" w:hAnsi="Cambria Math" w:cstheme="minorBidi"/>
                                            <w:color w:val="000000" w:themeColor="text1"/>
                                            <w:sz w:val="22"/>
                                            <w:szCs w:val="22"/>
                                            <w:lang w:val="en-US"/>
                                          </w:rPr>
                                          <m:t>1</m:t>
                                        </m:r>
                                      </m:sub>
                                      <m:sup>
                                        <m:r>
                                          <w:rPr>
                                            <w:rFonts w:ascii="Cambria Math" w:hAnsi="Cambria Math" w:cstheme="minorBidi"/>
                                            <w:color w:val="000000" w:themeColor="text1"/>
                                            <w:sz w:val="22"/>
                                            <w:szCs w:val="22"/>
                                            <w:lang w:val="en-US"/>
                                          </w:rPr>
                                          <m:t>3</m:t>
                                        </m:r>
                                      </m:sup>
                                      <m:e>
                                        <m:r>
                                          <w:rPr>
                                            <w:rFonts w:ascii="Cambria Math" w:hAnsi="Cambria Math" w:cstheme="minorBidi"/>
                                            <w:color w:val="000000" w:themeColor="text1"/>
                                            <w:sz w:val="22"/>
                                            <w:szCs w:val="22"/>
                                            <w:lang w:val="en-US"/>
                                          </w:rPr>
                                          <m:t>Tas</m:t>
                                        </m:r>
                                      </m:e>
                                    </m:nary>
                                  </m:num>
                                  <m:den>
                                    <m:r>
                                      <w:rPr>
                                        <w:rFonts w:ascii="Cambria Math" w:hAnsi="Cambria Math" w:cstheme="minorBidi"/>
                                        <w:color w:val="000000" w:themeColor="text1"/>
                                        <w:sz w:val="22"/>
                                        <w:szCs w:val="22"/>
                                        <w:lang w:val="en-US"/>
                                      </w:rPr>
                                      <m:t>3</m:t>
                                    </m:r>
                                  </m:den>
                                </m:f>
                              </m:oMath>
                            </m:oMathPara>
                          </w:p>
                        </w:txbxContent>
                      </v:textbox>
                    </v:shape>
                  </w:pict>
                </mc:Fallback>
              </mc:AlternateContent>
            </w:r>
            <w:r w:rsidRPr="00DA0872">
              <w:rPr>
                <w:rFonts w:ascii="Calibri" w:hAnsi="Calibri"/>
                <w:color w:val="000000"/>
                <w:sz w:val="20"/>
                <w:szCs w:val="20"/>
              </w:rPr>
              <w:t>The maximum of 12 consecutive quarters' mean temperature are first calculated then:</w:t>
            </w:r>
          </w:p>
        </w:tc>
        <w:tc>
          <w:tcPr>
            <w:tcW w:w="1529" w:type="dxa"/>
            <w:tcBorders>
              <w:top w:val="nil"/>
              <w:left w:val="nil"/>
              <w:bottom w:val="nil"/>
              <w:right w:val="nil"/>
            </w:tcBorders>
            <w:shd w:val="clear" w:color="auto" w:fill="auto"/>
            <w:vAlign w:val="center"/>
            <w:hideMark/>
          </w:tcPr>
          <w:p w14:paraId="1C150BC7" w14:textId="77777777" w:rsidR="00906374" w:rsidRPr="002E22A6" w:rsidRDefault="00906374" w:rsidP="00672286">
            <w:pPr>
              <w:jc w:val="center"/>
              <w:rPr>
                <w:rFonts w:ascii="Calibri" w:hAnsi="Calibri"/>
                <w:color w:val="000000"/>
                <w:sz w:val="20"/>
                <w:szCs w:val="20"/>
              </w:rPr>
            </w:pPr>
            <w:r w:rsidRPr="002E22A6">
              <w:rPr>
                <w:rFonts w:ascii="Calibri" w:hAnsi="Calibri"/>
                <w:color w:val="000000"/>
                <w:sz w:val="20"/>
                <w:szCs w:val="20"/>
              </w:rPr>
              <w:t xml:space="preserve">Donnell and </w:t>
            </w:r>
            <w:proofErr w:type="spellStart"/>
            <w:r w:rsidRPr="002E22A6">
              <w:rPr>
                <w:rFonts w:ascii="Calibri" w:hAnsi="Calibri"/>
                <w:color w:val="000000"/>
                <w:sz w:val="20"/>
                <w:szCs w:val="20"/>
              </w:rPr>
              <w:t>Ignizio</w:t>
            </w:r>
            <w:proofErr w:type="spellEnd"/>
            <w:r w:rsidRPr="002E22A6">
              <w:rPr>
                <w:rFonts w:ascii="Calibri" w:hAnsi="Calibri"/>
                <w:color w:val="000000"/>
                <w:sz w:val="20"/>
                <w:szCs w:val="20"/>
              </w:rPr>
              <w:t xml:space="preserve"> 2012</w:t>
            </w:r>
          </w:p>
        </w:tc>
      </w:tr>
      <w:tr w:rsidR="00906374" w:rsidRPr="00DA0872" w14:paraId="1959A44F" w14:textId="77777777" w:rsidTr="00672286">
        <w:trPr>
          <w:trHeight w:val="1670"/>
        </w:trPr>
        <w:tc>
          <w:tcPr>
            <w:tcW w:w="1527" w:type="dxa"/>
            <w:tcBorders>
              <w:top w:val="nil"/>
              <w:left w:val="nil"/>
              <w:bottom w:val="nil"/>
              <w:right w:val="nil"/>
            </w:tcBorders>
            <w:shd w:val="clear" w:color="auto" w:fill="auto"/>
            <w:noWrap/>
            <w:vAlign w:val="center"/>
            <w:hideMark/>
          </w:tcPr>
          <w:p w14:paraId="1407EADA"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Bio11</w:t>
            </w:r>
          </w:p>
        </w:tc>
        <w:tc>
          <w:tcPr>
            <w:tcW w:w="5419" w:type="dxa"/>
            <w:tcBorders>
              <w:top w:val="nil"/>
              <w:left w:val="nil"/>
              <w:bottom w:val="nil"/>
              <w:right w:val="nil"/>
            </w:tcBorders>
            <w:shd w:val="clear" w:color="auto" w:fill="auto"/>
            <w:noWrap/>
            <w:vAlign w:val="center"/>
            <w:hideMark/>
          </w:tcPr>
          <w:p w14:paraId="0EC97A4D"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Mean Temperature of the Coldest Quarter</w:t>
            </w:r>
          </w:p>
        </w:tc>
        <w:tc>
          <w:tcPr>
            <w:tcW w:w="5602" w:type="dxa"/>
            <w:tcBorders>
              <w:top w:val="nil"/>
              <w:left w:val="nil"/>
              <w:bottom w:val="nil"/>
              <w:right w:val="nil"/>
            </w:tcBorders>
            <w:shd w:val="clear" w:color="auto" w:fill="auto"/>
            <w:vAlign w:val="center"/>
            <w:hideMark/>
          </w:tcPr>
          <w:p w14:paraId="62658BED" w14:textId="77777777" w:rsidR="00906374" w:rsidRPr="00DA0872" w:rsidRDefault="00906374" w:rsidP="00672286">
            <w:pPr>
              <w:jc w:val="center"/>
              <w:rPr>
                <w:rFonts w:ascii="Calibri" w:hAnsi="Calibri"/>
                <w:color w:val="000000"/>
                <w:sz w:val="20"/>
                <w:szCs w:val="20"/>
              </w:rPr>
            </w:pPr>
            <w:r>
              <w:rPr>
                <w:rFonts w:ascii="Calibri" w:hAnsi="Calibri"/>
                <w:noProof/>
                <w:color w:val="000000"/>
                <w:lang w:eastAsia="en-GB"/>
              </w:rPr>
              <mc:AlternateContent>
                <mc:Choice Requires="wps">
                  <w:drawing>
                    <wp:anchor distT="0" distB="0" distL="114300" distR="114300" simplePos="0" relativeHeight="251691008" behindDoc="0" locked="0" layoutInCell="1" allowOverlap="1" wp14:anchorId="17388F7C" wp14:editId="6FE53467">
                      <wp:simplePos x="0" y="0"/>
                      <wp:positionH relativeFrom="column">
                        <wp:posOffset>358140</wp:posOffset>
                      </wp:positionH>
                      <wp:positionV relativeFrom="paragraph">
                        <wp:posOffset>306070</wp:posOffset>
                      </wp:positionV>
                      <wp:extent cx="1781175" cy="45720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1781175" cy="45720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0AE262A" w14:textId="77777777" w:rsidR="00906374" w:rsidRDefault="00000000" w:rsidP="00906374">
                                  <w:pPr>
                                    <w:pStyle w:val="NormalWeb"/>
                                    <w:spacing w:before="0" w:beforeAutospacing="0" w:after="0" w:afterAutospacing="0"/>
                                  </w:pPr>
                                  <m:oMathPara>
                                    <m:oMathParaPr>
                                      <m:jc m:val="centerGroup"/>
                                    </m:oMathParaPr>
                                    <m:oMath>
                                      <m:f>
                                        <m:fPr>
                                          <m:ctrlPr>
                                            <w:rPr>
                                              <w:rFonts w:ascii="Cambria Math" w:hAnsi="Cambria Math" w:cstheme="minorBidi"/>
                                              <w:i/>
                                              <w:iCs/>
                                              <w:color w:val="000000" w:themeColor="text1"/>
                                              <w:sz w:val="22"/>
                                              <w:szCs w:val="22"/>
                                            </w:rPr>
                                          </m:ctrlPr>
                                        </m:fPr>
                                        <m:num>
                                          <m:nary>
                                            <m:naryPr>
                                              <m:chr m:val="∑"/>
                                              <m:ctrlPr>
                                                <w:rPr>
                                                  <w:rFonts w:ascii="Cambria Math" w:hAnsi="Cambria Math" w:cstheme="minorBidi"/>
                                                  <w:i/>
                                                  <w:iCs/>
                                                  <w:color w:val="000000" w:themeColor="text1"/>
                                                  <w:sz w:val="22"/>
                                                  <w:szCs w:val="22"/>
                                                </w:rPr>
                                              </m:ctrlPr>
                                            </m:naryPr>
                                            <m:sub>
                                              <m:r>
                                                <w:rPr>
                                                  <w:rFonts w:ascii="Cambria Math" w:hAnsi="Cambria Math" w:cstheme="minorBidi"/>
                                                  <w:color w:val="000000" w:themeColor="text1"/>
                                                  <w:sz w:val="22"/>
                                                  <w:szCs w:val="22"/>
                                                  <w:lang w:val="en-US"/>
                                                </w:rPr>
                                                <m:t>1</m:t>
                                              </m:r>
                                            </m:sub>
                                            <m:sup>
                                              <m:r>
                                                <w:rPr>
                                                  <w:rFonts w:ascii="Cambria Math" w:hAnsi="Cambria Math" w:cstheme="minorBidi"/>
                                                  <w:color w:val="000000" w:themeColor="text1"/>
                                                  <w:sz w:val="22"/>
                                                  <w:szCs w:val="22"/>
                                                  <w:lang w:val="en-US"/>
                                                </w:rPr>
                                                <m:t>3</m:t>
                                              </m:r>
                                            </m:sup>
                                            <m:e>
                                              <m:r>
                                                <w:rPr>
                                                  <w:rFonts w:ascii="Cambria Math" w:hAnsi="Cambria Math" w:cstheme="minorBidi"/>
                                                  <w:color w:val="000000" w:themeColor="text1"/>
                                                  <w:sz w:val="22"/>
                                                  <w:szCs w:val="22"/>
                                                  <w:lang w:val="en-US"/>
                                                </w:rPr>
                                                <m:t>Tas</m:t>
                                              </m:r>
                                            </m:e>
                                          </m:nary>
                                        </m:num>
                                        <m:den>
                                          <m:r>
                                            <w:rPr>
                                              <w:rFonts w:ascii="Cambria Math" w:hAnsi="Cambria Math" w:cstheme="minorBidi"/>
                                              <w:color w:val="000000" w:themeColor="text1"/>
                                              <w:sz w:val="22"/>
                                              <w:szCs w:val="22"/>
                                              <w:lang w:val="en-US"/>
                                            </w:rPr>
                                            <m:t>3</m:t>
                                          </m:r>
                                        </m:den>
                                      </m:f>
                                    </m:oMath>
                                  </m:oMathPara>
                                </w:p>
                              </w:txbxContent>
                            </wps:txbx>
                            <wps:bodyPr vertOverflow="clip" horzOverflow="clip" wrap="square" rtlCol="0" anchor="t">
                              <a:spAutoFit/>
                            </wps:bodyPr>
                          </wps:wsp>
                        </a:graphicData>
                      </a:graphic>
                      <wp14:sizeRelH relativeFrom="page">
                        <wp14:pctWidth>0</wp14:pctWidth>
                      </wp14:sizeRelH>
                      <wp14:sizeRelV relativeFrom="page">
                        <wp14:pctHeight>0</wp14:pctHeight>
                      </wp14:sizeRelV>
                    </wp:anchor>
                  </w:drawing>
                </mc:Choice>
                <mc:Fallback>
                  <w:pict>
                    <v:shape w14:anchorId="17388F7C" id="Text Box 41" o:spid="_x0000_s1062" type="#_x0000_t202" style="position:absolute;left:0;text-align:left;margin-left:28.2pt;margin-top:24.1pt;width:140.25pt;height:3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" filled="f" stroked="f">
                      <v:textbox style="mso-fit-shape-to-text:t">
                        <w:txbxContent>
                          <w:p w14:paraId="70AE262A" w14:textId="77777777" w:rsidR="00906374" w:rsidRDefault="00000000" w:rsidP="00906374">
                            <w:pPr>
                              <w:pStyle w:val="NormalWeb"/>
                              <w:spacing w:before="0" w:beforeAutospacing="0" w:after="0" w:afterAutospacing="0"/>
                            </w:pPr>
                            <m:oMathPara>
                              <m:oMathParaPr>
                                <m:jc m:val="centerGroup"/>
                              </m:oMathParaPr>
                              <m:oMath>
                                <m:f>
                                  <m:fPr>
                                    <m:ctrlPr>
                                      <w:rPr>
                                        <w:rFonts w:ascii="Cambria Math" w:hAnsi="Cambria Math" w:cstheme="minorBidi"/>
                                        <w:i/>
                                        <w:iCs/>
                                        <w:color w:val="000000" w:themeColor="text1"/>
                                        <w:sz w:val="22"/>
                                        <w:szCs w:val="22"/>
                                      </w:rPr>
                                    </m:ctrlPr>
                                  </m:fPr>
                                  <m:num>
                                    <m:nary>
                                      <m:naryPr>
                                        <m:chr m:val="∑"/>
                                        <m:ctrlPr>
                                          <w:rPr>
                                            <w:rFonts w:ascii="Cambria Math" w:hAnsi="Cambria Math" w:cstheme="minorBidi"/>
                                            <w:i/>
                                            <w:iCs/>
                                            <w:color w:val="000000" w:themeColor="text1"/>
                                            <w:sz w:val="22"/>
                                            <w:szCs w:val="22"/>
                                          </w:rPr>
                                        </m:ctrlPr>
                                      </m:naryPr>
                                      <m:sub>
                                        <m:r>
                                          <w:rPr>
                                            <w:rFonts w:ascii="Cambria Math" w:hAnsi="Cambria Math" w:cstheme="minorBidi"/>
                                            <w:color w:val="000000" w:themeColor="text1"/>
                                            <w:sz w:val="22"/>
                                            <w:szCs w:val="22"/>
                                            <w:lang w:val="en-US"/>
                                          </w:rPr>
                                          <m:t>1</m:t>
                                        </m:r>
                                      </m:sub>
                                      <m:sup>
                                        <m:r>
                                          <w:rPr>
                                            <w:rFonts w:ascii="Cambria Math" w:hAnsi="Cambria Math" w:cstheme="minorBidi"/>
                                            <w:color w:val="000000" w:themeColor="text1"/>
                                            <w:sz w:val="22"/>
                                            <w:szCs w:val="22"/>
                                            <w:lang w:val="en-US"/>
                                          </w:rPr>
                                          <m:t>3</m:t>
                                        </m:r>
                                      </m:sup>
                                      <m:e>
                                        <m:r>
                                          <w:rPr>
                                            <w:rFonts w:ascii="Cambria Math" w:hAnsi="Cambria Math" w:cstheme="minorBidi"/>
                                            <w:color w:val="000000" w:themeColor="text1"/>
                                            <w:sz w:val="22"/>
                                            <w:szCs w:val="22"/>
                                            <w:lang w:val="en-US"/>
                                          </w:rPr>
                                          <m:t>Tas</m:t>
                                        </m:r>
                                      </m:e>
                                    </m:nary>
                                  </m:num>
                                  <m:den>
                                    <m:r>
                                      <w:rPr>
                                        <w:rFonts w:ascii="Cambria Math" w:hAnsi="Cambria Math" w:cstheme="minorBidi"/>
                                        <w:color w:val="000000" w:themeColor="text1"/>
                                        <w:sz w:val="22"/>
                                        <w:szCs w:val="22"/>
                                        <w:lang w:val="en-US"/>
                                      </w:rPr>
                                      <m:t>3</m:t>
                                    </m:r>
                                  </m:den>
                                </m:f>
                              </m:oMath>
                            </m:oMathPara>
                          </w:p>
                        </w:txbxContent>
                      </v:textbox>
                    </v:shape>
                  </w:pict>
                </mc:Fallback>
              </mc:AlternateContent>
            </w:r>
            <w:r>
              <w:rPr>
                <w:rFonts w:ascii="Calibri" w:hAnsi="Calibri"/>
                <w:noProof/>
                <w:color w:val="000000"/>
                <w:lang w:eastAsia="en-GB"/>
              </w:rPr>
              <mc:AlternateContent>
                <mc:Choice Requires="wps">
                  <w:drawing>
                    <wp:anchor distT="0" distB="0" distL="114300" distR="114300" simplePos="0" relativeHeight="251694080" behindDoc="0" locked="0" layoutInCell="1" allowOverlap="1" wp14:anchorId="471841A3" wp14:editId="089AEB8D">
                      <wp:simplePos x="0" y="0"/>
                      <wp:positionH relativeFrom="column">
                        <wp:posOffset>259080</wp:posOffset>
                      </wp:positionH>
                      <wp:positionV relativeFrom="paragraph">
                        <wp:posOffset>1042035</wp:posOffset>
                      </wp:positionV>
                      <wp:extent cx="1781175" cy="28575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1781175" cy="28575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0C50FCB" w14:textId="77777777" w:rsidR="00906374" w:rsidRDefault="00000000" w:rsidP="00906374">
                                  <w:pPr>
                                    <w:pStyle w:val="NormalWeb"/>
                                    <w:spacing w:before="0" w:beforeAutospacing="0" w:after="0" w:afterAutospacing="0"/>
                                  </w:pPr>
                                  <m:oMathPara>
                                    <m:oMathParaPr>
                                      <m:jc m:val="centerGroup"/>
                                    </m:oMathParaPr>
                                    <m:oMath>
                                      <m:f>
                                        <m:fPr>
                                          <m:type m:val="noBar"/>
                                          <m:ctrlPr>
                                            <w:rPr>
                                              <w:rFonts w:ascii="Cambria Math" w:hAnsi="Cambria Math" w:cstheme="minorBidi"/>
                                              <w:i/>
                                              <w:iCs/>
                                              <w:color w:val="000000" w:themeColor="text1"/>
                                              <w:sz w:val="22"/>
                                              <w:szCs w:val="22"/>
                                            </w:rPr>
                                          </m:ctrlPr>
                                        </m:fPr>
                                        <m:num>
                                          <m:nary>
                                            <m:naryPr>
                                              <m:chr m:val="∑"/>
                                              <m:ctrlPr>
                                                <w:rPr>
                                                  <w:rFonts w:ascii="Cambria Math" w:hAnsi="Cambria Math" w:cstheme="minorBidi"/>
                                                  <w:i/>
                                                  <w:iCs/>
                                                  <w:color w:val="000000" w:themeColor="text1"/>
                                                  <w:sz w:val="22"/>
                                                  <w:szCs w:val="22"/>
                                                </w:rPr>
                                              </m:ctrlPr>
                                            </m:naryPr>
                                            <m:sub>
                                              <m:r>
                                                <w:rPr>
                                                  <w:rFonts w:ascii="Cambria Math" w:hAnsi="Cambria Math" w:cstheme="minorBidi"/>
                                                  <w:color w:val="000000" w:themeColor="text1"/>
                                                  <w:sz w:val="22"/>
                                                  <w:szCs w:val="22"/>
                                                  <w:lang w:val="en-US"/>
                                                </w:rPr>
                                                <m:t>1</m:t>
                                              </m:r>
                                            </m:sub>
                                            <m:sup>
                                              <m:r>
                                                <w:rPr>
                                                  <w:rFonts w:ascii="Cambria Math" w:hAnsi="Cambria Math" w:cstheme="minorBidi"/>
                                                  <w:color w:val="000000" w:themeColor="text1"/>
                                                  <w:sz w:val="22"/>
                                                  <w:szCs w:val="22"/>
                                                  <w:lang w:val="en-US"/>
                                                </w:rPr>
                                                <m:t>12</m:t>
                                              </m:r>
                                            </m:sup>
                                            <m:e>
                                              <m:r>
                                                <w:rPr>
                                                  <w:rFonts w:ascii="Cambria Math" w:hAnsi="Cambria Math" w:cstheme="minorBidi"/>
                                                  <w:color w:val="000000" w:themeColor="text1"/>
                                                  <w:sz w:val="22"/>
                                                  <w:szCs w:val="22"/>
                                                  <w:lang w:val="en-US"/>
                                                </w:rPr>
                                                <m:t>Precip</m:t>
                                              </m:r>
                                            </m:e>
                                          </m:nary>
                                        </m:num>
                                        <m:den/>
                                      </m:f>
                                    </m:oMath>
                                  </m:oMathPara>
                                </w:p>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w:pict>
                    <v:shape w14:anchorId="471841A3" id="Text Box 42" o:spid="_x0000_s1063" type="#_x0000_t202" style="position:absolute;left:0;text-align:left;margin-left:20.4pt;margin-top:82.05pt;width:140.25pt;height:2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" filled="f" stroked="f">
                      <v:textbox>
                        <w:txbxContent>
                          <w:p w14:paraId="30C50FCB" w14:textId="77777777" w:rsidR="00906374" w:rsidRDefault="00000000" w:rsidP="00906374">
                            <w:pPr>
                              <w:pStyle w:val="NormalWeb"/>
                              <w:spacing w:before="0" w:beforeAutospacing="0" w:after="0" w:afterAutospacing="0"/>
                            </w:pPr>
                            <m:oMathPara>
                              <m:oMathParaPr>
                                <m:jc m:val="centerGroup"/>
                              </m:oMathParaPr>
                              <m:oMath>
                                <m:f>
                                  <m:fPr>
                                    <m:type m:val="noBar"/>
                                    <m:ctrlPr>
                                      <w:rPr>
                                        <w:rFonts w:ascii="Cambria Math" w:hAnsi="Cambria Math" w:cstheme="minorBidi"/>
                                        <w:i/>
                                        <w:iCs/>
                                        <w:color w:val="000000" w:themeColor="text1"/>
                                        <w:sz w:val="22"/>
                                        <w:szCs w:val="22"/>
                                      </w:rPr>
                                    </m:ctrlPr>
                                  </m:fPr>
                                  <m:num>
                                    <m:nary>
                                      <m:naryPr>
                                        <m:chr m:val="∑"/>
                                        <m:ctrlPr>
                                          <w:rPr>
                                            <w:rFonts w:ascii="Cambria Math" w:hAnsi="Cambria Math" w:cstheme="minorBidi"/>
                                            <w:i/>
                                            <w:iCs/>
                                            <w:color w:val="000000" w:themeColor="text1"/>
                                            <w:sz w:val="22"/>
                                            <w:szCs w:val="22"/>
                                          </w:rPr>
                                        </m:ctrlPr>
                                      </m:naryPr>
                                      <m:sub>
                                        <m:r>
                                          <w:rPr>
                                            <w:rFonts w:ascii="Cambria Math" w:hAnsi="Cambria Math" w:cstheme="minorBidi"/>
                                            <w:color w:val="000000" w:themeColor="text1"/>
                                            <w:sz w:val="22"/>
                                            <w:szCs w:val="22"/>
                                            <w:lang w:val="en-US"/>
                                          </w:rPr>
                                          <m:t>1</m:t>
                                        </m:r>
                                      </m:sub>
                                      <m:sup>
                                        <m:r>
                                          <w:rPr>
                                            <w:rFonts w:ascii="Cambria Math" w:hAnsi="Cambria Math" w:cstheme="minorBidi"/>
                                            <w:color w:val="000000" w:themeColor="text1"/>
                                            <w:sz w:val="22"/>
                                            <w:szCs w:val="22"/>
                                            <w:lang w:val="en-US"/>
                                          </w:rPr>
                                          <m:t>12</m:t>
                                        </m:r>
                                      </m:sup>
                                      <m:e>
                                        <m:r>
                                          <w:rPr>
                                            <w:rFonts w:ascii="Cambria Math" w:hAnsi="Cambria Math" w:cstheme="minorBidi"/>
                                            <w:color w:val="000000" w:themeColor="text1"/>
                                            <w:sz w:val="22"/>
                                            <w:szCs w:val="22"/>
                                            <w:lang w:val="en-US"/>
                                          </w:rPr>
                                          <m:t>Precip</m:t>
                                        </m:r>
                                      </m:e>
                                    </m:nary>
                                  </m:num>
                                  <m:den/>
                                </m:f>
                              </m:oMath>
                            </m:oMathPara>
                          </w:p>
                        </w:txbxContent>
                      </v:textbox>
                    </v:shape>
                  </w:pict>
                </mc:Fallback>
              </mc:AlternateContent>
            </w:r>
            <w:r w:rsidRPr="00DA0872">
              <w:rPr>
                <w:rFonts w:ascii="Calibri" w:hAnsi="Calibri"/>
                <w:color w:val="000000"/>
                <w:sz w:val="20"/>
                <w:szCs w:val="20"/>
              </w:rPr>
              <w:t>The minimum of 12 consecutive quarters' mean temperature are first calculated then:</w:t>
            </w:r>
          </w:p>
        </w:tc>
        <w:tc>
          <w:tcPr>
            <w:tcW w:w="1529" w:type="dxa"/>
            <w:tcBorders>
              <w:top w:val="nil"/>
              <w:left w:val="nil"/>
              <w:bottom w:val="nil"/>
              <w:right w:val="nil"/>
            </w:tcBorders>
            <w:shd w:val="clear" w:color="auto" w:fill="auto"/>
            <w:vAlign w:val="center"/>
            <w:hideMark/>
          </w:tcPr>
          <w:p w14:paraId="6CB5E686" w14:textId="77777777" w:rsidR="00906374" w:rsidRPr="002E22A6" w:rsidRDefault="00906374" w:rsidP="00672286">
            <w:pPr>
              <w:jc w:val="center"/>
              <w:rPr>
                <w:rFonts w:ascii="Calibri" w:hAnsi="Calibri"/>
                <w:color w:val="000000"/>
                <w:sz w:val="20"/>
                <w:szCs w:val="20"/>
              </w:rPr>
            </w:pPr>
            <w:r w:rsidRPr="002E22A6">
              <w:rPr>
                <w:rFonts w:ascii="Calibri" w:hAnsi="Calibri"/>
                <w:color w:val="000000"/>
                <w:sz w:val="20"/>
                <w:szCs w:val="20"/>
              </w:rPr>
              <w:t xml:space="preserve">Donnell and </w:t>
            </w:r>
            <w:proofErr w:type="spellStart"/>
            <w:r w:rsidRPr="002E22A6">
              <w:rPr>
                <w:rFonts w:ascii="Calibri" w:hAnsi="Calibri"/>
                <w:color w:val="000000"/>
                <w:sz w:val="20"/>
                <w:szCs w:val="20"/>
              </w:rPr>
              <w:t>Ignizio</w:t>
            </w:r>
            <w:proofErr w:type="spellEnd"/>
            <w:r w:rsidRPr="002E22A6">
              <w:rPr>
                <w:rFonts w:ascii="Calibri" w:hAnsi="Calibri"/>
                <w:color w:val="000000"/>
                <w:sz w:val="20"/>
                <w:szCs w:val="20"/>
              </w:rPr>
              <w:t xml:space="preserve"> 2012</w:t>
            </w:r>
          </w:p>
        </w:tc>
      </w:tr>
      <w:tr w:rsidR="00906374" w:rsidRPr="00DA0872" w14:paraId="2D6A5E31" w14:textId="77777777" w:rsidTr="00672286">
        <w:trPr>
          <w:trHeight w:val="435"/>
        </w:trPr>
        <w:tc>
          <w:tcPr>
            <w:tcW w:w="1527" w:type="dxa"/>
            <w:tcBorders>
              <w:top w:val="nil"/>
              <w:left w:val="nil"/>
              <w:bottom w:val="nil"/>
              <w:right w:val="nil"/>
            </w:tcBorders>
            <w:shd w:val="clear" w:color="auto" w:fill="auto"/>
            <w:noWrap/>
            <w:vAlign w:val="center"/>
            <w:hideMark/>
          </w:tcPr>
          <w:p w14:paraId="1F012778"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Bio12</w:t>
            </w:r>
          </w:p>
        </w:tc>
        <w:tc>
          <w:tcPr>
            <w:tcW w:w="5419" w:type="dxa"/>
            <w:tcBorders>
              <w:top w:val="nil"/>
              <w:left w:val="nil"/>
              <w:bottom w:val="nil"/>
              <w:right w:val="nil"/>
            </w:tcBorders>
            <w:shd w:val="clear" w:color="auto" w:fill="auto"/>
            <w:noWrap/>
            <w:vAlign w:val="center"/>
            <w:hideMark/>
          </w:tcPr>
          <w:p w14:paraId="0A53E5FD"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Annual Precipitation</w:t>
            </w:r>
          </w:p>
        </w:tc>
        <w:tc>
          <w:tcPr>
            <w:tcW w:w="5602" w:type="dxa"/>
            <w:tcBorders>
              <w:top w:val="nil"/>
              <w:left w:val="nil"/>
              <w:bottom w:val="nil"/>
              <w:right w:val="nil"/>
            </w:tcBorders>
            <w:shd w:val="clear" w:color="auto" w:fill="auto"/>
            <w:vAlign w:val="center"/>
            <w:hideMark/>
          </w:tcPr>
          <w:p w14:paraId="4FAAC1A6" w14:textId="77777777" w:rsidR="00906374" w:rsidRPr="00DA0872" w:rsidRDefault="00906374" w:rsidP="00672286">
            <w:pPr>
              <w:jc w:val="center"/>
              <w:rPr>
                <w:rFonts w:ascii="Calibri" w:hAnsi="Calibri"/>
                <w:color w:val="000000"/>
              </w:rPr>
            </w:pPr>
          </w:p>
        </w:tc>
        <w:tc>
          <w:tcPr>
            <w:tcW w:w="1529" w:type="dxa"/>
            <w:tcBorders>
              <w:top w:val="nil"/>
              <w:left w:val="nil"/>
              <w:bottom w:val="nil"/>
              <w:right w:val="nil"/>
            </w:tcBorders>
            <w:shd w:val="clear" w:color="auto" w:fill="auto"/>
            <w:vAlign w:val="center"/>
            <w:hideMark/>
          </w:tcPr>
          <w:p w14:paraId="64D3D39F" w14:textId="77777777" w:rsidR="00906374" w:rsidRPr="002E22A6" w:rsidRDefault="00906374" w:rsidP="00672286">
            <w:pPr>
              <w:jc w:val="center"/>
              <w:rPr>
                <w:rFonts w:ascii="Calibri" w:hAnsi="Calibri"/>
                <w:color w:val="000000"/>
                <w:sz w:val="20"/>
                <w:szCs w:val="20"/>
              </w:rPr>
            </w:pPr>
            <w:r w:rsidRPr="002E22A6">
              <w:rPr>
                <w:rFonts w:ascii="Calibri" w:hAnsi="Calibri"/>
                <w:color w:val="000000"/>
                <w:sz w:val="20"/>
                <w:szCs w:val="20"/>
              </w:rPr>
              <w:t xml:space="preserve">Donnell and </w:t>
            </w:r>
            <w:proofErr w:type="spellStart"/>
            <w:r w:rsidRPr="002E22A6">
              <w:rPr>
                <w:rFonts w:ascii="Calibri" w:hAnsi="Calibri"/>
                <w:color w:val="000000"/>
                <w:sz w:val="20"/>
                <w:szCs w:val="20"/>
              </w:rPr>
              <w:t>Ignizio</w:t>
            </w:r>
            <w:proofErr w:type="spellEnd"/>
            <w:r w:rsidRPr="002E22A6">
              <w:rPr>
                <w:rFonts w:ascii="Calibri" w:hAnsi="Calibri"/>
                <w:color w:val="000000"/>
                <w:sz w:val="20"/>
                <w:szCs w:val="20"/>
              </w:rPr>
              <w:t xml:space="preserve"> 2012</w:t>
            </w:r>
          </w:p>
        </w:tc>
      </w:tr>
      <w:tr w:rsidR="00906374" w:rsidRPr="00DA0872" w14:paraId="4CBAD399" w14:textId="77777777" w:rsidTr="00672286">
        <w:trPr>
          <w:trHeight w:val="420"/>
        </w:trPr>
        <w:tc>
          <w:tcPr>
            <w:tcW w:w="1527" w:type="dxa"/>
            <w:tcBorders>
              <w:top w:val="nil"/>
              <w:left w:val="nil"/>
              <w:bottom w:val="nil"/>
              <w:right w:val="nil"/>
            </w:tcBorders>
            <w:shd w:val="clear" w:color="auto" w:fill="auto"/>
            <w:noWrap/>
            <w:vAlign w:val="center"/>
            <w:hideMark/>
          </w:tcPr>
          <w:p w14:paraId="64AC5910"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Bio13</w:t>
            </w:r>
          </w:p>
        </w:tc>
        <w:tc>
          <w:tcPr>
            <w:tcW w:w="5419" w:type="dxa"/>
            <w:tcBorders>
              <w:top w:val="nil"/>
              <w:left w:val="nil"/>
              <w:bottom w:val="nil"/>
              <w:right w:val="nil"/>
            </w:tcBorders>
            <w:shd w:val="clear" w:color="auto" w:fill="auto"/>
            <w:noWrap/>
            <w:vAlign w:val="center"/>
            <w:hideMark/>
          </w:tcPr>
          <w:p w14:paraId="42E19DCB"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Precipitation of the Wettest Month</w:t>
            </w:r>
          </w:p>
        </w:tc>
        <w:tc>
          <w:tcPr>
            <w:tcW w:w="5602" w:type="dxa"/>
            <w:tcBorders>
              <w:top w:val="nil"/>
              <w:left w:val="nil"/>
              <w:bottom w:val="nil"/>
              <w:right w:val="nil"/>
            </w:tcBorders>
            <w:shd w:val="clear" w:color="auto" w:fill="auto"/>
            <w:vAlign w:val="center"/>
            <w:hideMark/>
          </w:tcPr>
          <w:p w14:paraId="646F4C8F" w14:textId="77777777" w:rsidR="00906374" w:rsidRPr="00DA0872" w:rsidRDefault="00906374" w:rsidP="00672286">
            <w:pPr>
              <w:jc w:val="center"/>
              <w:rPr>
                <w:rFonts w:ascii="Calibri" w:hAnsi="Calibri"/>
                <w:color w:val="000000"/>
              </w:rPr>
            </w:pPr>
            <w:r>
              <w:rPr>
                <w:rFonts w:ascii="Calibri" w:hAnsi="Calibri"/>
                <w:noProof/>
                <w:color w:val="000000"/>
                <w:lang w:eastAsia="en-GB"/>
              </w:rPr>
              <mc:AlternateContent>
                <mc:Choice Requires="wps">
                  <w:drawing>
                    <wp:anchor distT="0" distB="0" distL="114300" distR="114300" simplePos="0" relativeHeight="251695104" behindDoc="0" locked="0" layoutInCell="1" allowOverlap="1" wp14:anchorId="3A4B31D3" wp14:editId="71C34EEE">
                      <wp:simplePos x="0" y="0"/>
                      <wp:positionH relativeFrom="column">
                        <wp:posOffset>326390</wp:posOffset>
                      </wp:positionH>
                      <wp:positionV relativeFrom="paragraph">
                        <wp:posOffset>42545</wp:posOffset>
                      </wp:positionV>
                      <wp:extent cx="1781175" cy="266700"/>
                      <wp:effectExtent l="0" t="0" r="0" b="0"/>
                      <wp:wrapNone/>
                      <wp:docPr id="49" name="Text Box 49"/>
                      <wp:cNvGraphicFramePr/>
                      <a:graphic xmlns:a="http://schemas.openxmlformats.org/drawingml/2006/main">
                        <a:graphicData uri="http://schemas.microsoft.com/office/word/2010/wordprocessingShape">
                          <wps:wsp>
                            <wps:cNvSpPr txBox="1"/>
                            <wps:spPr>
                              <a:xfrm>
                                <a:off x="0" y="0"/>
                                <a:ext cx="177800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CB751BE" w14:textId="77777777" w:rsidR="00906374" w:rsidRDefault="00906374" w:rsidP="00906374">
                                  <w:pPr>
                                    <w:pStyle w:val="NormalWeb"/>
                                    <w:spacing w:before="0" w:beforeAutospacing="0" w:after="0" w:afterAutospacing="0"/>
                                    <w:jc w:val="center"/>
                                  </w:pPr>
                                  <m:oMath>
                                    <m:r>
                                      <m:rPr>
                                        <m:sty m:val="p"/>
                                      </m:rPr>
                                      <w:rPr>
                                        <w:rFonts w:ascii="Cambria Math" w:hAnsi="Cambria Math" w:cstheme="minorBidi"/>
                                        <w:color w:val="000000" w:themeColor="text1"/>
                                        <w:sz w:val="22"/>
                                        <w:szCs w:val="22"/>
                                        <w:lang w:val="en-US"/>
                                      </w:rPr>
                                      <m:t> max{Precip1…Precip12</m:t>
                                    </m:r>
                                  </m:oMath>
                                  <w:r>
                                    <w:rPr>
                                      <w:rFonts w:asciiTheme="minorHAnsi" w:hAnsi="Calibri" w:cstheme="minorBidi"/>
                                      <w:color w:val="000000" w:themeColor="text1"/>
                                      <w:sz w:val="22"/>
                                      <w:szCs w:val="22"/>
                                    </w:rPr>
                                    <w:t>}</w:t>
                                  </w:r>
                                </w:p>
                              </w:txbxContent>
                            </wps:txbx>
                            <wps:bodyPr vertOverflow="clip" horzOverflow="clip" wrap="square" rtlCol="0" anchor="t">
                              <a:spAutoFit/>
                            </wps:bodyPr>
                          </wps:wsp>
                        </a:graphicData>
                      </a:graphic>
                      <wp14:sizeRelH relativeFrom="page">
                        <wp14:pctWidth>0</wp14:pctWidth>
                      </wp14:sizeRelH>
                      <wp14:sizeRelV relativeFrom="page">
                        <wp14:pctHeight>0</wp14:pctHeight>
                      </wp14:sizeRelV>
                    </wp:anchor>
                  </w:drawing>
                </mc:Choice>
                <mc:Fallback>
                  <w:pict>
                    <v:shape w14:anchorId="3A4B31D3" id="Text Box 49" o:spid="_x0000_s1064" type="#_x0000_t202" style="position:absolute;left:0;text-align:left;margin-left:25.7pt;margin-top:3.35pt;width:140.25pt;height:2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" filled="f" stroked="f">
                      <v:textbox style="mso-fit-shape-to-text:t">
                        <w:txbxContent>
                          <w:p w14:paraId="5CB751BE" w14:textId="77777777" w:rsidR="00906374" w:rsidRDefault="00906374" w:rsidP="00906374">
                            <w:pPr>
                              <w:pStyle w:val="NormalWeb"/>
                              <w:spacing w:before="0" w:beforeAutospacing="0" w:after="0" w:afterAutospacing="0"/>
                              <w:jc w:val="center"/>
                            </w:pPr>
                            <m:oMath>
                              <m:r>
                                <m:rPr>
                                  <m:sty m:val="p"/>
                                </m:rPr>
                                <w:rPr>
                                  <w:rFonts w:ascii="Cambria Math" w:hAnsi="Cambria Math" w:cstheme="minorBidi"/>
                                  <w:color w:val="000000" w:themeColor="text1"/>
                                  <w:sz w:val="22"/>
                                  <w:szCs w:val="22"/>
                                  <w:lang w:val="en-US"/>
                                </w:rPr>
                                <m:t> max{Precip1…Precip12</m:t>
                              </m:r>
                            </m:oMath>
                            <w:r>
                              <w:rPr>
                                <w:rFonts w:asciiTheme="minorHAnsi" w:hAnsi="Calibri" w:cstheme="minorBidi"/>
                                <w:color w:val="000000" w:themeColor="text1"/>
                                <w:sz w:val="22"/>
                                <w:szCs w:val="22"/>
                              </w:rPr>
                              <w:t>}</w:t>
                            </w:r>
                          </w:p>
                        </w:txbxContent>
                      </v:textbox>
                    </v:shape>
                  </w:pict>
                </mc:Fallback>
              </mc:AlternateContent>
            </w:r>
          </w:p>
        </w:tc>
        <w:tc>
          <w:tcPr>
            <w:tcW w:w="1529" w:type="dxa"/>
            <w:tcBorders>
              <w:top w:val="nil"/>
              <w:left w:val="nil"/>
              <w:bottom w:val="nil"/>
              <w:right w:val="nil"/>
            </w:tcBorders>
            <w:shd w:val="clear" w:color="auto" w:fill="auto"/>
            <w:vAlign w:val="center"/>
            <w:hideMark/>
          </w:tcPr>
          <w:p w14:paraId="1CD905A9" w14:textId="77777777" w:rsidR="00906374" w:rsidRPr="002E22A6" w:rsidRDefault="00906374" w:rsidP="00672286">
            <w:pPr>
              <w:jc w:val="center"/>
              <w:rPr>
                <w:rFonts w:ascii="Calibri" w:hAnsi="Calibri"/>
                <w:color w:val="000000"/>
                <w:sz w:val="20"/>
                <w:szCs w:val="20"/>
              </w:rPr>
            </w:pPr>
            <w:r w:rsidRPr="002E22A6">
              <w:rPr>
                <w:rFonts w:ascii="Calibri" w:hAnsi="Calibri"/>
                <w:color w:val="000000"/>
                <w:sz w:val="20"/>
                <w:szCs w:val="20"/>
              </w:rPr>
              <w:t xml:space="preserve">Donnell and </w:t>
            </w:r>
            <w:proofErr w:type="spellStart"/>
            <w:r w:rsidRPr="002E22A6">
              <w:rPr>
                <w:rFonts w:ascii="Calibri" w:hAnsi="Calibri"/>
                <w:color w:val="000000"/>
                <w:sz w:val="20"/>
                <w:szCs w:val="20"/>
              </w:rPr>
              <w:t>Ignizio</w:t>
            </w:r>
            <w:proofErr w:type="spellEnd"/>
            <w:r w:rsidRPr="002E22A6">
              <w:rPr>
                <w:rFonts w:ascii="Calibri" w:hAnsi="Calibri"/>
                <w:color w:val="000000"/>
                <w:sz w:val="20"/>
                <w:szCs w:val="20"/>
              </w:rPr>
              <w:t xml:space="preserve"> 2012</w:t>
            </w:r>
          </w:p>
        </w:tc>
      </w:tr>
      <w:tr w:rsidR="00906374" w:rsidRPr="00DA0872" w14:paraId="56AAACEF" w14:textId="77777777" w:rsidTr="00672286">
        <w:trPr>
          <w:trHeight w:val="435"/>
        </w:trPr>
        <w:tc>
          <w:tcPr>
            <w:tcW w:w="1527" w:type="dxa"/>
            <w:tcBorders>
              <w:top w:val="nil"/>
              <w:left w:val="nil"/>
              <w:bottom w:val="nil"/>
              <w:right w:val="nil"/>
            </w:tcBorders>
            <w:shd w:val="clear" w:color="auto" w:fill="auto"/>
            <w:noWrap/>
            <w:vAlign w:val="center"/>
            <w:hideMark/>
          </w:tcPr>
          <w:p w14:paraId="36547F0E"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BIo14</w:t>
            </w:r>
          </w:p>
        </w:tc>
        <w:tc>
          <w:tcPr>
            <w:tcW w:w="5419" w:type="dxa"/>
            <w:tcBorders>
              <w:top w:val="nil"/>
              <w:left w:val="nil"/>
              <w:bottom w:val="nil"/>
              <w:right w:val="nil"/>
            </w:tcBorders>
            <w:shd w:val="clear" w:color="auto" w:fill="auto"/>
            <w:noWrap/>
            <w:vAlign w:val="center"/>
            <w:hideMark/>
          </w:tcPr>
          <w:p w14:paraId="629B1A32"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Precipitation of the Driest Month</w:t>
            </w:r>
          </w:p>
        </w:tc>
        <w:tc>
          <w:tcPr>
            <w:tcW w:w="5602" w:type="dxa"/>
            <w:tcBorders>
              <w:top w:val="nil"/>
              <w:left w:val="nil"/>
              <w:bottom w:val="nil"/>
              <w:right w:val="nil"/>
            </w:tcBorders>
            <w:shd w:val="clear" w:color="auto" w:fill="auto"/>
            <w:vAlign w:val="center"/>
            <w:hideMark/>
          </w:tcPr>
          <w:p w14:paraId="7348CF65" w14:textId="77777777" w:rsidR="00906374" w:rsidRPr="00DA0872" w:rsidRDefault="00906374" w:rsidP="00672286">
            <w:pPr>
              <w:jc w:val="center"/>
              <w:rPr>
                <w:rFonts w:ascii="Calibri" w:hAnsi="Calibri"/>
                <w:color w:val="000000"/>
              </w:rPr>
            </w:pPr>
            <w:r>
              <w:rPr>
                <w:rFonts w:ascii="Calibri" w:hAnsi="Calibri"/>
                <w:noProof/>
                <w:color w:val="000000"/>
                <w:lang w:eastAsia="en-GB"/>
              </w:rPr>
              <mc:AlternateContent>
                <mc:Choice Requires="wps">
                  <w:drawing>
                    <wp:anchor distT="0" distB="0" distL="114300" distR="114300" simplePos="0" relativeHeight="251696128" behindDoc="0" locked="0" layoutInCell="1" allowOverlap="1" wp14:anchorId="6CB7F426" wp14:editId="681E4106">
                      <wp:simplePos x="0" y="0"/>
                      <wp:positionH relativeFrom="column">
                        <wp:posOffset>310515</wp:posOffset>
                      </wp:positionH>
                      <wp:positionV relativeFrom="paragraph">
                        <wp:posOffset>-41910</wp:posOffset>
                      </wp:positionV>
                      <wp:extent cx="1781175" cy="26670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177800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EA2213E" w14:textId="77777777" w:rsidR="00906374" w:rsidRDefault="00906374" w:rsidP="00906374">
                                  <w:pPr>
                                    <w:pStyle w:val="NormalWeb"/>
                                    <w:spacing w:before="0" w:beforeAutospacing="0" w:after="0" w:afterAutospacing="0"/>
                                    <w:jc w:val="center"/>
                                  </w:pPr>
                                  <m:oMath>
                                    <m:r>
                                      <m:rPr>
                                        <m:sty m:val="p"/>
                                      </m:rPr>
                                      <w:rPr>
                                        <w:rFonts w:ascii="Cambria Math" w:hAnsi="Cambria Math" w:cstheme="minorBidi"/>
                                        <w:color w:val="000000" w:themeColor="text1"/>
                                        <w:sz w:val="22"/>
                                        <w:szCs w:val="22"/>
                                        <w:lang w:val="en-US"/>
                                      </w:rPr>
                                      <m:t> min{Precip1…Precip12</m:t>
                                    </m:r>
                                  </m:oMath>
                                  <w:r>
                                    <w:rPr>
                                      <w:rFonts w:asciiTheme="minorHAnsi" w:hAnsi="Calibri" w:cstheme="minorBidi"/>
                                      <w:color w:val="000000" w:themeColor="text1"/>
                                      <w:sz w:val="22"/>
                                      <w:szCs w:val="22"/>
                                    </w:rPr>
                                    <w:t>}</w:t>
                                  </w:r>
                                </w:p>
                              </w:txbxContent>
                            </wps:txbx>
                            <wps:bodyPr vertOverflow="clip" horzOverflow="clip" wrap="square" rtlCol="0" anchor="t">
                              <a:spAutoFit/>
                            </wps:bodyPr>
                          </wps:wsp>
                        </a:graphicData>
                      </a:graphic>
                      <wp14:sizeRelH relativeFrom="page">
                        <wp14:pctWidth>0</wp14:pctWidth>
                      </wp14:sizeRelH>
                      <wp14:sizeRelV relativeFrom="page">
                        <wp14:pctHeight>0</wp14:pctHeight>
                      </wp14:sizeRelV>
                    </wp:anchor>
                  </w:drawing>
                </mc:Choice>
                <mc:Fallback>
                  <w:pict>
                    <v:shape w14:anchorId="6CB7F426" id="Text Box 50" o:spid="_x0000_s1065" type="#_x0000_t202" style="position:absolute;left:0;text-align:left;margin-left:24.45pt;margin-top:-3.3pt;width:140.25pt;height:2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" filled="f" stroked="f">
                      <v:textbox style="mso-fit-shape-to-text:t">
                        <w:txbxContent>
                          <w:p w14:paraId="2EA2213E" w14:textId="77777777" w:rsidR="00906374" w:rsidRDefault="00906374" w:rsidP="00906374">
                            <w:pPr>
                              <w:pStyle w:val="NormalWeb"/>
                              <w:spacing w:before="0" w:beforeAutospacing="0" w:after="0" w:afterAutospacing="0"/>
                              <w:jc w:val="center"/>
                            </w:pPr>
                            <m:oMath>
                              <m:r>
                                <m:rPr>
                                  <m:sty m:val="p"/>
                                </m:rPr>
                                <w:rPr>
                                  <w:rFonts w:ascii="Cambria Math" w:hAnsi="Cambria Math" w:cstheme="minorBidi"/>
                                  <w:color w:val="000000" w:themeColor="text1"/>
                                  <w:sz w:val="22"/>
                                  <w:szCs w:val="22"/>
                                  <w:lang w:val="en-US"/>
                                </w:rPr>
                                <m:t> min{Precip1…Precip12</m:t>
                              </m:r>
                            </m:oMath>
                            <w:r>
                              <w:rPr>
                                <w:rFonts w:asciiTheme="minorHAnsi" w:hAnsi="Calibri" w:cstheme="minorBidi"/>
                                <w:color w:val="000000" w:themeColor="text1"/>
                                <w:sz w:val="22"/>
                                <w:szCs w:val="22"/>
                              </w:rPr>
                              <w:t>}</w:t>
                            </w:r>
                          </w:p>
                        </w:txbxContent>
                      </v:textbox>
                    </v:shape>
                  </w:pict>
                </mc:Fallback>
              </mc:AlternateContent>
            </w:r>
          </w:p>
        </w:tc>
        <w:tc>
          <w:tcPr>
            <w:tcW w:w="1529" w:type="dxa"/>
            <w:tcBorders>
              <w:top w:val="nil"/>
              <w:left w:val="nil"/>
              <w:bottom w:val="nil"/>
              <w:right w:val="nil"/>
            </w:tcBorders>
            <w:shd w:val="clear" w:color="auto" w:fill="auto"/>
            <w:vAlign w:val="center"/>
            <w:hideMark/>
          </w:tcPr>
          <w:p w14:paraId="4B4950B9" w14:textId="77777777" w:rsidR="00906374" w:rsidRPr="002E22A6" w:rsidRDefault="00906374" w:rsidP="00672286">
            <w:pPr>
              <w:jc w:val="center"/>
              <w:rPr>
                <w:rFonts w:ascii="Calibri" w:hAnsi="Calibri"/>
                <w:color w:val="000000"/>
                <w:sz w:val="20"/>
                <w:szCs w:val="20"/>
              </w:rPr>
            </w:pPr>
            <w:r w:rsidRPr="002E22A6">
              <w:rPr>
                <w:rFonts w:ascii="Calibri" w:hAnsi="Calibri"/>
                <w:color w:val="000000"/>
                <w:sz w:val="20"/>
                <w:szCs w:val="20"/>
              </w:rPr>
              <w:t xml:space="preserve">Donnell and </w:t>
            </w:r>
            <w:proofErr w:type="spellStart"/>
            <w:r w:rsidRPr="002E22A6">
              <w:rPr>
                <w:rFonts w:ascii="Calibri" w:hAnsi="Calibri"/>
                <w:color w:val="000000"/>
                <w:sz w:val="20"/>
                <w:szCs w:val="20"/>
              </w:rPr>
              <w:t>Ignizio</w:t>
            </w:r>
            <w:proofErr w:type="spellEnd"/>
            <w:r w:rsidRPr="002E22A6">
              <w:rPr>
                <w:rFonts w:ascii="Calibri" w:hAnsi="Calibri"/>
                <w:color w:val="000000"/>
                <w:sz w:val="20"/>
                <w:szCs w:val="20"/>
              </w:rPr>
              <w:t xml:space="preserve"> 2012</w:t>
            </w:r>
          </w:p>
        </w:tc>
      </w:tr>
      <w:tr w:rsidR="00906374" w:rsidRPr="00DA0872" w14:paraId="52AC9915" w14:textId="77777777" w:rsidTr="00672286">
        <w:trPr>
          <w:trHeight w:val="692"/>
        </w:trPr>
        <w:tc>
          <w:tcPr>
            <w:tcW w:w="1527" w:type="dxa"/>
            <w:tcBorders>
              <w:top w:val="nil"/>
              <w:left w:val="nil"/>
              <w:bottom w:val="nil"/>
              <w:right w:val="nil"/>
            </w:tcBorders>
            <w:shd w:val="clear" w:color="auto" w:fill="auto"/>
            <w:noWrap/>
            <w:vAlign w:val="center"/>
            <w:hideMark/>
          </w:tcPr>
          <w:p w14:paraId="6CB943F5"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Bio15</w:t>
            </w:r>
          </w:p>
        </w:tc>
        <w:tc>
          <w:tcPr>
            <w:tcW w:w="5419" w:type="dxa"/>
            <w:tcBorders>
              <w:top w:val="nil"/>
              <w:left w:val="nil"/>
              <w:bottom w:val="nil"/>
              <w:right w:val="nil"/>
            </w:tcBorders>
            <w:shd w:val="clear" w:color="auto" w:fill="auto"/>
            <w:noWrap/>
            <w:vAlign w:val="center"/>
            <w:hideMark/>
          </w:tcPr>
          <w:p w14:paraId="1A7106DE"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Precipitation Seasonality (Coefficient of Variation)</w:t>
            </w:r>
          </w:p>
        </w:tc>
        <w:tc>
          <w:tcPr>
            <w:tcW w:w="5602" w:type="dxa"/>
            <w:tcBorders>
              <w:top w:val="nil"/>
              <w:left w:val="nil"/>
              <w:bottom w:val="nil"/>
              <w:right w:val="nil"/>
            </w:tcBorders>
            <w:shd w:val="clear" w:color="auto" w:fill="auto"/>
            <w:noWrap/>
            <w:vAlign w:val="center"/>
            <w:hideMark/>
          </w:tcPr>
          <w:p w14:paraId="7D2125AC" w14:textId="77777777" w:rsidR="00906374" w:rsidRPr="00DA0872" w:rsidRDefault="00906374" w:rsidP="00672286">
            <w:pPr>
              <w:jc w:val="center"/>
              <w:rPr>
                <w:rFonts w:ascii="Calibri" w:hAnsi="Calibri"/>
                <w:color w:val="000000"/>
              </w:rPr>
            </w:pPr>
            <w:r>
              <w:rPr>
                <w:rFonts w:ascii="Calibri" w:hAnsi="Calibri"/>
                <w:noProof/>
                <w:color w:val="000000"/>
                <w:lang w:eastAsia="en-GB"/>
              </w:rPr>
              <mc:AlternateContent>
                <mc:Choice Requires="wps">
                  <w:drawing>
                    <wp:anchor distT="0" distB="0" distL="114300" distR="114300" simplePos="0" relativeHeight="251697152" behindDoc="0" locked="0" layoutInCell="1" allowOverlap="1" wp14:anchorId="6BB180AF" wp14:editId="13A29CEF">
                      <wp:simplePos x="0" y="0"/>
                      <wp:positionH relativeFrom="column">
                        <wp:posOffset>360680</wp:posOffset>
                      </wp:positionH>
                      <wp:positionV relativeFrom="paragraph">
                        <wp:posOffset>83185</wp:posOffset>
                      </wp:positionV>
                      <wp:extent cx="1781175" cy="419100"/>
                      <wp:effectExtent l="0" t="0" r="0" b="0"/>
                      <wp:wrapNone/>
                      <wp:docPr id="55" name="Text Box 55"/>
                      <wp:cNvGraphicFramePr/>
                      <a:graphic xmlns:a="http://schemas.openxmlformats.org/drawingml/2006/main">
                        <a:graphicData uri="http://schemas.microsoft.com/office/word/2010/wordprocessingShape">
                          <wps:wsp>
                            <wps:cNvSpPr txBox="1"/>
                            <wps:spPr>
                              <a:xfrm>
                                <a:off x="0" y="0"/>
                                <a:ext cx="1778000" cy="41275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5F96E91" w14:textId="77777777" w:rsidR="00906374" w:rsidRDefault="00000000" w:rsidP="00906374">
                                  <w:pPr>
                                    <w:pStyle w:val="NormalWeb"/>
                                    <w:spacing w:before="0" w:beforeAutospacing="0" w:after="0" w:afterAutospacing="0"/>
                                  </w:pPr>
                                  <m:oMath>
                                    <m:f>
                                      <m:fPr>
                                        <m:ctrlPr>
                                          <w:rPr>
                                            <w:rFonts w:ascii="Cambria Math" w:hAnsi="Cambria Math" w:cstheme="minorBidi"/>
                                            <w:i/>
                                            <w:iCs/>
                                            <w:color w:val="000000" w:themeColor="text1"/>
                                          </w:rPr>
                                        </m:ctrlPr>
                                      </m:fPr>
                                      <m:num>
                                        <m:r>
                                          <w:rPr>
                                            <w:rFonts w:ascii="Cambria Math" w:hAnsi="Cambria Math" w:cstheme="minorBidi"/>
                                            <w:color w:val="000000" w:themeColor="text1"/>
                                            <w:lang w:val="en-US"/>
                                          </w:rPr>
                                          <m:t>SD{Precip1…Precip12}</m:t>
                                        </m:r>
                                      </m:num>
                                      <m:den>
                                        <m:r>
                                          <w:rPr>
                                            <w:rFonts w:ascii="Cambria Math" w:hAnsi="Cambria Math" w:cstheme="minorBidi"/>
                                            <w:color w:val="000000" w:themeColor="text1"/>
                                            <w:lang w:val="en-US"/>
                                          </w:rPr>
                                          <m:t>1+Bio 12/12</m:t>
                                        </m:r>
                                      </m:den>
                                    </m:f>
                                  </m:oMath>
                                  <w:r w:rsidR="00906374">
                                    <w:rPr>
                                      <w:rFonts w:asciiTheme="minorHAnsi" w:hAnsi="Calibri" w:cstheme="minorBidi"/>
                                      <w:color w:val="000000" w:themeColor="text1"/>
                                      <w:sz w:val="22"/>
                                      <w:szCs w:val="22"/>
                                    </w:rPr>
                                    <w:t xml:space="preserve"> X 100</w:t>
                                  </w:r>
                                </w:p>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w:pict>
                    <v:shape w14:anchorId="6BB180AF" id="Text Box 55" o:spid="_x0000_s1066" type="#_x0000_t202" style="position:absolute;left:0;text-align:left;margin-left:28.4pt;margin-top:6.55pt;width:140.25pt;height:3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" filled="f" stroked="f">
                      <v:textbox>
                        <w:txbxContent>
                          <w:p w14:paraId="25F96E91" w14:textId="77777777" w:rsidR="00906374" w:rsidRDefault="00000000" w:rsidP="00906374">
                            <w:pPr>
                              <w:pStyle w:val="NormalWeb"/>
                              <w:spacing w:before="0" w:beforeAutospacing="0" w:after="0" w:afterAutospacing="0"/>
                            </w:pPr>
                            <m:oMath>
                              <m:f>
                                <m:fPr>
                                  <m:ctrlPr>
                                    <w:rPr>
                                      <w:rFonts w:ascii="Cambria Math" w:hAnsi="Cambria Math" w:cstheme="minorBidi"/>
                                      <w:i/>
                                      <w:iCs/>
                                      <w:color w:val="000000" w:themeColor="text1"/>
                                    </w:rPr>
                                  </m:ctrlPr>
                                </m:fPr>
                                <m:num>
                                  <m:r>
                                    <w:rPr>
                                      <w:rFonts w:ascii="Cambria Math" w:hAnsi="Cambria Math" w:cstheme="minorBidi"/>
                                      <w:color w:val="000000" w:themeColor="text1"/>
                                      <w:lang w:val="en-US"/>
                                    </w:rPr>
                                    <m:t>SD{Precip1…Precip12}</m:t>
                                  </m:r>
                                </m:num>
                                <m:den>
                                  <m:r>
                                    <w:rPr>
                                      <w:rFonts w:ascii="Cambria Math" w:hAnsi="Cambria Math" w:cstheme="minorBidi"/>
                                      <w:color w:val="000000" w:themeColor="text1"/>
                                      <w:lang w:val="en-US"/>
                                    </w:rPr>
                                    <m:t>1+Bio 12/12</m:t>
                                  </m:r>
                                </m:den>
                              </m:f>
                            </m:oMath>
                            <w:r w:rsidR="00906374">
                              <w:rPr>
                                <w:rFonts w:asciiTheme="minorHAnsi" w:hAnsi="Calibri" w:cstheme="minorBidi"/>
                                <w:color w:val="000000" w:themeColor="text1"/>
                                <w:sz w:val="22"/>
                                <w:szCs w:val="22"/>
                              </w:rPr>
                              <w:t xml:space="preserve"> X 100</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3226"/>
            </w:tblGrid>
            <w:tr w:rsidR="00906374" w:rsidRPr="00DA0872" w14:paraId="0A3AA0A9" w14:textId="77777777" w:rsidTr="00672286">
              <w:trPr>
                <w:trHeight w:val="692"/>
                <w:tblCellSpacing w:w="0" w:type="dxa"/>
              </w:trPr>
              <w:tc>
                <w:tcPr>
                  <w:tcW w:w="3226" w:type="dxa"/>
                  <w:tcBorders>
                    <w:top w:val="nil"/>
                    <w:left w:val="nil"/>
                    <w:bottom w:val="nil"/>
                    <w:right w:val="nil"/>
                  </w:tcBorders>
                  <w:shd w:val="clear" w:color="auto" w:fill="auto"/>
                  <w:vAlign w:val="center"/>
                  <w:hideMark/>
                </w:tcPr>
                <w:p w14:paraId="7BAF2C12" w14:textId="77777777" w:rsidR="00906374" w:rsidRPr="00DA0872" w:rsidRDefault="00906374" w:rsidP="00672286">
                  <w:pPr>
                    <w:jc w:val="center"/>
                    <w:rPr>
                      <w:rFonts w:ascii="Calibri" w:hAnsi="Calibri"/>
                      <w:color w:val="000000"/>
                    </w:rPr>
                  </w:pPr>
                </w:p>
              </w:tc>
            </w:tr>
          </w:tbl>
          <w:p w14:paraId="06321916" w14:textId="77777777" w:rsidR="00906374" w:rsidRPr="00DA0872" w:rsidRDefault="00906374" w:rsidP="00672286">
            <w:pPr>
              <w:jc w:val="center"/>
              <w:rPr>
                <w:rFonts w:ascii="Calibri" w:hAnsi="Calibri"/>
                <w:color w:val="000000"/>
              </w:rPr>
            </w:pPr>
          </w:p>
        </w:tc>
        <w:tc>
          <w:tcPr>
            <w:tcW w:w="1529" w:type="dxa"/>
            <w:tcBorders>
              <w:top w:val="nil"/>
              <w:left w:val="nil"/>
              <w:bottom w:val="nil"/>
              <w:right w:val="nil"/>
            </w:tcBorders>
            <w:shd w:val="clear" w:color="auto" w:fill="auto"/>
            <w:vAlign w:val="center"/>
            <w:hideMark/>
          </w:tcPr>
          <w:p w14:paraId="4AF9227B" w14:textId="77777777" w:rsidR="00906374" w:rsidRPr="002E22A6" w:rsidRDefault="00906374" w:rsidP="00672286">
            <w:pPr>
              <w:jc w:val="center"/>
              <w:rPr>
                <w:rFonts w:ascii="Calibri" w:hAnsi="Calibri"/>
                <w:color w:val="000000"/>
                <w:sz w:val="20"/>
                <w:szCs w:val="20"/>
              </w:rPr>
            </w:pPr>
            <w:r w:rsidRPr="002E22A6">
              <w:rPr>
                <w:rFonts w:ascii="Calibri" w:hAnsi="Calibri"/>
                <w:color w:val="000000"/>
                <w:sz w:val="20"/>
                <w:szCs w:val="20"/>
              </w:rPr>
              <w:t xml:space="preserve">Donnell and </w:t>
            </w:r>
            <w:proofErr w:type="spellStart"/>
            <w:r w:rsidRPr="002E22A6">
              <w:rPr>
                <w:rFonts w:ascii="Calibri" w:hAnsi="Calibri"/>
                <w:color w:val="000000"/>
                <w:sz w:val="20"/>
                <w:szCs w:val="20"/>
              </w:rPr>
              <w:t>Ignizio</w:t>
            </w:r>
            <w:proofErr w:type="spellEnd"/>
            <w:r w:rsidRPr="002E22A6">
              <w:rPr>
                <w:rFonts w:ascii="Calibri" w:hAnsi="Calibri"/>
                <w:color w:val="000000"/>
                <w:sz w:val="20"/>
                <w:szCs w:val="20"/>
              </w:rPr>
              <w:t xml:space="preserve"> 2012</w:t>
            </w:r>
          </w:p>
        </w:tc>
      </w:tr>
      <w:tr w:rsidR="00906374" w:rsidRPr="00DA0872" w14:paraId="0947E4ED" w14:textId="77777777" w:rsidTr="00672286">
        <w:trPr>
          <w:trHeight w:val="767"/>
        </w:trPr>
        <w:tc>
          <w:tcPr>
            <w:tcW w:w="1527" w:type="dxa"/>
            <w:tcBorders>
              <w:top w:val="nil"/>
              <w:left w:val="nil"/>
              <w:bottom w:val="nil"/>
              <w:right w:val="nil"/>
            </w:tcBorders>
            <w:shd w:val="clear" w:color="auto" w:fill="auto"/>
            <w:noWrap/>
            <w:vAlign w:val="center"/>
            <w:hideMark/>
          </w:tcPr>
          <w:p w14:paraId="427990A6"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lastRenderedPageBreak/>
              <w:t>Bio16</w:t>
            </w:r>
          </w:p>
        </w:tc>
        <w:tc>
          <w:tcPr>
            <w:tcW w:w="5419" w:type="dxa"/>
            <w:tcBorders>
              <w:top w:val="nil"/>
              <w:left w:val="nil"/>
              <w:bottom w:val="nil"/>
              <w:right w:val="nil"/>
            </w:tcBorders>
            <w:shd w:val="clear" w:color="auto" w:fill="auto"/>
            <w:noWrap/>
            <w:vAlign w:val="center"/>
            <w:hideMark/>
          </w:tcPr>
          <w:p w14:paraId="4CAEF7DC"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Precipitation of the Wettest Quarter</w:t>
            </w:r>
          </w:p>
        </w:tc>
        <w:tc>
          <w:tcPr>
            <w:tcW w:w="5602" w:type="dxa"/>
            <w:tcBorders>
              <w:top w:val="nil"/>
              <w:left w:val="nil"/>
              <w:bottom w:val="nil"/>
              <w:right w:val="nil"/>
            </w:tcBorders>
            <w:shd w:val="clear" w:color="auto" w:fill="auto"/>
            <w:vAlign w:val="center"/>
            <w:hideMark/>
          </w:tcPr>
          <w:p w14:paraId="6F679EAB" w14:textId="77777777" w:rsidR="00906374" w:rsidRPr="00DA0872" w:rsidRDefault="00906374" w:rsidP="00672286">
            <w:pPr>
              <w:jc w:val="center"/>
              <w:rPr>
                <w:rFonts w:ascii="Calibri" w:hAnsi="Calibri"/>
                <w:color w:val="000000"/>
                <w:sz w:val="20"/>
                <w:szCs w:val="20"/>
              </w:rPr>
            </w:pPr>
            <w:r w:rsidRPr="00DA0872">
              <w:rPr>
                <w:rFonts w:ascii="Calibri" w:hAnsi="Calibri"/>
                <w:color w:val="000000"/>
                <w:sz w:val="20"/>
                <w:szCs w:val="20"/>
              </w:rPr>
              <w:t>The maximum of 12 consecutive quarters' precipitation</w:t>
            </w:r>
          </w:p>
        </w:tc>
        <w:tc>
          <w:tcPr>
            <w:tcW w:w="1529" w:type="dxa"/>
            <w:tcBorders>
              <w:top w:val="nil"/>
              <w:left w:val="nil"/>
              <w:bottom w:val="nil"/>
              <w:right w:val="nil"/>
            </w:tcBorders>
            <w:shd w:val="clear" w:color="auto" w:fill="auto"/>
            <w:vAlign w:val="center"/>
            <w:hideMark/>
          </w:tcPr>
          <w:p w14:paraId="753EE79A" w14:textId="77777777" w:rsidR="00906374" w:rsidRPr="002E22A6" w:rsidRDefault="00906374" w:rsidP="00672286">
            <w:pPr>
              <w:jc w:val="center"/>
              <w:rPr>
                <w:rFonts w:ascii="Calibri" w:hAnsi="Calibri"/>
                <w:color w:val="000000"/>
                <w:sz w:val="20"/>
                <w:szCs w:val="20"/>
              </w:rPr>
            </w:pPr>
            <w:r w:rsidRPr="002E22A6">
              <w:rPr>
                <w:rFonts w:ascii="Calibri" w:hAnsi="Calibri"/>
                <w:color w:val="000000"/>
                <w:sz w:val="20"/>
                <w:szCs w:val="20"/>
              </w:rPr>
              <w:t xml:space="preserve">Donnell and </w:t>
            </w:r>
            <w:proofErr w:type="spellStart"/>
            <w:r w:rsidRPr="002E22A6">
              <w:rPr>
                <w:rFonts w:ascii="Calibri" w:hAnsi="Calibri"/>
                <w:color w:val="000000"/>
                <w:sz w:val="20"/>
                <w:szCs w:val="20"/>
              </w:rPr>
              <w:t>Ignizio</w:t>
            </w:r>
            <w:proofErr w:type="spellEnd"/>
            <w:r w:rsidRPr="002E22A6">
              <w:rPr>
                <w:rFonts w:ascii="Calibri" w:hAnsi="Calibri"/>
                <w:color w:val="000000"/>
                <w:sz w:val="20"/>
                <w:szCs w:val="20"/>
              </w:rPr>
              <w:t xml:space="preserve"> 2012</w:t>
            </w:r>
          </w:p>
        </w:tc>
      </w:tr>
      <w:tr w:rsidR="00906374" w:rsidRPr="00DA0872" w14:paraId="7108714C" w14:textId="77777777" w:rsidTr="00672286">
        <w:trPr>
          <w:trHeight w:val="511"/>
        </w:trPr>
        <w:tc>
          <w:tcPr>
            <w:tcW w:w="1527" w:type="dxa"/>
            <w:tcBorders>
              <w:top w:val="nil"/>
              <w:left w:val="nil"/>
              <w:bottom w:val="nil"/>
              <w:right w:val="nil"/>
            </w:tcBorders>
            <w:shd w:val="clear" w:color="auto" w:fill="auto"/>
            <w:noWrap/>
            <w:vAlign w:val="center"/>
            <w:hideMark/>
          </w:tcPr>
          <w:p w14:paraId="262613D1"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Bio17</w:t>
            </w:r>
          </w:p>
        </w:tc>
        <w:tc>
          <w:tcPr>
            <w:tcW w:w="5419" w:type="dxa"/>
            <w:tcBorders>
              <w:top w:val="nil"/>
              <w:left w:val="nil"/>
              <w:bottom w:val="nil"/>
              <w:right w:val="nil"/>
            </w:tcBorders>
            <w:shd w:val="clear" w:color="auto" w:fill="auto"/>
            <w:noWrap/>
            <w:vAlign w:val="center"/>
            <w:hideMark/>
          </w:tcPr>
          <w:p w14:paraId="1DD309DA"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Precipitation of the Driest Quarter</w:t>
            </w:r>
          </w:p>
        </w:tc>
        <w:tc>
          <w:tcPr>
            <w:tcW w:w="5602" w:type="dxa"/>
            <w:tcBorders>
              <w:top w:val="nil"/>
              <w:left w:val="nil"/>
              <w:bottom w:val="nil"/>
              <w:right w:val="nil"/>
            </w:tcBorders>
            <w:shd w:val="clear" w:color="auto" w:fill="auto"/>
            <w:vAlign w:val="center"/>
            <w:hideMark/>
          </w:tcPr>
          <w:p w14:paraId="442DAA44" w14:textId="77777777" w:rsidR="00906374" w:rsidRPr="00DA0872" w:rsidRDefault="00906374" w:rsidP="00672286">
            <w:pPr>
              <w:jc w:val="center"/>
              <w:rPr>
                <w:rFonts w:ascii="Calibri" w:hAnsi="Calibri"/>
                <w:color w:val="000000"/>
                <w:sz w:val="20"/>
                <w:szCs w:val="20"/>
              </w:rPr>
            </w:pPr>
            <w:r w:rsidRPr="00DA0872">
              <w:rPr>
                <w:rFonts w:ascii="Calibri" w:hAnsi="Calibri"/>
                <w:color w:val="000000"/>
                <w:sz w:val="20"/>
                <w:szCs w:val="20"/>
              </w:rPr>
              <w:t>The minimum of 12 consecutive quarters' precipitation</w:t>
            </w:r>
          </w:p>
        </w:tc>
        <w:tc>
          <w:tcPr>
            <w:tcW w:w="1529" w:type="dxa"/>
            <w:tcBorders>
              <w:top w:val="nil"/>
              <w:left w:val="nil"/>
              <w:bottom w:val="nil"/>
              <w:right w:val="nil"/>
            </w:tcBorders>
            <w:shd w:val="clear" w:color="auto" w:fill="auto"/>
            <w:vAlign w:val="center"/>
            <w:hideMark/>
          </w:tcPr>
          <w:p w14:paraId="26E9C3C7" w14:textId="77777777" w:rsidR="00906374" w:rsidRPr="002E22A6" w:rsidRDefault="00906374" w:rsidP="00672286">
            <w:pPr>
              <w:jc w:val="center"/>
              <w:rPr>
                <w:rFonts w:ascii="Calibri" w:hAnsi="Calibri"/>
                <w:color w:val="000000"/>
                <w:sz w:val="20"/>
                <w:szCs w:val="20"/>
              </w:rPr>
            </w:pPr>
            <w:r w:rsidRPr="002E22A6">
              <w:rPr>
                <w:rFonts w:ascii="Calibri" w:hAnsi="Calibri"/>
                <w:color w:val="000000"/>
                <w:sz w:val="20"/>
                <w:szCs w:val="20"/>
              </w:rPr>
              <w:t xml:space="preserve">Donnell and </w:t>
            </w:r>
            <w:proofErr w:type="spellStart"/>
            <w:r w:rsidRPr="002E22A6">
              <w:rPr>
                <w:rFonts w:ascii="Calibri" w:hAnsi="Calibri"/>
                <w:color w:val="000000"/>
                <w:sz w:val="20"/>
                <w:szCs w:val="20"/>
              </w:rPr>
              <w:t>Ignizio</w:t>
            </w:r>
            <w:proofErr w:type="spellEnd"/>
            <w:r w:rsidRPr="002E22A6">
              <w:rPr>
                <w:rFonts w:ascii="Calibri" w:hAnsi="Calibri"/>
                <w:color w:val="000000"/>
                <w:sz w:val="20"/>
                <w:szCs w:val="20"/>
              </w:rPr>
              <w:t xml:space="preserve"> 2012</w:t>
            </w:r>
          </w:p>
        </w:tc>
      </w:tr>
      <w:tr w:rsidR="00906374" w:rsidRPr="00DA0872" w14:paraId="09E48BE9" w14:textId="77777777" w:rsidTr="00672286">
        <w:trPr>
          <w:trHeight w:val="1652"/>
        </w:trPr>
        <w:tc>
          <w:tcPr>
            <w:tcW w:w="1527" w:type="dxa"/>
            <w:tcBorders>
              <w:top w:val="nil"/>
              <w:left w:val="nil"/>
              <w:bottom w:val="nil"/>
              <w:right w:val="nil"/>
            </w:tcBorders>
            <w:shd w:val="clear" w:color="auto" w:fill="auto"/>
            <w:noWrap/>
            <w:vAlign w:val="center"/>
            <w:hideMark/>
          </w:tcPr>
          <w:p w14:paraId="6BEF5FCD"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Bio18</w:t>
            </w:r>
          </w:p>
        </w:tc>
        <w:tc>
          <w:tcPr>
            <w:tcW w:w="5419" w:type="dxa"/>
            <w:tcBorders>
              <w:top w:val="nil"/>
              <w:left w:val="nil"/>
              <w:bottom w:val="nil"/>
              <w:right w:val="nil"/>
            </w:tcBorders>
            <w:shd w:val="clear" w:color="auto" w:fill="auto"/>
            <w:noWrap/>
            <w:vAlign w:val="center"/>
            <w:hideMark/>
          </w:tcPr>
          <w:p w14:paraId="593B2A97" w14:textId="77777777" w:rsidR="00906374" w:rsidRPr="001E65D6" w:rsidRDefault="00906374" w:rsidP="00672286">
            <w:pPr>
              <w:jc w:val="center"/>
              <w:rPr>
                <w:rFonts w:ascii="Calibri" w:hAnsi="Calibri"/>
                <w:color w:val="000000"/>
                <w:sz w:val="22"/>
                <w:szCs w:val="22"/>
              </w:rPr>
            </w:pPr>
          </w:p>
          <w:tbl>
            <w:tblPr>
              <w:tblW w:w="0" w:type="auto"/>
              <w:tblCellSpacing w:w="0" w:type="dxa"/>
              <w:tblCellMar>
                <w:left w:w="0" w:type="dxa"/>
                <w:right w:w="0" w:type="dxa"/>
              </w:tblCellMar>
              <w:tblLook w:val="04A0" w:firstRow="1" w:lastRow="0" w:firstColumn="1" w:lastColumn="0" w:noHBand="0" w:noVBand="1"/>
            </w:tblPr>
            <w:tblGrid>
              <w:gridCol w:w="5710"/>
            </w:tblGrid>
            <w:tr w:rsidR="00906374" w:rsidRPr="00A47043" w14:paraId="50C4B181" w14:textId="77777777" w:rsidTr="00672286">
              <w:trPr>
                <w:trHeight w:val="1655"/>
                <w:tblCellSpacing w:w="0" w:type="dxa"/>
              </w:trPr>
              <w:tc>
                <w:tcPr>
                  <w:tcW w:w="5710" w:type="dxa"/>
                  <w:tcBorders>
                    <w:top w:val="nil"/>
                    <w:left w:val="nil"/>
                    <w:bottom w:val="nil"/>
                    <w:right w:val="nil"/>
                  </w:tcBorders>
                  <w:shd w:val="clear" w:color="auto" w:fill="auto"/>
                  <w:noWrap/>
                  <w:vAlign w:val="center"/>
                  <w:hideMark/>
                </w:tcPr>
                <w:p w14:paraId="4DDDCB15"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Precipitation of the Warmest Quarter</w:t>
                  </w:r>
                </w:p>
              </w:tc>
            </w:tr>
          </w:tbl>
          <w:p w14:paraId="24DA89A4" w14:textId="77777777" w:rsidR="00906374" w:rsidRPr="001E65D6" w:rsidRDefault="00906374" w:rsidP="00672286">
            <w:pPr>
              <w:jc w:val="center"/>
              <w:rPr>
                <w:rFonts w:ascii="Calibri" w:hAnsi="Calibri"/>
                <w:color w:val="000000"/>
                <w:sz w:val="22"/>
                <w:szCs w:val="22"/>
              </w:rPr>
            </w:pPr>
          </w:p>
        </w:tc>
        <w:tc>
          <w:tcPr>
            <w:tcW w:w="5602" w:type="dxa"/>
            <w:tcBorders>
              <w:top w:val="nil"/>
              <w:left w:val="nil"/>
              <w:bottom w:val="nil"/>
              <w:right w:val="nil"/>
            </w:tcBorders>
            <w:shd w:val="clear" w:color="auto" w:fill="auto"/>
            <w:vAlign w:val="center"/>
            <w:hideMark/>
          </w:tcPr>
          <w:p w14:paraId="6EDF2201" w14:textId="77777777" w:rsidR="00906374" w:rsidRPr="00DA0872" w:rsidRDefault="00906374" w:rsidP="00672286">
            <w:pPr>
              <w:jc w:val="center"/>
              <w:rPr>
                <w:rFonts w:ascii="Calibri" w:hAnsi="Calibri"/>
                <w:color w:val="000000"/>
                <w:sz w:val="20"/>
                <w:szCs w:val="20"/>
              </w:rPr>
            </w:pPr>
            <w:r>
              <w:rPr>
                <w:rFonts w:ascii="Calibri" w:hAnsi="Calibri"/>
                <w:noProof/>
                <w:color w:val="000000"/>
                <w:lang w:eastAsia="en-GB"/>
              </w:rPr>
              <mc:AlternateContent>
                <mc:Choice Requires="wps">
                  <w:drawing>
                    <wp:anchor distT="0" distB="0" distL="114300" distR="114300" simplePos="0" relativeHeight="251699200" behindDoc="0" locked="0" layoutInCell="1" allowOverlap="1" wp14:anchorId="606B2AE7" wp14:editId="0A59D4F6">
                      <wp:simplePos x="0" y="0"/>
                      <wp:positionH relativeFrom="column">
                        <wp:posOffset>325755</wp:posOffset>
                      </wp:positionH>
                      <wp:positionV relativeFrom="paragraph">
                        <wp:posOffset>283210</wp:posOffset>
                      </wp:positionV>
                      <wp:extent cx="1781175" cy="45720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781175" cy="45720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16AFEFD" w14:textId="77777777" w:rsidR="00906374" w:rsidRDefault="00000000" w:rsidP="00906374">
                                  <w:pPr>
                                    <w:pStyle w:val="NormalWeb"/>
                                    <w:spacing w:before="0" w:beforeAutospacing="0" w:after="0" w:afterAutospacing="0"/>
                                  </w:pPr>
                                  <m:oMathPara>
                                    <m:oMathParaPr>
                                      <m:jc m:val="centerGroup"/>
                                    </m:oMathParaPr>
                                    <m:oMath>
                                      <m:f>
                                        <m:fPr>
                                          <m:ctrlPr>
                                            <w:rPr>
                                              <w:rFonts w:ascii="Cambria Math" w:hAnsi="Cambria Math" w:cstheme="minorBidi"/>
                                              <w:i/>
                                              <w:iCs/>
                                              <w:color w:val="000000" w:themeColor="text1"/>
                                              <w:sz w:val="22"/>
                                              <w:szCs w:val="22"/>
                                            </w:rPr>
                                          </m:ctrlPr>
                                        </m:fPr>
                                        <m:num>
                                          <m:nary>
                                            <m:naryPr>
                                              <m:chr m:val="∑"/>
                                              <m:ctrlPr>
                                                <w:rPr>
                                                  <w:rFonts w:ascii="Cambria Math" w:hAnsi="Cambria Math" w:cstheme="minorBidi"/>
                                                  <w:i/>
                                                  <w:iCs/>
                                                  <w:color w:val="000000" w:themeColor="text1"/>
                                                  <w:sz w:val="22"/>
                                                  <w:szCs w:val="22"/>
                                                </w:rPr>
                                              </m:ctrlPr>
                                            </m:naryPr>
                                            <m:sub>
                                              <m:r>
                                                <w:rPr>
                                                  <w:rFonts w:ascii="Cambria Math" w:hAnsi="Cambria Math" w:cstheme="minorBidi"/>
                                                  <w:color w:val="000000" w:themeColor="text1"/>
                                                  <w:sz w:val="22"/>
                                                  <w:szCs w:val="22"/>
                                                  <w:lang w:val="en-US"/>
                                                </w:rPr>
                                                <m:t>1</m:t>
                                              </m:r>
                                            </m:sub>
                                            <m:sup>
                                              <m:r>
                                                <w:rPr>
                                                  <w:rFonts w:ascii="Cambria Math" w:hAnsi="Cambria Math" w:cstheme="minorBidi"/>
                                                  <w:color w:val="000000" w:themeColor="text1"/>
                                                  <w:sz w:val="22"/>
                                                  <w:szCs w:val="22"/>
                                                  <w:lang w:val="en-US"/>
                                                </w:rPr>
                                                <m:t>3</m:t>
                                              </m:r>
                                            </m:sup>
                                            <m:e>
                                              <m:r>
                                                <w:rPr>
                                                  <w:rFonts w:ascii="Cambria Math" w:hAnsi="Cambria Math" w:cstheme="minorBidi"/>
                                                  <w:color w:val="000000" w:themeColor="text1"/>
                                                  <w:sz w:val="22"/>
                                                  <w:szCs w:val="22"/>
                                                  <w:lang w:val="en-US"/>
                                                </w:rPr>
                                                <m:t>Precip</m:t>
                                              </m:r>
                                            </m:e>
                                          </m:nary>
                                        </m:num>
                                        <m:den>
                                          <m:r>
                                            <w:rPr>
                                              <w:rFonts w:ascii="Cambria Math" w:hAnsi="Cambria Math" w:cstheme="minorBidi"/>
                                              <w:color w:val="000000" w:themeColor="text1"/>
                                              <w:sz w:val="22"/>
                                              <w:szCs w:val="22"/>
                                              <w:lang w:val="en-US"/>
                                            </w:rPr>
                                            <m:t>3</m:t>
                                          </m:r>
                                        </m:den>
                                      </m:f>
                                    </m:oMath>
                                  </m:oMathPara>
                                </w:p>
                              </w:txbxContent>
                            </wps:txbx>
                            <wps:bodyPr vertOverflow="clip" horzOverflow="clip" wrap="square" rtlCol="0" anchor="t">
                              <a:spAutoFit/>
                            </wps:bodyPr>
                          </wps:wsp>
                        </a:graphicData>
                      </a:graphic>
                      <wp14:sizeRelH relativeFrom="page">
                        <wp14:pctWidth>0</wp14:pctWidth>
                      </wp14:sizeRelH>
                      <wp14:sizeRelV relativeFrom="page">
                        <wp14:pctHeight>0</wp14:pctHeight>
                      </wp14:sizeRelV>
                    </wp:anchor>
                  </w:drawing>
                </mc:Choice>
                <mc:Fallback>
                  <w:pict>
                    <v:shape w14:anchorId="606B2AE7" id="Text Box 56" o:spid="_x0000_s1067" type="#_x0000_t202" style="position:absolute;left:0;text-align:left;margin-left:25.65pt;margin-top:22.3pt;width:140.25pt;height:3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" filled="f" stroked="f">
                      <v:textbox style="mso-fit-shape-to-text:t">
                        <w:txbxContent>
                          <w:p w14:paraId="216AFEFD" w14:textId="77777777" w:rsidR="00906374" w:rsidRDefault="00000000" w:rsidP="00906374">
                            <w:pPr>
                              <w:pStyle w:val="NormalWeb"/>
                              <w:spacing w:before="0" w:beforeAutospacing="0" w:after="0" w:afterAutospacing="0"/>
                            </w:pPr>
                            <m:oMathPara>
                              <m:oMathParaPr>
                                <m:jc m:val="centerGroup"/>
                              </m:oMathParaPr>
                              <m:oMath>
                                <m:f>
                                  <m:fPr>
                                    <m:ctrlPr>
                                      <w:rPr>
                                        <w:rFonts w:ascii="Cambria Math" w:hAnsi="Cambria Math" w:cstheme="minorBidi"/>
                                        <w:i/>
                                        <w:iCs/>
                                        <w:color w:val="000000" w:themeColor="text1"/>
                                        <w:sz w:val="22"/>
                                        <w:szCs w:val="22"/>
                                      </w:rPr>
                                    </m:ctrlPr>
                                  </m:fPr>
                                  <m:num>
                                    <m:nary>
                                      <m:naryPr>
                                        <m:chr m:val="∑"/>
                                        <m:ctrlPr>
                                          <w:rPr>
                                            <w:rFonts w:ascii="Cambria Math" w:hAnsi="Cambria Math" w:cstheme="minorBidi"/>
                                            <w:i/>
                                            <w:iCs/>
                                            <w:color w:val="000000" w:themeColor="text1"/>
                                            <w:sz w:val="22"/>
                                            <w:szCs w:val="22"/>
                                          </w:rPr>
                                        </m:ctrlPr>
                                      </m:naryPr>
                                      <m:sub>
                                        <m:r>
                                          <w:rPr>
                                            <w:rFonts w:ascii="Cambria Math" w:hAnsi="Cambria Math" w:cstheme="minorBidi"/>
                                            <w:color w:val="000000" w:themeColor="text1"/>
                                            <w:sz w:val="22"/>
                                            <w:szCs w:val="22"/>
                                            <w:lang w:val="en-US"/>
                                          </w:rPr>
                                          <m:t>1</m:t>
                                        </m:r>
                                      </m:sub>
                                      <m:sup>
                                        <m:r>
                                          <w:rPr>
                                            <w:rFonts w:ascii="Cambria Math" w:hAnsi="Cambria Math" w:cstheme="minorBidi"/>
                                            <w:color w:val="000000" w:themeColor="text1"/>
                                            <w:sz w:val="22"/>
                                            <w:szCs w:val="22"/>
                                            <w:lang w:val="en-US"/>
                                          </w:rPr>
                                          <m:t>3</m:t>
                                        </m:r>
                                      </m:sup>
                                      <m:e>
                                        <m:r>
                                          <w:rPr>
                                            <w:rFonts w:ascii="Cambria Math" w:hAnsi="Cambria Math" w:cstheme="minorBidi"/>
                                            <w:color w:val="000000" w:themeColor="text1"/>
                                            <w:sz w:val="22"/>
                                            <w:szCs w:val="22"/>
                                            <w:lang w:val="en-US"/>
                                          </w:rPr>
                                          <m:t>Precip</m:t>
                                        </m:r>
                                      </m:e>
                                    </m:nary>
                                  </m:num>
                                  <m:den>
                                    <m:r>
                                      <w:rPr>
                                        <w:rFonts w:ascii="Cambria Math" w:hAnsi="Cambria Math" w:cstheme="minorBidi"/>
                                        <w:color w:val="000000" w:themeColor="text1"/>
                                        <w:sz w:val="22"/>
                                        <w:szCs w:val="22"/>
                                        <w:lang w:val="en-US"/>
                                      </w:rPr>
                                      <m:t>3</m:t>
                                    </m:r>
                                  </m:den>
                                </m:f>
                              </m:oMath>
                            </m:oMathPara>
                          </w:p>
                        </w:txbxContent>
                      </v:textbox>
                    </v:shape>
                  </w:pict>
                </mc:Fallback>
              </mc:AlternateContent>
            </w:r>
            <w:r w:rsidRPr="00DA0872">
              <w:rPr>
                <w:rFonts w:ascii="Calibri" w:hAnsi="Calibri"/>
                <w:color w:val="000000"/>
                <w:sz w:val="20"/>
                <w:szCs w:val="20"/>
              </w:rPr>
              <w:t>The maximum of 12 consecutive quarters' mean temperature are first calculated then:</w:t>
            </w:r>
          </w:p>
        </w:tc>
        <w:tc>
          <w:tcPr>
            <w:tcW w:w="1529" w:type="dxa"/>
            <w:tcBorders>
              <w:top w:val="nil"/>
              <w:left w:val="nil"/>
              <w:bottom w:val="nil"/>
              <w:right w:val="nil"/>
            </w:tcBorders>
            <w:shd w:val="clear" w:color="auto" w:fill="auto"/>
            <w:vAlign w:val="center"/>
            <w:hideMark/>
          </w:tcPr>
          <w:p w14:paraId="012880DF" w14:textId="77777777" w:rsidR="00906374" w:rsidRPr="002E22A6" w:rsidRDefault="00906374" w:rsidP="00672286">
            <w:pPr>
              <w:jc w:val="center"/>
              <w:rPr>
                <w:rFonts w:ascii="Calibri" w:hAnsi="Calibri"/>
                <w:color w:val="000000"/>
                <w:sz w:val="20"/>
                <w:szCs w:val="20"/>
              </w:rPr>
            </w:pPr>
            <w:r w:rsidRPr="002E22A6">
              <w:rPr>
                <w:rFonts w:ascii="Calibri" w:hAnsi="Calibri"/>
                <w:color w:val="000000"/>
                <w:sz w:val="20"/>
                <w:szCs w:val="20"/>
              </w:rPr>
              <w:t xml:space="preserve">Donnell and </w:t>
            </w:r>
            <w:proofErr w:type="spellStart"/>
            <w:r w:rsidRPr="002E22A6">
              <w:rPr>
                <w:rFonts w:ascii="Calibri" w:hAnsi="Calibri"/>
                <w:color w:val="000000"/>
                <w:sz w:val="20"/>
                <w:szCs w:val="20"/>
              </w:rPr>
              <w:t>Ignizio</w:t>
            </w:r>
            <w:proofErr w:type="spellEnd"/>
            <w:r w:rsidRPr="002E22A6">
              <w:rPr>
                <w:rFonts w:ascii="Calibri" w:hAnsi="Calibri"/>
                <w:color w:val="000000"/>
                <w:sz w:val="20"/>
                <w:szCs w:val="20"/>
              </w:rPr>
              <w:t xml:space="preserve"> 2012</w:t>
            </w:r>
          </w:p>
        </w:tc>
      </w:tr>
      <w:tr w:rsidR="00906374" w:rsidRPr="00DA0872" w14:paraId="778C511E" w14:textId="77777777" w:rsidTr="00672286">
        <w:trPr>
          <w:trHeight w:val="1354"/>
        </w:trPr>
        <w:tc>
          <w:tcPr>
            <w:tcW w:w="1527" w:type="dxa"/>
            <w:tcBorders>
              <w:top w:val="nil"/>
              <w:left w:val="nil"/>
              <w:bottom w:val="nil"/>
              <w:right w:val="nil"/>
            </w:tcBorders>
            <w:shd w:val="clear" w:color="auto" w:fill="auto"/>
            <w:noWrap/>
            <w:vAlign w:val="center"/>
            <w:hideMark/>
          </w:tcPr>
          <w:p w14:paraId="1FD81329"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Bio19</w:t>
            </w:r>
          </w:p>
        </w:tc>
        <w:tc>
          <w:tcPr>
            <w:tcW w:w="5419" w:type="dxa"/>
            <w:tcBorders>
              <w:top w:val="nil"/>
              <w:left w:val="nil"/>
              <w:bottom w:val="nil"/>
              <w:right w:val="nil"/>
            </w:tcBorders>
            <w:shd w:val="clear" w:color="auto" w:fill="auto"/>
            <w:noWrap/>
            <w:vAlign w:val="center"/>
            <w:hideMark/>
          </w:tcPr>
          <w:p w14:paraId="3F63BCA3"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Precipitation of the Coldest Quarter</w:t>
            </w:r>
          </w:p>
        </w:tc>
        <w:tc>
          <w:tcPr>
            <w:tcW w:w="5602" w:type="dxa"/>
            <w:tcBorders>
              <w:top w:val="nil"/>
              <w:left w:val="nil"/>
              <w:bottom w:val="nil"/>
              <w:right w:val="nil"/>
            </w:tcBorders>
            <w:shd w:val="clear" w:color="auto" w:fill="auto"/>
            <w:vAlign w:val="center"/>
            <w:hideMark/>
          </w:tcPr>
          <w:p w14:paraId="704885E7" w14:textId="77777777" w:rsidR="00906374" w:rsidRPr="00DA0872" w:rsidRDefault="00906374" w:rsidP="00672286">
            <w:pPr>
              <w:jc w:val="center"/>
              <w:rPr>
                <w:rFonts w:ascii="Calibri" w:hAnsi="Calibri"/>
                <w:color w:val="000000"/>
                <w:sz w:val="20"/>
                <w:szCs w:val="20"/>
              </w:rPr>
            </w:pPr>
            <w:r>
              <w:rPr>
                <w:rFonts w:ascii="Calibri" w:hAnsi="Calibri"/>
                <w:noProof/>
                <w:color w:val="000000"/>
                <w:lang w:eastAsia="en-GB"/>
              </w:rPr>
              <mc:AlternateContent>
                <mc:Choice Requires="wps">
                  <w:drawing>
                    <wp:anchor distT="0" distB="0" distL="114300" distR="114300" simplePos="0" relativeHeight="251698176" behindDoc="0" locked="0" layoutInCell="1" allowOverlap="1" wp14:anchorId="334B8A34" wp14:editId="7401C681">
                      <wp:simplePos x="0" y="0"/>
                      <wp:positionH relativeFrom="column">
                        <wp:posOffset>360045</wp:posOffset>
                      </wp:positionH>
                      <wp:positionV relativeFrom="paragraph">
                        <wp:posOffset>304800</wp:posOffset>
                      </wp:positionV>
                      <wp:extent cx="1781175" cy="457200"/>
                      <wp:effectExtent l="0" t="0" r="0" b="0"/>
                      <wp:wrapNone/>
                      <wp:docPr id="57" name="Text Box 57"/>
                      <wp:cNvGraphicFramePr/>
                      <a:graphic xmlns:a="http://schemas.openxmlformats.org/drawingml/2006/main">
                        <a:graphicData uri="http://schemas.microsoft.com/office/word/2010/wordprocessingShape">
                          <wps:wsp>
                            <wps:cNvSpPr txBox="1"/>
                            <wps:spPr>
                              <a:xfrm>
                                <a:off x="0" y="0"/>
                                <a:ext cx="1781175" cy="45720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0D1EAE8" w14:textId="77777777" w:rsidR="00906374" w:rsidRDefault="00000000" w:rsidP="00906374">
                                  <w:pPr>
                                    <w:pStyle w:val="NormalWeb"/>
                                    <w:spacing w:before="0" w:beforeAutospacing="0" w:after="0" w:afterAutospacing="0"/>
                                  </w:pPr>
                                  <m:oMathPara>
                                    <m:oMathParaPr>
                                      <m:jc m:val="centerGroup"/>
                                    </m:oMathParaPr>
                                    <m:oMath>
                                      <m:f>
                                        <m:fPr>
                                          <m:ctrlPr>
                                            <w:rPr>
                                              <w:rFonts w:ascii="Cambria Math" w:hAnsi="Cambria Math" w:cstheme="minorBidi"/>
                                              <w:i/>
                                              <w:iCs/>
                                              <w:color w:val="000000" w:themeColor="text1"/>
                                              <w:sz w:val="22"/>
                                              <w:szCs w:val="22"/>
                                            </w:rPr>
                                          </m:ctrlPr>
                                        </m:fPr>
                                        <m:num>
                                          <m:nary>
                                            <m:naryPr>
                                              <m:chr m:val="∑"/>
                                              <m:ctrlPr>
                                                <w:rPr>
                                                  <w:rFonts w:ascii="Cambria Math" w:hAnsi="Cambria Math" w:cstheme="minorBidi"/>
                                                  <w:i/>
                                                  <w:iCs/>
                                                  <w:color w:val="000000" w:themeColor="text1"/>
                                                  <w:sz w:val="22"/>
                                                  <w:szCs w:val="22"/>
                                                </w:rPr>
                                              </m:ctrlPr>
                                            </m:naryPr>
                                            <m:sub>
                                              <m:r>
                                                <w:rPr>
                                                  <w:rFonts w:ascii="Cambria Math" w:hAnsi="Cambria Math" w:cstheme="minorBidi"/>
                                                  <w:color w:val="000000" w:themeColor="text1"/>
                                                  <w:sz w:val="22"/>
                                                  <w:szCs w:val="22"/>
                                                  <w:lang w:val="en-US"/>
                                                </w:rPr>
                                                <m:t>1</m:t>
                                              </m:r>
                                            </m:sub>
                                            <m:sup>
                                              <m:r>
                                                <w:rPr>
                                                  <w:rFonts w:ascii="Cambria Math" w:hAnsi="Cambria Math" w:cstheme="minorBidi"/>
                                                  <w:color w:val="000000" w:themeColor="text1"/>
                                                  <w:sz w:val="22"/>
                                                  <w:szCs w:val="22"/>
                                                  <w:lang w:val="en-US"/>
                                                </w:rPr>
                                                <m:t>3</m:t>
                                              </m:r>
                                            </m:sup>
                                            <m:e>
                                              <m:r>
                                                <w:rPr>
                                                  <w:rFonts w:ascii="Cambria Math" w:hAnsi="Cambria Math" w:cstheme="minorBidi"/>
                                                  <w:color w:val="000000" w:themeColor="text1"/>
                                                  <w:sz w:val="22"/>
                                                  <w:szCs w:val="22"/>
                                                  <w:lang w:val="en-US"/>
                                                </w:rPr>
                                                <m:t>Precip</m:t>
                                              </m:r>
                                            </m:e>
                                          </m:nary>
                                        </m:num>
                                        <m:den>
                                          <m:r>
                                            <w:rPr>
                                              <w:rFonts w:ascii="Cambria Math" w:hAnsi="Cambria Math" w:cstheme="minorBidi"/>
                                              <w:color w:val="000000" w:themeColor="text1"/>
                                              <w:sz w:val="22"/>
                                              <w:szCs w:val="22"/>
                                              <w:lang w:val="en-US"/>
                                            </w:rPr>
                                            <m:t>3</m:t>
                                          </m:r>
                                        </m:den>
                                      </m:f>
                                    </m:oMath>
                                  </m:oMathPara>
                                </w:p>
                              </w:txbxContent>
                            </wps:txbx>
                            <wps:bodyPr vertOverflow="clip" horzOverflow="clip" wrap="square" rtlCol="0" anchor="t">
                              <a:spAutoFit/>
                            </wps:bodyPr>
                          </wps:wsp>
                        </a:graphicData>
                      </a:graphic>
                      <wp14:sizeRelH relativeFrom="page">
                        <wp14:pctWidth>0</wp14:pctWidth>
                      </wp14:sizeRelH>
                      <wp14:sizeRelV relativeFrom="page">
                        <wp14:pctHeight>0</wp14:pctHeight>
                      </wp14:sizeRelV>
                    </wp:anchor>
                  </w:drawing>
                </mc:Choice>
                <mc:Fallback>
                  <w:pict>
                    <v:shape w14:anchorId="334B8A34" id="Text Box 57" o:spid="_x0000_s1068" type="#_x0000_t202" style="position:absolute;left:0;text-align:left;margin-left:28.35pt;margin-top:24pt;width:140.25pt;height:3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" filled="f" stroked="f">
                      <v:textbox style="mso-fit-shape-to-text:t">
                        <w:txbxContent>
                          <w:p w14:paraId="40D1EAE8" w14:textId="77777777" w:rsidR="00906374" w:rsidRDefault="00000000" w:rsidP="00906374">
                            <w:pPr>
                              <w:pStyle w:val="NormalWeb"/>
                              <w:spacing w:before="0" w:beforeAutospacing="0" w:after="0" w:afterAutospacing="0"/>
                            </w:pPr>
                            <m:oMathPara>
                              <m:oMathParaPr>
                                <m:jc m:val="centerGroup"/>
                              </m:oMathParaPr>
                              <m:oMath>
                                <m:f>
                                  <m:fPr>
                                    <m:ctrlPr>
                                      <w:rPr>
                                        <w:rFonts w:ascii="Cambria Math" w:hAnsi="Cambria Math" w:cstheme="minorBidi"/>
                                        <w:i/>
                                        <w:iCs/>
                                        <w:color w:val="000000" w:themeColor="text1"/>
                                        <w:sz w:val="22"/>
                                        <w:szCs w:val="22"/>
                                      </w:rPr>
                                    </m:ctrlPr>
                                  </m:fPr>
                                  <m:num>
                                    <m:nary>
                                      <m:naryPr>
                                        <m:chr m:val="∑"/>
                                        <m:ctrlPr>
                                          <w:rPr>
                                            <w:rFonts w:ascii="Cambria Math" w:hAnsi="Cambria Math" w:cstheme="minorBidi"/>
                                            <w:i/>
                                            <w:iCs/>
                                            <w:color w:val="000000" w:themeColor="text1"/>
                                            <w:sz w:val="22"/>
                                            <w:szCs w:val="22"/>
                                          </w:rPr>
                                        </m:ctrlPr>
                                      </m:naryPr>
                                      <m:sub>
                                        <m:r>
                                          <w:rPr>
                                            <w:rFonts w:ascii="Cambria Math" w:hAnsi="Cambria Math" w:cstheme="minorBidi"/>
                                            <w:color w:val="000000" w:themeColor="text1"/>
                                            <w:sz w:val="22"/>
                                            <w:szCs w:val="22"/>
                                            <w:lang w:val="en-US"/>
                                          </w:rPr>
                                          <m:t>1</m:t>
                                        </m:r>
                                      </m:sub>
                                      <m:sup>
                                        <m:r>
                                          <w:rPr>
                                            <w:rFonts w:ascii="Cambria Math" w:hAnsi="Cambria Math" w:cstheme="minorBidi"/>
                                            <w:color w:val="000000" w:themeColor="text1"/>
                                            <w:sz w:val="22"/>
                                            <w:szCs w:val="22"/>
                                            <w:lang w:val="en-US"/>
                                          </w:rPr>
                                          <m:t>3</m:t>
                                        </m:r>
                                      </m:sup>
                                      <m:e>
                                        <m:r>
                                          <w:rPr>
                                            <w:rFonts w:ascii="Cambria Math" w:hAnsi="Cambria Math" w:cstheme="minorBidi"/>
                                            <w:color w:val="000000" w:themeColor="text1"/>
                                            <w:sz w:val="22"/>
                                            <w:szCs w:val="22"/>
                                            <w:lang w:val="en-US"/>
                                          </w:rPr>
                                          <m:t>Precip</m:t>
                                        </m:r>
                                      </m:e>
                                    </m:nary>
                                  </m:num>
                                  <m:den>
                                    <m:r>
                                      <w:rPr>
                                        <w:rFonts w:ascii="Cambria Math" w:hAnsi="Cambria Math" w:cstheme="minorBidi"/>
                                        <w:color w:val="000000" w:themeColor="text1"/>
                                        <w:sz w:val="22"/>
                                        <w:szCs w:val="22"/>
                                        <w:lang w:val="en-US"/>
                                      </w:rPr>
                                      <m:t>3</m:t>
                                    </m:r>
                                  </m:den>
                                </m:f>
                              </m:oMath>
                            </m:oMathPara>
                          </w:p>
                        </w:txbxContent>
                      </v:textbox>
                    </v:shape>
                  </w:pict>
                </mc:Fallback>
              </mc:AlternateContent>
            </w:r>
            <w:r w:rsidRPr="00DA0872">
              <w:rPr>
                <w:rFonts w:ascii="Calibri" w:hAnsi="Calibri"/>
                <w:color w:val="000000"/>
                <w:sz w:val="20"/>
                <w:szCs w:val="20"/>
              </w:rPr>
              <w:t>The minimum of 12 consecutive quarters' mean temperature are first calculated then:</w:t>
            </w:r>
          </w:p>
        </w:tc>
        <w:tc>
          <w:tcPr>
            <w:tcW w:w="1529" w:type="dxa"/>
            <w:tcBorders>
              <w:top w:val="nil"/>
              <w:left w:val="nil"/>
              <w:bottom w:val="nil"/>
              <w:right w:val="nil"/>
            </w:tcBorders>
            <w:shd w:val="clear" w:color="auto" w:fill="auto"/>
            <w:vAlign w:val="center"/>
            <w:hideMark/>
          </w:tcPr>
          <w:p w14:paraId="2945D86B" w14:textId="77777777" w:rsidR="00906374" w:rsidRPr="002E22A6" w:rsidRDefault="00906374" w:rsidP="00672286">
            <w:pPr>
              <w:jc w:val="center"/>
              <w:rPr>
                <w:rFonts w:ascii="Calibri" w:hAnsi="Calibri"/>
                <w:color w:val="000000"/>
                <w:sz w:val="20"/>
                <w:szCs w:val="20"/>
              </w:rPr>
            </w:pPr>
            <w:r w:rsidRPr="002E22A6">
              <w:rPr>
                <w:rFonts w:ascii="Calibri" w:hAnsi="Calibri"/>
                <w:color w:val="000000"/>
                <w:sz w:val="20"/>
                <w:szCs w:val="20"/>
              </w:rPr>
              <w:t xml:space="preserve">Donnell and </w:t>
            </w:r>
            <w:proofErr w:type="spellStart"/>
            <w:r w:rsidRPr="002E22A6">
              <w:rPr>
                <w:rFonts w:ascii="Calibri" w:hAnsi="Calibri"/>
                <w:color w:val="000000"/>
                <w:sz w:val="20"/>
                <w:szCs w:val="20"/>
              </w:rPr>
              <w:t>Ignizio</w:t>
            </w:r>
            <w:proofErr w:type="spellEnd"/>
            <w:r w:rsidRPr="002E22A6">
              <w:rPr>
                <w:rFonts w:ascii="Calibri" w:hAnsi="Calibri"/>
                <w:color w:val="000000"/>
                <w:sz w:val="20"/>
                <w:szCs w:val="20"/>
              </w:rPr>
              <w:t xml:space="preserve"> 2012</w:t>
            </w:r>
          </w:p>
        </w:tc>
      </w:tr>
      <w:tr w:rsidR="00906374" w:rsidRPr="00DA0872" w14:paraId="4E14C3F4" w14:textId="77777777" w:rsidTr="00672286">
        <w:trPr>
          <w:trHeight w:val="646"/>
        </w:trPr>
        <w:tc>
          <w:tcPr>
            <w:tcW w:w="1527" w:type="dxa"/>
            <w:tcBorders>
              <w:top w:val="nil"/>
              <w:left w:val="nil"/>
              <w:bottom w:val="nil"/>
              <w:right w:val="nil"/>
            </w:tcBorders>
            <w:shd w:val="clear" w:color="auto" w:fill="auto"/>
            <w:noWrap/>
            <w:vAlign w:val="center"/>
            <w:hideMark/>
          </w:tcPr>
          <w:p w14:paraId="5D10DA57"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PET</w:t>
            </w:r>
          </w:p>
        </w:tc>
        <w:tc>
          <w:tcPr>
            <w:tcW w:w="5419" w:type="dxa"/>
            <w:tcBorders>
              <w:top w:val="nil"/>
              <w:left w:val="nil"/>
              <w:bottom w:val="nil"/>
              <w:right w:val="nil"/>
            </w:tcBorders>
            <w:shd w:val="clear" w:color="auto" w:fill="auto"/>
            <w:noWrap/>
            <w:vAlign w:val="center"/>
            <w:hideMark/>
          </w:tcPr>
          <w:p w14:paraId="6A9531EA"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Potential Evapotranspiration</w:t>
            </w:r>
          </w:p>
        </w:tc>
        <w:tc>
          <w:tcPr>
            <w:tcW w:w="5602" w:type="dxa"/>
            <w:tcBorders>
              <w:top w:val="nil"/>
              <w:left w:val="nil"/>
              <w:bottom w:val="nil"/>
              <w:right w:val="nil"/>
            </w:tcBorders>
            <w:shd w:val="clear" w:color="auto" w:fill="auto"/>
            <w:vAlign w:val="center"/>
            <w:hideMark/>
          </w:tcPr>
          <w:p w14:paraId="78A8D6F0" w14:textId="77777777" w:rsidR="00906374" w:rsidRPr="005F3290" w:rsidRDefault="00906374" w:rsidP="00672286">
            <w:pPr>
              <w:jc w:val="center"/>
              <w:rPr>
                <w:rFonts w:ascii="Calibri" w:hAnsi="Calibri"/>
                <w:color w:val="000000"/>
                <w:vertAlign w:val="superscript"/>
              </w:rPr>
            </w:pPr>
            <m:oMath>
              <m:r>
                <w:rPr>
                  <w:rFonts w:ascii="Cambria Math" w:hAnsi="Cambria Math"/>
                  <w:color w:val="000000"/>
                </w:rPr>
                <m:t xml:space="preserve">16 X </m:t>
              </m:r>
              <m:sSup>
                <m:sSupPr>
                  <m:ctrlPr>
                    <w:rPr>
                      <w:rFonts w:ascii="Cambria Math" w:hAnsi="Cambria Math"/>
                      <w:i/>
                      <w:color w:val="000000"/>
                    </w:rPr>
                  </m:ctrlPr>
                </m:sSupPr>
                <m:e>
                  <m:d>
                    <m:dPr>
                      <m:ctrlPr>
                        <w:rPr>
                          <w:rFonts w:ascii="Cambria Math" w:hAnsi="Cambria Math"/>
                          <w:i/>
                          <w:color w:val="000000"/>
                        </w:rPr>
                      </m:ctrlPr>
                    </m:dPr>
                    <m:e>
                      <m:f>
                        <m:fPr>
                          <m:ctrlPr>
                            <w:rPr>
                              <w:rFonts w:ascii="Cambria Math" w:hAnsi="Cambria Math"/>
                              <w:color w:val="000000"/>
                            </w:rPr>
                          </m:ctrlPr>
                        </m:fPr>
                        <m:num>
                          <m:r>
                            <w:rPr>
                              <w:rFonts w:ascii="Cambria Math" w:hAnsi="Cambria Math"/>
                              <w:color w:val="000000"/>
                            </w:rPr>
                            <m:t>10Tas</m:t>
                          </m:r>
                        </m:num>
                        <m:den>
                          <m:r>
                            <w:rPr>
                              <w:rFonts w:ascii="Cambria Math" w:hAnsi="Cambria Math"/>
                              <w:color w:val="000000"/>
                            </w:rPr>
                            <m:t>I</m:t>
                          </m:r>
                        </m:den>
                      </m:f>
                    </m:e>
                  </m:d>
                </m:e>
                <m:sup>
                  <m:r>
                    <w:rPr>
                      <w:rFonts w:ascii="Cambria Math" w:hAnsi="Cambria Math"/>
                      <w:color w:val="000000"/>
                    </w:rPr>
                    <m:t>a</m:t>
                  </m:r>
                </m:sup>
              </m:sSup>
              <m:r>
                <w:rPr>
                  <w:rFonts w:ascii="Cambria Math" w:hAnsi="Cambria Math"/>
                  <w:color w:val="000000"/>
                </w:rPr>
                <m:t>X</m:t>
              </m:r>
              <m:f>
                <m:fPr>
                  <m:ctrlPr>
                    <w:rPr>
                      <w:rFonts w:ascii="Cambria Math" w:hAnsi="Cambria Math"/>
                      <w:color w:val="000000"/>
                    </w:rPr>
                  </m:ctrlPr>
                </m:fPr>
                <m:num>
                  <m:r>
                    <w:rPr>
                      <w:rFonts w:ascii="Cambria Math" w:hAnsi="Cambria Math"/>
                      <w:color w:val="000000"/>
                    </w:rPr>
                    <m:t>N</m:t>
                  </m:r>
                </m:num>
                <m:den>
                  <m:r>
                    <w:rPr>
                      <w:rFonts w:ascii="Cambria Math" w:hAnsi="Cambria Math"/>
                      <w:color w:val="000000"/>
                    </w:rPr>
                    <m:t>12</m:t>
                  </m:r>
                </m:den>
              </m:f>
              <m:r>
                <w:rPr>
                  <w:rFonts w:ascii="Cambria Math" w:hAnsi="Cambria Math"/>
                  <w:color w:val="000000"/>
                </w:rPr>
                <m:t>X</m:t>
              </m:r>
              <m:f>
                <m:fPr>
                  <m:ctrlPr>
                    <w:rPr>
                      <w:rFonts w:ascii="Cambria Math" w:hAnsi="Cambria Math"/>
                      <w:i/>
                      <w:color w:val="000000"/>
                    </w:rPr>
                  </m:ctrlPr>
                </m:fPr>
                <m:num>
                  <m:r>
                    <w:rPr>
                      <w:rFonts w:ascii="Cambria Math" w:hAnsi="Cambria Math"/>
                      <w:color w:val="000000"/>
                    </w:rPr>
                    <m:t>d</m:t>
                  </m:r>
                </m:num>
                <m:den>
                  <m:r>
                    <w:rPr>
                      <w:rFonts w:ascii="Cambria Math" w:hAnsi="Cambria Math"/>
                      <w:color w:val="000000"/>
                    </w:rPr>
                    <m:t>30</m:t>
                  </m:r>
                </m:den>
              </m:f>
            </m:oMath>
            <w:r>
              <w:rPr>
                <w:rFonts w:ascii="Calibri" w:hAnsi="Calibri"/>
                <w:color w:val="000000"/>
              </w:rPr>
              <w:t xml:space="preserve"> </w:t>
            </w:r>
            <w:r w:rsidRPr="005F3290">
              <w:rPr>
                <w:rFonts w:ascii="Calibri" w:hAnsi="Calibri"/>
                <w:color w:val="000000"/>
              </w:rPr>
              <w:t>**</w:t>
            </w:r>
          </w:p>
        </w:tc>
        <w:tc>
          <w:tcPr>
            <w:tcW w:w="1529" w:type="dxa"/>
            <w:tcBorders>
              <w:top w:val="nil"/>
              <w:left w:val="nil"/>
              <w:bottom w:val="nil"/>
              <w:right w:val="nil"/>
            </w:tcBorders>
            <w:shd w:val="clear" w:color="auto" w:fill="auto"/>
            <w:vAlign w:val="center"/>
            <w:hideMark/>
          </w:tcPr>
          <w:p w14:paraId="004ABBD6" w14:textId="77777777" w:rsidR="00906374" w:rsidRPr="002E22A6" w:rsidRDefault="00906374" w:rsidP="00672286">
            <w:pPr>
              <w:jc w:val="center"/>
              <w:rPr>
                <w:rFonts w:ascii="Calibri" w:hAnsi="Calibri"/>
                <w:color w:val="000000"/>
                <w:sz w:val="20"/>
                <w:szCs w:val="20"/>
              </w:rPr>
            </w:pPr>
            <w:proofErr w:type="spellStart"/>
            <w:r w:rsidRPr="002E22A6">
              <w:rPr>
                <w:rFonts w:ascii="Calibri" w:hAnsi="Calibri"/>
                <w:color w:val="000000"/>
                <w:sz w:val="20"/>
                <w:szCs w:val="20"/>
              </w:rPr>
              <w:t>Thorntwaite</w:t>
            </w:r>
            <w:proofErr w:type="spellEnd"/>
            <w:r w:rsidRPr="002E22A6">
              <w:rPr>
                <w:rFonts w:ascii="Calibri" w:hAnsi="Calibri"/>
                <w:color w:val="000000"/>
                <w:sz w:val="20"/>
                <w:szCs w:val="20"/>
              </w:rPr>
              <w:t xml:space="preserve"> 1948, however, R function </w:t>
            </w:r>
            <w:proofErr w:type="spellStart"/>
            <w:proofErr w:type="gramStart"/>
            <w:r>
              <w:rPr>
                <w:rFonts w:ascii="Calibri" w:hAnsi="Calibri"/>
                <w:color w:val="000000"/>
                <w:sz w:val="20"/>
                <w:szCs w:val="20"/>
              </w:rPr>
              <w:t>t</w:t>
            </w:r>
            <w:r w:rsidRPr="002E22A6">
              <w:rPr>
                <w:rFonts w:ascii="Calibri" w:hAnsi="Calibri"/>
                <w:color w:val="000000"/>
                <w:sz w:val="20"/>
                <w:szCs w:val="20"/>
              </w:rPr>
              <w:t>hornthwaite</w:t>
            </w:r>
            <w:proofErr w:type="spellEnd"/>
            <w:r>
              <w:rPr>
                <w:rFonts w:ascii="Calibri" w:hAnsi="Calibri"/>
                <w:color w:val="000000"/>
                <w:sz w:val="20"/>
                <w:szCs w:val="20"/>
              </w:rPr>
              <w:t>(</w:t>
            </w:r>
            <w:proofErr w:type="gramEnd"/>
            <w:r>
              <w:rPr>
                <w:rFonts w:ascii="Calibri" w:hAnsi="Calibri"/>
                <w:color w:val="000000"/>
                <w:sz w:val="20"/>
                <w:szCs w:val="20"/>
              </w:rPr>
              <w:t>)</w:t>
            </w:r>
            <w:r w:rsidRPr="002E22A6">
              <w:rPr>
                <w:rFonts w:ascii="Calibri" w:hAnsi="Calibri"/>
                <w:color w:val="000000"/>
                <w:sz w:val="20"/>
                <w:szCs w:val="20"/>
              </w:rPr>
              <w:t xml:space="preserve"> from SPEI package 1.7 was used</w:t>
            </w:r>
          </w:p>
        </w:tc>
      </w:tr>
      <w:tr w:rsidR="00906374" w:rsidRPr="00DA0872" w14:paraId="49A08974" w14:textId="77777777" w:rsidTr="00672286">
        <w:trPr>
          <w:trHeight w:val="676"/>
        </w:trPr>
        <w:tc>
          <w:tcPr>
            <w:tcW w:w="1527" w:type="dxa"/>
            <w:tcBorders>
              <w:top w:val="nil"/>
              <w:left w:val="nil"/>
              <w:bottom w:val="nil"/>
              <w:right w:val="nil"/>
            </w:tcBorders>
            <w:shd w:val="clear" w:color="auto" w:fill="auto"/>
            <w:noWrap/>
            <w:vAlign w:val="center"/>
            <w:hideMark/>
          </w:tcPr>
          <w:p w14:paraId="0DAE3EDD"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arid</w:t>
            </w:r>
          </w:p>
        </w:tc>
        <w:tc>
          <w:tcPr>
            <w:tcW w:w="5419" w:type="dxa"/>
            <w:tcBorders>
              <w:top w:val="nil"/>
              <w:left w:val="nil"/>
              <w:bottom w:val="nil"/>
              <w:right w:val="nil"/>
            </w:tcBorders>
            <w:shd w:val="clear" w:color="auto" w:fill="auto"/>
            <w:noWrap/>
            <w:vAlign w:val="center"/>
            <w:hideMark/>
          </w:tcPr>
          <w:p w14:paraId="70AE5044"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Aridity Index</w:t>
            </w:r>
          </w:p>
        </w:tc>
        <w:tc>
          <w:tcPr>
            <w:tcW w:w="5602" w:type="dxa"/>
            <w:tcBorders>
              <w:top w:val="nil"/>
              <w:left w:val="nil"/>
              <w:bottom w:val="nil"/>
              <w:right w:val="nil"/>
            </w:tcBorders>
            <w:shd w:val="clear" w:color="auto" w:fill="auto"/>
            <w:noWrap/>
            <w:vAlign w:val="center"/>
            <w:hideMark/>
          </w:tcPr>
          <w:p w14:paraId="6A4A3271" w14:textId="77777777" w:rsidR="00906374" w:rsidRPr="00DA0872" w:rsidRDefault="00906374" w:rsidP="00672286">
            <w:pPr>
              <w:jc w:val="center"/>
              <w:rPr>
                <w:rFonts w:ascii="Calibri" w:hAnsi="Calibri"/>
                <w:color w:val="000000"/>
              </w:rPr>
            </w:pPr>
            <w:r>
              <w:rPr>
                <w:rFonts w:ascii="Calibri" w:hAnsi="Calibri"/>
                <w:noProof/>
                <w:color w:val="000000"/>
                <w:lang w:eastAsia="en-GB"/>
              </w:rPr>
              <mc:AlternateContent>
                <mc:Choice Requires="wps">
                  <w:drawing>
                    <wp:anchor distT="0" distB="0" distL="114300" distR="114300" simplePos="0" relativeHeight="251700224" behindDoc="0" locked="0" layoutInCell="1" allowOverlap="1" wp14:anchorId="032925FF" wp14:editId="5CA36719">
                      <wp:simplePos x="0" y="0"/>
                      <wp:positionH relativeFrom="column">
                        <wp:posOffset>441325</wp:posOffset>
                      </wp:positionH>
                      <wp:positionV relativeFrom="paragraph">
                        <wp:posOffset>10795</wp:posOffset>
                      </wp:positionV>
                      <wp:extent cx="1781175" cy="428625"/>
                      <wp:effectExtent l="0" t="0" r="0" b="0"/>
                      <wp:wrapNone/>
                      <wp:docPr id="58" name="Text Box 58"/>
                      <wp:cNvGraphicFramePr/>
                      <a:graphic xmlns:a="http://schemas.openxmlformats.org/drawingml/2006/main">
                        <a:graphicData uri="http://schemas.microsoft.com/office/word/2010/wordprocessingShape">
                          <wps:wsp>
                            <wps:cNvSpPr txBox="1"/>
                            <wps:spPr>
                              <a:xfrm>
                                <a:off x="0" y="0"/>
                                <a:ext cx="1778000" cy="423834"/>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18155A5" w14:textId="77777777" w:rsidR="00906374" w:rsidRDefault="00000000" w:rsidP="00906374">
                                  <w:pPr>
                                    <w:pStyle w:val="NormalWeb"/>
                                    <w:spacing w:before="0" w:beforeAutospacing="0" w:after="0" w:afterAutospacing="0"/>
                                  </w:pPr>
                                  <m:oMathPara>
                                    <m:oMathParaPr>
                                      <m:jc m:val="centerGroup"/>
                                    </m:oMathParaPr>
                                    <m:oMath>
                                      <m:f>
                                        <m:fPr>
                                          <m:ctrlPr>
                                            <w:rPr>
                                              <w:rFonts w:ascii="Cambria Math" w:hAnsi="Cambria Math" w:cstheme="minorBidi"/>
                                              <w:i/>
                                              <w:iCs/>
                                              <w:color w:val="000000" w:themeColor="text1"/>
                                              <w:sz w:val="22"/>
                                              <w:szCs w:val="22"/>
                                            </w:rPr>
                                          </m:ctrlPr>
                                        </m:fPr>
                                        <m:num>
                                          <m:r>
                                            <w:rPr>
                                              <w:rFonts w:ascii="Cambria Math" w:hAnsi="Cambria Math" w:cstheme="minorBidi"/>
                                              <w:color w:val="000000" w:themeColor="text1"/>
                                              <w:sz w:val="22"/>
                                              <w:szCs w:val="22"/>
                                              <w:lang w:val="en-US"/>
                                            </w:rPr>
                                            <m:t>Precip</m:t>
                                          </m:r>
                                        </m:num>
                                        <m:den>
                                          <m:r>
                                            <w:rPr>
                                              <w:rFonts w:ascii="Cambria Math" w:hAnsi="Cambria Math" w:cstheme="minorBidi"/>
                                              <w:color w:val="000000" w:themeColor="text1"/>
                                              <w:sz w:val="22"/>
                                              <w:szCs w:val="22"/>
                                              <w:lang w:val="en-US"/>
                                            </w:rPr>
                                            <m:t>PET</m:t>
                                          </m:r>
                                        </m:den>
                                      </m:f>
                                      <m:r>
                                        <m:rPr>
                                          <m:sty m:val="p"/>
                                        </m:rPr>
                                        <w:rPr>
                                          <w:rFonts w:ascii="Cambria Math" w:hAnsi="Cambria Math" w:cstheme="minorBidi"/>
                                          <w:color w:val="000000" w:themeColor="text1"/>
                                          <w:sz w:val="22"/>
                                          <w:szCs w:val="22"/>
                                          <w:lang w:val="en-US"/>
                                        </w:rPr>
                                        <m:t> </m:t>
                                      </m:r>
                                    </m:oMath>
                                  </m:oMathPara>
                                </w:p>
                              </w:txbxContent>
                            </wps:txbx>
                            <wps:bodyPr vertOverflow="clip" horzOverflow="clip" wrap="square" rtlCol="0" anchor="t">
                              <a:spAutoFit/>
                            </wps:bodyPr>
                          </wps:wsp>
                        </a:graphicData>
                      </a:graphic>
                      <wp14:sizeRelH relativeFrom="page">
                        <wp14:pctWidth>0</wp14:pctWidth>
                      </wp14:sizeRelH>
                      <wp14:sizeRelV relativeFrom="page">
                        <wp14:pctHeight>0</wp14:pctHeight>
                      </wp14:sizeRelV>
                    </wp:anchor>
                  </w:drawing>
                </mc:Choice>
                <mc:Fallback>
                  <w:pict>
                    <v:shape w14:anchorId="032925FF" id="Text Box 58" o:spid="_x0000_s1069" type="#_x0000_t202" style="position:absolute;left:0;text-align:left;margin-left:34.75pt;margin-top:.85pt;width:140.25pt;height:33.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" filled="f" stroked="f">
                      <v:textbox style="mso-fit-shape-to-text:t">
                        <w:txbxContent>
                          <w:p w14:paraId="018155A5" w14:textId="77777777" w:rsidR="00906374" w:rsidRDefault="00000000" w:rsidP="00906374">
                            <w:pPr>
                              <w:pStyle w:val="NormalWeb"/>
                              <w:spacing w:before="0" w:beforeAutospacing="0" w:after="0" w:afterAutospacing="0"/>
                            </w:pPr>
                            <m:oMathPara>
                              <m:oMathParaPr>
                                <m:jc m:val="centerGroup"/>
                              </m:oMathParaPr>
                              <m:oMath>
                                <m:f>
                                  <m:fPr>
                                    <m:ctrlPr>
                                      <w:rPr>
                                        <w:rFonts w:ascii="Cambria Math" w:hAnsi="Cambria Math" w:cstheme="minorBidi"/>
                                        <w:i/>
                                        <w:iCs/>
                                        <w:color w:val="000000" w:themeColor="text1"/>
                                        <w:sz w:val="22"/>
                                        <w:szCs w:val="22"/>
                                      </w:rPr>
                                    </m:ctrlPr>
                                  </m:fPr>
                                  <m:num>
                                    <m:r>
                                      <w:rPr>
                                        <w:rFonts w:ascii="Cambria Math" w:hAnsi="Cambria Math" w:cstheme="minorBidi"/>
                                        <w:color w:val="000000" w:themeColor="text1"/>
                                        <w:sz w:val="22"/>
                                        <w:szCs w:val="22"/>
                                        <w:lang w:val="en-US"/>
                                      </w:rPr>
                                      <m:t>Precip</m:t>
                                    </m:r>
                                  </m:num>
                                  <m:den>
                                    <m:r>
                                      <w:rPr>
                                        <w:rFonts w:ascii="Cambria Math" w:hAnsi="Cambria Math" w:cstheme="minorBidi"/>
                                        <w:color w:val="000000" w:themeColor="text1"/>
                                        <w:sz w:val="22"/>
                                        <w:szCs w:val="22"/>
                                        <w:lang w:val="en-US"/>
                                      </w:rPr>
                                      <m:t>PET</m:t>
                                    </m:r>
                                  </m:den>
                                </m:f>
                                <m:r>
                                  <m:rPr>
                                    <m:sty m:val="p"/>
                                  </m:rPr>
                                  <w:rPr>
                                    <w:rFonts w:ascii="Cambria Math" w:hAnsi="Cambria Math" w:cstheme="minorBidi"/>
                                    <w:color w:val="000000" w:themeColor="text1"/>
                                    <w:sz w:val="22"/>
                                    <w:szCs w:val="22"/>
                                    <w:lang w:val="en-US"/>
                                  </w:rPr>
                                  <m:t> </m:t>
                                </m:r>
                              </m:oMath>
                            </m:oMathPara>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3226"/>
            </w:tblGrid>
            <w:tr w:rsidR="00906374" w:rsidRPr="00DA0872" w14:paraId="6E14B5DF" w14:textId="77777777" w:rsidTr="00672286">
              <w:trPr>
                <w:trHeight w:val="676"/>
                <w:tblCellSpacing w:w="0" w:type="dxa"/>
              </w:trPr>
              <w:tc>
                <w:tcPr>
                  <w:tcW w:w="3226" w:type="dxa"/>
                  <w:tcBorders>
                    <w:top w:val="nil"/>
                    <w:left w:val="nil"/>
                    <w:bottom w:val="nil"/>
                    <w:right w:val="nil"/>
                  </w:tcBorders>
                  <w:shd w:val="clear" w:color="auto" w:fill="auto"/>
                  <w:vAlign w:val="center"/>
                  <w:hideMark/>
                </w:tcPr>
                <w:p w14:paraId="3B7E0F10" w14:textId="77777777" w:rsidR="00906374" w:rsidRPr="00DA0872" w:rsidRDefault="00906374" w:rsidP="00672286">
                  <w:pPr>
                    <w:jc w:val="center"/>
                    <w:rPr>
                      <w:rFonts w:ascii="Calibri" w:hAnsi="Calibri"/>
                      <w:color w:val="000000"/>
                    </w:rPr>
                  </w:pPr>
                </w:p>
              </w:tc>
            </w:tr>
          </w:tbl>
          <w:p w14:paraId="2B921CC8" w14:textId="77777777" w:rsidR="00906374" w:rsidRPr="00DA0872" w:rsidRDefault="00906374" w:rsidP="00672286">
            <w:pPr>
              <w:jc w:val="center"/>
              <w:rPr>
                <w:rFonts w:ascii="Calibri" w:hAnsi="Calibri"/>
                <w:color w:val="000000"/>
              </w:rPr>
            </w:pPr>
          </w:p>
        </w:tc>
        <w:tc>
          <w:tcPr>
            <w:tcW w:w="1529" w:type="dxa"/>
            <w:tcBorders>
              <w:top w:val="nil"/>
              <w:left w:val="nil"/>
              <w:bottom w:val="nil"/>
              <w:right w:val="nil"/>
            </w:tcBorders>
            <w:shd w:val="clear" w:color="auto" w:fill="auto"/>
            <w:vAlign w:val="center"/>
            <w:hideMark/>
          </w:tcPr>
          <w:p w14:paraId="1F66E65F" w14:textId="77777777" w:rsidR="00906374" w:rsidRPr="002E22A6" w:rsidRDefault="00906374" w:rsidP="00672286">
            <w:pPr>
              <w:jc w:val="center"/>
              <w:rPr>
                <w:rFonts w:ascii="Calibri" w:hAnsi="Calibri"/>
                <w:color w:val="000000"/>
                <w:sz w:val="20"/>
                <w:szCs w:val="20"/>
              </w:rPr>
            </w:pPr>
            <w:proofErr w:type="spellStart"/>
            <w:r w:rsidRPr="002E22A6">
              <w:rPr>
                <w:rFonts w:ascii="Calibri" w:hAnsi="Calibri"/>
                <w:color w:val="000000"/>
                <w:sz w:val="20"/>
                <w:szCs w:val="20"/>
              </w:rPr>
              <w:t>Tsakiris</w:t>
            </w:r>
            <w:proofErr w:type="spellEnd"/>
            <w:r w:rsidRPr="002E22A6">
              <w:rPr>
                <w:rFonts w:ascii="Calibri" w:hAnsi="Calibri"/>
                <w:color w:val="000000"/>
                <w:sz w:val="20"/>
                <w:szCs w:val="20"/>
              </w:rPr>
              <w:t xml:space="preserve"> and </w:t>
            </w:r>
            <w:proofErr w:type="spellStart"/>
            <w:r w:rsidRPr="002E22A6">
              <w:rPr>
                <w:rFonts w:ascii="Calibri" w:hAnsi="Calibri"/>
                <w:color w:val="000000"/>
                <w:sz w:val="20"/>
                <w:szCs w:val="20"/>
              </w:rPr>
              <w:t>Vanelis</w:t>
            </w:r>
            <w:proofErr w:type="spellEnd"/>
            <w:r w:rsidRPr="002E22A6">
              <w:rPr>
                <w:rFonts w:ascii="Calibri" w:hAnsi="Calibri"/>
                <w:color w:val="000000"/>
                <w:sz w:val="20"/>
                <w:szCs w:val="20"/>
              </w:rPr>
              <w:t xml:space="preserve"> 2005</w:t>
            </w:r>
          </w:p>
        </w:tc>
      </w:tr>
      <w:tr w:rsidR="00906374" w:rsidRPr="00DA0872" w14:paraId="078D40CA" w14:textId="77777777" w:rsidTr="00672286">
        <w:trPr>
          <w:trHeight w:val="300"/>
        </w:trPr>
        <w:tc>
          <w:tcPr>
            <w:tcW w:w="1527" w:type="dxa"/>
            <w:tcBorders>
              <w:top w:val="nil"/>
              <w:left w:val="nil"/>
              <w:bottom w:val="nil"/>
              <w:right w:val="nil"/>
            </w:tcBorders>
            <w:shd w:val="clear" w:color="auto" w:fill="auto"/>
            <w:noWrap/>
            <w:vAlign w:val="center"/>
            <w:hideMark/>
          </w:tcPr>
          <w:p w14:paraId="2EC5F0CC" w14:textId="77777777" w:rsidR="00906374" w:rsidRPr="001E65D6" w:rsidRDefault="00906374" w:rsidP="00672286">
            <w:pPr>
              <w:jc w:val="center"/>
              <w:rPr>
                <w:rFonts w:ascii="Calibri" w:hAnsi="Calibri"/>
                <w:color w:val="000000"/>
                <w:sz w:val="22"/>
                <w:szCs w:val="22"/>
              </w:rPr>
            </w:pPr>
            <w:proofErr w:type="spellStart"/>
            <w:r w:rsidRPr="001E65D6">
              <w:rPr>
                <w:rFonts w:ascii="Calibri" w:hAnsi="Calibri"/>
                <w:color w:val="000000"/>
                <w:sz w:val="22"/>
                <w:szCs w:val="22"/>
              </w:rPr>
              <w:t>sst</w:t>
            </w:r>
            <w:proofErr w:type="spellEnd"/>
          </w:p>
        </w:tc>
        <w:tc>
          <w:tcPr>
            <w:tcW w:w="5419" w:type="dxa"/>
            <w:tcBorders>
              <w:top w:val="nil"/>
              <w:left w:val="nil"/>
              <w:bottom w:val="nil"/>
              <w:right w:val="nil"/>
            </w:tcBorders>
            <w:shd w:val="clear" w:color="auto" w:fill="auto"/>
            <w:noWrap/>
            <w:vAlign w:val="center"/>
            <w:hideMark/>
          </w:tcPr>
          <w:p w14:paraId="7AB38AC9"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Sea Surface Temperature</w:t>
            </w:r>
          </w:p>
        </w:tc>
        <w:tc>
          <w:tcPr>
            <w:tcW w:w="5602" w:type="dxa"/>
            <w:tcBorders>
              <w:top w:val="nil"/>
              <w:left w:val="nil"/>
              <w:bottom w:val="nil"/>
              <w:right w:val="nil"/>
            </w:tcBorders>
            <w:shd w:val="clear" w:color="auto" w:fill="auto"/>
            <w:vAlign w:val="center"/>
            <w:hideMark/>
          </w:tcPr>
          <w:p w14:paraId="54E04890" w14:textId="77777777" w:rsidR="00906374" w:rsidRPr="00DA0872" w:rsidRDefault="00906374" w:rsidP="00672286">
            <w:pPr>
              <w:jc w:val="center"/>
              <w:rPr>
                <w:rFonts w:ascii="Calibri" w:hAnsi="Calibri"/>
                <w:color w:val="000000"/>
              </w:rPr>
            </w:pPr>
            <w:r w:rsidRPr="00DA0872">
              <w:rPr>
                <w:rFonts w:ascii="Calibri" w:hAnsi="Calibri"/>
                <w:color w:val="000000"/>
              </w:rPr>
              <w:t>Mean of all month’s SST</w:t>
            </w:r>
          </w:p>
        </w:tc>
        <w:tc>
          <w:tcPr>
            <w:tcW w:w="1529" w:type="dxa"/>
            <w:tcBorders>
              <w:top w:val="nil"/>
              <w:left w:val="nil"/>
              <w:bottom w:val="nil"/>
              <w:right w:val="nil"/>
            </w:tcBorders>
            <w:shd w:val="clear" w:color="auto" w:fill="auto"/>
            <w:vAlign w:val="center"/>
            <w:hideMark/>
          </w:tcPr>
          <w:p w14:paraId="3B4CACC8" w14:textId="77777777" w:rsidR="00906374" w:rsidRPr="002E22A6" w:rsidRDefault="00906374" w:rsidP="00672286">
            <w:pPr>
              <w:jc w:val="center"/>
              <w:rPr>
                <w:rFonts w:ascii="Calibri" w:hAnsi="Calibri"/>
                <w:color w:val="000000"/>
                <w:sz w:val="20"/>
                <w:szCs w:val="20"/>
              </w:rPr>
            </w:pPr>
            <w:r w:rsidRPr="002E22A6">
              <w:rPr>
                <w:rFonts w:ascii="Calibri" w:hAnsi="Calibri"/>
                <w:color w:val="000000"/>
                <w:sz w:val="20"/>
                <w:szCs w:val="20"/>
              </w:rPr>
              <w:t>Data taken directly from source</w:t>
            </w:r>
          </w:p>
        </w:tc>
      </w:tr>
      <w:tr w:rsidR="00906374" w:rsidRPr="00DA0872" w14:paraId="790B10B2" w14:textId="77777777" w:rsidTr="00672286">
        <w:trPr>
          <w:trHeight w:val="300"/>
        </w:trPr>
        <w:tc>
          <w:tcPr>
            <w:tcW w:w="1527" w:type="dxa"/>
            <w:tcBorders>
              <w:top w:val="nil"/>
              <w:left w:val="nil"/>
              <w:bottom w:val="nil"/>
              <w:right w:val="nil"/>
            </w:tcBorders>
            <w:shd w:val="clear" w:color="auto" w:fill="auto"/>
            <w:noWrap/>
            <w:vAlign w:val="center"/>
            <w:hideMark/>
          </w:tcPr>
          <w:p w14:paraId="50FB2779" w14:textId="77777777" w:rsidR="00906374" w:rsidRPr="001E65D6" w:rsidRDefault="00906374" w:rsidP="00672286">
            <w:pPr>
              <w:jc w:val="center"/>
              <w:rPr>
                <w:rFonts w:ascii="Calibri" w:hAnsi="Calibri"/>
                <w:color w:val="000000"/>
                <w:sz w:val="22"/>
                <w:szCs w:val="22"/>
              </w:rPr>
            </w:pPr>
            <w:proofErr w:type="spellStart"/>
            <w:r w:rsidRPr="001E65D6">
              <w:rPr>
                <w:rFonts w:ascii="Calibri" w:hAnsi="Calibri"/>
                <w:color w:val="000000"/>
                <w:sz w:val="22"/>
                <w:szCs w:val="22"/>
              </w:rPr>
              <w:t>tas</w:t>
            </w:r>
            <w:proofErr w:type="spellEnd"/>
          </w:p>
        </w:tc>
        <w:tc>
          <w:tcPr>
            <w:tcW w:w="5419" w:type="dxa"/>
            <w:tcBorders>
              <w:top w:val="nil"/>
              <w:left w:val="nil"/>
              <w:bottom w:val="nil"/>
              <w:right w:val="nil"/>
            </w:tcBorders>
            <w:shd w:val="clear" w:color="auto" w:fill="auto"/>
            <w:noWrap/>
            <w:vAlign w:val="center"/>
            <w:hideMark/>
          </w:tcPr>
          <w:p w14:paraId="4E263F99"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Mean monthly temperature</w:t>
            </w:r>
          </w:p>
        </w:tc>
        <w:tc>
          <w:tcPr>
            <w:tcW w:w="5602" w:type="dxa"/>
            <w:tcBorders>
              <w:top w:val="nil"/>
              <w:left w:val="nil"/>
              <w:bottom w:val="nil"/>
              <w:right w:val="nil"/>
            </w:tcBorders>
            <w:shd w:val="clear" w:color="auto" w:fill="auto"/>
            <w:vAlign w:val="center"/>
            <w:hideMark/>
          </w:tcPr>
          <w:p w14:paraId="2C62A6FA" w14:textId="77777777" w:rsidR="00906374" w:rsidRPr="00DA0872" w:rsidRDefault="00906374" w:rsidP="00672286">
            <w:pPr>
              <w:jc w:val="center"/>
              <w:rPr>
                <w:rFonts w:ascii="Calibri" w:hAnsi="Calibri"/>
                <w:color w:val="000000"/>
              </w:rPr>
            </w:pPr>
            <w:r w:rsidRPr="00DA0872">
              <w:rPr>
                <w:rFonts w:ascii="Calibri" w:hAnsi="Calibri"/>
                <w:color w:val="000000"/>
              </w:rPr>
              <w:t>Mean of all months</w:t>
            </w:r>
          </w:p>
        </w:tc>
        <w:tc>
          <w:tcPr>
            <w:tcW w:w="1529" w:type="dxa"/>
            <w:tcBorders>
              <w:top w:val="nil"/>
              <w:left w:val="nil"/>
              <w:bottom w:val="nil"/>
              <w:right w:val="nil"/>
            </w:tcBorders>
            <w:shd w:val="clear" w:color="auto" w:fill="auto"/>
            <w:vAlign w:val="center"/>
            <w:hideMark/>
          </w:tcPr>
          <w:p w14:paraId="5FAC88DB" w14:textId="77777777" w:rsidR="00906374" w:rsidRPr="002E22A6" w:rsidRDefault="00906374" w:rsidP="00672286">
            <w:pPr>
              <w:jc w:val="center"/>
              <w:rPr>
                <w:rFonts w:ascii="Calibri" w:hAnsi="Calibri"/>
                <w:color w:val="000000"/>
                <w:sz w:val="20"/>
                <w:szCs w:val="20"/>
              </w:rPr>
            </w:pPr>
            <w:r w:rsidRPr="002E22A6">
              <w:rPr>
                <w:rFonts w:ascii="Calibri" w:hAnsi="Calibri"/>
                <w:color w:val="000000"/>
                <w:sz w:val="20"/>
                <w:szCs w:val="20"/>
              </w:rPr>
              <w:t>Data taken directly from source</w:t>
            </w:r>
          </w:p>
        </w:tc>
      </w:tr>
      <w:tr w:rsidR="00906374" w:rsidRPr="00DA0872" w14:paraId="7C672135" w14:textId="77777777" w:rsidTr="00672286">
        <w:trPr>
          <w:trHeight w:val="601"/>
        </w:trPr>
        <w:tc>
          <w:tcPr>
            <w:tcW w:w="1527" w:type="dxa"/>
            <w:tcBorders>
              <w:top w:val="nil"/>
              <w:left w:val="nil"/>
              <w:bottom w:val="single" w:sz="4" w:space="0" w:color="auto"/>
              <w:right w:val="nil"/>
            </w:tcBorders>
            <w:shd w:val="clear" w:color="auto" w:fill="auto"/>
            <w:noWrap/>
            <w:vAlign w:val="center"/>
            <w:hideMark/>
          </w:tcPr>
          <w:p w14:paraId="388C8662" w14:textId="77777777" w:rsidR="00906374" w:rsidRPr="001E65D6" w:rsidRDefault="00906374" w:rsidP="00672286">
            <w:pPr>
              <w:jc w:val="center"/>
              <w:rPr>
                <w:rFonts w:ascii="Calibri" w:hAnsi="Calibri"/>
                <w:color w:val="000000"/>
                <w:sz w:val="22"/>
                <w:szCs w:val="22"/>
              </w:rPr>
            </w:pPr>
            <w:proofErr w:type="spellStart"/>
            <w:r w:rsidRPr="001E65D6">
              <w:rPr>
                <w:rFonts w:ascii="Calibri" w:hAnsi="Calibri"/>
                <w:color w:val="000000"/>
                <w:sz w:val="22"/>
                <w:szCs w:val="22"/>
              </w:rPr>
              <w:lastRenderedPageBreak/>
              <w:t>precip</w:t>
            </w:r>
            <w:proofErr w:type="spellEnd"/>
          </w:p>
        </w:tc>
        <w:tc>
          <w:tcPr>
            <w:tcW w:w="5419" w:type="dxa"/>
            <w:tcBorders>
              <w:top w:val="nil"/>
              <w:left w:val="nil"/>
              <w:bottom w:val="single" w:sz="4" w:space="0" w:color="auto"/>
              <w:right w:val="nil"/>
            </w:tcBorders>
            <w:shd w:val="clear" w:color="auto" w:fill="auto"/>
            <w:noWrap/>
            <w:vAlign w:val="center"/>
            <w:hideMark/>
          </w:tcPr>
          <w:p w14:paraId="020C320D" w14:textId="77777777" w:rsidR="00906374" w:rsidRPr="001E65D6" w:rsidRDefault="00906374" w:rsidP="00672286">
            <w:pPr>
              <w:jc w:val="center"/>
              <w:rPr>
                <w:rFonts w:ascii="Calibri" w:hAnsi="Calibri"/>
                <w:color w:val="000000"/>
                <w:sz w:val="22"/>
                <w:szCs w:val="22"/>
              </w:rPr>
            </w:pPr>
            <w:r w:rsidRPr="001E65D6">
              <w:rPr>
                <w:rFonts w:ascii="Calibri" w:hAnsi="Calibri"/>
                <w:color w:val="000000"/>
                <w:sz w:val="22"/>
                <w:szCs w:val="22"/>
              </w:rPr>
              <w:t>Mean monthly precipitation</w:t>
            </w:r>
          </w:p>
        </w:tc>
        <w:tc>
          <w:tcPr>
            <w:tcW w:w="5602" w:type="dxa"/>
            <w:tcBorders>
              <w:top w:val="nil"/>
              <w:left w:val="nil"/>
              <w:bottom w:val="single" w:sz="4" w:space="0" w:color="auto"/>
              <w:right w:val="nil"/>
            </w:tcBorders>
            <w:shd w:val="clear" w:color="auto" w:fill="auto"/>
            <w:vAlign w:val="center"/>
            <w:hideMark/>
          </w:tcPr>
          <w:p w14:paraId="28E8C509" w14:textId="77777777" w:rsidR="00906374" w:rsidRPr="00DA0872" w:rsidRDefault="00906374" w:rsidP="00672286">
            <w:pPr>
              <w:jc w:val="center"/>
              <w:rPr>
                <w:rFonts w:ascii="Calibri" w:hAnsi="Calibri"/>
                <w:color w:val="000000"/>
              </w:rPr>
            </w:pPr>
            <w:r w:rsidRPr="00DA0872">
              <w:rPr>
                <w:rFonts w:ascii="Calibri" w:hAnsi="Calibri"/>
                <w:color w:val="000000"/>
              </w:rPr>
              <w:t>Mean of all month’s precipitation</w:t>
            </w:r>
          </w:p>
        </w:tc>
        <w:tc>
          <w:tcPr>
            <w:tcW w:w="1529" w:type="dxa"/>
            <w:tcBorders>
              <w:top w:val="nil"/>
              <w:left w:val="nil"/>
              <w:bottom w:val="single" w:sz="4" w:space="0" w:color="auto"/>
              <w:right w:val="nil"/>
            </w:tcBorders>
            <w:shd w:val="clear" w:color="auto" w:fill="auto"/>
            <w:vAlign w:val="center"/>
            <w:hideMark/>
          </w:tcPr>
          <w:p w14:paraId="04DBB97A" w14:textId="77777777" w:rsidR="00906374" w:rsidRPr="002E22A6" w:rsidRDefault="00906374" w:rsidP="00672286">
            <w:pPr>
              <w:jc w:val="center"/>
              <w:rPr>
                <w:rFonts w:ascii="Calibri" w:hAnsi="Calibri"/>
                <w:color w:val="000000"/>
                <w:sz w:val="20"/>
                <w:szCs w:val="20"/>
              </w:rPr>
            </w:pPr>
            <w:r w:rsidRPr="002E22A6">
              <w:rPr>
                <w:rFonts w:ascii="Calibri" w:hAnsi="Calibri"/>
                <w:color w:val="000000"/>
                <w:sz w:val="20"/>
                <w:szCs w:val="20"/>
              </w:rPr>
              <w:t>Data taken directly from source</w:t>
            </w:r>
          </w:p>
        </w:tc>
      </w:tr>
    </w:tbl>
    <w:p w14:paraId="07E2F8E8" w14:textId="77777777" w:rsidR="00906374" w:rsidRDefault="00906374" w:rsidP="00906374">
      <w:pPr>
        <w:rPr>
          <w:sz w:val="20"/>
          <w:szCs w:val="20"/>
          <w:lang w:val="en-US"/>
        </w:rPr>
      </w:pPr>
    </w:p>
    <w:p w14:paraId="31AFD144" w14:textId="77777777" w:rsidR="00944CB1" w:rsidRDefault="00944CB1" w:rsidP="00906374">
      <w:pPr>
        <w:rPr>
          <w:sz w:val="20"/>
          <w:szCs w:val="20"/>
          <w:lang w:val="en-US"/>
        </w:rPr>
      </w:pPr>
    </w:p>
    <w:p w14:paraId="46D614F2" w14:textId="77777777" w:rsidR="00944CB1" w:rsidRDefault="00944CB1" w:rsidP="00906374">
      <w:pPr>
        <w:rPr>
          <w:sz w:val="20"/>
          <w:szCs w:val="20"/>
          <w:lang w:val="en-US"/>
        </w:rPr>
      </w:pPr>
    </w:p>
    <w:p w14:paraId="2D211901" w14:textId="2536903A" w:rsidR="00944CB1" w:rsidRPr="001E65D6" w:rsidRDefault="00944CB1" w:rsidP="00944CB1">
      <w:pPr>
        <w:rPr>
          <w:sz w:val="22"/>
          <w:szCs w:val="22"/>
          <w:lang w:val="en-US"/>
        </w:rPr>
      </w:pPr>
      <w:r>
        <w:rPr>
          <w:b/>
          <w:bCs/>
          <w:sz w:val="20"/>
          <w:szCs w:val="20"/>
          <w:lang w:val="en-US"/>
        </w:rPr>
        <w:t>Table A2: Mean</w:t>
      </w:r>
      <w:r>
        <w:rPr>
          <w:rFonts w:cstheme="minorHAnsi"/>
          <w:b/>
          <w:bCs/>
          <w:sz w:val="20"/>
          <w:szCs w:val="20"/>
          <w:lang w:val="en-US"/>
        </w:rPr>
        <w:t>±95% confidence intervals of</w:t>
      </w:r>
      <w:r>
        <w:rPr>
          <w:b/>
          <w:bCs/>
          <w:sz w:val="20"/>
          <w:szCs w:val="20"/>
          <w:lang w:val="en-US"/>
        </w:rPr>
        <w:t xml:space="preserve"> Net Primary Productivity (NPP) per unit of area, total NPP for an entire marine province, global proportion and cumulative % for all 38 global marine provinces that contained mangroves. Potential absolute change and relative change in NPP by mid-century (2030 to 2040) and late century (2085 to 2095) under the low end SSP245 emissions scenario. </w:t>
      </w:r>
    </w:p>
    <w:tbl>
      <w:tblPr>
        <w:tblW w:w="15087" w:type="dxa"/>
        <w:tblLook w:val="04A0" w:firstRow="1" w:lastRow="0" w:firstColumn="1" w:lastColumn="0" w:noHBand="0" w:noVBand="1"/>
      </w:tblPr>
      <w:tblGrid>
        <w:gridCol w:w="2539"/>
        <w:gridCol w:w="1525"/>
        <w:gridCol w:w="1893"/>
        <w:gridCol w:w="1590"/>
        <w:gridCol w:w="2272"/>
        <w:gridCol w:w="1143"/>
        <w:gridCol w:w="1491"/>
        <w:gridCol w:w="1143"/>
        <w:gridCol w:w="1491"/>
      </w:tblGrid>
      <w:tr w:rsidR="00944CB1" w:rsidRPr="00E41E77" w14:paraId="7E74E760" w14:textId="77777777" w:rsidTr="002661C9">
        <w:trPr>
          <w:trHeight w:val="273"/>
        </w:trPr>
        <w:tc>
          <w:tcPr>
            <w:tcW w:w="2539" w:type="dxa"/>
            <w:vMerge w:val="restart"/>
            <w:tcBorders>
              <w:top w:val="single" w:sz="4" w:space="0" w:color="auto"/>
              <w:left w:val="nil"/>
              <w:bottom w:val="single" w:sz="4" w:space="0" w:color="000000"/>
              <w:right w:val="nil"/>
            </w:tcBorders>
            <w:shd w:val="clear" w:color="auto" w:fill="auto"/>
            <w:vAlign w:val="center"/>
            <w:hideMark/>
          </w:tcPr>
          <w:p w14:paraId="69C910C8" w14:textId="77777777" w:rsidR="00944CB1" w:rsidRPr="00E41E77" w:rsidRDefault="00944CB1" w:rsidP="002661C9">
            <w:pPr>
              <w:contextualSpacing/>
              <w:jc w:val="center"/>
              <w:rPr>
                <w:rFonts w:ascii="Calibri" w:eastAsia="Times New Roman" w:hAnsi="Calibri" w:cs="Times New Roman"/>
                <w:b/>
                <w:bCs/>
                <w:color w:val="000000"/>
                <w:sz w:val="16"/>
                <w:szCs w:val="16"/>
                <w:lang w:eastAsia="en-GB"/>
              </w:rPr>
            </w:pPr>
            <w:r w:rsidRPr="00E41E77">
              <w:rPr>
                <w:rFonts w:ascii="Calibri" w:eastAsia="Times New Roman" w:hAnsi="Calibri" w:cs="Times New Roman"/>
                <w:b/>
                <w:bCs/>
                <w:color w:val="000000"/>
                <w:sz w:val="16"/>
                <w:szCs w:val="16"/>
                <w:lang w:eastAsia="en-GB"/>
              </w:rPr>
              <w:t>Province</w:t>
            </w:r>
          </w:p>
        </w:tc>
        <w:tc>
          <w:tcPr>
            <w:tcW w:w="7280" w:type="dxa"/>
            <w:gridSpan w:val="4"/>
            <w:tcBorders>
              <w:top w:val="single" w:sz="4" w:space="0" w:color="auto"/>
              <w:left w:val="nil"/>
              <w:bottom w:val="single" w:sz="4" w:space="0" w:color="000000"/>
              <w:right w:val="nil"/>
            </w:tcBorders>
            <w:shd w:val="clear" w:color="auto" w:fill="auto"/>
            <w:vAlign w:val="center"/>
            <w:hideMark/>
          </w:tcPr>
          <w:p w14:paraId="6195A531" w14:textId="77777777" w:rsidR="00944CB1" w:rsidRPr="00E41E77" w:rsidRDefault="00944CB1" w:rsidP="002661C9">
            <w:pPr>
              <w:contextualSpacing/>
              <w:jc w:val="center"/>
              <w:rPr>
                <w:rFonts w:ascii="Calibri" w:eastAsia="Times New Roman" w:hAnsi="Calibri" w:cs="Times New Roman"/>
                <w:b/>
                <w:bCs/>
                <w:color w:val="000000"/>
                <w:sz w:val="16"/>
                <w:szCs w:val="16"/>
                <w:lang w:eastAsia="en-GB"/>
              </w:rPr>
            </w:pPr>
            <w:r>
              <w:rPr>
                <w:rFonts w:ascii="Calibri" w:eastAsia="Times New Roman" w:hAnsi="Calibri" w:cs="Times New Roman"/>
                <w:b/>
                <w:bCs/>
                <w:color w:val="000000"/>
                <w:sz w:val="16"/>
                <w:szCs w:val="16"/>
                <w:lang w:eastAsia="en-GB"/>
              </w:rPr>
              <w:t>Historical</w:t>
            </w:r>
          </w:p>
        </w:tc>
        <w:tc>
          <w:tcPr>
            <w:tcW w:w="2634" w:type="dxa"/>
            <w:gridSpan w:val="2"/>
            <w:tcBorders>
              <w:top w:val="single" w:sz="4" w:space="0" w:color="auto"/>
              <w:left w:val="nil"/>
              <w:bottom w:val="single" w:sz="8" w:space="0" w:color="auto"/>
              <w:right w:val="nil"/>
            </w:tcBorders>
            <w:shd w:val="clear" w:color="auto" w:fill="auto"/>
            <w:noWrap/>
            <w:vAlign w:val="center"/>
            <w:hideMark/>
          </w:tcPr>
          <w:p w14:paraId="44EF2F27" w14:textId="77777777" w:rsidR="00944CB1" w:rsidRPr="00E41E77" w:rsidRDefault="00944CB1" w:rsidP="002661C9">
            <w:pPr>
              <w:contextualSpacing/>
              <w:jc w:val="center"/>
              <w:rPr>
                <w:rFonts w:ascii="Calibri" w:eastAsia="Times New Roman" w:hAnsi="Calibri" w:cs="Times New Roman"/>
                <w:b/>
                <w:bCs/>
                <w:color w:val="000000"/>
                <w:sz w:val="16"/>
                <w:szCs w:val="16"/>
                <w:lang w:eastAsia="en-GB"/>
              </w:rPr>
            </w:pPr>
            <w:r w:rsidRPr="00E41E77">
              <w:rPr>
                <w:rFonts w:ascii="Calibri" w:eastAsia="Times New Roman" w:hAnsi="Calibri" w:cs="Times New Roman"/>
                <w:b/>
                <w:bCs/>
                <w:color w:val="000000"/>
                <w:sz w:val="16"/>
                <w:szCs w:val="16"/>
                <w:lang w:eastAsia="en-GB"/>
              </w:rPr>
              <w:t>Mid Century</w:t>
            </w:r>
          </w:p>
        </w:tc>
        <w:tc>
          <w:tcPr>
            <w:tcW w:w="2634" w:type="dxa"/>
            <w:gridSpan w:val="2"/>
            <w:tcBorders>
              <w:top w:val="single" w:sz="4" w:space="0" w:color="auto"/>
              <w:left w:val="nil"/>
              <w:bottom w:val="single" w:sz="8" w:space="0" w:color="auto"/>
              <w:right w:val="nil"/>
            </w:tcBorders>
            <w:shd w:val="clear" w:color="auto" w:fill="auto"/>
            <w:noWrap/>
            <w:vAlign w:val="center"/>
            <w:hideMark/>
          </w:tcPr>
          <w:p w14:paraId="26F0C9A8" w14:textId="77777777" w:rsidR="00944CB1" w:rsidRPr="00E41E77" w:rsidRDefault="00944CB1" w:rsidP="002661C9">
            <w:pPr>
              <w:contextualSpacing/>
              <w:jc w:val="center"/>
              <w:rPr>
                <w:rFonts w:ascii="Calibri" w:eastAsia="Times New Roman" w:hAnsi="Calibri" w:cs="Times New Roman"/>
                <w:b/>
                <w:bCs/>
                <w:color w:val="000000"/>
                <w:sz w:val="16"/>
                <w:szCs w:val="16"/>
                <w:lang w:eastAsia="en-GB"/>
              </w:rPr>
            </w:pPr>
            <w:r w:rsidRPr="00E41E77">
              <w:rPr>
                <w:rFonts w:ascii="Calibri" w:eastAsia="Times New Roman" w:hAnsi="Calibri" w:cs="Times New Roman"/>
                <w:b/>
                <w:bCs/>
                <w:color w:val="000000"/>
                <w:sz w:val="16"/>
                <w:szCs w:val="16"/>
                <w:lang w:eastAsia="en-GB"/>
              </w:rPr>
              <w:t>Late century</w:t>
            </w:r>
          </w:p>
        </w:tc>
      </w:tr>
      <w:tr w:rsidR="00944CB1" w:rsidRPr="00E41E77" w14:paraId="462A0169" w14:textId="77777777" w:rsidTr="002661C9">
        <w:trPr>
          <w:trHeight w:val="938"/>
        </w:trPr>
        <w:tc>
          <w:tcPr>
            <w:tcW w:w="2539" w:type="dxa"/>
            <w:vMerge/>
            <w:tcBorders>
              <w:top w:val="nil"/>
              <w:left w:val="nil"/>
              <w:bottom w:val="single" w:sz="4" w:space="0" w:color="000000"/>
              <w:right w:val="nil"/>
            </w:tcBorders>
            <w:vAlign w:val="center"/>
            <w:hideMark/>
          </w:tcPr>
          <w:p w14:paraId="65DD5AAA" w14:textId="77777777" w:rsidR="00944CB1" w:rsidRPr="00E41E77" w:rsidRDefault="00944CB1" w:rsidP="002661C9">
            <w:pPr>
              <w:contextualSpacing/>
              <w:rPr>
                <w:rFonts w:ascii="Calibri" w:eastAsia="Times New Roman" w:hAnsi="Calibri" w:cs="Times New Roman"/>
                <w:b/>
                <w:bCs/>
                <w:color w:val="000000"/>
                <w:sz w:val="16"/>
                <w:szCs w:val="16"/>
                <w:lang w:eastAsia="en-GB"/>
              </w:rPr>
            </w:pPr>
          </w:p>
        </w:tc>
        <w:tc>
          <w:tcPr>
            <w:tcW w:w="1525" w:type="dxa"/>
            <w:tcBorders>
              <w:top w:val="nil"/>
              <w:left w:val="nil"/>
              <w:bottom w:val="single" w:sz="4" w:space="0" w:color="000000"/>
              <w:right w:val="nil"/>
            </w:tcBorders>
            <w:shd w:val="clear" w:color="auto" w:fill="auto"/>
            <w:vAlign w:val="center"/>
            <w:hideMark/>
          </w:tcPr>
          <w:p w14:paraId="77EC1148" w14:textId="77777777" w:rsidR="00944CB1" w:rsidRPr="00E41E77" w:rsidRDefault="00944CB1" w:rsidP="002661C9">
            <w:pPr>
              <w:contextualSpacing/>
              <w:jc w:val="center"/>
              <w:rPr>
                <w:rFonts w:ascii="Calibri" w:eastAsia="Times New Roman" w:hAnsi="Calibri" w:cs="Times New Roman"/>
                <w:b/>
                <w:bCs/>
                <w:color w:val="000000"/>
                <w:sz w:val="16"/>
                <w:szCs w:val="16"/>
                <w:lang w:eastAsia="en-GB"/>
              </w:rPr>
            </w:pPr>
            <w:r w:rsidRPr="00E41E77">
              <w:rPr>
                <w:rFonts w:ascii="Calibri" w:eastAsia="Times New Roman" w:hAnsi="Calibri" w:cs="Times New Roman"/>
                <w:b/>
                <w:bCs/>
                <w:color w:val="000000"/>
                <w:sz w:val="16"/>
                <w:szCs w:val="16"/>
                <w:lang w:eastAsia="en-GB"/>
              </w:rPr>
              <w:t xml:space="preserve">Total Province NPP </w:t>
            </w:r>
            <w:proofErr w:type="spellStart"/>
            <w:r w:rsidRPr="00E41E77">
              <w:rPr>
                <w:rFonts w:ascii="Calibri" w:eastAsia="Times New Roman" w:hAnsi="Calibri" w:cs="Times New Roman"/>
                <w:b/>
                <w:bCs/>
                <w:color w:val="000000"/>
                <w:sz w:val="16"/>
                <w:szCs w:val="16"/>
                <w:lang w:eastAsia="en-GB"/>
              </w:rPr>
              <w:t>Tg</w:t>
            </w:r>
            <w:proofErr w:type="spellEnd"/>
            <w:r w:rsidRPr="00E41E77">
              <w:rPr>
                <w:rFonts w:ascii="Calibri" w:eastAsia="Times New Roman" w:hAnsi="Calibri" w:cs="Times New Roman"/>
                <w:b/>
                <w:bCs/>
                <w:color w:val="000000"/>
                <w:sz w:val="16"/>
                <w:szCs w:val="16"/>
                <w:lang w:eastAsia="en-GB"/>
              </w:rPr>
              <w:t xml:space="preserve"> yr</w:t>
            </w:r>
            <w:r w:rsidRPr="00E41E77">
              <w:rPr>
                <w:rFonts w:ascii="Calibri" w:eastAsia="Times New Roman" w:hAnsi="Calibri" w:cs="Times New Roman"/>
                <w:b/>
                <w:bCs/>
                <w:color w:val="000000"/>
                <w:sz w:val="16"/>
                <w:szCs w:val="16"/>
                <w:vertAlign w:val="superscript"/>
                <w:lang w:eastAsia="en-GB"/>
              </w:rPr>
              <w:t>-1</w:t>
            </w:r>
          </w:p>
        </w:tc>
        <w:tc>
          <w:tcPr>
            <w:tcW w:w="1893" w:type="dxa"/>
            <w:tcBorders>
              <w:top w:val="nil"/>
              <w:left w:val="nil"/>
              <w:bottom w:val="single" w:sz="4" w:space="0" w:color="000000"/>
              <w:right w:val="nil"/>
            </w:tcBorders>
            <w:shd w:val="clear" w:color="auto" w:fill="auto"/>
            <w:vAlign w:val="center"/>
            <w:hideMark/>
          </w:tcPr>
          <w:p w14:paraId="365FFC14" w14:textId="77777777" w:rsidR="00944CB1" w:rsidRPr="00E41E77" w:rsidRDefault="00944CB1" w:rsidP="002661C9">
            <w:pPr>
              <w:contextualSpacing/>
              <w:jc w:val="center"/>
              <w:rPr>
                <w:rFonts w:ascii="Calibri" w:eastAsia="Times New Roman" w:hAnsi="Calibri" w:cs="Times New Roman"/>
                <w:b/>
                <w:bCs/>
                <w:color w:val="000000"/>
                <w:sz w:val="16"/>
                <w:szCs w:val="16"/>
                <w:lang w:eastAsia="en-GB"/>
              </w:rPr>
            </w:pPr>
            <w:r w:rsidRPr="00E41E77">
              <w:rPr>
                <w:rFonts w:ascii="Calibri" w:eastAsia="Times New Roman" w:hAnsi="Calibri" w:cs="Times New Roman"/>
                <w:b/>
                <w:bCs/>
                <w:color w:val="000000"/>
                <w:sz w:val="16"/>
                <w:szCs w:val="16"/>
                <w:lang w:eastAsia="en-GB"/>
              </w:rPr>
              <w:t>Proportion of global NPP (%)</w:t>
            </w:r>
          </w:p>
        </w:tc>
        <w:tc>
          <w:tcPr>
            <w:tcW w:w="1590" w:type="dxa"/>
            <w:tcBorders>
              <w:top w:val="nil"/>
              <w:left w:val="nil"/>
              <w:bottom w:val="single" w:sz="4" w:space="0" w:color="000000"/>
              <w:right w:val="nil"/>
            </w:tcBorders>
            <w:shd w:val="clear" w:color="auto" w:fill="auto"/>
            <w:vAlign w:val="center"/>
            <w:hideMark/>
          </w:tcPr>
          <w:p w14:paraId="1B566E19" w14:textId="77777777" w:rsidR="00944CB1" w:rsidRPr="00E41E77" w:rsidRDefault="00944CB1" w:rsidP="002661C9">
            <w:pPr>
              <w:contextualSpacing/>
              <w:jc w:val="center"/>
              <w:rPr>
                <w:rFonts w:ascii="Calibri" w:eastAsia="Times New Roman" w:hAnsi="Calibri" w:cs="Times New Roman"/>
                <w:b/>
                <w:bCs/>
                <w:color w:val="000000"/>
                <w:sz w:val="16"/>
                <w:szCs w:val="16"/>
                <w:lang w:eastAsia="en-GB"/>
              </w:rPr>
            </w:pPr>
            <w:r w:rsidRPr="00E41E77">
              <w:rPr>
                <w:rFonts w:ascii="Calibri" w:eastAsia="Times New Roman" w:hAnsi="Calibri" w:cs="Times New Roman"/>
                <w:b/>
                <w:bCs/>
                <w:color w:val="000000"/>
                <w:sz w:val="16"/>
                <w:szCs w:val="16"/>
                <w:lang w:eastAsia="en-GB"/>
              </w:rPr>
              <w:t>Cumulative Proportion of global NPP (%)</w:t>
            </w:r>
          </w:p>
        </w:tc>
        <w:tc>
          <w:tcPr>
            <w:tcW w:w="2272" w:type="dxa"/>
            <w:tcBorders>
              <w:top w:val="single" w:sz="4" w:space="0" w:color="auto"/>
              <w:left w:val="nil"/>
              <w:bottom w:val="single" w:sz="4" w:space="0" w:color="auto"/>
              <w:right w:val="nil"/>
            </w:tcBorders>
            <w:vAlign w:val="center"/>
          </w:tcPr>
          <w:p w14:paraId="5DCA7EF6" w14:textId="77777777" w:rsidR="00944CB1" w:rsidRPr="00E41E77" w:rsidRDefault="00944CB1" w:rsidP="002661C9">
            <w:pPr>
              <w:contextualSpacing/>
              <w:jc w:val="center"/>
              <w:rPr>
                <w:rFonts w:ascii="Calibri" w:eastAsia="Times New Roman" w:hAnsi="Calibri" w:cs="Times New Roman"/>
                <w:b/>
                <w:bCs/>
                <w:color w:val="000000"/>
                <w:sz w:val="16"/>
                <w:szCs w:val="16"/>
                <w:lang w:eastAsia="en-GB"/>
              </w:rPr>
            </w:pPr>
            <w:r w:rsidRPr="00E41E77">
              <w:rPr>
                <w:rFonts w:ascii="Calibri" w:eastAsia="Times New Roman" w:hAnsi="Calibri" w:cs="Times New Roman"/>
                <w:b/>
                <w:bCs/>
                <w:color w:val="000000"/>
                <w:sz w:val="16"/>
                <w:szCs w:val="16"/>
                <w:lang w:eastAsia="en-GB"/>
              </w:rPr>
              <w:t>NPP Mg ha</w:t>
            </w:r>
            <w:r w:rsidRPr="00E41E77">
              <w:rPr>
                <w:rFonts w:ascii="Calibri" w:eastAsia="Times New Roman" w:hAnsi="Calibri" w:cs="Times New Roman"/>
                <w:b/>
                <w:bCs/>
                <w:color w:val="000000"/>
                <w:sz w:val="16"/>
                <w:szCs w:val="16"/>
                <w:vertAlign w:val="superscript"/>
                <w:lang w:eastAsia="en-GB"/>
              </w:rPr>
              <w:t>-1</w:t>
            </w:r>
            <w:r w:rsidRPr="00E41E77">
              <w:rPr>
                <w:rFonts w:ascii="Calibri" w:eastAsia="Times New Roman" w:hAnsi="Calibri" w:cs="Times New Roman"/>
                <w:b/>
                <w:bCs/>
                <w:color w:val="000000"/>
                <w:sz w:val="16"/>
                <w:szCs w:val="16"/>
                <w:lang w:eastAsia="en-GB"/>
              </w:rPr>
              <w:t xml:space="preserve"> yr</w:t>
            </w:r>
            <w:r w:rsidRPr="00E41E77">
              <w:rPr>
                <w:rFonts w:ascii="Calibri" w:eastAsia="Times New Roman" w:hAnsi="Calibri" w:cs="Times New Roman"/>
                <w:b/>
                <w:bCs/>
                <w:color w:val="000000"/>
                <w:sz w:val="16"/>
                <w:szCs w:val="16"/>
                <w:vertAlign w:val="superscript"/>
                <w:lang w:eastAsia="en-GB"/>
              </w:rPr>
              <w:t>-1</w:t>
            </w:r>
          </w:p>
        </w:tc>
        <w:tc>
          <w:tcPr>
            <w:tcW w:w="1143" w:type="dxa"/>
            <w:tcBorders>
              <w:top w:val="nil"/>
              <w:left w:val="nil"/>
              <w:bottom w:val="single" w:sz="4" w:space="0" w:color="auto"/>
              <w:right w:val="nil"/>
            </w:tcBorders>
            <w:shd w:val="clear" w:color="auto" w:fill="auto"/>
            <w:vAlign w:val="center"/>
            <w:hideMark/>
          </w:tcPr>
          <w:p w14:paraId="3C7580F4" w14:textId="77777777" w:rsidR="00944CB1" w:rsidRPr="00E41E77" w:rsidRDefault="00944CB1" w:rsidP="002661C9">
            <w:pPr>
              <w:contextualSpacing/>
              <w:jc w:val="center"/>
              <w:rPr>
                <w:rFonts w:ascii="Calibri" w:eastAsia="Times New Roman" w:hAnsi="Calibri" w:cs="Times New Roman"/>
                <w:b/>
                <w:bCs/>
                <w:color w:val="000000"/>
                <w:sz w:val="16"/>
                <w:szCs w:val="16"/>
                <w:lang w:eastAsia="en-GB"/>
              </w:rPr>
            </w:pPr>
            <w:r w:rsidRPr="00E41E77">
              <w:rPr>
                <w:rFonts w:ascii="Calibri" w:eastAsia="Times New Roman" w:hAnsi="Calibri" w:cs="Times New Roman"/>
                <w:b/>
                <w:bCs/>
                <w:color w:val="000000"/>
                <w:sz w:val="16"/>
                <w:szCs w:val="16"/>
                <w:lang w:eastAsia="en-GB"/>
              </w:rPr>
              <w:t>Potential Change Mg ha</w:t>
            </w:r>
            <w:r w:rsidRPr="00E41E77">
              <w:rPr>
                <w:rFonts w:ascii="Calibri" w:eastAsia="Times New Roman" w:hAnsi="Calibri" w:cs="Times New Roman"/>
                <w:b/>
                <w:bCs/>
                <w:color w:val="000000"/>
                <w:sz w:val="16"/>
                <w:szCs w:val="16"/>
                <w:vertAlign w:val="superscript"/>
                <w:lang w:eastAsia="en-GB"/>
              </w:rPr>
              <w:t>-1</w:t>
            </w:r>
            <w:r w:rsidRPr="00E41E77">
              <w:rPr>
                <w:rFonts w:ascii="Calibri" w:eastAsia="Times New Roman" w:hAnsi="Calibri" w:cs="Times New Roman"/>
                <w:b/>
                <w:bCs/>
                <w:color w:val="000000"/>
                <w:sz w:val="16"/>
                <w:szCs w:val="16"/>
                <w:lang w:eastAsia="en-GB"/>
              </w:rPr>
              <w:t xml:space="preserve"> yr</w:t>
            </w:r>
            <w:r w:rsidRPr="00E41E77">
              <w:rPr>
                <w:rFonts w:ascii="Calibri" w:eastAsia="Times New Roman" w:hAnsi="Calibri" w:cs="Times New Roman"/>
                <w:b/>
                <w:bCs/>
                <w:color w:val="000000"/>
                <w:sz w:val="16"/>
                <w:szCs w:val="16"/>
                <w:vertAlign w:val="superscript"/>
                <w:lang w:eastAsia="en-GB"/>
              </w:rPr>
              <w:t>-1</w:t>
            </w:r>
          </w:p>
        </w:tc>
        <w:tc>
          <w:tcPr>
            <w:tcW w:w="1491" w:type="dxa"/>
            <w:tcBorders>
              <w:top w:val="nil"/>
              <w:left w:val="nil"/>
              <w:bottom w:val="single" w:sz="4" w:space="0" w:color="auto"/>
              <w:right w:val="nil"/>
            </w:tcBorders>
            <w:shd w:val="clear" w:color="auto" w:fill="auto"/>
            <w:vAlign w:val="center"/>
            <w:hideMark/>
          </w:tcPr>
          <w:p w14:paraId="02E0E577" w14:textId="77777777" w:rsidR="00944CB1" w:rsidRPr="00E41E77" w:rsidRDefault="00944CB1" w:rsidP="002661C9">
            <w:pPr>
              <w:contextualSpacing/>
              <w:jc w:val="center"/>
              <w:rPr>
                <w:rFonts w:ascii="Calibri" w:eastAsia="Times New Roman" w:hAnsi="Calibri" w:cs="Times New Roman"/>
                <w:b/>
                <w:bCs/>
                <w:color w:val="000000"/>
                <w:sz w:val="16"/>
                <w:szCs w:val="16"/>
                <w:lang w:eastAsia="en-GB"/>
              </w:rPr>
            </w:pPr>
            <w:r w:rsidRPr="00E41E77">
              <w:rPr>
                <w:rFonts w:ascii="Calibri" w:eastAsia="Times New Roman" w:hAnsi="Calibri" w:cs="Times New Roman"/>
                <w:b/>
                <w:bCs/>
                <w:color w:val="000000"/>
                <w:sz w:val="16"/>
                <w:szCs w:val="16"/>
                <w:lang w:eastAsia="en-GB"/>
              </w:rPr>
              <w:t>Relative change in NPP (%)</w:t>
            </w:r>
          </w:p>
        </w:tc>
        <w:tc>
          <w:tcPr>
            <w:tcW w:w="1143" w:type="dxa"/>
            <w:tcBorders>
              <w:top w:val="nil"/>
              <w:left w:val="nil"/>
              <w:bottom w:val="single" w:sz="4" w:space="0" w:color="auto"/>
              <w:right w:val="nil"/>
            </w:tcBorders>
            <w:shd w:val="clear" w:color="auto" w:fill="auto"/>
            <w:vAlign w:val="center"/>
            <w:hideMark/>
          </w:tcPr>
          <w:p w14:paraId="08CFAB06" w14:textId="77777777" w:rsidR="00944CB1" w:rsidRPr="00E41E77" w:rsidRDefault="00944CB1" w:rsidP="002661C9">
            <w:pPr>
              <w:contextualSpacing/>
              <w:jc w:val="center"/>
              <w:rPr>
                <w:rFonts w:ascii="Calibri" w:eastAsia="Times New Roman" w:hAnsi="Calibri" w:cs="Times New Roman"/>
                <w:b/>
                <w:bCs/>
                <w:color w:val="000000"/>
                <w:sz w:val="16"/>
                <w:szCs w:val="16"/>
                <w:lang w:eastAsia="en-GB"/>
              </w:rPr>
            </w:pPr>
            <w:r w:rsidRPr="00E41E77">
              <w:rPr>
                <w:rFonts w:ascii="Calibri" w:eastAsia="Times New Roman" w:hAnsi="Calibri" w:cs="Times New Roman"/>
                <w:b/>
                <w:bCs/>
                <w:color w:val="000000"/>
                <w:sz w:val="16"/>
                <w:szCs w:val="16"/>
                <w:lang w:eastAsia="en-GB"/>
              </w:rPr>
              <w:t>Potential Change Mg ha</w:t>
            </w:r>
            <w:r w:rsidRPr="00E41E77">
              <w:rPr>
                <w:rFonts w:ascii="Calibri" w:eastAsia="Times New Roman" w:hAnsi="Calibri" w:cs="Times New Roman"/>
                <w:b/>
                <w:bCs/>
                <w:color w:val="000000"/>
                <w:sz w:val="16"/>
                <w:szCs w:val="16"/>
                <w:vertAlign w:val="superscript"/>
                <w:lang w:eastAsia="en-GB"/>
              </w:rPr>
              <w:t>-1</w:t>
            </w:r>
            <w:r w:rsidRPr="00E41E77">
              <w:rPr>
                <w:rFonts w:ascii="Calibri" w:eastAsia="Times New Roman" w:hAnsi="Calibri" w:cs="Times New Roman"/>
                <w:b/>
                <w:bCs/>
                <w:color w:val="000000"/>
                <w:sz w:val="16"/>
                <w:szCs w:val="16"/>
                <w:lang w:eastAsia="en-GB"/>
              </w:rPr>
              <w:t xml:space="preserve"> yr</w:t>
            </w:r>
            <w:r w:rsidRPr="00E41E77">
              <w:rPr>
                <w:rFonts w:ascii="Calibri" w:eastAsia="Times New Roman" w:hAnsi="Calibri" w:cs="Times New Roman"/>
                <w:b/>
                <w:bCs/>
                <w:color w:val="000000"/>
                <w:sz w:val="16"/>
                <w:szCs w:val="16"/>
                <w:vertAlign w:val="superscript"/>
                <w:lang w:eastAsia="en-GB"/>
              </w:rPr>
              <w:t>-1</w:t>
            </w:r>
          </w:p>
        </w:tc>
        <w:tc>
          <w:tcPr>
            <w:tcW w:w="1491" w:type="dxa"/>
            <w:tcBorders>
              <w:top w:val="nil"/>
              <w:left w:val="nil"/>
              <w:bottom w:val="single" w:sz="4" w:space="0" w:color="auto"/>
              <w:right w:val="nil"/>
            </w:tcBorders>
            <w:shd w:val="clear" w:color="auto" w:fill="auto"/>
            <w:vAlign w:val="center"/>
            <w:hideMark/>
          </w:tcPr>
          <w:p w14:paraId="21E0BFC7" w14:textId="77777777" w:rsidR="00944CB1" w:rsidRPr="00E41E77" w:rsidRDefault="00944CB1" w:rsidP="002661C9">
            <w:pPr>
              <w:contextualSpacing/>
              <w:jc w:val="center"/>
              <w:rPr>
                <w:rFonts w:ascii="Calibri" w:eastAsia="Times New Roman" w:hAnsi="Calibri" w:cs="Times New Roman"/>
                <w:b/>
                <w:bCs/>
                <w:color w:val="000000"/>
                <w:sz w:val="16"/>
                <w:szCs w:val="16"/>
                <w:lang w:eastAsia="en-GB"/>
              </w:rPr>
            </w:pPr>
            <w:r w:rsidRPr="00E41E77">
              <w:rPr>
                <w:rFonts w:ascii="Calibri" w:eastAsia="Times New Roman" w:hAnsi="Calibri" w:cs="Times New Roman"/>
                <w:b/>
                <w:bCs/>
                <w:color w:val="000000"/>
                <w:sz w:val="16"/>
                <w:szCs w:val="16"/>
                <w:lang w:eastAsia="en-GB"/>
              </w:rPr>
              <w:t>Relative change in NPP (%)</w:t>
            </w:r>
          </w:p>
        </w:tc>
      </w:tr>
      <w:tr w:rsidR="00944CB1" w:rsidRPr="00E41E77" w14:paraId="207CD4B6" w14:textId="77777777" w:rsidTr="002661C9">
        <w:trPr>
          <w:trHeight w:val="454"/>
        </w:trPr>
        <w:tc>
          <w:tcPr>
            <w:tcW w:w="2539" w:type="dxa"/>
            <w:tcBorders>
              <w:top w:val="nil"/>
              <w:left w:val="nil"/>
              <w:bottom w:val="nil"/>
              <w:right w:val="nil"/>
            </w:tcBorders>
            <w:shd w:val="clear" w:color="auto" w:fill="auto"/>
            <w:vAlign w:val="center"/>
            <w:hideMark/>
          </w:tcPr>
          <w:p w14:paraId="5484F8B7"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Western Coral Triangle</w:t>
            </w:r>
          </w:p>
        </w:tc>
        <w:tc>
          <w:tcPr>
            <w:tcW w:w="1525" w:type="dxa"/>
            <w:tcBorders>
              <w:top w:val="nil"/>
              <w:left w:val="nil"/>
              <w:bottom w:val="nil"/>
              <w:right w:val="nil"/>
            </w:tcBorders>
            <w:shd w:val="clear" w:color="auto" w:fill="auto"/>
            <w:vAlign w:val="center"/>
            <w:hideMark/>
          </w:tcPr>
          <w:p w14:paraId="0C46654B"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46.82 ± 10.44</w:t>
            </w:r>
          </w:p>
        </w:tc>
        <w:tc>
          <w:tcPr>
            <w:tcW w:w="1893" w:type="dxa"/>
            <w:tcBorders>
              <w:top w:val="nil"/>
              <w:left w:val="nil"/>
              <w:bottom w:val="nil"/>
              <w:right w:val="nil"/>
            </w:tcBorders>
            <w:shd w:val="clear" w:color="auto" w:fill="auto"/>
            <w:vAlign w:val="center"/>
            <w:hideMark/>
          </w:tcPr>
          <w:p w14:paraId="03A8957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19.68 ± 0.44</w:t>
            </w:r>
          </w:p>
        </w:tc>
        <w:tc>
          <w:tcPr>
            <w:tcW w:w="1590" w:type="dxa"/>
            <w:tcBorders>
              <w:top w:val="nil"/>
              <w:left w:val="nil"/>
              <w:bottom w:val="nil"/>
              <w:right w:val="nil"/>
            </w:tcBorders>
            <w:shd w:val="clear" w:color="auto" w:fill="auto"/>
            <w:noWrap/>
            <w:vAlign w:val="center"/>
            <w:hideMark/>
          </w:tcPr>
          <w:p w14:paraId="75799D1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19.68 ± 0.44</w:t>
            </w:r>
          </w:p>
        </w:tc>
        <w:tc>
          <w:tcPr>
            <w:tcW w:w="2272" w:type="dxa"/>
            <w:tcBorders>
              <w:top w:val="single" w:sz="4" w:space="0" w:color="auto"/>
              <w:left w:val="nil"/>
              <w:bottom w:val="nil"/>
              <w:right w:val="nil"/>
            </w:tcBorders>
            <w:vAlign w:val="center"/>
          </w:tcPr>
          <w:p w14:paraId="558C460F"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29.78 ± -6.61</w:t>
            </w:r>
          </w:p>
        </w:tc>
        <w:tc>
          <w:tcPr>
            <w:tcW w:w="1143" w:type="dxa"/>
            <w:tcBorders>
              <w:top w:val="nil"/>
              <w:left w:val="nil"/>
              <w:bottom w:val="nil"/>
              <w:right w:val="nil"/>
            </w:tcBorders>
            <w:shd w:val="clear" w:color="auto" w:fill="auto"/>
            <w:noWrap/>
            <w:vAlign w:val="center"/>
            <w:hideMark/>
          </w:tcPr>
          <w:p w14:paraId="01688B0A"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-1.22 ± 0.60</w:t>
            </w:r>
          </w:p>
        </w:tc>
        <w:tc>
          <w:tcPr>
            <w:tcW w:w="1491" w:type="dxa"/>
            <w:tcBorders>
              <w:top w:val="nil"/>
              <w:left w:val="nil"/>
              <w:bottom w:val="nil"/>
              <w:right w:val="nil"/>
            </w:tcBorders>
            <w:shd w:val="clear" w:color="auto" w:fill="auto"/>
            <w:noWrap/>
            <w:vAlign w:val="center"/>
            <w:hideMark/>
          </w:tcPr>
          <w:p w14:paraId="22AAAD17"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-4.10 </w:t>
            </w:r>
            <w:proofErr w:type="gramStart"/>
            <w:r w:rsidRPr="00E41E77">
              <w:rPr>
                <w:rFonts w:ascii="Calibri" w:eastAsia="Times New Roman" w:hAnsi="Calibri" w:cs="Times New Roman"/>
                <w:color w:val="000000"/>
                <w:sz w:val="16"/>
                <w:szCs w:val="16"/>
                <w:lang w:eastAsia="en-GB"/>
              </w:rPr>
              <w:t>±  8</w:t>
            </w:r>
            <w:proofErr w:type="gramEnd"/>
            <w:r w:rsidRPr="00E41E77">
              <w:rPr>
                <w:rFonts w:ascii="Calibri" w:eastAsia="Times New Roman" w:hAnsi="Calibri" w:cs="Times New Roman"/>
                <w:color w:val="000000"/>
                <w:sz w:val="16"/>
                <w:szCs w:val="16"/>
                <w:lang w:eastAsia="en-GB"/>
              </w:rPr>
              <w:t>.42</w:t>
            </w:r>
          </w:p>
        </w:tc>
        <w:tc>
          <w:tcPr>
            <w:tcW w:w="1143" w:type="dxa"/>
            <w:tcBorders>
              <w:top w:val="nil"/>
              <w:left w:val="nil"/>
              <w:bottom w:val="nil"/>
              <w:right w:val="nil"/>
            </w:tcBorders>
            <w:shd w:val="clear" w:color="auto" w:fill="auto"/>
            <w:noWrap/>
            <w:vAlign w:val="center"/>
            <w:hideMark/>
          </w:tcPr>
          <w:p w14:paraId="08BF1683"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-3.56 ± 2.99</w:t>
            </w:r>
          </w:p>
        </w:tc>
        <w:tc>
          <w:tcPr>
            <w:tcW w:w="1491" w:type="dxa"/>
            <w:tcBorders>
              <w:top w:val="nil"/>
              <w:left w:val="nil"/>
              <w:bottom w:val="nil"/>
              <w:right w:val="nil"/>
            </w:tcBorders>
            <w:shd w:val="clear" w:color="auto" w:fill="auto"/>
            <w:noWrap/>
            <w:vAlign w:val="center"/>
            <w:hideMark/>
          </w:tcPr>
          <w:p w14:paraId="25CF65B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-7.61 </w:t>
            </w:r>
            <w:proofErr w:type="gramStart"/>
            <w:r w:rsidRPr="00E41E77">
              <w:rPr>
                <w:rFonts w:ascii="Calibri" w:eastAsia="Times New Roman" w:hAnsi="Calibri" w:cs="Times New Roman"/>
                <w:color w:val="000000"/>
                <w:sz w:val="16"/>
                <w:szCs w:val="16"/>
                <w:lang w:eastAsia="en-GB"/>
              </w:rPr>
              <w:t>±  6</w:t>
            </w:r>
            <w:proofErr w:type="gramEnd"/>
            <w:r w:rsidRPr="00E41E77">
              <w:rPr>
                <w:rFonts w:ascii="Calibri" w:eastAsia="Times New Roman" w:hAnsi="Calibri" w:cs="Times New Roman"/>
                <w:color w:val="000000"/>
                <w:sz w:val="16"/>
                <w:szCs w:val="16"/>
                <w:lang w:eastAsia="en-GB"/>
              </w:rPr>
              <w:t>.39</w:t>
            </w:r>
          </w:p>
        </w:tc>
      </w:tr>
      <w:tr w:rsidR="00944CB1" w:rsidRPr="00E41E77" w14:paraId="01E81A8A" w14:textId="77777777" w:rsidTr="002661C9">
        <w:trPr>
          <w:trHeight w:val="257"/>
        </w:trPr>
        <w:tc>
          <w:tcPr>
            <w:tcW w:w="2539" w:type="dxa"/>
            <w:tcBorders>
              <w:top w:val="nil"/>
              <w:left w:val="nil"/>
              <w:bottom w:val="nil"/>
              <w:right w:val="nil"/>
            </w:tcBorders>
            <w:shd w:val="clear" w:color="auto" w:fill="auto"/>
            <w:vAlign w:val="center"/>
            <w:hideMark/>
          </w:tcPr>
          <w:p w14:paraId="6FF91C0C"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Sahul Shelf</w:t>
            </w:r>
          </w:p>
        </w:tc>
        <w:tc>
          <w:tcPr>
            <w:tcW w:w="1525" w:type="dxa"/>
            <w:tcBorders>
              <w:top w:val="nil"/>
              <w:left w:val="nil"/>
              <w:bottom w:val="nil"/>
              <w:right w:val="nil"/>
            </w:tcBorders>
            <w:shd w:val="clear" w:color="auto" w:fill="auto"/>
            <w:vAlign w:val="center"/>
            <w:hideMark/>
          </w:tcPr>
          <w:p w14:paraId="42B5FD5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29.09 ± 7.25</w:t>
            </w:r>
          </w:p>
        </w:tc>
        <w:tc>
          <w:tcPr>
            <w:tcW w:w="1893" w:type="dxa"/>
            <w:tcBorders>
              <w:top w:val="nil"/>
              <w:left w:val="nil"/>
              <w:bottom w:val="nil"/>
              <w:right w:val="nil"/>
            </w:tcBorders>
            <w:shd w:val="clear" w:color="auto" w:fill="auto"/>
            <w:vAlign w:val="center"/>
            <w:hideMark/>
          </w:tcPr>
          <w:p w14:paraId="5AC405E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12.14 ± 0.06</w:t>
            </w:r>
          </w:p>
        </w:tc>
        <w:tc>
          <w:tcPr>
            <w:tcW w:w="1590" w:type="dxa"/>
            <w:tcBorders>
              <w:top w:val="nil"/>
              <w:left w:val="nil"/>
              <w:bottom w:val="nil"/>
              <w:right w:val="nil"/>
            </w:tcBorders>
            <w:shd w:val="clear" w:color="auto" w:fill="auto"/>
            <w:noWrap/>
            <w:vAlign w:val="center"/>
            <w:hideMark/>
          </w:tcPr>
          <w:p w14:paraId="2D2299CD"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31.83 ± 0.82</w:t>
            </w:r>
          </w:p>
        </w:tc>
        <w:tc>
          <w:tcPr>
            <w:tcW w:w="2272" w:type="dxa"/>
            <w:tcBorders>
              <w:top w:val="nil"/>
              <w:left w:val="nil"/>
              <w:bottom w:val="nil"/>
              <w:right w:val="nil"/>
            </w:tcBorders>
            <w:vAlign w:val="center"/>
          </w:tcPr>
          <w:p w14:paraId="23731A2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31.15 </w:t>
            </w:r>
            <w:proofErr w:type="gramStart"/>
            <w:r w:rsidRPr="00E41E77">
              <w:rPr>
                <w:rFonts w:ascii="Calibri" w:eastAsia="Times New Roman" w:hAnsi="Calibri" w:cs="Times New Roman"/>
                <w:color w:val="000000"/>
                <w:sz w:val="16"/>
                <w:szCs w:val="16"/>
                <w:lang w:eastAsia="en-GB"/>
              </w:rPr>
              <w:t>±  9</w:t>
            </w:r>
            <w:proofErr w:type="gramEnd"/>
            <w:r w:rsidRPr="00E41E77">
              <w:rPr>
                <w:rFonts w:ascii="Calibri" w:eastAsia="Times New Roman" w:hAnsi="Calibri" w:cs="Times New Roman"/>
                <w:color w:val="000000"/>
                <w:sz w:val="16"/>
                <w:szCs w:val="16"/>
                <w:lang w:eastAsia="en-GB"/>
              </w:rPr>
              <w:t>.31</w:t>
            </w:r>
          </w:p>
        </w:tc>
        <w:tc>
          <w:tcPr>
            <w:tcW w:w="1143" w:type="dxa"/>
            <w:tcBorders>
              <w:top w:val="nil"/>
              <w:left w:val="nil"/>
              <w:bottom w:val="nil"/>
              <w:right w:val="nil"/>
            </w:tcBorders>
            <w:shd w:val="clear" w:color="auto" w:fill="auto"/>
            <w:noWrap/>
            <w:vAlign w:val="center"/>
            <w:hideMark/>
          </w:tcPr>
          <w:p w14:paraId="11BE108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0.14 ± 0.09</w:t>
            </w:r>
          </w:p>
        </w:tc>
        <w:tc>
          <w:tcPr>
            <w:tcW w:w="1491" w:type="dxa"/>
            <w:tcBorders>
              <w:top w:val="nil"/>
              <w:left w:val="nil"/>
              <w:bottom w:val="nil"/>
              <w:right w:val="nil"/>
            </w:tcBorders>
            <w:shd w:val="clear" w:color="auto" w:fill="auto"/>
            <w:noWrap/>
            <w:vAlign w:val="center"/>
            <w:hideMark/>
          </w:tcPr>
          <w:p w14:paraId="438BADEE"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0.45 ± 12.40</w:t>
            </w:r>
          </w:p>
        </w:tc>
        <w:tc>
          <w:tcPr>
            <w:tcW w:w="1143" w:type="dxa"/>
            <w:tcBorders>
              <w:top w:val="nil"/>
              <w:left w:val="nil"/>
              <w:bottom w:val="nil"/>
              <w:right w:val="nil"/>
            </w:tcBorders>
            <w:shd w:val="clear" w:color="auto" w:fill="auto"/>
            <w:noWrap/>
            <w:vAlign w:val="center"/>
            <w:hideMark/>
          </w:tcPr>
          <w:p w14:paraId="609C5C79"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-0.01 ± 3.47</w:t>
            </w:r>
          </w:p>
        </w:tc>
        <w:tc>
          <w:tcPr>
            <w:tcW w:w="1491" w:type="dxa"/>
            <w:tcBorders>
              <w:top w:val="nil"/>
              <w:left w:val="nil"/>
              <w:bottom w:val="nil"/>
              <w:right w:val="nil"/>
            </w:tcBorders>
            <w:shd w:val="clear" w:color="auto" w:fill="auto"/>
            <w:noWrap/>
            <w:vAlign w:val="center"/>
            <w:hideMark/>
          </w:tcPr>
          <w:p w14:paraId="69948611"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-0.02 ± 11.93</w:t>
            </w:r>
          </w:p>
        </w:tc>
      </w:tr>
      <w:tr w:rsidR="00944CB1" w:rsidRPr="00E41E77" w14:paraId="4CD92E50" w14:textId="77777777" w:rsidTr="002661C9">
        <w:trPr>
          <w:trHeight w:val="680"/>
        </w:trPr>
        <w:tc>
          <w:tcPr>
            <w:tcW w:w="2539" w:type="dxa"/>
            <w:tcBorders>
              <w:top w:val="nil"/>
              <w:left w:val="nil"/>
              <w:bottom w:val="nil"/>
              <w:right w:val="nil"/>
            </w:tcBorders>
            <w:shd w:val="clear" w:color="auto" w:fill="auto"/>
            <w:vAlign w:val="center"/>
            <w:hideMark/>
          </w:tcPr>
          <w:p w14:paraId="404EC3E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Tropical </w:t>
            </w:r>
            <w:proofErr w:type="spellStart"/>
            <w:r w:rsidRPr="00E41E77">
              <w:rPr>
                <w:rFonts w:ascii="Calibri" w:eastAsia="Times New Roman" w:hAnsi="Calibri" w:cs="Times New Roman"/>
                <w:color w:val="000000"/>
                <w:sz w:val="16"/>
                <w:szCs w:val="16"/>
                <w:lang w:eastAsia="en-GB"/>
              </w:rPr>
              <w:t>Northwestern</w:t>
            </w:r>
            <w:proofErr w:type="spellEnd"/>
            <w:r w:rsidRPr="00E41E77">
              <w:rPr>
                <w:rFonts w:ascii="Calibri" w:eastAsia="Times New Roman" w:hAnsi="Calibri" w:cs="Times New Roman"/>
                <w:color w:val="000000"/>
                <w:sz w:val="16"/>
                <w:szCs w:val="16"/>
                <w:lang w:eastAsia="en-GB"/>
              </w:rPr>
              <w:t xml:space="preserve"> Atlantic</w:t>
            </w:r>
          </w:p>
        </w:tc>
        <w:tc>
          <w:tcPr>
            <w:tcW w:w="1525" w:type="dxa"/>
            <w:tcBorders>
              <w:top w:val="nil"/>
              <w:left w:val="nil"/>
              <w:bottom w:val="nil"/>
              <w:right w:val="nil"/>
            </w:tcBorders>
            <w:shd w:val="clear" w:color="auto" w:fill="auto"/>
            <w:vAlign w:val="center"/>
            <w:hideMark/>
          </w:tcPr>
          <w:p w14:paraId="28BD348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25.79 </w:t>
            </w:r>
            <w:proofErr w:type="gramStart"/>
            <w:r w:rsidRPr="00E41E77">
              <w:rPr>
                <w:rFonts w:ascii="Calibri" w:eastAsia="Times New Roman" w:hAnsi="Calibri" w:cs="Times New Roman"/>
                <w:color w:val="000000"/>
                <w:sz w:val="16"/>
                <w:szCs w:val="16"/>
                <w:lang w:eastAsia="en-GB"/>
              </w:rPr>
              <w:t>±  5</w:t>
            </w:r>
            <w:proofErr w:type="gramEnd"/>
            <w:r w:rsidRPr="00E41E77">
              <w:rPr>
                <w:rFonts w:ascii="Calibri" w:eastAsia="Times New Roman" w:hAnsi="Calibri" w:cs="Times New Roman"/>
                <w:color w:val="000000"/>
                <w:sz w:val="16"/>
                <w:szCs w:val="16"/>
                <w:lang w:eastAsia="en-GB"/>
              </w:rPr>
              <w:t>.85</w:t>
            </w:r>
          </w:p>
        </w:tc>
        <w:tc>
          <w:tcPr>
            <w:tcW w:w="1893" w:type="dxa"/>
            <w:tcBorders>
              <w:top w:val="nil"/>
              <w:left w:val="nil"/>
              <w:bottom w:val="nil"/>
              <w:right w:val="nil"/>
            </w:tcBorders>
            <w:shd w:val="clear" w:color="auto" w:fill="auto"/>
            <w:vAlign w:val="center"/>
            <w:hideMark/>
          </w:tcPr>
          <w:p w14:paraId="7D94185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10.82 ± 0.19</w:t>
            </w:r>
          </w:p>
        </w:tc>
        <w:tc>
          <w:tcPr>
            <w:tcW w:w="1590" w:type="dxa"/>
            <w:tcBorders>
              <w:top w:val="nil"/>
              <w:left w:val="nil"/>
              <w:bottom w:val="nil"/>
              <w:right w:val="nil"/>
            </w:tcBorders>
            <w:shd w:val="clear" w:color="auto" w:fill="auto"/>
            <w:noWrap/>
            <w:vAlign w:val="center"/>
            <w:hideMark/>
          </w:tcPr>
          <w:p w14:paraId="3575EB5D"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42.65 ± 1.39</w:t>
            </w:r>
          </w:p>
        </w:tc>
        <w:tc>
          <w:tcPr>
            <w:tcW w:w="2272" w:type="dxa"/>
            <w:tcBorders>
              <w:top w:val="nil"/>
              <w:left w:val="nil"/>
              <w:bottom w:val="nil"/>
              <w:right w:val="nil"/>
            </w:tcBorders>
            <w:vAlign w:val="center"/>
          </w:tcPr>
          <w:p w14:paraId="07D32615"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25.60 </w:t>
            </w:r>
            <w:proofErr w:type="gramStart"/>
            <w:r w:rsidRPr="00E41E77">
              <w:rPr>
                <w:rFonts w:ascii="Calibri" w:eastAsia="Times New Roman" w:hAnsi="Calibri" w:cs="Times New Roman"/>
                <w:color w:val="000000"/>
                <w:sz w:val="16"/>
                <w:szCs w:val="16"/>
                <w:lang w:eastAsia="en-GB"/>
              </w:rPr>
              <w:t>±  5</w:t>
            </w:r>
            <w:proofErr w:type="gramEnd"/>
            <w:r w:rsidRPr="00E41E77">
              <w:rPr>
                <w:rFonts w:ascii="Calibri" w:eastAsia="Times New Roman" w:hAnsi="Calibri" w:cs="Times New Roman"/>
                <w:color w:val="000000"/>
                <w:sz w:val="16"/>
                <w:szCs w:val="16"/>
                <w:lang w:eastAsia="en-GB"/>
              </w:rPr>
              <w:t>.67</w:t>
            </w:r>
          </w:p>
        </w:tc>
        <w:tc>
          <w:tcPr>
            <w:tcW w:w="1143" w:type="dxa"/>
            <w:tcBorders>
              <w:top w:val="nil"/>
              <w:left w:val="nil"/>
              <w:bottom w:val="nil"/>
              <w:right w:val="nil"/>
            </w:tcBorders>
            <w:shd w:val="clear" w:color="auto" w:fill="auto"/>
            <w:noWrap/>
            <w:vAlign w:val="center"/>
            <w:hideMark/>
          </w:tcPr>
          <w:p w14:paraId="4A68983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-0.06 ± 0.00</w:t>
            </w:r>
          </w:p>
        </w:tc>
        <w:tc>
          <w:tcPr>
            <w:tcW w:w="1491" w:type="dxa"/>
            <w:tcBorders>
              <w:top w:val="nil"/>
              <w:left w:val="nil"/>
              <w:bottom w:val="nil"/>
              <w:right w:val="nil"/>
            </w:tcBorders>
            <w:shd w:val="clear" w:color="auto" w:fill="auto"/>
            <w:noWrap/>
            <w:vAlign w:val="center"/>
            <w:hideMark/>
          </w:tcPr>
          <w:p w14:paraId="29A38238"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-0.24 ± 10.17</w:t>
            </w:r>
          </w:p>
        </w:tc>
        <w:tc>
          <w:tcPr>
            <w:tcW w:w="1143" w:type="dxa"/>
            <w:tcBorders>
              <w:top w:val="nil"/>
              <w:left w:val="nil"/>
              <w:bottom w:val="nil"/>
              <w:right w:val="nil"/>
            </w:tcBorders>
            <w:shd w:val="clear" w:color="auto" w:fill="auto"/>
            <w:noWrap/>
            <w:vAlign w:val="center"/>
            <w:hideMark/>
          </w:tcPr>
          <w:p w14:paraId="00C75FD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0.52 ± 2.95</w:t>
            </w:r>
          </w:p>
        </w:tc>
        <w:tc>
          <w:tcPr>
            <w:tcW w:w="1491" w:type="dxa"/>
            <w:tcBorders>
              <w:top w:val="nil"/>
              <w:left w:val="nil"/>
              <w:bottom w:val="nil"/>
              <w:right w:val="nil"/>
            </w:tcBorders>
            <w:shd w:val="clear" w:color="auto" w:fill="auto"/>
            <w:noWrap/>
            <w:vAlign w:val="center"/>
            <w:hideMark/>
          </w:tcPr>
          <w:p w14:paraId="7BB43EC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2.02 ± 11.42</w:t>
            </w:r>
          </w:p>
        </w:tc>
      </w:tr>
      <w:tr w:rsidR="00944CB1" w:rsidRPr="00E41E77" w14:paraId="681E3E0C" w14:textId="77777777" w:rsidTr="002661C9">
        <w:trPr>
          <w:trHeight w:val="257"/>
        </w:trPr>
        <w:tc>
          <w:tcPr>
            <w:tcW w:w="2539" w:type="dxa"/>
            <w:tcBorders>
              <w:top w:val="nil"/>
              <w:left w:val="nil"/>
              <w:bottom w:val="nil"/>
              <w:right w:val="nil"/>
            </w:tcBorders>
            <w:shd w:val="clear" w:color="auto" w:fill="auto"/>
            <w:vAlign w:val="center"/>
            <w:hideMark/>
          </w:tcPr>
          <w:p w14:paraId="42D28628"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proofErr w:type="spellStart"/>
            <w:r w:rsidRPr="00E41E77">
              <w:rPr>
                <w:rFonts w:ascii="Calibri" w:eastAsia="Times New Roman" w:hAnsi="Calibri" w:cs="Times New Roman"/>
                <w:color w:val="000000"/>
                <w:sz w:val="16"/>
                <w:szCs w:val="16"/>
                <w:lang w:eastAsia="en-GB"/>
              </w:rPr>
              <w:t>Sunda</w:t>
            </w:r>
            <w:proofErr w:type="spellEnd"/>
            <w:r w:rsidRPr="00E41E77">
              <w:rPr>
                <w:rFonts w:ascii="Calibri" w:eastAsia="Times New Roman" w:hAnsi="Calibri" w:cs="Times New Roman"/>
                <w:color w:val="000000"/>
                <w:sz w:val="16"/>
                <w:szCs w:val="16"/>
                <w:lang w:eastAsia="en-GB"/>
              </w:rPr>
              <w:t xml:space="preserve"> Shelf</w:t>
            </w:r>
          </w:p>
        </w:tc>
        <w:tc>
          <w:tcPr>
            <w:tcW w:w="1525" w:type="dxa"/>
            <w:tcBorders>
              <w:top w:val="nil"/>
              <w:left w:val="nil"/>
              <w:bottom w:val="nil"/>
              <w:right w:val="nil"/>
            </w:tcBorders>
            <w:shd w:val="clear" w:color="auto" w:fill="auto"/>
            <w:vAlign w:val="center"/>
            <w:hideMark/>
          </w:tcPr>
          <w:p w14:paraId="2171973B"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23.12 </w:t>
            </w:r>
            <w:proofErr w:type="gramStart"/>
            <w:r w:rsidRPr="00E41E77">
              <w:rPr>
                <w:rFonts w:ascii="Calibri" w:eastAsia="Times New Roman" w:hAnsi="Calibri" w:cs="Times New Roman"/>
                <w:color w:val="000000"/>
                <w:sz w:val="16"/>
                <w:szCs w:val="16"/>
                <w:lang w:eastAsia="en-GB"/>
              </w:rPr>
              <w:t>±  5</w:t>
            </w:r>
            <w:proofErr w:type="gramEnd"/>
            <w:r w:rsidRPr="00E41E77">
              <w:rPr>
                <w:rFonts w:ascii="Calibri" w:eastAsia="Times New Roman" w:hAnsi="Calibri" w:cs="Times New Roman"/>
                <w:color w:val="000000"/>
                <w:sz w:val="16"/>
                <w:szCs w:val="16"/>
                <w:lang w:eastAsia="en-GB"/>
              </w:rPr>
              <w:t>.43</w:t>
            </w:r>
          </w:p>
        </w:tc>
        <w:tc>
          <w:tcPr>
            <w:tcW w:w="1893" w:type="dxa"/>
            <w:tcBorders>
              <w:top w:val="nil"/>
              <w:left w:val="nil"/>
              <w:bottom w:val="nil"/>
              <w:right w:val="nil"/>
            </w:tcBorders>
            <w:shd w:val="clear" w:color="auto" w:fill="auto"/>
            <w:vAlign w:val="center"/>
            <w:hideMark/>
          </w:tcPr>
          <w:p w14:paraId="1DC37F1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9.68 ± 0.09</w:t>
            </w:r>
          </w:p>
        </w:tc>
        <w:tc>
          <w:tcPr>
            <w:tcW w:w="1590" w:type="dxa"/>
            <w:tcBorders>
              <w:top w:val="nil"/>
              <w:left w:val="nil"/>
              <w:bottom w:val="nil"/>
              <w:right w:val="nil"/>
            </w:tcBorders>
            <w:shd w:val="clear" w:color="auto" w:fill="auto"/>
            <w:noWrap/>
            <w:vAlign w:val="center"/>
            <w:hideMark/>
          </w:tcPr>
          <w:p w14:paraId="6FEF41DC"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52.34 ± 2.05</w:t>
            </w:r>
          </w:p>
        </w:tc>
        <w:tc>
          <w:tcPr>
            <w:tcW w:w="2272" w:type="dxa"/>
            <w:tcBorders>
              <w:top w:val="nil"/>
              <w:left w:val="nil"/>
              <w:bottom w:val="nil"/>
              <w:right w:val="nil"/>
            </w:tcBorders>
            <w:vAlign w:val="center"/>
          </w:tcPr>
          <w:p w14:paraId="48BE911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30.03 ± 12.34</w:t>
            </w:r>
          </w:p>
        </w:tc>
        <w:tc>
          <w:tcPr>
            <w:tcW w:w="1143" w:type="dxa"/>
            <w:tcBorders>
              <w:top w:val="nil"/>
              <w:left w:val="nil"/>
              <w:bottom w:val="nil"/>
              <w:right w:val="nil"/>
            </w:tcBorders>
            <w:shd w:val="clear" w:color="auto" w:fill="auto"/>
            <w:noWrap/>
            <w:vAlign w:val="center"/>
            <w:hideMark/>
          </w:tcPr>
          <w:p w14:paraId="51D0855B"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-1.34 ± 0.65</w:t>
            </w:r>
          </w:p>
        </w:tc>
        <w:tc>
          <w:tcPr>
            <w:tcW w:w="1491" w:type="dxa"/>
            <w:tcBorders>
              <w:top w:val="nil"/>
              <w:left w:val="nil"/>
              <w:bottom w:val="nil"/>
              <w:right w:val="nil"/>
            </w:tcBorders>
            <w:shd w:val="clear" w:color="auto" w:fill="auto"/>
            <w:noWrap/>
            <w:vAlign w:val="center"/>
            <w:hideMark/>
          </w:tcPr>
          <w:p w14:paraId="4798CCC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-4.46 </w:t>
            </w:r>
            <w:proofErr w:type="gramStart"/>
            <w:r w:rsidRPr="00E41E77">
              <w:rPr>
                <w:rFonts w:ascii="Calibri" w:eastAsia="Times New Roman" w:hAnsi="Calibri" w:cs="Times New Roman"/>
                <w:color w:val="000000"/>
                <w:sz w:val="16"/>
                <w:szCs w:val="16"/>
                <w:lang w:eastAsia="en-GB"/>
              </w:rPr>
              <w:t>±  8</w:t>
            </w:r>
            <w:proofErr w:type="gramEnd"/>
            <w:r w:rsidRPr="00E41E77">
              <w:rPr>
                <w:rFonts w:ascii="Calibri" w:eastAsia="Times New Roman" w:hAnsi="Calibri" w:cs="Times New Roman"/>
                <w:color w:val="000000"/>
                <w:sz w:val="16"/>
                <w:szCs w:val="16"/>
                <w:lang w:eastAsia="en-GB"/>
              </w:rPr>
              <w:t>.64</w:t>
            </w:r>
          </w:p>
        </w:tc>
        <w:tc>
          <w:tcPr>
            <w:tcW w:w="1143" w:type="dxa"/>
            <w:tcBorders>
              <w:top w:val="nil"/>
              <w:left w:val="nil"/>
              <w:bottom w:val="nil"/>
              <w:right w:val="nil"/>
            </w:tcBorders>
            <w:shd w:val="clear" w:color="auto" w:fill="auto"/>
            <w:noWrap/>
            <w:vAlign w:val="center"/>
            <w:hideMark/>
          </w:tcPr>
          <w:p w14:paraId="4BF4A42A"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-1.62 ± 1.67</w:t>
            </w:r>
          </w:p>
        </w:tc>
        <w:tc>
          <w:tcPr>
            <w:tcW w:w="1491" w:type="dxa"/>
            <w:tcBorders>
              <w:top w:val="nil"/>
              <w:left w:val="nil"/>
              <w:bottom w:val="nil"/>
              <w:right w:val="nil"/>
            </w:tcBorders>
            <w:shd w:val="clear" w:color="auto" w:fill="auto"/>
            <w:noWrap/>
            <w:vAlign w:val="center"/>
            <w:hideMark/>
          </w:tcPr>
          <w:p w14:paraId="034AD01B"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-6.99 </w:t>
            </w:r>
            <w:proofErr w:type="gramStart"/>
            <w:r w:rsidRPr="00E41E77">
              <w:rPr>
                <w:rFonts w:ascii="Calibri" w:eastAsia="Times New Roman" w:hAnsi="Calibri" w:cs="Times New Roman"/>
                <w:color w:val="000000"/>
                <w:sz w:val="16"/>
                <w:szCs w:val="16"/>
                <w:lang w:eastAsia="en-GB"/>
              </w:rPr>
              <w:t>±  7</w:t>
            </w:r>
            <w:proofErr w:type="gramEnd"/>
            <w:r w:rsidRPr="00E41E77">
              <w:rPr>
                <w:rFonts w:ascii="Calibri" w:eastAsia="Times New Roman" w:hAnsi="Calibri" w:cs="Times New Roman"/>
                <w:color w:val="000000"/>
                <w:sz w:val="16"/>
                <w:szCs w:val="16"/>
                <w:lang w:eastAsia="en-GB"/>
              </w:rPr>
              <w:t>.22</w:t>
            </w:r>
          </w:p>
        </w:tc>
      </w:tr>
      <w:tr w:rsidR="00944CB1" w:rsidRPr="00E41E77" w14:paraId="1DA9FF8D" w14:textId="77777777" w:rsidTr="002661C9">
        <w:trPr>
          <w:trHeight w:val="257"/>
        </w:trPr>
        <w:tc>
          <w:tcPr>
            <w:tcW w:w="2539" w:type="dxa"/>
            <w:tcBorders>
              <w:top w:val="nil"/>
              <w:left w:val="nil"/>
              <w:bottom w:val="nil"/>
              <w:right w:val="nil"/>
            </w:tcBorders>
            <w:shd w:val="clear" w:color="auto" w:fill="auto"/>
            <w:vAlign w:val="center"/>
            <w:hideMark/>
          </w:tcPr>
          <w:p w14:paraId="6B3F52F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Gulf of Guinea</w:t>
            </w:r>
          </w:p>
        </w:tc>
        <w:tc>
          <w:tcPr>
            <w:tcW w:w="1525" w:type="dxa"/>
            <w:tcBorders>
              <w:top w:val="nil"/>
              <w:left w:val="nil"/>
              <w:bottom w:val="nil"/>
              <w:right w:val="nil"/>
            </w:tcBorders>
            <w:shd w:val="clear" w:color="auto" w:fill="auto"/>
            <w:vAlign w:val="center"/>
            <w:hideMark/>
          </w:tcPr>
          <w:p w14:paraId="775DA65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22.30 </w:t>
            </w:r>
            <w:proofErr w:type="gramStart"/>
            <w:r w:rsidRPr="00E41E77">
              <w:rPr>
                <w:rFonts w:ascii="Calibri" w:eastAsia="Times New Roman" w:hAnsi="Calibri" w:cs="Times New Roman"/>
                <w:color w:val="000000"/>
                <w:sz w:val="16"/>
                <w:szCs w:val="16"/>
                <w:lang w:eastAsia="en-GB"/>
              </w:rPr>
              <w:t>±  5</w:t>
            </w:r>
            <w:proofErr w:type="gramEnd"/>
            <w:r w:rsidRPr="00E41E77">
              <w:rPr>
                <w:rFonts w:ascii="Calibri" w:eastAsia="Times New Roman" w:hAnsi="Calibri" w:cs="Times New Roman"/>
                <w:color w:val="000000"/>
                <w:sz w:val="16"/>
                <w:szCs w:val="16"/>
                <w:lang w:eastAsia="en-GB"/>
              </w:rPr>
              <w:t>.58</w:t>
            </w:r>
          </w:p>
        </w:tc>
        <w:tc>
          <w:tcPr>
            <w:tcW w:w="1893" w:type="dxa"/>
            <w:tcBorders>
              <w:top w:val="nil"/>
              <w:left w:val="nil"/>
              <w:bottom w:val="nil"/>
              <w:right w:val="nil"/>
            </w:tcBorders>
            <w:shd w:val="clear" w:color="auto" w:fill="auto"/>
            <w:vAlign w:val="center"/>
            <w:hideMark/>
          </w:tcPr>
          <w:p w14:paraId="5EC339D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9.31 ± 0.06</w:t>
            </w:r>
          </w:p>
        </w:tc>
        <w:tc>
          <w:tcPr>
            <w:tcW w:w="1590" w:type="dxa"/>
            <w:tcBorders>
              <w:top w:val="nil"/>
              <w:left w:val="nil"/>
              <w:bottom w:val="nil"/>
              <w:right w:val="nil"/>
            </w:tcBorders>
            <w:shd w:val="clear" w:color="auto" w:fill="auto"/>
            <w:noWrap/>
            <w:vAlign w:val="center"/>
            <w:hideMark/>
          </w:tcPr>
          <w:p w14:paraId="028EA5AE"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61.64 ± 2.66</w:t>
            </w:r>
          </w:p>
        </w:tc>
        <w:tc>
          <w:tcPr>
            <w:tcW w:w="2272" w:type="dxa"/>
            <w:tcBorders>
              <w:top w:val="nil"/>
              <w:left w:val="nil"/>
              <w:bottom w:val="nil"/>
              <w:right w:val="nil"/>
            </w:tcBorders>
            <w:vAlign w:val="center"/>
          </w:tcPr>
          <w:p w14:paraId="3576BD0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32.07 ± 15.35</w:t>
            </w:r>
          </w:p>
        </w:tc>
        <w:tc>
          <w:tcPr>
            <w:tcW w:w="1143" w:type="dxa"/>
            <w:tcBorders>
              <w:top w:val="nil"/>
              <w:left w:val="nil"/>
              <w:bottom w:val="nil"/>
              <w:right w:val="nil"/>
            </w:tcBorders>
            <w:shd w:val="clear" w:color="auto" w:fill="auto"/>
            <w:noWrap/>
            <w:vAlign w:val="center"/>
            <w:hideMark/>
          </w:tcPr>
          <w:p w14:paraId="273DC36E"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-0.48 ± 0.19</w:t>
            </w:r>
          </w:p>
        </w:tc>
        <w:tc>
          <w:tcPr>
            <w:tcW w:w="1491" w:type="dxa"/>
            <w:tcBorders>
              <w:top w:val="nil"/>
              <w:left w:val="nil"/>
              <w:bottom w:val="nil"/>
              <w:right w:val="nil"/>
            </w:tcBorders>
            <w:shd w:val="clear" w:color="auto" w:fill="auto"/>
            <w:noWrap/>
            <w:vAlign w:val="center"/>
            <w:hideMark/>
          </w:tcPr>
          <w:p w14:paraId="077F2B4E"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-1.50 ± 10.88</w:t>
            </w:r>
          </w:p>
        </w:tc>
        <w:tc>
          <w:tcPr>
            <w:tcW w:w="1143" w:type="dxa"/>
            <w:tcBorders>
              <w:top w:val="nil"/>
              <w:left w:val="nil"/>
              <w:bottom w:val="nil"/>
              <w:right w:val="nil"/>
            </w:tcBorders>
            <w:shd w:val="clear" w:color="auto" w:fill="auto"/>
            <w:noWrap/>
            <w:vAlign w:val="center"/>
            <w:hideMark/>
          </w:tcPr>
          <w:p w14:paraId="34AD08BB"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-0.46 ± 2.32</w:t>
            </w:r>
          </w:p>
        </w:tc>
        <w:tc>
          <w:tcPr>
            <w:tcW w:w="1491" w:type="dxa"/>
            <w:tcBorders>
              <w:top w:val="nil"/>
              <w:left w:val="nil"/>
              <w:bottom w:val="nil"/>
              <w:right w:val="nil"/>
            </w:tcBorders>
            <w:shd w:val="clear" w:color="auto" w:fill="auto"/>
            <w:noWrap/>
            <w:vAlign w:val="center"/>
            <w:hideMark/>
          </w:tcPr>
          <w:p w14:paraId="6D34CD0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-2.08 ± 10.40</w:t>
            </w:r>
          </w:p>
        </w:tc>
      </w:tr>
      <w:tr w:rsidR="00944CB1" w:rsidRPr="00E41E77" w14:paraId="1D4D6196" w14:textId="77777777" w:rsidTr="002661C9">
        <w:trPr>
          <w:trHeight w:val="257"/>
        </w:trPr>
        <w:tc>
          <w:tcPr>
            <w:tcW w:w="2539" w:type="dxa"/>
            <w:tcBorders>
              <w:top w:val="nil"/>
              <w:left w:val="nil"/>
              <w:bottom w:val="nil"/>
              <w:right w:val="nil"/>
            </w:tcBorders>
            <w:shd w:val="clear" w:color="auto" w:fill="auto"/>
            <w:vAlign w:val="center"/>
            <w:hideMark/>
          </w:tcPr>
          <w:p w14:paraId="1DBD89AF"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North Brazil Shelf</w:t>
            </w:r>
          </w:p>
        </w:tc>
        <w:tc>
          <w:tcPr>
            <w:tcW w:w="1525" w:type="dxa"/>
            <w:tcBorders>
              <w:top w:val="nil"/>
              <w:left w:val="nil"/>
              <w:bottom w:val="nil"/>
              <w:right w:val="nil"/>
            </w:tcBorders>
            <w:shd w:val="clear" w:color="auto" w:fill="auto"/>
            <w:vAlign w:val="center"/>
            <w:hideMark/>
          </w:tcPr>
          <w:p w14:paraId="0B57C0AA"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12.98 </w:t>
            </w:r>
            <w:proofErr w:type="gramStart"/>
            <w:r w:rsidRPr="00E41E77">
              <w:rPr>
                <w:rFonts w:ascii="Calibri" w:eastAsia="Times New Roman" w:hAnsi="Calibri" w:cs="Times New Roman"/>
                <w:color w:val="000000"/>
                <w:sz w:val="16"/>
                <w:szCs w:val="16"/>
                <w:lang w:eastAsia="en-GB"/>
              </w:rPr>
              <w:t>±  3</w:t>
            </w:r>
            <w:proofErr w:type="gramEnd"/>
            <w:r w:rsidRPr="00E41E77">
              <w:rPr>
                <w:rFonts w:ascii="Calibri" w:eastAsia="Times New Roman" w:hAnsi="Calibri" w:cs="Times New Roman"/>
                <w:color w:val="000000"/>
                <w:sz w:val="16"/>
                <w:szCs w:val="16"/>
                <w:lang w:eastAsia="en-GB"/>
              </w:rPr>
              <w:t>.14</w:t>
            </w:r>
          </w:p>
        </w:tc>
        <w:tc>
          <w:tcPr>
            <w:tcW w:w="1893" w:type="dxa"/>
            <w:tcBorders>
              <w:top w:val="nil"/>
              <w:left w:val="nil"/>
              <w:bottom w:val="nil"/>
              <w:right w:val="nil"/>
            </w:tcBorders>
            <w:shd w:val="clear" w:color="auto" w:fill="auto"/>
            <w:vAlign w:val="center"/>
            <w:hideMark/>
          </w:tcPr>
          <w:p w14:paraId="4086F52D"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5.43 ± 0.01</w:t>
            </w:r>
          </w:p>
        </w:tc>
        <w:tc>
          <w:tcPr>
            <w:tcW w:w="1590" w:type="dxa"/>
            <w:tcBorders>
              <w:top w:val="nil"/>
              <w:left w:val="nil"/>
              <w:bottom w:val="nil"/>
              <w:right w:val="nil"/>
            </w:tcBorders>
            <w:shd w:val="clear" w:color="auto" w:fill="auto"/>
            <w:noWrap/>
            <w:vAlign w:val="center"/>
            <w:hideMark/>
          </w:tcPr>
          <w:p w14:paraId="14789AC3"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67.07 ± 3.27</w:t>
            </w:r>
          </w:p>
        </w:tc>
        <w:tc>
          <w:tcPr>
            <w:tcW w:w="2272" w:type="dxa"/>
            <w:tcBorders>
              <w:top w:val="nil"/>
              <w:left w:val="nil"/>
              <w:bottom w:val="nil"/>
              <w:right w:val="nil"/>
            </w:tcBorders>
            <w:vAlign w:val="center"/>
          </w:tcPr>
          <w:p w14:paraId="71D5F56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29.44 ± 19.60</w:t>
            </w:r>
          </w:p>
        </w:tc>
        <w:tc>
          <w:tcPr>
            <w:tcW w:w="1143" w:type="dxa"/>
            <w:tcBorders>
              <w:top w:val="nil"/>
              <w:left w:val="nil"/>
              <w:bottom w:val="nil"/>
              <w:right w:val="nil"/>
            </w:tcBorders>
            <w:shd w:val="clear" w:color="auto" w:fill="auto"/>
            <w:noWrap/>
            <w:vAlign w:val="center"/>
            <w:hideMark/>
          </w:tcPr>
          <w:p w14:paraId="3833F34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-0.45 ± 0.19</w:t>
            </w:r>
          </w:p>
        </w:tc>
        <w:tc>
          <w:tcPr>
            <w:tcW w:w="1491" w:type="dxa"/>
            <w:tcBorders>
              <w:top w:val="nil"/>
              <w:left w:val="nil"/>
              <w:bottom w:val="nil"/>
              <w:right w:val="nil"/>
            </w:tcBorders>
            <w:shd w:val="clear" w:color="auto" w:fill="auto"/>
            <w:noWrap/>
            <w:vAlign w:val="center"/>
            <w:hideMark/>
          </w:tcPr>
          <w:p w14:paraId="3C084DF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-1.52 ± 11.25</w:t>
            </w:r>
          </w:p>
        </w:tc>
        <w:tc>
          <w:tcPr>
            <w:tcW w:w="1143" w:type="dxa"/>
            <w:tcBorders>
              <w:top w:val="nil"/>
              <w:left w:val="nil"/>
              <w:bottom w:val="nil"/>
              <w:right w:val="nil"/>
            </w:tcBorders>
            <w:shd w:val="clear" w:color="auto" w:fill="auto"/>
            <w:noWrap/>
            <w:vAlign w:val="center"/>
            <w:hideMark/>
          </w:tcPr>
          <w:p w14:paraId="25A31961"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-0.41 ± 1.31</w:t>
            </w:r>
          </w:p>
        </w:tc>
        <w:tc>
          <w:tcPr>
            <w:tcW w:w="1491" w:type="dxa"/>
            <w:tcBorders>
              <w:top w:val="nil"/>
              <w:left w:val="nil"/>
              <w:bottom w:val="nil"/>
              <w:right w:val="nil"/>
            </w:tcBorders>
            <w:shd w:val="clear" w:color="auto" w:fill="auto"/>
            <w:noWrap/>
            <w:vAlign w:val="center"/>
            <w:hideMark/>
          </w:tcPr>
          <w:p w14:paraId="7D115741"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-3.12 ± 10.12</w:t>
            </w:r>
          </w:p>
        </w:tc>
      </w:tr>
      <w:tr w:rsidR="00944CB1" w:rsidRPr="00E41E77" w14:paraId="5A3AC95A" w14:textId="77777777" w:rsidTr="002661C9">
        <w:trPr>
          <w:trHeight w:val="454"/>
        </w:trPr>
        <w:tc>
          <w:tcPr>
            <w:tcW w:w="2539" w:type="dxa"/>
            <w:tcBorders>
              <w:top w:val="nil"/>
              <w:left w:val="nil"/>
              <w:bottom w:val="nil"/>
              <w:right w:val="nil"/>
            </w:tcBorders>
            <w:shd w:val="clear" w:color="auto" w:fill="auto"/>
            <w:vAlign w:val="center"/>
            <w:hideMark/>
          </w:tcPr>
          <w:p w14:paraId="3CA56C78"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Western Indian Ocean</w:t>
            </w:r>
          </w:p>
        </w:tc>
        <w:tc>
          <w:tcPr>
            <w:tcW w:w="1525" w:type="dxa"/>
            <w:tcBorders>
              <w:top w:val="nil"/>
              <w:left w:val="nil"/>
              <w:bottom w:val="nil"/>
              <w:right w:val="nil"/>
            </w:tcBorders>
            <w:shd w:val="clear" w:color="auto" w:fill="auto"/>
            <w:vAlign w:val="center"/>
            <w:hideMark/>
          </w:tcPr>
          <w:p w14:paraId="313EFB2E"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12.23 </w:t>
            </w:r>
            <w:proofErr w:type="gramStart"/>
            <w:r w:rsidRPr="00E41E77">
              <w:rPr>
                <w:rFonts w:ascii="Calibri" w:eastAsia="Times New Roman" w:hAnsi="Calibri" w:cs="Times New Roman"/>
                <w:color w:val="000000"/>
                <w:sz w:val="16"/>
                <w:szCs w:val="16"/>
                <w:lang w:eastAsia="en-GB"/>
              </w:rPr>
              <w:t>±  3</w:t>
            </w:r>
            <w:proofErr w:type="gramEnd"/>
            <w:r w:rsidRPr="00E41E77">
              <w:rPr>
                <w:rFonts w:ascii="Calibri" w:eastAsia="Times New Roman" w:hAnsi="Calibri" w:cs="Times New Roman"/>
                <w:color w:val="000000"/>
                <w:sz w:val="16"/>
                <w:szCs w:val="16"/>
                <w:lang w:eastAsia="en-GB"/>
              </w:rPr>
              <w:t>.18</w:t>
            </w:r>
          </w:p>
        </w:tc>
        <w:tc>
          <w:tcPr>
            <w:tcW w:w="1893" w:type="dxa"/>
            <w:tcBorders>
              <w:top w:val="nil"/>
              <w:left w:val="nil"/>
              <w:bottom w:val="nil"/>
              <w:right w:val="nil"/>
            </w:tcBorders>
            <w:shd w:val="clear" w:color="auto" w:fill="auto"/>
            <w:vAlign w:val="center"/>
            <w:hideMark/>
          </w:tcPr>
          <w:p w14:paraId="5836E768"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5.09 ± 0.08</w:t>
            </w:r>
          </w:p>
        </w:tc>
        <w:tc>
          <w:tcPr>
            <w:tcW w:w="1590" w:type="dxa"/>
            <w:tcBorders>
              <w:top w:val="nil"/>
              <w:left w:val="nil"/>
              <w:bottom w:val="nil"/>
              <w:right w:val="nil"/>
            </w:tcBorders>
            <w:shd w:val="clear" w:color="auto" w:fill="auto"/>
            <w:noWrap/>
            <w:vAlign w:val="center"/>
            <w:hideMark/>
          </w:tcPr>
          <w:p w14:paraId="4D58568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72.17 ± 3.80</w:t>
            </w:r>
          </w:p>
        </w:tc>
        <w:tc>
          <w:tcPr>
            <w:tcW w:w="2272" w:type="dxa"/>
            <w:tcBorders>
              <w:top w:val="nil"/>
              <w:left w:val="nil"/>
              <w:bottom w:val="nil"/>
              <w:right w:val="nil"/>
            </w:tcBorders>
            <w:vAlign w:val="center"/>
          </w:tcPr>
          <w:p w14:paraId="50FB3E8C"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27.21 ± 18.16</w:t>
            </w:r>
          </w:p>
        </w:tc>
        <w:tc>
          <w:tcPr>
            <w:tcW w:w="1143" w:type="dxa"/>
            <w:tcBorders>
              <w:top w:val="nil"/>
              <w:left w:val="nil"/>
              <w:bottom w:val="nil"/>
              <w:right w:val="nil"/>
            </w:tcBorders>
            <w:shd w:val="clear" w:color="auto" w:fill="auto"/>
            <w:noWrap/>
            <w:vAlign w:val="center"/>
            <w:hideMark/>
          </w:tcPr>
          <w:p w14:paraId="519B56BA"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-0.22 ± 0.07</w:t>
            </w:r>
          </w:p>
        </w:tc>
        <w:tc>
          <w:tcPr>
            <w:tcW w:w="1491" w:type="dxa"/>
            <w:tcBorders>
              <w:top w:val="nil"/>
              <w:left w:val="nil"/>
              <w:bottom w:val="nil"/>
              <w:right w:val="nil"/>
            </w:tcBorders>
            <w:shd w:val="clear" w:color="auto" w:fill="auto"/>
            <w:noWrap/>
            <w:vAlign w:val="center"/>
            <w:hideMark/>
          </w:tcPr>
          <w:p w14:paraId="4F5AFD8E"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-0.79 ± 11.45</w:t>
            </w:r>
          </w:p>
        </w:tc>
        <w:tc>
          <w:tcPr>
            <w:tcW w:w="1143" w:type="dxa"/>
            <w:tcBorders>
              <w:top w:val="nil"/>
              <w:left w:val="nil"/>
              <w:bottom w:val="nil"/>
              <w:right w:val="nil"/>
            </w:tcBorders>
            <w:shd w:val="clear" w:color="auto" w:fill="auto"/>
            <w:noWrap/>
            <w:vAlign w:val="center"/>
            <w:hideMark/>
          </w:tcPr>
          <w:p w14:paraId="70BDFE3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0.05 ± 1.42</w:t>
            </w:r>
          </w:p>
        </w:tc>
        <w:tc>
          <w:tcPr>
            <w:tcW w:w="1491" w:type="dxa"/>
            <w:tcBorders>
              <w:top w:val="nil"/>
              <w:left w:val="nil"/>
              <w:bottom w:val="nil"/>
              <w:right w:val="nil"/>
            </w:tcBorders>
            <w:shd w:val="clear" w:color="auto" w:fill="auto"/>
            <w:noWrap/>
            <w:vAlign w:val="center"/>
            <w:hideMark/>
          </w:tcPr>
          <w:p w14:paraId="43CE3E5A"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0.42 ± 11.64</w:t>
            </w:r>
          </w:p>
        </w:tc>
      </w:tr>
      <w:tr w:rsidR="00944CB1" w:rsidRPr="00E41E77" w14:paraId="21CC5520" w14:textId="77777777" w:rsidTr="002661C9">
        <w:trPr>
          <w:trHeight w:val="257"/>
        </w:trPr>
        <w:tc>
          <w:tcPr>
            <w:tcW w:w="2539" w:type="dxa"/>
            <w:tcBorders>
              <w:top w:val="nil"/>
              <w:left w:val="nil"/>
              <w:bottom w:val="nil"/>
              <w:right w:val="nil"/>
            </w:tcBorders>
            <w:shd w:val="clear" w:color="auto" w:fill="auto"/>
            <w:vAlign w:val="center"/>
            <w:hideMark/>
          </w:tcPr>
          <w:p w14:paraId="1C4B668D"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Bay of Bengal</w:t>
            </w:r>
          </w:p>
        </w:tc>
        <w:tc>
          <w:tcPr>
            <w:tcW w:w="1525" w:type="dxa"/>
            <w:tcBorders>
              <w:top w:val="nil"/>
              <w:left w:val="nil"/>
              <w:bottom w:val="nil"/>
              <w:right w:val="nil"/>
            </w:tcBorders>
            <w:shd w:val="clear" w:color="auto" w:fill="auto"/>
            <w:vAlign w:val="center"/>
            <w:hideMark/>
          </w:tcPr>
          <w:p w14:paraId="13A9F56F"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11.06 </w:t>
            </w:r>
            <w:proofErr w:type="gramStart"/>
            <w:r w:rsidRPr="00E41E77">
              <w:rPr>
                <w:rFonts w:ascii="Calibri" w:eastAsia="Times New Roman" w:hAnsi="Calibri" w:cs="Times New Roman"/>
                <w:color w:val="000000"/>
                <w:sz w:val="16"/>
                <w:szCs w:val="16"/>
                <w:lang w:eastAsia="en-GB"/>
              </w:rPr>
              <w:t>±  2</w:t>
            </w:r>
            <w:proofErr w:type="gramEnd"/>
            <w:r w:rsidRPr="00E41E77">
              <w:rPr>
                <w:rFonts w:ascii="Calibri" w:eastAsia="Times New Roman" w:hAnsi="Calibri" w:cs="Times New Roman"/>
                <w:color w:val="000000"/>
                <w:sz w:val="16"/>
                <w:szCs w:val="16"/>
                <w:lang w:eastAsia="en-GB"/>
              </w:rPr>
              <w:t>.76</w:t>
            </w:r>
          </w:p>
        </w:tc>
        <w:tc>
          <w:tcPr>
            <w:tcW w:w="1893" w:type="dxa"/>
            <w:tcBorders>
              <w:top w:val="nil"/>
              <w:left w:val="nil"/>
              <w:bottom w:val="nil"/>
              <w:right w:val="nil"/>
            </w:tcBorders>
            <w:shd w:val="clear" w:color="auto" w:fill="auto"/>
            <w:vAlign w:val="center"/>
            <w:hideMark/>
          </w:tcPr>
          <w:p w14:paraId="7A395E5D"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4.62 ± 0.03</w:t>
            </w:r>
          </w:p>
        </w:tc>
        <w:tc>
          <w:tcPr>
            <w:tcW w:w="1590" w:type="dxa"/>
            <w:tcBorders>
              <w:top w:val="nil"/>
              <w:left w:val="nil"/>
              <w:bottom w:val="nil"/>
              <w:right w:val="nil"/>
            </w:tcBorders>
            <w:shd w:val="clear" w:color="auto" w:fill="auto"/>
            <w:noWrap/>
            <w:vAlign w:val="center"/>
            <w:hideMark/>
          </w:tcPr>
          <w:p w14:paraId="05E61B1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76.79 ± 4.30</w:t>
            </w:r>
          </w:p>
        </w:tc>
        <w:tc>
          <w:tcPr>
            <w:tcW w:w="2272" w:type="dxa"/>
            <w:tcBorders>
              <w:top w:val="nil"/>
              <w:left w:val="nil"/>
              <w:bottom w:val="nil"/>
              <w:right w:val="nil"/>
            </w:tcBorders>
            <w:vAlign w:val="center"/>
          </w:tcPr>
          <w:p w14:paraId="67A9D3DC"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34.36 ± 26.05</w:t>
            </w:r>
          </w:p>
        </w:tc>
        <w:tc>
          <w:tcPr>
            <w:tcW w:w="1143" w:type="dxa"/>
            <w:tcBorders>
              <w:top w:val="nil"/>
              <w:left w:val="nil"/>
              <w:bottom w:val="nil"/>
              <w:right w:val="nil"/>
            </w:tcBorders>
            <w:shd w:val="clear" w:color="auto" w:fill="auto"/>
            <w:noWrap/>
            <w:vAlign w:val="center"/>
            <w:hideMark/>
          </w:tcPr>
          <w:p w14:paraId="793199F3"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-0.15 ± 0.02</w:t>
            </w:r>
          </w:p>
        </w:tc>
        <w:tc>
          <w:tcPr>
            <w:tcW w:w="1491" w:type="dxa"/>
            <w:tcBorders>
              <w:top w:val="nil"/>
              <w:left w:val="nil"/>
              <w:bottom w:val="nil"/>
              <w:right w:val="nil"/>
            </w:tcBorders>
            <w:shd w:val="clear" w:color="auto" w:fill="auto"/>
            <w:noWrap/>
            <w:vAlign w:val="center"/>
            <w:hideMark/>
          </w:tcPr>
          <w:p w14:paraId="7EEC0938"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-0.44 ± 11.66</w:t>
            </w:r>
          </w:p>
        </w:tc>
        <w:tc>
          <w:tcPr>
            <w:tcW w:w="1143" w:type="dxa"/>
            <w:tcBorders>
              <w:top w:val="nil"/>
              <w:left w:val="nil"/>
              <w:bottom w:val="nil"/>
              <w:right w:val="nil"/>
            </w:tcBorders>
            <w:shd w:val="clear" w:color="auto" w:fill="auto"/>
            <w:noWrap/>
            <w:vAlign w:val="center"/>
            <w:hideMark/>
          </w:tcPr>
          <w:p w14:paraId="402A929E"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0.42 ± 1.56</w:t>
            </w:r>
          </w:p>
        </w:tc>
        <w:tc>
          <w:tcPr>
            <w:tcW w:w="1491" w:type="dxa"/>
            <w:tcBorders>
              <w:top w:val="nil"/>
              <w:left w:val="nil"/>
              <w:bottom w:val="nil"/>
              <w:right w:val="nil"/>
            </w:tcBorders>
            <w:shd w:val="clear" w:color="auto" w:fill="auto"/>
            <w:noWrap/>
            <w:vAlign w:val="center"/>
            <w:hideMark/>
          </w:tcPr>
          <w:p w14:paraId="3C47992E"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3.80 ± 14.14</w:t>
            </w:r>
          </w:p>
        </w:tc>
      </w:tr>
      <w:tr w:rsidR="00944CB1" w:rsidRPr="00E41E77" w14:paraId="4AAEB3CC" w14:textId="77777777" w:rsidTr="002661C9">
        <w:trPr>
          <w:trHeight w:val="257"/>
        </w:trPr>
        <w:tc>
          <w:tcPr>
            <w:tcW w:w="2539" w:type="dxa"/>
            <w:tcBorders>
              <w:top w:val="nil"/>
              <w:left w:val="nil"/>
              <w:bottom w:val="nil"/>
              <w:right w:val="nil"/>
            </w:tcBorders>
            <w:shd w:val="clear" w:color="auto" w:fill="auto"/>
            <w:vAlign w:val="center"/>
            <w:hideMark/>
          </w:tcPr>
          <w:p w14:paraId="36EA772E"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Tropical East Pacific</w:t>
            </w:r>
          </w:p>
        </w:tc>
        <w:tc>
          <w:tcPr>
            <w:tcW w:w="1525" w:type="dxa"/>
            <w:tcBorders>
              <w:top w:val="nil"/>
              <w:left w:val="nil"/>
              <w:bottom w:val="nil"/>
              <w:right w:val="nil"/>
            </w:tcBorders>
            <w:shd w:val="clear" w:color="auto" w:fill="auto"/>
            <w:vAlign w:val="center"/>
            <w:hideMark/>
          </w:tcPr>
          <w:p w14:paraId="5BEAEF49"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10.93 </w:t>
            </w:r>
            <w:proofErr w:type="gramStart"/>
            <w:r w:rsidRPr="00E41E77">
              <w:rPr>
                <w:rFonts w:ascii="Calibri" w:eastAsia="Times New Roman" w:hAnsi="Calibri" w:cs="Times New Roman"/>
                <w:color w:val="000000"/>
                <w:sz w:val="16"/>
                <w:szCs w:val="16"/>
                <w:lang w:eastAsia="en-GB"/>
              </w:rPr>
              <w:t>±  3</w:t>
            </w:r>
            <w:proofErr w:type="gramEnd"/>
            <w:r w:rsidRPr="00E41E77">
              <w:rPr>
                <w:rFonts w:ascii="Calibri" w:eastAsia="Times New Roman" w:hAnsi="Calibri" w:cs="Times New Roman"/>
                <w:color w:val="000000"/>
                <w:sz w:val="16"/>
                <w:szCs w:val="16"/>
                <w:lang w:eastAsia="en-GB"/>
              </w:rPr>
              <w:t>.03</w:t>
            </w:r>
          </w:p>
        </w:tc>
        <w:tc>
          <w:tcPr>
            <w:tcW w:w="1893" w:type="dxa"/>
            <w:tcBorders>
              <w:top w:val="nil"/>
              <w:left w:val="nil"/>
              <w:bottom w:val="nil"/>
              <w:right w:val="nil"/>
            </w:tcBorders>
            <w:shd w:val="clear" w:color="auto" w:fill="auto"/>
            <w:vAlign w:val="center"/>
            <w:hideMark/>
          </w:tcPr>
          <w:p w14:paraId="5EEA999C"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4.53 ± 0.16</w:t>
            </w:r>
          </w:p>
        </w:tc>
        <w:tc>
          <w:tcPr>
            <w:tcW w:w="1590" w:type="dxa"/>
            <w:tcBorders>
              <w:top w:val="nil"/>
              <w:left w:val="nil"/>
              <w:bottom w:val="nil"/>
              <w:right w:val="nil"/>
            </w:tcBorders>
            <w:shd w:val="clear" w:color="auto" w:fill="auto"/>
            <w:noWrap/>
            <w:vAlign w:val="center"/>
            <w:hideMark/>
          </w:tcPr>
          <w:p w14:paraId="6913EA8F"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81.32 ± 4.64</w:t>
            </w:r>
          </w:p>
        </w:tc>
        <w:tc>
          <w:tcPr>
            <w:tcW w:w="2272" w:type="dxa"/>
            <w:tcBorders>
              <w:top w:val="nil"/>
              <w:left w:val="nil"/>
              <w:bottom w:val="nil"/>
              <w:right w:val="nil"/>
            </w:tcBorders>
            <w:vAlign w:val="center"/>
          </w:tcPr>
          <w:p w14:paraId="3C1A5793"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29.22 ± 21.33</w:t>
            </w:r>
          </w:p>
        </w:tc>
        <w:tc>
          <w:tcPr>
            <w:tcW w:w="1143" w:type="dxa"/>
            <w:tcBorders>
              <w:top w:val="nil"/>
              <w:left w:val="nil"/>
              <w:bottom w:val="nil"/>
              <w:right w:val="nil"/>
            </w:tcBorders>
            <w:shd w:val="clear" w:color="auto" w:fill="auto"/>
            <w:noWrap/>
            <w:vAlign w:val="center"/>
            <w:hideMark/>
          </w:tcPr>
          <w:p w14:paraId="599E844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-0.14 ± 0.02</w:t>
            </w:r>
          </w:p>
        </w:tc>
        <w:tc>
          <w:tcPr>
            <w:tcW w:w="1491" w:type="dxa"/>
            <w:tcBorders>
              <w:top w:val="nil"/>
              <w:left w:val="nil"/>
              <w:bottom w:val="nil"/>
              <w:right w:val="nil"/>
            </w:tcBorders>
            <w:shd w:val="clear" w:color="auto" w:fill="auto"/>
            <w:noWrap/>
            <w:vAlign w:val="center"/>
            <w:hideMark/>
          </w:tcPr>
          <w:p w14:paraId="3144BA5C"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-0.49 ± 12.68</w:t>
            </w:r>
          </w:p>
        </w:tc>
        <w:tc>
          <w:tcPr>
            <w:tcW w:w="1143" w:type="dxa"/>
            <w:tcBorders>
              <w:top w:val="nil"/>
              <w:left w:val="nil"/>
              <w:bottom w:val="nil"/>
              <w:right w:val="nil"/>
            </w:tcBorders>
            <w:shd w:val="clear" w:color="auto" w:fill="auto"/>
            <w:noWrap/>
            <w:vAlign w:val="center"/>
            <w:hideMark/>
          </w:tcPr>
          <w:p w14:paraId="34AE21DB"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-0.26 ± 1.20</w:t>
            </w:r>
          </w:p>
        </w:tc>
        <w:tc>
          <w:tcPr>
            <w:tcW w:w="1491" w:type="dxa"/>
            <w:tcBorders>
              <w:top w:val="nil"/>
              <w:left w:val="nil"/>
              <w:bottom w:val="nil"/>
              <w:right w:val="nil"/>
            </w:tcBorders>
            <w:shd w:val="clear" w:color="auto" w:fill="auto"/>
            <w:noWrap/>
            <w:vAlign w:val="center"/>
            <w:hideMark/>
          </w:tcPr>
          <w:p w14:paraId="17559E83"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-2.39 ± 10.98</w:t>
            </w:r>
          </w:p>
        </w:tc>
      </w:tr>
      <w:tr w:rsidR="00944CB1" w:rsidRPr="00E41E77" w14:paraId="38826E37" w14:textId="77777777" w:rsidTr="002661C9">
        <w:trPr>
          <w:trHeight w:val="257"/>
        </w:trPr>
        <w:tc>
          <w:tcPr>
            <w:tcW w:w="2539" w:type="dxa"/>
            <w:tcBorders>
              <w:top w:val="nil"/>
              <w:left w:val="nil"/>
              <w:bottom w:val="nil"/>
              <w:right w:val="nil"/>
            </w:tcBorders>
            <w:shd w:val="clear" w:color="auto" w:fill="auto"/>
            <w:vAlign w:val="center"/>
            <w:hideMark/>
          </w:tcPr>
          <w:p w14:paraId="2B347965"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Andaman</w:t>
            </w:r>
          </w:p>
        </w:tc>
        <w:tc>
          <w:tcPr>
            <w:tcW w:w="1525" w:type="dxa"/>
            <w:tcBorders>
              <w:top w:val="nil"/>
              <w:left w:val="nil"/>
              <w:bottom w:val="nil"/>
              <w:right w:val="nil"/>
            </w:tcBorders>
            <w:shd w:val="clear" w:color="auto" w:fill="auto"/>
            <w:vAlign w:val="center"/>
            <w:hideMark/>
          </w:tcPr>
          <w:p w14:paraId="1721DAD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9.35 </w:t>
            </w:r>
            <w:proofErr w:type="gramStart"/>
            <w:r w:rsidRPr="00E41E77">
              <w:rPr>
                <w:rFonts w:ascii="Calibri" w:eastAsia="Times New Roman" w:hAnsi="Calibri" w:cs="Times New Roman"/>
                <w:color w:val="000000"/>
                <w:sz w:val="16"/>
                <w:szCs w:val="16"/>
                <w:lang w:eastAsia="en-GB"/>
              </w:rPr>
              <w:t>±  2</w:t>
            </w:r>
            <w:proofErr w:type="gramEnd"/>
            <w:r w:rsidRPr="00E41E77">
              <w:rPr>
                <w:rFonts w:ascii="Calibri" w:eastAsia="Times New Roman" w:hAnsi="Calibri" w:cs="Times New Roman"/>
                <w:color w:val="000000"/>
                <w:sz w:val="16"/>
                <w:szCs w:val="16"/>
                <w:lang w:eastAsia="en-GB"/>
              </w:rPr>
              <w:t>.17</w:t>
            </w:r>
          </w:p>
        </w:tc>
        <w:tc>
          <w:tcPr>
            <w:tcW w:w="1893" w:type="dxa"/>
            <w:tcBorders>
              <w:top w:val="nil"/>
              <w:left w:val="nil"/>
              <w:bottom w:val="nil"/>
              <w:right w:val="nil"/>
            </w:tcBorders>
            <w:shd w:val="clear" w:color="auto" w:fill="auto"/>
            <w:vAlign w:val="center"/>
            <w:hideMark/>
          </w:tcPr>
          <w:p w14:paraId="08D4C74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3.92 ± 0.05</w:t>
            </w:r>
          </w:p>
        </w:tc>
        <w:tc>
          <w:tcPr>
            <w:tcW w:w="1590" w:type="dxa"/>
            <w:tcBorders>
              <w:top w:val="nil"/>
              <w:left w:val="nil"/>
              <w:bottom w:val="nil"/>
              <w:right w:val="nil"/>
            </w:tcBorders>
            <w:shd w:val="clear" w:color="auto" w:fill="auto"/>
            <w:noWrap/>
            <w:vAlign w:val="center"/>
            <w:hideMark/>
          </w:tcPr>
          <w:p w14:paraId="65ED43C8"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85.24 ± 5.03</w:t>
            </w:r>
          </w:p>
        </w:tc>
        <w:tc>
          <w:tcPr>
            <w:tcW w:w="2272" w:type="dxa"/>
            <w:tcBorders>
              <w:top w:val="nil"/>
              <w:left w:val="nil"/>
              <w:bottom w:val="nil"/>
              <w:right w:val="nil"/>
            </w:tcBorders>
            <w:vAlign w:val="center"/>
          </w:tcPr>
          <w:p w14:paraId="5A4E45D1"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30.71 ± 23.53</w:t>
            </w:r>
          </w:p>
        </w:tc>
        <w:tc>
          <w:tcPr>
            <w:tcW w:w="1143" w:type="dxa"/>
            <w:tcBorders>
              <w:top w:val="nil"/>
              <w:left w:val="nil"/>
              <w:bottom w:val="nil"/>
              <w:right w:val="nil"/>
            </w:tcBorders>
            <w:shd w:val="clear" w:color="auto" w:fill="auto"/>
            <w:noWrap/>
            <w:vAlign w:val="center"/>
            <w:hideMark/>
          </w:tcPr>
          <w:p w14:paraId="07D94DED"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-0.19 ± 0.05</w:t>
            </w:r>
          </w:p>
        </w:tc>
        <w:tc>
          <w:tcPr>
            <w:tcW w:w="1491" w:type="dxa"/>
            <w:tcBorders>
              <w:top w:val="nil"/>
              <w:left w:val="nil"/>
              <w:bottom w:val="nil"/>
              <w:right w:val="nil"/>
            </w:tcBorders>
            <w:shd w:val="clear" w:color="auto" w:fill="auto"/>
            <w:noWrap/>
            <w:vAlign w:val="center"/>
            <w:hideMark/>
          </w:tcPr>
          <w:p w14:paraId="368F3F43"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-0.63 ± 10.52</w:t>
            </w:r>
          </w:p>
        </w:tc>
        <w:tc>
          <w:tcPr>
            <w:tcW w:w="1143" w:type="dxa"/>
            <w:tcBorders>
              <w:top w:val="nil"/>
              <w:left w:val="nil"/>
              <w:bottom w:val="nil"/>
              <w:right w:val="nil"/>
            </w:tcBorders>
            <w:shd w:val="clear" w:color="auto" w:fill="auto"/>
            <w:noWrap/>
            <w:vAlign w:val="center"/>
            <w:hideMark/>
          </w:tcPr>
          <w:p w14:paraId="307AAFBA"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0.19 ± 1.19</w:t>
            </w:r>
          </w:p>
        </w:tc>
        <w:tc>
          <w:tcPr>
            <w:tcW w:w="1491" w:type="dxa"/>
            <w:tcBorders>
              <w:top w:val="nil"/>
              <w:left w:val="nil"/>
              <w:bottom w:val="nil"/>
              <w:right w:val="nil"/>
            </w:tcBorders>
            <w:shd w:val="clear" w:color="auto" w:fill="auto"/>
            <w:noWrap/>
            <w:vAlign w:val="center"/>
            <w:hideMark/>
          </w:tcPr>
          <w:p w14:paraId="6DB449DC"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2.00 ± 12.72</w:t>
            </w:r>
          </w:p>
        </w:tc>
      </w:tr>
      <w:tr w:rsidR="00944CB1" w:rsidRPr="00E41E77" w14:paraId="3FEFC367" w14:textId="77777777" w:rsidTr="002661C9">
        <w:trPr>
          <w:trHeight w:val="257"/>
        </w:trPr>
        <w:tc>
          <w:tcPr>
            <w:tcW w:w="2539" w:type="dxa"/>
            <w:tcBorders>
              <w:top w:val="nil"/>
              <w:left w:val="nil"/>
              <w:bottom w:val="nil"/>
              <w:right w:val="nil"/>
            </w:tcBorders>
            <w:shd w:val="clear" w:color="auto" w:fill="auto"/>
            <w:vAlign w:val="center"/>
            <w:hideMark/>
          </w:tcPr>
          <w:p w14:paraId="7ECB0007"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Eastern Coral Triangle</w:t>
            </w:r>
          </w:p>
        </w:tc>
        <w:tc>
          <w:tcPr>
            <w:tcW w:w="1525" w:type="dxa"/>
            <w:tcBorders>
              <w:top w:val="nil"/>
              <w:left w:val="nil"/>
              <w:bottom w:val="nil"/>
              <w:right w:val="nil"/>
            </w:tcBorders>
            <w:shd w:val="clear" w:color="auto" w:fill="auto"/>
            <w:vAlign w:val="center"/>
            <w:hideMark/>
          </w:tcPr>
          <w:p w14:paraId="4CCD1AC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6.02 </w:t>
            </w:r>
            <w:proofErr w:type="gramStart"/>
            <w:r w:rsidRPr="00E41E77">
              <w:rPr>
                <w:rFonts w:ascii="Calibri" w:eastAsia="Times New Roman" w:hAnsi="Calibri" w:cs="Times New Roman"/>
                <w:color w:val="000000"/>
                <w:sz w:val="16"/>
                <w:szCs w:val="16"/>
                <w:lang w:eastAsia="en-GB"/>
              </w:rPr>
              <w:t>±  1</w:t>
            </w:r>
            <w:proofErr w:type="gramEnd"/>
            <w:r w:rsidRPr="00E41E77">
              <w:rPr>
                <w:rFonts w:ascii="Calibri" w:eastAsia="Times New Roman" w:hAnsi="Calibri" w:cs="Times New Roman"/>
                <w:color w:val="000000"/>
                <w:sz w:val="16"/>
                <w:szCs w:val="16"/>
                <w:lang w:eastAsia="en-GB"/>
              </w:rPr>
              <w:t>.29</w:t>
            </w:r>
          </w:p>
        </w:tc>
        <w:tc>
          <w:tcPr>
            <w:tcW w:w="1893" w:type="dxa"/>
            <w:tcBorders>
              <w:top w:val="nil"/>
              <w:left w:val="nil"/>
              <w:bottom w:val="nil"/>
              <w:right w:val="nil"/>
            </w:tcBorders>
            <w:shd w:val="clear" w:color="auto" w:fill="auto"/>
            <w:vAlign w:val="center"/>
            <w:hideMark/>
          </w:tcPr>
          <w:p w14:paraId="7388550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2.53 ± 0.08</w:t>
            </w:r>
          </w:p>
        </w:tc>
        <w:tc>
          <w:tcPr>
            <w:tcW w:w="1590" w:type="dxa"/>
            <w:tcBorders>
              <w:top w:val="nil"/>
              <w:left w:val="nil"/>
              <w:bottom w:val="nil"/>
              <w:right w:val="nil"/>
            </w:tcBorders>
            <w:shd w:val="clear" w:color="auto" w:fill="auto"/>
            <w:noWrap/>
            <w:vAlign w:val="center"/>
            <w:hideMark/>
          </w:tcPr>
          <w:p w14:paraId="5032AB2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87.77 ± 5.50</w:t>
            </w:r>
          </w:p>
        </w:tc>
        <w:tc>
          <w:tcPr>
            <w:tcW w:w="2272" w:type="dxa"/>
            <w:tcBorders>
              <w:top w:val="nil"/>
              <w:left w:val="nil"/>
              <w:bottom w:val="nil"/>
              <w:right w:val="nil"/>
            </w:tcBorders>
            <w:vAlign w:val="center"/>
          </w:tcPr>
          <w:p w14:paraId="42DC1D2E"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28.10 ± 23.38</w:t>
            </w:r>
          </w:p>
        </w:tc>
        <w:tc>
          <w:tcPr>
            <w:tcW w:w="1143" w:type="dxa"/>
            <w:tcBorders>
              <w:top w:val="nil"/>
              <w:left w:val="nil"/>
              <w:bottom w:val="nil"/>
              <w:right w:val="nil"/>
            </w:tcBorders>
            <w:shd w:val="clear" w:color="auto" w:fill="auto"/>
            <w:noWrap/>
            <w:vAlign w:val="center"/>
            <w:hideMark/>
          </w:tcPr>
          <w:p w14:paraId="115841C9"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-1.04 ± 0.48</w:t>
            </w:r>
          </w:p>
        </w:tc>
        <w:tc>
          <w:tcPr>
            <w:tcW w:w="1491" w:type="dxa"/>
            <w:tcBorders>
              <w:top w:val="nil"/>
              <w:left w:val="nil"/>
              <w:bottom w:val="nil"/>
              <w:right w:val="nil"/>
            </w:tcBorders>
            <w:shd w:val="clear" w:color="auto" w:fill="auto"/>
            <w:noWrap/>
            <w:vAlign w:val="center"/>
            <w:hideMark/>
          </w:tcPr>
          <w:p w14:paraId="01E067DB"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-3.71 </w:t>
            </w:r>
            <w:proofErr w:type="gramStart"/>
            <w:r w:rsidRPr="00E41E77">
              <w:rPr>
                <w:rFonts w:ascii="Calibri" w:eastAsia="Times New Roman" w:hAnsi="Calibri" w:cs="Times New Roman"/>
                <w:color w:val="000000"/>
                <w:sz w:val="16"/>
                <w:szCs w:val="16"/>
                <w:lang w:eastAsia="en-GB"/>
              </w:rPr>
              <w:t>±  8</w:t>
            </w:r>
            <w:proofErr w:type="gramEnd"/>
            <w:r w:rsidRPr="00E41E77">
              <w:rPr>
                <w:rFonts w:ascii="Calibri" w:eastAsia="Times New Roman" w:hAnsi="Calibri" w:cs="Times New Roman"/>
                <w:color w:val="000000"/>
                <w:sz w:val="16"/>
                <w:szCs w:val="16"/>
                <w:lang w:eastAsia="en-GB"/>
              </w:rPr>
              <w:t>.16</w:t>
            </w:r>
          </w:p>
        </w:tc>
        <w:tc>
          <w:tcPr>
            <w:tcW w:w="1143" w:type="dxa"/>
            <w:tcBorders>
              <w:top w:val="nil"/>
              <w:left w:val="nil"/>
              <w:bottom w:val="nil"/>
              <w:right w:val="nil"/>
            </w:tcBorders>
            <w:shd w:val="clear" w:color="auto" w:fill="auto"/>
            <w:noWrap/>
            <w:vAlign w:val="center"/>
            <w:hideMark/>
          </w:tcPr>
          <w:p w14:paraId="18FCFA01"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-0.28 ± 0.46</w:t>
            </w:r>
          </w:p>
        </w:tc>
        <w:tc>
          <w:tcPr>
            <w:tcW w:w="1491" w:type="dxa"/>
            <w:tcBorders>
              <w:top w:val="nil"/>
              <w:left w:val="nil"/>
              <w:bottom w:val="nil"/>
              <w:right w:val="nil"/>
            </w:tcBorders>
            <w:shd w:val="clear" w:color="auto" w:fill="auto"/>
            <w:noWrap/>
            <w:vAlign w:val="center"/>
            <w:hideMark/>
          </w:tcPr>
          <w:p w14:paraId="3C0FA9BE"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-4.64 </w:t>
            </w:r>
            <w:proofErr w:type="gramStart"/>
            <w:r w:rsidRPr="00E41E77">
              <w:rPr>
                <w:rFonts w:ascii="Calibri" w:eastAsia="Times New Roman" w:hAnsi="Calibri" w:cs="Times New Roman"/>
                <w:color w:val="000000"/>
                <w:sz w:val="16"/>
                <w:szCs w:val="16"/>
                <w:lang w:eastAsia="en-GB"/>
              </w:rPr>
              <w:t>±  7</w:t>
            </w:r>
            <w:proofErr w:type="gramEnd"/>
            <w:r w:rsidRPr="00E41E77">
              <w:rPr>
                <w:rFonts w:ascii="Calibri" w:eastAsia="Times New Roman" w:hAnsi="Calibri" w:cs="Times New Roman"/>
                <w:color w:val="000000"/>
                <w:sz w:val="16"/>
                <w:szCs w:val="16"/>
                <w:lang w:eastAsia="en-GB"/>
              </w:rPr>
              <w:t>.72</w:t>
            </w:r>
          </w:p>
        </w:tc>
      </w:tr>
      <w:tr w:rsidR="00944CB1" w:rsidRPr="00E41E77" w14:paraId="27A7B35A" w14:textId="77777777" w:rsidTr="002661C9">
        <w:trPr>
          <w:trHeight w:val="454"/>
        </w:trPr>
        <w:tc>
          <w:tcPr>
            <w:tcW w:w="2539" w:type="dxa"/>
            <w:tcBorders>
              <w:top w:val="nil"/>
              <w:left w:val="nil"/>
              <w:bottom w:val="nil"/>
              <w:right w:val="nil"/>
            </w:tcBorders>
            <w:shd w:val="clear" w:color="auto" w:fill="auto"/>
            <w:vAlign w:val="center"/>
            <w:hideMark/>
          </w:tcPr>
          <w:p w14:paraId="6C28170A"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Northeast Australian Shelf</w:t>
            </w:r>
          </w:p>
        </w:tc>
        <w:tc>
          <w:tcPr>
            <w:tcW w:w="1525" w:type="dxa"/>
            <w:tcBorders>
              <w:top w:val="nil"/>
              <w:left w:val="nil"/>
              <w:bottom w:val="nil"/>
              <w:right w:val="nil"/>
            </w:tcBorders>
            <w:shd w:val="clear" w:color="auto" w:fill="auto"/>
            <w:vAlign w:val="center"/>
            <w:hideMark/>
          </w:tcPr>
          <w:p w14:paraId="5908C58E"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4.19 </w:t>
            </w:r>
            <w:proofErr w:type="gramStart"/>
            <w:r w:rsidRPr="00E41E77">
              <w:rPr>
                <w:rFonts w:ascii="Calibri" w:eastAsia="Times New Roman" w:hAnsi="Calibri" w:cs="Times New Roman"/>
                <w:color w:val="000000"/>
                <w:sz w:val="16"/>
                <w:szCs w:val="16"/>
                <w:lang w:eastAsia="en-GB"/>
              </w:rPr>
              <w:t>±  1</w:t>
            </w:r>
            <w:proofErr w:type="gramEnd"/>
            <w:r w:rsidRPr="00E41E77">
              <w:rPr>
                <w:rFonts w:ascii="Calibri" w:eastAsia="Times New Roman" w:hAnsi="Calibri" w:cs="Times New Roman"/>
                <w:color w:val="000000"/>
                <w:sz w:val="16"/>
                <w:szCs w:val="16"/>
                <w:lang w:eastAsia="en-GB"/>
              </w:rPr>
              <w:t>.17</w:t>
            </w:r>
          </w:p>
        </w:tc>
        <w:tc>
          <w:tcPr>
            <w:tcW w:w="1893" w:type="dxa"/>
            <w:tcBorders>
              <w:top w:val="nil"/>
              <w:left w:val="nil"/>
              <w:bottom w:val="nil"/>
              <w:right w:val="nil"/>
            </w:tcBorders>
            <w:shd w:val="clear" w:color="auto" w:fill="auto"/>
            <w:vAlign w:val="center"/>
            <w:hideMark/>
          </w:tcPr>
          <w:p w14:paraId="408FBA38"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1.73 ± 0.06</w:t>
            </w:r>
          </w:p>
        </w:tc>
        <w:tc>
          <w:tcPr>
            <w:tcW w:w="1590" w:type="dxa"/>
            <w:tcBorders>
              <w:top w:val="nil"/>
              <w:left w:val="nil"/>
              <w:bottom w:val="nil"/>
              <w:right w:val="nil"/>
            </w:tcBorders>
            <w:shd w:val="clear" w:color="auto" w:fill="auto"/>
            <w:noWrap/>
            <w:vAlign w:val="center"/>
            <w:hideMark/>
          </w:tcPr>
          <w:p w14:paraId="64E7C3D1"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89.50 ± 5.90</w:t>
            </w:r>
          </w:p>
        </w:tc>
        <w:tc>
          <w:tcPr>
            <w:tcW w:w="2272" w:type="dxa"/>
            <w:tcBorders>
              <w:top w:val="nil"/>
              <w:left w:val="nil"/>
              <w:bottom w:val="nil"/>
              <w:right w:val="nil"/>
            </w:tcBorders>
            <w:vAlign w:val="center"/>
          </w:tcPr>
          <w:p w14:paraId="2A50221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24.22 ± 21.19</w:t>
            </w:r>
          </w:p>
        </w:tc>
        <w:tc>
          <w:tcPr>
            <w:tcW w:w="1143" w:type="dxa"/>
            <w:tcBorders>
              <w:top w:val="nil"/>
              <w:left w:val="nil"/>
              <w:bottom w:val="nil"/>
              <w:right w:val="nil"/>
            </w:tcBorders>
            <w:shd w:val="clear" w:color="auto" w:fill="auto"/>
            <w:noWrap/>
            <w:vAlign w:val="center"/>
            <w:hideMark/>
          </w:tcPr>
          <w:p w14:paraId="5F3874D1"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0.47 ± 0.33</w:t>
            </w:r>
          </w:p>
        </w:tc>
        <w:tc>
          <w:tcPr>
            <w:tcW w:w="1491" w:type="dxa"/>
            <w:tcBorders>
              <w:top w:val="nil"/>
              <w:left w:val="nil"/>
              <w:bottom w:val="nil"/>
              <w:right w:val="nil"/>
            </w:tcBorders>
            <w:shd w:val="clear" w:color="auto" w:fill="auto"/>
            <w:noWrap/>
            <w:vAlign w:val="center"/>
            <w:hideMark/>
          </w:tcPr>
          <w:p w14:paraId="13E65311"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1.94 ± 14.52</w:t>
            </w:r>
          </w:p>
        </w:tc>
        <w:tc>
          <w:tcPr>
            <w:tcW w:w="1143" w:type="dxa"/>
            <w:tcBorders>
              <w:top w:val="nil"/>
              <w:left w:val="nil"/>
              <w:bottom w:val="nil"/>
              <w:right w:val="nil"/>
            </w:tcBorders>
            <w:shd w:val="clear" w:color="auto" w:fill="auto"/>
            <w:noWrap/>
            <w:vAlign w:val="center"/>
            <w:hideMark/>
          </w:tcPr>
          <w:p w14:paraId="060D5E3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0.14 ± 0.60</w:t>
            </w:r>
          </w:p>
        </w:tc>
        <w:tc>
          <w:tcPr>
            <w:tcW w:w="1491" w:type="dxa"/>
            <w:tcBorders>
              <w:top w:val="nil"/>
              <w:left w:val="nil"/>
              <w:bottom w:val="nil"/>
              <w:right w:val="nil"/>
            </w:tcBorders>
            <w:shd w:val="clear" w:color="auto" w:fill="auto"/>
            <w:noWrap/>
            <w:vAlign w:val="center"/>
            <w:hideMark/>
          </w:tcPr>
          <w:p w14:paraId="49E314F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3.43 ± 14.25</w:t>
            </w:r>
          </w:p>
        </w:tc>
      </w:tr>
      <w:tr w:rsidR="00944CB1" w:rsidRPr="00E41E77" w14:paraId="4BB2D617" w14:textId="77777777" w:rsidTr="002661C9">
        <w:trPr>
          <w:trHeight w:val="680"/>
        </w:trPr>
        <w:tc>
          <w:tcPr>
            <w:tcW w:w="2539" w:type="dxa"/>
            <w:tcBorders>
              <w:top w:val="nil"/>
              <w:left w:val="nil"/>
              <w:bottom w:val="nil"/>
              <w:right w:val="nil"/>
            </w:tcBorders>
            <w:shd w:val="clear" w:color="auto" w:fill="auto"/>
            <w:vAlign w:val="center"/>
            <w:hideMark/>
          </w:tcPr>
          <w:p w14:paraId="67984DF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Tropical Southwestern Atlantic</w:t>
            </w:r>
          </w:p>
        </w:tc>
        <w:tc>
          <w:tcPr>
            <w:tcW w:w="1525" w:type="dxa"/>
            <w:tcBorders>
              <w:top w:val="nil"/>
              <w:left w:val="nil"/>
              <w:bottom w:val="nil"/>
              <w:right w:val="nil"/>
            </w:tcBorders>
            <w:shd w:val="clear" w:color="auto" w:fill="auto"/>
            <w:vAlign w:val="center"/>
            <w:hideMark/>
          </w:tcPr>
          <w:p w14:paraId="58F33D57"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3.42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.85</w:t>
            </w:r>
          </w:p>
        </w:tc>
        <w:tc>
          <w:tcPr>
            <w:tcW w:w="1893" w:type="dxa"/>
            <w:tcBorders>
              <w:top w:val="nil"/>
              <w:left w:val="nil"/>
              <w:bottom w:val="nil"/>
              <w:right w:val="nil"/>
            </w:tcBorders>
            <w:shd w:val="clear" w:color="auto" w:fill="auto"/>
            <w:vAlign w:val="center"/>
            <w:hideMark/>
          </w:tcPr>
          <w:p w14:paraId="0685193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1.42 ± 0.00</w:t>
            </w:r>
          </w:p>
        </w:tc>
        <w:tc>
          <w:tcPr>
            <w:tcW w:w="1590" w:type="dxa"/>
            <w:tcBorders>
              <w:top w:val="nil"/>
              <w:left w:val="nil"/>
              <w:bottom w:val="nil"/>
              <w:right w:val="nil"/>
            </w:tcBorders>
            <w:shd w:val="clear" w:color="auto" w:fill="auto"/>
            <w:noWrap/>
            <w:vAlign w:val="center"/>
            <w:hideMark/>
          </w:tcPr>
          <w:p w14:paraId="3B23ED1A"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90.93 ± 6.30</w:t>
            </w:r>
          </w:p>
        </w:tc>
        <w:tc>
          <w:tcPr>
            <w:tcW w:w="2272" w:type="dxa"/>
            <w:tcBorders>
              <w:top w:val="nil"/>
              <w:left w:val="nil"/>
              <w:bottom w:val="nil"/>
              <w:right w:val="nil"/>
            </w:tcBorders>
            <w:vAlign w:val="center"/>
          </w:tcPr>
          <w:p w14:paraId="6C4BCDCB"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26.88 ± 24.31</w:t>
            </w:r>
          </w:p>
        </w:tc>
        <w:tc>
          <w:tcPr>
            <w:tcW w:w="1143" w:type="dxa"/>
            <w:tcBorders>
              <w:top w:val="nil"/>
              <w:left w:val="nil"/>
              <w:bottom w:val="nil"/>
              <w:right w:val="nil"/>
            </w:tcBorders>
            <w:shd w:val="clear" w:color="auto" w:fill="auto"/>
            <w:noWrap/>
            <w:vAlign w:val="center"/>
            <w:hideMark/>
          </w:tcPr>
          <w:p w14:paraId="3322CC4C"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0.17 ± 0.14</w:t>
            </w:r>
          </w:p>
        </w:tc>
        <w:tc>
          <w:tcPr>
            <w:tcW w:w="1491" w:type="dxa"/>
            <w:tcBorders>
              <w:top w:val="nil"/>
              <w:left w:val="nil"/>
              <w:bottom w:val="nil"/>
              <w:right w:val="nil"/>
            </w:tcBorders>
            <w:shd w:val="clear" w:color="auto" w:fill="auto"/>
            <w:noWrap/>
            <w:vAlign w:val="center"/>
            <w:hideMark/>
          </w:tcPr>
          <w:p w14:paraId="59045AA5"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0.63 ± 12.00</w:t>
            </w:r>
          </w:p>
        </w:tc>
        <w:tc>
          <w:tcPr>
            <w:tcW w:w="1143" w:type="dxa"/>
            <w:tcBorders>
              <w:top w:val="nil"/>
              <w:left w:val="nil"/>
              <w:bottom w:val="nil"/>
              <w:right w:val="nil"/>
            </w:tcBorders>
            <w:shd w:val="clear" w:color="auto" w:fill="auto"/>
            <w:noWrap/>
            <w:vAlign w:val="center"/>
            <w:hideMark/>
          </w:tcPr>
          <w:p w14:paraId="1716606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0.00 ± 0.37</w:t>
            </w:r>
          </w:p>
        </w:tc>
        <w:tc>
          <w:tcPr>
            <w:tcW w:w="1491" w:type="dxa"/>
            <w:tcBorders>
              <w:top w:val="nil"/>
              <w:left w:val="nil"/>
              <w:bottom w:val="nil"/>
              <w:right w:val="nil"/>
            </w:tcBorders>
            <w:shd w:val="clear" w:color="auto" w:fill="auto"/>
            <w:noWrap/>
            <w:vAlign w:val="center"/>
            <w:hideMark/>
          </w:tcPr>
          <w:p w14:paraId="507C4D6B"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-0.11 ± 10.87</w:t>
            </w:r>
          </w:p>
        </w:tc>
      </w:tr>
      <w:tr w:rsidR="00944CB1" w:rsidRPr="00E41E77" w14:paraId="1933AAF6" w14:textId="77777777" w:rsidTr="002661C9">
        <w:trPr>
          <w:trHeight w:val="454"/>
        </w:trPr>
        <w:tc>
          <w:tcPr>
            <w:tcW w:w="2539" w:type="dxa"/>
            <w:tcBorders>
              <w:top w:val="nil"/>
              <w:left w:val="nil"/>
              <w:bottom w:val="nil"/>
              <w:right w:val="nil"/>
            </w:tcBorders>
            <w:shd w:val="clear" w:color="auto" w:fill="auto"/>
            <w:vAlign w:val="center"/>
            <w:hideMark/>
          </w:tcPr>
          <w:p w14:paraId="26CC107E"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West and South Indian Shelf</w:t>
            </w:r>
          </w:p>
        </w:tc>
        <w:tc>
          <w:tcPr>
            <w:tcW w:w="1525" w:type="dxa"/>
            <w:tcBorders>
              <w:top w:val="nil"/>
              <w:left w:val="nil"/>
              <w:bottom w:val="nil"/>
              <w:right w:val="nil"/>
            </w:tcBorders>
            <w:shd w:val="clear" w:color="auto" w:fill="auto"/>
            <w:vAlign w:val="center"/>
            <w:hideMark/>
          </w:tcPr>
          <w:p w14:paraId="7DA166F8"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3.21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.77</w:t>
            </w:r>
          </w:p>
        </w:tc>
        <w:tc>
          <w:tcPr>
            <w:tcW w:w="1893" w:type="dxa"/>
            <w:tcBorders>
              <w:top w:val="nil"/>
              <w:left w:val="nil"/>
              <w:bottom w:val="nil"/>
              <w:right w:val="nil"/>
            </w:tcBorders>
            <w:shd w:val="clear" w:color="auto" w:fill="auto"/>
            <w:vAlign w:val="center"/>
            <w:hideMark/>
          </w:tcPr>
          <w:p w14:paraId="33F836F3"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1.35 ± 0.01</w:t>
            </w:r>
          </w:p>
        </w:tc>
        <w:tc>
          <w:tcPr>
            <w:tcW w:w="1590" w:type="dxa"/>
            <w:tcBorders>
              <w:top w:val="nil"/>
              <w:left w:val="nil"/>
              <w:bottom w:val="nil"/>
              <w:right w:val="nil"/>
            </w:tcBorders>
            <w:shd w:val="clear" w:color="auto" w:fill="auto"/>
            <w:noWrap/>
            <w:vAlign w:val="center"/>
            <w:hideMark/>
          </w:tcPr>
          <w:p w14:paraId="5460CFAF"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92.28 ± 6.71</w:t>
            </w:r>
          </w:p>
        </w:tc>
        <w:tc>
          <w:tcPr>
            <w:tcW w:w="2272" w:type="dxa"/>
            <w:tcBorders>
              <w:top w:val="nil"/>
              <w:left w:val="nil"/>
              <w:bottom w:val="nil"/>
              <w:right w:val="nil"/>
            </w:tcBorders>
            <w:vAlign w:val="center"/>
          </w:tcPr>
          <w:p w14:paraId="210C4A63"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30.01 ± 27.56</w:t>
            </w:r>
          </w:p>
        </w:tc>
        <w:tc>
          <w:tcPr>
            <w:tcW w:w="1143" w:type="dxa"/>
            <w:tcBorders>
              <w:top w:val="nil"/>
              <w:left w:val="nil"/>
              <w:bottom w:val="nil"/>
              <w:right w:val="nil"/>
            </w:tcBorders>
            <w:shd w:val="clear" w:color="auto" w:fill="auto"/>
            <w:noWrap/>
            <w:vAlign w:val="center"/>
            <w:hideMark/>
          </w:tcPr>
          <w:p w14:paraId="6F8E7B53"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0.20 ± 0.24</w:t>
            </w:r>
          </w:p>
        </w:tc>
        <w:tc>
          <w:tcPr>
            <w:tcW w:w="1491" w:type="dxa"/>
            <w:tcBorders>
              <w:top w:val="nil"/>
              <w:left w:val="nil"/>
              <w:bottom w:val="nil"/>
              <w:right w:val="nil"/>
            </w:tcBorders>
            <w:shd w:val="clear" w:color="auto" w:fill="auto"/>
            <w:noWrap/>
            <w:vAlign w:val="center"/>
            <w:hideMark/>
          </w:tcPr>
          <w:p w14:paraId="481E044E"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0.66 ± 11.74</w:t>
            </w:r>
          </w:p>
        </w:tc>
        <w:tc>
          <w:tcPr>
            <w:tcW w:w="1143" w:type="dxa"/>
            <w:tcBorders>
              <w:top w:val="nil"/>
              <w:left w:val="nil"/>
              <w:bottom w:val="nil"/>
              <w:right w:val="nil"/>
            </w:tcBorders>
            <w:shd w:val="clear" w:color="auto" w:fill="auto"/>
            <w:noWrap/>
            <w:vAlign w:val="center"/>
            <w:hideMark/>
          </w:tcPr>
          <w:p w14:paraId="42980691"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0.16 ± 0.47</w:t>
            </w:r>
          </w:p>
        </w:tc>
        <w:tc>
          <w:tcPr>
            <w:tcW w:w="1491" w:type="dxa"/>
            <w:tcBorders>
              <w:top w:val="nil"/>
              <w:left w:val="nil"/>
              <w:bottom w:val="nil"/>
              <w:right w:val="nil"/>
            </w:tcBorders>
            <w:shd w:val="clear" w:color="auto" w:fill="auto"/>
            <w:noWrap/>
            <w:vAlign w:val="center"/>
            <w:hideMark/>
          </w:tcPr>
          <w:p w14:paraId="5D40C789"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4.94 ± 14.65</w:t>
            </w:r>
          </w:p>
        </w:tc>
      </w:tr>
      <w:tr w:rsidR="00944CB1" w:rsidRPr="00E41E77" w14:paraId="44608ECA" w14:textId="77777777" w:rsidTr="002661C9">
        <w:trPr>
          <w:trHeight w:val="454"/>
        </w:trPr>
        <w:tc>
          <w:tcPr>
            <w:tcW w:w="2539" w:type="dxa"/>
            <w:tcBorders>
              <w:top w:val="nil"/>
              <w:left w:val="nil"/>
              <w:bottom w:val="nil"/>
              <w:right w:val="nil"/>
            </w:tcBorders>
            <w:shd w:val="clear" w:color="auto" w:fill="auto"/>
            <w:vAlign w:val="center"/>
            <w:hideMark/>
          </w:tcPr>
          <w:p w14:paraId="6E32713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Tropical Southwestern Pacific</w:t>
            </w:r>
          </w:p>
        </w:tc>
        <w:tc>
          <w:tcPr>
            <w:tcW w:w="1525" w:type="dxa"/>
            <w:tcBorders>
              <w:top w:val="nil"/>
              <w:left w:val="nil"/>
              <w:bottom w:val="nil"/>
              <w:right w:val="nil"/>
            </w:tcBorders>
            <w:shd w:val="clear" w:color="auto" w:fill="auto"/>
            <w:vAlign w:val="center"/>
            <w:hideMark/>
          </w:tcPr>
          <w:p w14:paraId="202D25C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3.16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.72</w:t>
            </w:r>
          </w:p>
        </w:tc>
        <w:tc>
          <w:tcPr>
            <w:tcW w:w="1893" w:type="dxa"/>
            <w:tcBorders>
              <w:top w:val="nil"/>
              <w:left w:val="nil"/>
              <w:bottom w:val="nil"/>
              <w:right w:val="nil"/>
            </w:tcBorders>
            <w:shd w:val="clear" w:color="auto" w:fill="auto"/>
            <w:vAlign w:val="center"/>
            <w:hideMark/>
          </w:tcPr>
          <w:p w14:paraId="7F0E964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1.33 ± 0.03</w:t>
            </w:r>
          </w:p>
        </w:tc>
        <w:tc>
          <w:tcPr>
            <w:tcW w:w="1590" w:type="dxa"/>
            <w:tcBorders>
              <w:top w:val="nil"/>
              <w:left w:val="nil"/>
              <w:bottom w:val="nil"/>
              <w:right w:val="nil"/>
            </w:tcBorders>
            <w:shd w:val="clear" w:color="auto" w:fill="auto"/>
            <w:noWrap/>
            <w:vAlign w:val="center"/>
            <w:hideMark/>
          </w:tcPr>
          <w:p w14:paraId="6DA75BCF"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93.60 ± 7.14</w:t>
            </w:r>
          </w:p>
        </w:tc>
        <w:tc>
          <w:tcPr>
            <w:tcW w:w="2272" w:type="dxa"/>
            <w:tcBorders>
              <w:top w:val="nil"/>
              <w:left w:val="nil"/>
              <w:bottom w:val="nil"/>
              <w:right w:val="nil"/>
            </w:tcBorders>
            <w:vAlign w:val="center"/>
          </w:tcPr>
          <w:p w14:paraId="4879FB8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28.78 ± 26.34</w:t>
            </w:r>
          </w:p>
        </w:tc>
        <w:tc>
          <w:tcPr>
            <w:tcW w:w="1143" w:type="dxa"/>
            <w:tcBorders>
              <w:top w:val="nil"/>
              <w:left w:val="nil"/>
              <w:bottom w:val="nil"/>
              <w:right w:val="nil"/>
            </w:tcBorders>
            <w:shd w:val="clear" w:color="auto" w:fill="auto"/>
            <w:noWrap/>
            <w:vAlign w:val="center"/>
            <w:hideMark/>
          </w:tcPr>
          <w:p w14:paraId="0AB3301B"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-1.04 ± 0.49</w:t>
            </w:r>
          </w:p>
        </w:tc>
        <w:tc>
          <w:tcPr>
            <w:tcW w:w="1491" w:type="dxa"/>
            <w:tcBorders>
              <w:top w:val="nil"/>
              <w:left w:val="nil"/>
              <w:bottom w:val="nil"/>
              <w:right w:val="nil"/>
            </w:tcBorders>
            <w:shd w:val="clear" w:color="auto" w:fill="auto"/>
            <w:noWrap/>
            <w:vAlign w:val="center"/>
            <w:hideMark/>
          </w:tcPr>
          <w:p w14:paraId="174928EB"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-3.61 </w:t>
            </w:r>
            <w:proofErr w:type="gramStart"/>
            <w:r w:rsidRPr="00E41E77">
              <w:rPr>
                <w:rFonts w:ascii="Calibri" w:eastAsia="Times New Roman" w:hAnsi="Calibri" w:cs="Times New Roman"/>
                <w:color w:val="000000"/>
                <w:sz w:val="16"/>
                <w:szCs w:val="16"/>
                <w:lang w:eastAsia="en-GB"/>
              </w:rPr>
              <w:t>±  8</w:t>
            </w:r>
            <w:proofErr w:type="gramEnd"/>
            <w:r w:rsidRPr="00E41E77">
              <w:rPr>
                <w:rFonts w:ascii="Calibri" w:eastAsia="Times New Roman" w:hAnsi="Calibri" w:cs="Times New Roman"/>
                <w:color w:val="000000"/>
                <w:sz w:val="16"/>
                <w:szCs w:val="16"/>
                <w:lang w:eastAsia="en-GB"/>
              </w:rPr>
              <w:t>.50</w:t>
            </w:r>
          </w:p>
        </w:tc>
        <w:tc>
          <w:tcPr>
            <w:tcW w:w="1143" w:type="dxa"/>
            <w:tcBorders>
              <w:top w:val="nil"/>
              <w:left w:val="nil"/>
              <w:bottom w:val="nil"/>
              <w:right w:val="nil"/>
            </w:tcBorders>
            <w:shd w:val="clear" w:color="auto" w:fill="auto"/>
            <w:noWrap/>
            <w:vAlign w:val="center"/>
            <w:hideMark/>
          </w:tcPr>
          <w:p w14:paraId="6CB3802F"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-0.10 ± 0.26</w:t>
            </w:r>
          </w:p>
        </w:tc>
        <w:tc>
          <w:tcPr>
            <w:tcW w:w="1491" w:type="dxa"/>
            <w:tcBorders>
              <w:top w:val="nil"/>
              <w:left w:val="nil"/>
              <w:bottom w:val="nil"/>
              <w:right w:val="nil"/>
            </w:tcBorders>
            <w:shd w:val="clear" w:color="auto" w:fill="auto"/>
            <w:noWrap/>
            <w:vAlign w:val="center"/>
            <w:hideMark/>
          </w:tcPr>
          <w:p w14:paraId="3D49697C"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-3.27 </w:t>
            </w:r>
            <w:proofErr w:type="gramStart"/>
            <w:r w:rsidRPr="00E41E77">
              <w:rPr>
                <w:rFonts w:ascii="Calibri" w:eastAsia="Times New Roman" w:hAnsi="Calibri" w:cs="Times New Roman"/>
                <w:color w:val="000000"/>
                <w:sz w:val="16"/>
                <w:szCs w:val="16"/>
                <w:lang w:eastAsia="en-GB"/>
              </w:rPr>
              <w:t>±  8</w:t>
            </w:r>
            <w:proofErr w:type="gramEnd"/>
            <w:r w:rsidRPr="00E41E77">
              <w:rPr>
                <w:rFonts w:ascii="Calibri" w:eastAsia="Times New Roman" w:hAnsi="Calibri" w:cs="Times New Roman"/>
                <w:color w:val="000000"/>
                <w:sz w:val="16"/>
                <w:szCs w:val="16"/>
                <w:lang w:eastAsia="en-GB"/>
              </w:rPr>
              <w:t>.37</w:t>
            </w:r>
          </w:p>
        </w:tc>
      </w:tr>
      <w:tr w:rsidR="00944CB1" w:rsidRPr="00E41E77" w14:paraId="3EC4C786" w14:textId="77777777" w:rsidTr="002661C9">
        <w:trPr>
          <w:trHeight w:val="454"/>
        </w:trPr>
        <w:tc>
          <w:tcPr>
            <w:tcW w:w="2539" w:type="dxa"/>
            <w:tcBorders>
              <w:top w:val="nil"/>
              <w:left w:val="nil"/>
              <w:bottom w:val="nil"/>
              <w:right w:val="nil"/>
            </w:tcBorders>
            <w:shd w:val="clear" w:color="auto" w:fill="auto"/>
            <w:vAlign w:val="center"/>
            <w:hideMark/>
          </w:tcPr>
          <w:p w14:paraId="4752C5EE"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West African Transition</w:t>
            </w:r>
          </w:p>
        </w:tc>
        <w:tc>
          <w:tcPr>
            <w:tcW w:w="1525" w:type="dxa"/>
            <w:tcBorders>
              <w:top w:val="nil"/>
              <w:left w:val="nil"/>
              <w:bottom w:val="nil"/>
              <w:right w:val="nil"/>
            </w:tcBorders>
            <w:shd w:val="clear" w:color="auto" w:fill="auto"/>
            <w:vAlign w:val="center"/>
            <w:hideMark/>
          </w:tcPr>
          <w:p w14:paraId="4D80208A"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2.96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.80</w:t>
            </w:r>
          </w:p>
        </w:tc>
        <w:tc>
          <w:tcPr>
            <w:tcW w:w="1893" w:type="dxa"/>
            <w:tcBorders>
              <w:top w:val="nil"/>
              <w:left w:val="nil"/>
              <w:bottom w:val="nil"/>
              <w:right w:val="nil"/>
            </w:tcBorders>
            <w:shd w:val="clear" w:color="auto" w:fill="auto"/>
            <w:vAlign w:val="center"/>
            <w:hideMark/>
          </w:tcPr>
          <w:p w14:paraId="476D293F"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1.23 ± 0.04</w:t>
            </w:r>
          </w:p>
        </w:tc>
        <w:tc>
          <w:tcPr>
            <w:tcW w:w="1590" w:type="dxa"/>
            <w:tcBorders>
              <w:top w:val="nil"/>
              <w:left w:val="nil"/>
              <w:bottom w:val="nil"/>
              <w:right w:val="nil"/>
            </w:tcBorders>
            <w:shd w:val="clear" w:color="auto" w:fill="auto"/>
            <w:noWrap/>
            <w:vAlign w:val="center"/>
            <w:hideMark/>
          </w:tcPr>
          <w:p w14:paraId="41D42AEE"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94.83 ± 7.53</w:t>
            </w:r>
          </w:p>
        </w:tc>
        <w:tc>
          <w:tcPr>
            <w:tcW w:w="2272" w:type="dxa"/>
            <w:tcBorders>
              <w:top w:val="nil"/>
              <w:left w:val="nil"/>
              <w:bottom w:val="nil"/>
              <w:right w:val="nil"/>
            </w:tcBorders>
            <w:vAlign w:val="center"/>
          </w:tcPr>
          <w:p w14:paraId="037FCC8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29.88 ± 27.72</w:t>
            </w:r>
          </w:p>
        </w:tc>
        <w:tc>
          <w:tcPr>
            <w:tcW w:w="1143" w:type="dxa"/>
            <w:tcBorders>
              <w:top w:val="nil"/>
              <w:left w:val="nil"/>
              <w:bottom w:val="nil"/>
              <w:right w:val="nil"/>
            </w:tcBorders>
            <w:shd w:val="clear" w:color="auto" w:fill="auto"/>
            <w:noWrap/>
            <w:vAlign w:val="center"/>
            <w:hideMark/>
          </w:tcPr>
          <w:p w14:paraId="58D5DEE9"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0.81 ± 0.46</w:t>
            </w:r>
          </w:p>
        </w:tc>
        <w:tc>
          <w:tcPr>
            <w:tcW w:w="1491" w:type="dxa"/>
            <w:tcBorders>
              <w:top w:val="nil"/>
              <w:left w:val="nil"/>
              <w:bottom w:val="nil"/>
              <w:right w:val="nil"/>
            </w:tcBorders>
            <w:shd w:val="clear" w:color="auto" w:fill="auto"/>
            <w:noWrap/>
            <w:vAlign w:val="center"/>
            <w:hideMark/>
          </w:tcPr>
          <w:p w14:paraId="1FD56D4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2.71 ± 14.81</w:t>
            </w:r>
          </w:p>
        </w:tc>
        <w:tc>
          <w:tcPr>
            <w:tcW w:w="1143" w:type="dxa"/>
            <w:tcBorders>
              <w:top w:val="nil"/>
              <w:left w:val="nil"/>
              <w:bottom w:val="nil"/>
              <w:right w:val="nil"/>
            </w:tcBorders>
            <w:shd w:val="clear" w:color="auto" w:fill="auto"/>
            <w:noWrap/>
            <w:vAlign w:val="center"/>
            <w:hideMark/>
          </w:tcPr>
          <w:p w14:paraId="59CD43EF"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0.05 ± 0.41</w:t>
            </w:r>
          </w:p>
        </w:tc>
        <w:tc>
          <w:tcPr>
            <w:tcW w:w="1491" w:type="dxa"/>
            <w:tcBorders>
              <w:top w:val="nil"/>
              <w:left w:val="nil"/>
              <w:bottom w:val="nil"/>
              <w:right w:val="nil"/>
            </w:tcBorders>
            <w:shd w:val="clear" w:color="auto" w:fill="auto"/>
            <w:noWrap/>
            <w:vAlign w:val="center"/>
            <w:hideMark/>
          </w:tcPr>
          <w:p w14:paraId="32B4023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1.66 ± 13.81</w:t>
            </w:r>
          </w:p>
        </w:tc>
      </w:tr>
      <w:tr w:rsidR="00944CB1" w:rsidRPr="00E41E77" w14:paraId="5DC70824" w14:textId="77777777" w:rsidTr="002661C9">
        <w:trPr>
          <w:trHeight w:val="257"/>
        </w:trPr>
        <w:tc>
          <w:tcPr>
            <w:tcW w:w="2539" w:type="dxa"/>
            <w:tcBorders>
              <w:top w:val="nil"/>
              <w:left w:val="nil"/>
              <w:bottom w:val="nil"/>
              <w:right w:val="nil"/>
            </w:tcBorders>
            <w:shd w:val="clear" w:color="auto" w:fill="auto"/>
            <w:vAlign w:val="center"/>
            <w:hideMark/>
          </w:tcPr>
          <w:p w14:paraId="1E27429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lastRenderedPageBreak/>
              <w:t>South China Sea</w:t>
            </w:r>
          </w:p>
        </w:tc>
        <w:tc>
          <w:tcPr>
            <w:tcW w:w="1525" w:type="dxa"/>
            <w:tcBorders>
              <w:top w:val="nil"/>
              <w:left w:val="nil"/>
              <w:bottom w:val="nil"/>
              <w:right w:val="nil"/>
            </w:tcBorders>
            <w:shd w:val="clear" w:color="auto" w:fill="auto"/>
            <w:vAlign w:val="center"/>
            <w:hideMark/>
          </w:tcPr>
          <w:p w14:paraId="63324557"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2.14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.68</w:t>
            </w:r>
          </w:p>
        </w:tc>
        <w:tc>
          <w:tcPr>
            <w:tcW w:w="1893" w:type="dxa"/>
            <w:tcBorders>
              <w:top w:val="nil"/>
              <w:left w:val="nil"/>
              <w:bottom w:val="nil"/>
              <w:right w:val="nil"/>
            </w:tcBorders>
            <w:shd w:val="clear" w:color="auto" w:fill="auto"/>
            <w:vAlign w:val="center"/>
            <w:hideMark/>
          </w:tcPr>
          <w:p w14:paraId="1A9AF413"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0.88 ± 0.06</w:t>
            </w:r>
          </w:p>
        </w:tc>
        <w:tc>
          <w:tcPr>
            <w:tcW w:w="1590" w:type="dxa"/>
            <w:tcBorders>
              <w:top w:val="nil"/>
              <w:left w:val="nil"/>
              <w:bottom w:val="nil"/>
              <w:right w:val="nil"/>
            </w:tcBorders>
            <w:shd w:val="clear" w:color="auto" w:fill="auto"/>
            <w:noWrap/>
            <w:vAlign w:val="center"/>
            <w:hideMark/>
          </w:tcPr>
          <w:p w14:paraId="45922BBC"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95.70 ± 7.86</w:t>
            </w:r>
          </w:p>
        </w:tc>
        <w:tc>
          <w:tcPr>
            <w:tcW w:w="2272" w:type="dxa"/>
            <w:tcBorders>
              <w:top w:val="nil"/>
              <w:left w:val="nil"/>
              <w:bottom w:val="nil"/>
              <w:right w:val="nil"/>
            </w:tcBorders>
            <w:vAlign w:val="center"/>
          </w:tcPr>
          <w:p w14:paraId="13A492EE"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21.24 ± 19.79</w:t>
            </w:r>
          </w:p>
        </w:tc>
        <w:tc>
          <w:tcPr>
            <w:tcW w:w="1143" w:type="dxa"/>
            <w:tcBorders>
              <w:top w:val="nil"/>
              <w:left w:val="nil"/>
              <w:bottom w:val="nil"/>
              <w:right w:val="nil"/>
            </w:tcBorders>
            <w:shd w:val="clear" w:color="auto" w:fill="auto"/>
            <w:noWrap/>
            <w:vAlign w:val="center"/>
            <w:hideMark/>
          </w:tcPr>
          <w:p w14:paraId="2BA580D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0.24 ± 0.21</w:t>
            </w:r>
          </w:p>
        </w:tc>
        <w:tc>
          <w:tcPr>
            <w:tcW w:w="1491" w:type="dxa"/>
            <w:tcBorders>
              <w:top w:val="nil"/>
              <w:left w:val="nil"/>
              <w:bottom w:val="nil"/>
              <w:right w:val="nil"/>
            </w:tcBorders>
            <w:shd w:val="clear" w:color="auto" w:fill="auto"/>
            <w:noWrap/>
            <w:vAlign w:val="center"/>
            <w:hideMark/>
          </w:tcPr>
          <w:p w14:paraId="074B88ED"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1.12 ± 15.30</w:t>
            </w:r>
          </w:p>
        </w:tc>
        <w:tc>
          <w:tcPr>
            <w:tcW w:w="1143" w:type="dxa"/>
            <w:tcBorders>
              <w:top w:val="nil"/>
              <w:left w:val="nil"/>
              <w:bottom w:val="nil"/>
              <w:right w:val="nil"/>
            </w:tcBorders>
            <w:shd w:val="clear" w:color="auto" w:fill="auto"/>
            <w:noWrap/>
            <w:vAlign w:val="center"/>
            <w:hideMark/>
          </w:tcPr>
          <w:p w14:paraId="77D0AC0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0.29 ± 0.48</w:t>
            </w:r>
          </w:p>
        </w:tc>
        <w:tc>
          <w:tcPr>
            <w:tcW w:w="1491" w:type="dxa"/>
            <w:tcBorders>
              <w:top w:val="nil"/>
              <w:left w:val="nil"/>
              <w:bottom w:val="nil"/>
              <w:right w:val="nil"/>
            </w:tcBorders>
            <w:shd w:val="clear" w:color="auto" w:fill="auto"/>
            <w:noWrap/>
            <w:vAlign w:val="center"/>
            <w:hideMark/>
          </w:tcPr>
          <w:p w14:paraId="1B63C69C"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13.52 ± 22.70</w:t>
            </w:r>
          </w:p>
        </w:tc>
      </w:tr>
      <w:tr w:rsidR="00944CB1" w:rsidRPr="00E41E77" w14:paraId="6AE90EE9" w14:textId="77777777" w:rsidTr="002661C9">
        <w:trPr>
          <w:trHeight w:val="454"/>
        </w:trPr>
        <w:tc>
          <w:tcPr>
            <w:tcW w:w="2539" w:type="dxa"/>
            <w:tcBorders>
              <w:top w:val="nil"/>
              <w:left w:val="nil"/>
              <w:bottom w:val="nil"/>
              <w:right w:val="nil"/>
            </w:tcBorders>
            <w:shd w:val="clear" w:color="auto" w:fill="auto"/>
            <w:vAlign w:val="center"/>
            <w:hideMark/>
          </w:tcPr>
          <w:p w14:paraId="3790332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Warm Temperate Northeast Pacific</w:t>
            </w:r>
          </w:p>
        </w:tc>
        <w:tc>
          <w:tcPr>
            <w:tcW w:w="1525" w:type="dxa"/>
            <w:tcBorders>
              <w:top w:val="nil"/>
              <w:left w:val="nil"/>
              <w:bottom w:val="nil"/>
              <w:right w:val="nil"/>
            </w:tcBorders>
            <w:shd w:val="clear" w:color="auto" w:fill="auto"/>
            <w:vAlign w:val="center"/>
            <w:hideMark/>
          </w:tcPr>
          <w:p w14:paraId="320661F7"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2.07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.83</w:t>
            </w:r>
          </w:p>
        </w:tc>
        <w:tc>
          <w:tcPr>
            <w:tcW w:w="1893" w:type="dxa"/>
            <w:tcBorders>
              <w:top w:val="nil"/>
              <w:left w:val="nil"/>
              <w:bottom w:val="nil"/>
              <w:right w:val="nil"/>
            </w:tcBorders>
            <w:shd w:val="clear" w:color="auto" w:fill="auto"/>
            <w:vAlign w:val="center"/>
            <w:hideMark/>
          </w:tcPr>
          <w:p w14:paraId="39E9069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0.83 ± 0.15</w:t>
            </w:r>
          </w:p>
        </w:tc>
        <w:tc>
          <w:tcPr>
            <w:tcW w:w="1590" w:type="dxa"/>
            <w:tcBorders>
              <w:top w:val="nil"/>
              <w:left w:val="nil"/>
              <w:bottom w:val="nil"/>
              <w:right w:val="nil"/>
            </w:tcBorders>
            <w:shd w:val="clear" w:color="auto" w:fill="auto"/>
            <w:noWrap/>
            <w:vAlign w:val="center"/>
            <w:hideMark/>
          </w:tcPr>
          <w:p w14:paraId="3BADA73E"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96.53 ± 8.04</w:t>
            </w:r>
          </w:p>
        </w:tc>
        <w:tc>
          <w:tcPr>
            <w:tcW w:w="2272" w:type="dxa"/>
            <w:tcBorders>
              <w:top w:val="nil"/>
              <w:left w:val="nil"/>
              <w:bottom w:val="nil"/>
              <w:right w:val="nil"/>
            </w:tcBorders>
            <w:vAlign w:val="center"/>
          </w:tcPr>
          <w:p w14:paraId="0FF5C2B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16.10 ± 14.86</w:t>
            </w:r>
          </w:p>
        </w:tc>
        <w:tc>
          <w:tcPr>
            <w:tcW w:w="1143" w:type="dxa"/>
            <w:tcBorders>
              <w:top w:val="nil"/>
              <w:left w:val="nil"/>
              <w:bottom w:val="nil"/>
              <w:right w:val="nil"/>
            </w:tcBorders>
            <w:shd w:val="clear" w:color="auto" w:fill="auto"/>
            <w:noWrap/>
            <w:vAlign w:val="center"/>
            <w:hideMark/>
          </w:tcPr>
          <w:p w14:paraId="623B2A5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5.49 ± 2.87</w:t>
            </w:r>
          </w:p>
        </w:tc>
        <w:tc>
          <w:tcPr>
            <w:tcW w:w="1491" w:type="dxa"/>
            <w:tcBorders>
              <w:top w:val="nil"/>
              <w:left w:val="nil"/>
              <w:bottom w:val="nil"/>
              <w:right w:val="nil"/>
            </w:tcBorders>
            <w:shd w:val="clear" w:color="auto" w:fill="auto"/>
            <w:noWrap/>
            <w:vAlign w:val="center"/>
            <w:hideMark/>
          </w:tcPr>
          <w:p w14:paraId="12D31E6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34.09 ± 39.44</w:t>
            </w:r>
          </w:p>
        </w:tc>
        <w:tc>
          <w:tcPr>
            <w:tcW w:w="1143" w:type="dxa"/>
            <w:tcBorders>
              <w:top w:val="nil"/>
              <w:left w:val="nil"/>
              <w:bottom w:val="nil"/>
              <w:right w:val="nil"/>
            </w:tcBorders>
            <w:shd w:val="clear" w:color="auto" w:fill="auto"/>
            <w:noWrap/>
            <w:vAlign w:val="center"/>
            <w:hideMark/>
          </w:tcPr>
          <w:p w14:paraId="4840FE2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0.91 ± 0.91</w:t>
            </w:r>
          </w:p>
        </w:tc>
        <w:tc>
          <w:tcPr>
            <w:tcW w:w="1491" w:type="dxa"/>
            <w:tcBorders>
              <w:top w:val="nil"/>
              <w:left w:val="nil"/>
              <w:bottom w:val="nil"/>
              <w:right w:val="nil"/>
            </w:tcBorders>
            <w:shd w:val="clear" w:color="auto" w:fill="auto"/>
            <w:noWrap/>
            <w:vAlign w:val="center"/>
            <w:hideMark/>
          </w:tcPr>
          <w:p w14:paraId="0062D74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43.75 ± 43.81</w:t>
            </w:r>
          </w:p>
        </w:tc>
      </w:tr>
      <w:tr w:rsidR="00944CB1" w:rsidRPr="00E41E77" w14:paraId="36D44B61" w14:textId="77777777" w:rsidTr="002661C9">
        <w:trPr>
          <w:trHeight w:val="454"/>
        </w:trPr>
        <w:tc>
          <w:tcPr>
            <w:tcW w:w="2539" w:type="dxa"/>
            <w:tcBorders>
              <w:top w:val="nil"/>
              <w:left w:val="nil"/>
              <w:bottom w:val="nil"/>
              <w:right w:val="nil"/>
            </w:tcBorders>
            <w:shd w:val="clear" w:color="auto" w:fill="auto"/>
            <w:vAlign w:val="center"/>
            <w:hideMark/>
          </w:tcPr>
          <w:p w14:paraId="09EDFE3B"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Northwest Australian Shelf</w:t>
            </w:r>
          </w:p>
        </w:tc>
        <w:tc>
          <w:tcPr>
            <w:tcW w:w="1525" w:type="dxa"/>
            <w:tcBorders>
              <w:top w:val="nil"/>
              <w:left w:val="nil"/>
              <w:bottom w:val="nil"/>
              <w:right w:val="nil"/>
            </w:tcBorders>
            <w:shd w:val="clear" w:color="auto" w:fill="auto"/>
            <w:vAlign w:val="center"/>
            <w:hideMark/>
          </w:tcPr>
          <w:p w14:paraId="0A3EC96C"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1.33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.34</w:t>
            </w:r>
          </w:p>
        </w:tc>
        <w:tc>
          <w:tcPr>
            <w:tcW w:w="1893" w:type="dxa"/>
            <w:tcBorders>
              <w:top w:val="nil"/>
              <w:left w:val="nil"/>
              <w:bottom w:val="nil"/>
              <w:right w:val="nil"/>
            </w:tcBorders>
            <w:shd w:val="clear" w:color="auto" w:fill="auto"/>
            <w:vAlign w:val="center"/>
            <w:hideMark/>
          </w:tcPr>
          <w:p w14:paraId="25C1D94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0.56 ± 0.01</w:t>
            </w:r>
          </w:p>
        </w:tc>
        <w:tc>
          <w:tcPr>
            <w:tcW w:w="1590" w:type="dxa"/>
            <w:tcBorders>
              <w:top w:val="nil"/>
              <w:left w:val="nil"/>
              <w:bottom w:val="nil"/>
              <w:right w:val="nil"/>
            </w:tcBorders>
            <w:shd w:val="clear" w:color="auto" w:fill="auto"/>
            <w:noWrap/>
            <w:vAlign w:val="center"/>
            <w:hideMark/>
          </w:tcPr>
          <w:p w14:paraId="18B83BC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97.09 ± 8.22</w:t>
            </w:r>
          </w:p>
        </w:tc>
        <w:tc>
          <w:tcPr>
            <w:tcW w:w="2272" w:type="dxa"/>
            <w:tcBorders>
              <w:top w:val="nil"/>
              <w:left w:val="nil"/>
              <w:bottom w:val="nil"/>
              <w:right w:val="nil"/>
            </w:tcBorders>
            <w:vAlign w:val="center"/>
          </w:tcPr>
          <w:p w14:paraId="6ED903DF"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25.73 ± 24.74</w:t>
            </w:r>
          </w:p>
        </w:tc>
        <w:tc>
          <w:tcPr>
            <w:tcW w:w="1143" w:type="dxa"/>
            <w:tcBorders>
              <w:top w:val="nil"/>
              <w:left w:val="nil"/>
              <w:bottom w:val="nil"/>
              <w:right w:val="nil"/>
            </w:tcBorders>
            <w:shd w:val="clear" w:color="auto" w:fill="auto"/>
            <w:noWrap/>
            <w:vAlign w:val="center"/>
            <w:hideMark/>
          </w:tcPr>
          <w:p w14:paraId="16767B0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1.03 ± 0.58</w:t>
            </w:r>
          </w:p>
        </w:tc>
        <w:tc>
          <w:tcPr>
            <w:tcW w:w="1491" w:type="dxa"/>
            <w:tcBorders>
              <w:top w:val="nil"/>
              <w:left w:val="nil"/>
              <w:bottom w:val="nil"/>
              <w:right w:val="nil"/>
            </w:tcBorders>
            <w:shd w:val="clear" w:color="auto" w:fill="auto"/>
            <w:noWrap/>
            <w:vAlign w:val="center"/>
            <w:hideMark/>
          </w:tcPr>
          <w:p w14:paraId="5A5A562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4.01 ± 14.57</w:t>
            </w:r>
          </w:p>
        </w:tc>
        <w:tc>
          <w:tcPr>
            <w:tcW w:w="1143" w:type="dxa"/>
            <w:tcBorders>
              <w:top w:val="nil"/>
              <w:left w:val="nil"/>
              <w:bottom w:val="nil"/>
              <w:right w:val="nil"/>
            </w:tcBorders>
            <w:shd w:val="clear" w:color="auto" w:fill="auto"/>
            <w:noWrap/>
            <w:vAlign w:val="center"/>
            <w:hideMark/>
          </w:tcPr>
          <w:p w14:paraId="56A78F6C"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0.11 ± 0.22</w:t>
            </w:r>
          </w:p>
        </w:tc>
        <w:tc>
          <w:tcPr>
            <w:tcW w:w="1491" w:type="dxa"/>
            <w:tcBorders>
              <w:top w:val="nil"/>
              <w:left w:val="nil"/>
              <w:bottom w:val="nil"/>
              <w:right w:val="nil"/>
            </w:tcBorders>
            <w:shd w:val="clear" w:color="auto" w:fill="auto"/>
            <w:noWrap/>
            <w:vAlign w:val="center"/>
            <w:hideMark/>
          </w:tcPr>
          <w:p w14:paraId="75361519"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8.03 ± 16.68</w:t>
            </w:r>
          </w:p>
        </w:tc>
      </w:tr>
      <w:tr w:rsidR="00944CB1" w:rsidRPr="00E41E77" w14:paraId="12861311" w14:textId="77777777" w:rsidTr="002661C9">
        <w:trPr>
          <w:trHeight w:val="257"/>
        </w:trPr>
        <w:tc>
          <w:tcPr>
            <w:tcW w:w="2539" w:type="dxa"/>
            <w:tcBorders>
              <w:top w:val="nil"/>
              <w:left w:val="nil"/>
              <w:bottom w:val="nil"/>
              <w:right w:val="nil"/>
            </w:tcBorders>
            <w:shd w:val="clear" w:color="auto" w:fill="auto"/>
            <w:vAlign w:val="center"/>
            <w:hideMark/>
          </w:tcPr>
          <w:p w14:paraId="095CA647"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Java Transitional</w:t>
            </w:r>
          </w:p>
        </w:tc>
        <w:tc>
          <w:tcPr>
            <w:tcW w:w="1525" w:type="dxa"/>
            <w:tcBorders>
              <w:top w:val="nil"/>
              <w:left w:val="nil"/>
              <w:bottom w:val="nil"/>
              <w:right w:val="nil"/>
            </w:tcBorders>
            <w:shd w:val="clear" w:color="auto" w:fill="auto"/>
            <w:vAlign w:val="center"/>
            <w:hideMark/>
          </w:tcPr>
          <w:p w14:paraId="4263A3B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1.10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.26</w:t>
            </w:r>
          </w:p>
        </w:tc>
        <w:tc>
          <w:tcPr>
            <w:tcW w:w="1893" w:type="dxa"/>
            <w:tcBorders>
              <w:top w:val="nil"/>
              <w:left w:val="nil"/>
              <w:bottom w:val="nil"/>
              <w:right w:val="nil"/>
            </w:tcBorders>
            <w:shd w:val="clear" w:color="auto" w:fill="auto"/>
            <w:vAlign w:val="center"/>
            <w:hideMark/>
          </w:tcPr>
          <w:p w14:paraId="038BBC75"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0.46 ± 0.00</w:t>
            </w:r>
          </w:p>
        </w:tc>
        <w:tc>
          <w:tcPr>
            <w:tcW w:w="1590" w:type="dxa"/>
            <w:tcBorders>
              <w:top w:val="nil"/>
              <w:left w:val="nil"/>
              <w:bottom w:val="nil"/>
              <w:right w:val="nil"/>
            </w:tcBorders>
            <w:shd w:val="clear" w:color="auto" w:fill="auto"/>
            <w:noWrap/>
            <w:vAlign w:val="center"/>
            <w:hideMark/>
          </w:tcPr>
          <w:p w14:paraId="22C99159"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97.55 ± 8.40</w:t>
            </w:r>
          </w:p>
        </w:tc>
        <w:tc>
          <w:tcPr>
            <w:tcW w:w="2272" w:type="dxa"/>
            <w:tcBorders>
              <w:top w:val="nil"/>
              <w:left w:val="nil"/>
              <w:bottom w:val="nil"/>
              <w:right w:val="nil"/>
            </w:tcBorders>
            <w:vAlign w:val="center"/>
          </w:tcPr>
          <w:p w14:paraId="29D9C9B1"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29.97 ± 29.12</w:t>
            </w:r>
          </w:p>
        </w:tc>
        <w:tc>
          <w:tcPr>
            <w:tcW w:w="1143" w:type="dxa"/>
            <w:tcBorders>
              <w:top w:val="nil"/>
              <w:left w:val="nil"/>
              <w:bottom w:val="nil"/>
              <w:right w:val="nil"/>
            </w:tcBorders>
            <w:shd w:val="clear" w:color="auto" w:fill="auto"/>
            <w:noWrap/>
            <w:vAlign w:val="center"/>
            <w:hideMark/>
          </w:tcPr>
          <w:p w14:paraId="231B5448"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-1.39 ± 0.63</w:t>
            </w:r>
          </w:p>
        </w:tc>
        <w:tc>
          <w:tcPr>
            <w:tcW w:w="1491" w:type="dxa"/>
            <w:tcBorders>
              <w:top w:val="nil"/>
              <w:left w:val="nil"/>
              <w:bottom w:val="nil"/>
              <w:right w:val="nil"/>
            </w:tcBorders>
            <w:shd w:val="clear" w:color="auto" w:fill="auto"/>
            <w:noWrap/>
            <w:vAlign w:val="center"/>
            <w:hideMark/>
          </w:tcPr>
          <w:p w14:paraId="6A7D24D9"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-4.65 </w:t>
            </w:r>
            <w:proofErr w:type="gramStart"/>
            <w:r w:rsidRPr="00E41E77">
              <w:rPr>
                <w:rFonts w:ascii="Calibri" w:eastAsia="Times New Roman" w:hAnsi="Calibri" w:cs="Times New Roman"/>
                <w:color w:val="000000"/>
                <w:sz w:val="16"/>
                <w:szCs w:val="16"/>
                <w:lang w:eastAsia="en-GB"/>
              </w:rPr>
              <w:t>±  8</w:t>
            </w:r>
            <w:proofErr w:type="gramEnd"/>
            <w:r w:rsidRPr="00E41E77">
              <w:rPr>
                <w:rFonts w:ascii="Calibri" w:eastAsia="Times New Roman" w:hAnsi="Calibri" w:cs="Times New Roman"/>
                <w:color w:val="000000"/>
                <w:sz w:val="16"/>
                <w:szCs w:val="16"/>
                <w:lang w:eastAsia="en-GB"/>
              </w:rPr>
              <w:t>.36</w:t>
            </w:r>
          </w:p>
        </w:tc>
        <w:tc>
          <w:tcPr>
            <w:tcW w:w="1143" w:type="dxa"/>
            <w:tcBorders>
              <w:top w:val="nil"/>
              <w:left w:val="nil"/>
              <w:bottom w:val="nil"/>
              <w:right w:val="nil"/>
            </w:tcBorders>
            <w:shd w:val="clear" w:color="auto" w:fill="auto"/>
            <w:noWrap/>
            <w:vAlign w:val="center"/>
            <w:hideMark/>
          </w:tcPr>
          <w:p w14:paraId="5DFB78BD"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-0.13 ± 0.05</w:t>
            </w:r>
          </w:p>
        </w:tc>
        <w:tc>
          <w:tcPr>
            <w:tcW w:w="1491" w:type="dxa"/>
            <w:tcBorders>
              <w:top w:val="nil"/>
              <w:left w:val="nil"/>
              <w:bottom w:val="nil"/>
              <w:right w:val="nil"/>
            </w:tcBorders>
            <w:shd w:val="clear" w:color="auto" w:fill="auto"/>
            <w:noWrap/>
            <w:vAlign w:val="center"/>
            <w:hideMark/>
          </w:tcPr>
          <w:p w14:paraId="1353D7AF"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-11.45 </w:t>
            </w:r>
            <w:proofErr w:type="gramStart"/>
            <w:r w:rsidRPr="00E41E77">
              <w:rPr>
                <w:rFonts w:ascii="Calibri" w:eastAsia="Times New Roman" w:hAnsi="Calibri" w:cs="Times New Roman"/>
                <w:color w:val="000000"/>
                <w:sz w:val="16"/>
                <w:szCs w:val="16"/>
                <w:lang w:eastAsia="en-GB"/>
              </w:rPr>
              <w:t>±  4</w:t>
            </w:r>
            <w:proofErr w:type="gramEnd"/>
            <w:r w:rsidRPr="00E41E77">
              <w:rPr>
                <w:rFonts w:ascii="Calibri" w:eastAsia="Times New Roman" w:hAnsi="Calibri" w:cs="Times New Roman"/>
                <w:color w:val="000000"/>
                <w:sz w:val="16"/>
                <w:szCs w:val="16"/>
                <w:lang w:eastAsia="en-GB"/>
              </w:rPr>
              <w:t>.14</w:t>
            </w:r>
          </w:p>
        </w:tc>
      </w:tr>
      <w:tr w:rsidR="00944CB1" w:rsidRPr="00E41E77" w14:paraId="447ACAD0" w14:textId="77777777" w:rsidTr="002661C9">
        <w:trPr>
          <w:trHeight w:val="454"/>
        </w:trPr>
        <w:tc>
          <w:tcPr>
            <w:tcW w:w="2539" w:type="dxa"/>
            <w:tcBorders>
              <w:top w:val="nil"/>
              <w:left w:val="nil"/>
              <w:bottom w:val="nil"/>
              <w:right w:val="nil"/>
            </w:tcBorders>
            <w:shd w:val="clear" w:color="auto" w:fill="auto"/>
            <w:vAlign w:val="center"/>
            <w:hideMark/>
          </w:tcPr>
          <w:p w14:paraId="3C96396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East Central Australian Shelf</w:t>
            </w:r>
          </w:p>
        </w:tc>
        <w:tc>
          <w:tcPr>
            <w:tcW w:w="1525" w:type="dxa"/>
            <w:tcBorders>
              <w:top w:val="nil"/>
              <w:left w:val="nil"/>
              <w:bottom w:val="nil"/>
              <w:right w:val="nil"/>
            </w:tcBorders>
            <w:shd w:val="clear" w:color="auto" w:fill="auto"/>
            <w:vAlign w:val="center"/>
            <w:hideMark/>
          </w:tcPr>
          <w:p w14:paraId="6A24460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1.05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.32</w:t>
            </w:r>
          </w:p>
        </w:tc>
        <w:tc>
          <w:tcPr>
            <w:tcW w:w="1893" w:type="dxa"/>
            <w:tcBorders>
              <w:top w:val="nil"/>
              <w:left w:val="nil"/>
              <w:bottom w:val="nil"/>
              <w:right w:val="nil"/>
            </w:tcBorders>
            <w:shd w:val="clear" w:color="auto" w:fill="auto"/>
            <w:vAlign w:val="center"/>
            <w:hideMark/>
          </w:tcPr>
          <w:p w14:paraId="0C9E99AA"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0.43 ± 0.03</w:t>
            </w:r>
          </w:p>
        </w:tc>
        <w:tc>
          <w:tcPr>
            <w:tcW w:w="1590" w:type="dxa"/>
            <w:tcBorders>
              <w:top w:val="nil"/>
              <w:left w:val="nil"/>
              <w:bottom w:val="nil"/>
              <w:right w:val="nil"/>
            </w:tcBorders>
            <w:shd w:val="clear" w:color="auto" w:fill="auto"/>
            <w:noWrap/>
            <w:vAlign w:val="center"/>
            <w:hideMark/>
          </w:tcPr>
          <w:p w14:paraId="3B79C78E"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97.98 ± 8.55</w:t>
            </w:r>
          </w:p>
        </w:tc>
        <w:tc>
          <w:tcPr>
            <w:tcW w:w="2272" w:type="dxa"/>
            <w:tcBorders>
              <w:top w:val="nil"/>
              <w:left w:val="nil"/>
              <w:bottom w:val="nil"/>
              <w:right w:val="nil"/>
            </w:tcBorders>
            <w:vAlign w:val="center"/>
          </w:tcPr>
          <w:p w14:paraId="49E96049"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16.19 ± 15.46</w:t>
            </w:r>
          </w:p>
        </w:tc>
        <w:tc>
          <w:tcPr>
            <w:tcW w:w="1143" w:type="dxa"/>
            <w:tcBorders>
              <w:top w:val="nil"/>
              <w:left w:val="nil"/>
              <w:bottom w:val="nil"/>
              <w:right w:val="nil"/>
            </w:tcBorders>
            <w:shd w:val="clear" w:color="auto" w:fill="auto"/>
            <w:noWrap/>
            <w:vAlign w:val="center"/>
            <w:hideMark/>
          </w:tcPr>
          <w:p w14:paraId="191FB839"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0.48 ± 0.37</w:t>
            </w:r>
          </w:p>
        </w:tc>
        <w:tc>
          <w:tcPr>
            <w:tcW w:w="1491" w:type="dxa"/>
            <w:tcBorders>
              <w:top w:val="nil"/>
              <w:left w:val="nil"/>
              <w:bottom w:val="nil"/>
              <w:right w:val="nil"/>
            </w:tcBorders>
            <w:shd w:val="clear" w:color="auto" w:fill="auto"/>
            <w:noWrap/>
            <w:vAlign w:val="center"/>
            <w:hideMark/>
          </w:tcPr>
          <w:p w14:paraId="70EB252A"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2.98 ± 17.41</w:t>
            </w:r>
          </w:p>
        </w:tc>
        <w:tc>
          <w:tcPr>
            <w:tcW w:w="1143" w:type="dxa"/>
            <w:tcBorders>
              <w:top w:val="nil"/>
              <w:left w:val="nil"/>
              <w:bottom w:val="nil"/>
              <w:right w:val="nil"/>
            </w:tcBorders>
            <w:shd w:val="clear" w:color="auto" w:fill="auto"/>
            <w:noWrap/>
            <w:vAlign w:val="center"/>
            <w:hideMark/>
          </w:tcPr>
          <w:p w14:paraId="07FDC0E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0.11 ± 0.23</w:t>
            </w:r>
          </w:p>
        </w:tc>
        <w:tc>
          <w:tcPr>
            <w:tcW w:w="1491" w:type="dxa"/>
            <w:tcBorders>
              <w:top w:val="nil"/>
              <w:left w:val="nil"/>
              <w:bottom w:val="nil"/>
              <w:right w:val="nil"/>
            </w:tcBorders>
            <w:shd w:val="clear" w:color="auto" w:fill="auto"/>
            <w:noWrap/>
            <w:vAlign w:val="center"/>
            <w:hideMark/>
          </w:tcPr>
          <w:p w14:paraId="2CDD650F"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10.62 ± 21.51</w:t>
            </w:r>
          </w:p>
        </w:tc>
      </w:tr>
      <w:tr w:rsidR="00944CB1" w:rsidRPr="00E41E77" w14:paraId="1BFCC7C1" w14:textId="77777777" w:rsidTr="002661C9">
        <w:trPr>
          <w:trHeight w:val="454"/>
        </w:trPr>
        <w:tc>
          <w:tcPr>
            <w:tcW w:w="2539" w:type="dxa"/>
            <w:tcBorders>
              <w:top w:val="nil"/>
              <w:left w:val="nil"/>
              <w:bottom w:val="nil"/>
              <w:right w:val="nil"/>
            </w:tcBorders>
            <w:shd w:val="clear" w:color="auto" w:fill="auto"/>
            <w:vAlign w:val="center"/>
            <w:hideMark/>
          </w:tcPr>
          <w:p w14:paraId="35C369A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Red Sea and Gulf of Aden</w:t>
            </w:r>
          </w:p>
        </w:tc>
        <w:tc>
          <w:tcPr>
            <w:tcW w:w="1525" w:type="dxa"/>
            <w:tcBorders>
              <w:top w:val="nil"/>
              <w:left w:val="nil"/>
              <w:bottom w:val="nil"/>
              <w:right w:val="nil"/>
            </w:tcBorders>
            <w:shd w:val="clear" w:color="auto" w:fill="auto"/>
            <w:vAlign w:val="center"/>
            <w:hideMark/>
          </w:tcPr>
          <w:p w14:paraId="24B8E83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0.97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.25</w:t>
            </w:r>
          </w:p>
        </w:tc>
        <w:tc>
          <w:tcPr>
            <w:tcW w:w="1893" w:type="dxa"/>
            <w:tcBorders>
              <w:top w:val="nil"/>
              <w:left w:val="nil"/>
              <w:bottom w:val="nil"/>
              <w:right w:val="nil"/>
            </w:tcBorders>
            <w:shd w:val="clear" w:color="auto" w:fill="auto"/>
            <w:vAlign w:val="center"/>
            <w:hideMark/>
          </w:tcPr>
          <w:p w14:paraId="64B13077"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0.40 ± 0.01</w:t>
            </w:r>
          </w:p>
        </w:tc>
        <w:tc>
          <w:tcPr>
            <w:tcW w:w="1590" w:type="dxa"/>
            <w:tcBorders>
              <w:top w:val="nil"/>
              <w:left w:val="nil"/>
              <w:bottom w:val="nil"/>
              <w:right w:val="nil"/>
            </w:tcBorders>
            <w:shd w:val="clear" w:color="auto" w:fill="auto"/>
            <w:noWrap/>
            <w:vAlign w:val="center"/>
            <w:hideMark/>
          </w:tcPr>
          <w:p w14:paraId="7C9D1EB1"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98.38 ± 8.69</w:t>
            </w:r>
          </w:p>
        </w:tc>
        <w:tc>
          <w:tcPr>
            <w:tcW w:w="2272" w:type="dxa"/>
            <w:tcBorders>
              <w:top w:val="nil"/>
              <w:left w:val="nil"/>
              <w:bottom w:val="nil"/>
              <w:right w:val="nil"/>
            </w:tcBorders>
            <w:vAlign w:val="center"/>
          </w:tcPr>
          <w:p w14:paraId="32AF67DC"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25.38 ± 24.66</w:t>
            </w:r>
          </w:p>
        </w:tc>
        <w:tc>
          <w:tcPr>
            <w:tcW w:w="1143" w:type="dxa"/>
            <w:tcBorders>
              <w:top w:val="nil"/>
              <w:left w:val="nil"/>
              <w:bottom w:val="nil"/>
              <w:right w:val="nil"/>
            </w:tcBorders>
            <w:shd w:val="clear" w:color="auto" w:fill="auto"/>
            <w:noWrap/>
            <w:vAlign w:val="center"/>
            <w:hideMark/>
          </w:tcPr>
          <w:p w14:paraId="0E302AA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1.07 ± 0.67</w:t>
            </w:r>
          </w:p>
        </w:tc>
        <w:tc>
          <w:tcPr>
            <w:tcW w:w="1491" w:type="dxa"/>
            <w:tcBorders>
              <w:top w:val="nil"/>
              <w:left w:val="nil"/>
              <w:bottom w:val="nil"/>
              <w:right w:val="nil"/>
            </w:tcBorders>
            <w:shd w:val="clear" w:color="auto" w:fill="auto"/>
            <w:noWrap/>
            <w:vAlign w:val="center"/>
            <w:hideMark/>
          </w:tcPr>
          <w:p w14:paraId="68E035CE"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4.20 ± 15.04</w:t>
            </w:r>
          </w:p>
        </w:tc>
        <w:tc>
          <w:tcPr>
            <w:tcW w:w="1143" w:type="dxa"/>
            <w:tcBorders>
              <w:top w:val="nil"/>
              <w:left w:val="nil"/>
              <w:bottom w:val="nil"/>
              <w:right w:val="nil"/>
            </w:tcBorders>
            <w:shd w:val="clear" w:color="auto" w:fill="auto"/>
            <w:noWrap/>
            <w:vAlign w:val="center"/>
            <w:hideMark/>
          </w:tcPr>
          <w:p w14:paraId="7C7D1F6F"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0.07 ± 0.16</w:t>
            </w:r>
          </w:p>
        </w:tc>
        <w:tc>
          <w:tcPr>
            <w:tcW w:w="1491" w:type="dxa"/>
            <w:tcBorders>
              <w:top w:val="nil"/>
              <w:left w:val="nil"/>
              <w:bottom w:val="nil"/>
              <w:right w:val="nil"/>
            </w:tcBorders>
            <w:shd w:val="clear" w:color="auto" w:fill="auto"/>
            <w:noWrap/>
            <w:vAlign w:val="center"/>
            <w:hideMark/>
          </w:tcPr>
          <w:p w14:paraId="672BF25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7.73 ± 16.83</w:t>
            </w:r>
          </w:p>
        </w:tc>
      </w:tr>
      <w:tr w:rsidR="00944CB1" w:rsidRPr="00E41E77" w14:paraId="24C85821" w14:textId="77777777" w:rsidTr="002661C9">
        <w:trPr>
          <w:trHeight w:val="680"/>
        </w:trPr>
        <w:tc>
          <w:tcPr>
            <w:tcW w:w="2539" w:type="dxa"/>
            <w:tcBorders>
              <w:top w:val="nil"/>
              <w:left w:val="nil"/>
              <w:bottom w:val="nil"/>
              <w:right w:val="nil"/>
            </w:tcBorders>
            <w:shd w:val="clear" w:color="auto" w:fill="auto"/>
            <w:vAlign w:val="center"/>
            <w:hideMark/>
          </w:tcPr>
          <w:p w14:paraId="4B87E9EA"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Warm Temperate Southwestern Atlantic</w:t>
            </w:r>
          </w:p>
        </w:tc>
        <w:tc>
          <w:tcPr>
            <w:tcW w:w="1525" w:type="dxa"/>
            <w:tcBorders>
              <w:top w:val="nil"/>
              <w:left w:val="nil"/>
              <w:bottom w:val="nil"/>
              <w:right w:val="nil"/>
            </w:tcBorders>
            <w:shd w:val="clear" w:color="auto" w:fill="auto"/>
            <w:vAlign w:val="center"/>
            <w:hideMark/>
          </w:tcPr>
          <w:p w14:paraId="382595B1"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0.93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.36</w:t>
            </w:r>
          </w:p>
        </w:tc>
        <w:tc>
          <w:tcPr>
            <w:tcW w:w="1893" w:type="dxa"/>
            <w:tcBorders>
              <w:top w:val="nil"/>
              <w:left w:val="nil"/>
              <w:bottom w:val="nil"/>
              <w:right w:val="nil"/>
            </w:tcBorders>
            <w:shd w:val="clear" w:color="auto" w:fill="auto"/>
            <w:vAlign w:val="center"/>
            <w:hideMark/>
          </w:tcPr>
          <w:p w14:paraId="14EC7F6B"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0.38 ± 0.05</w:t>
            </w:r>
          </w:p>
        </w:tc>
        <w:tc>
          <w:tcPr>
            <w:tcW w:w="1590" w:type="dxa"/>
            <w:tcBorders>
              <w:top w:val="nil"/>
              <w:left w:val="nil"/>
              <w:bottom w:val="nil"/>
              <w:right w:val="nil"/>
            </w:tcBorders>
            <w:shd w:val="clear" w:color="auto" w:fill="auto"/>
            <w:noWrap/>
            <w:vAlign w:val="center"/>
            <w:hideMark/>
          </w:tcPr>
          <w:p w14:paraId="4FE0F6B9"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98.76 ± 8.78</w:t>
            </w:r>
          </w:p>
        </w:tc>
        <w:tc>
          <w:tcPr>
            <w:tcW w:w="2272" w:type="dxa"/>
            <w:tcBorders>
              <w:top w:val="nil"/>
              <w:left w:val="nil"/>
              <w:bottom w:val="nil"/>
              <w:right w:val="nil"/>
            </w:tcBorders>
            <w:vAlign w:val="center"/>
          </w:tcPr>
          <w:p w14:paraId="046602A8"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16.93 ± 16.35</w:t>
            </w:r>
          </w:p>
        </w:tc>
        <w:tc>
          <w:tcPr>
            <w:tcW w:w="1143" w:type="dxa"/>
            <w:tcBorders>
              <w:top w:val="nil"/>
              <w:left w:val="nil"/>
              <w:bottom w:val="nil"/>
              <w:right w:val="nil"/>
            </w:tcBorders>
            <w:shd w:val="clear" w:color="auto" w:fill="auto"/>
            <w:noWrap/>
            <w:vAlign w:val="center"/>
            <w:hideMark/>
          </w:tcPr>
          <w:p w14:paraId="5880ACA3"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2.21 ± 1.16</w:t>
            </w:r>
          </w:p>
        </w:tc>
        <w:tc>
          <w:tcPr>
            <w:tcW w:w="1491" w:type="dxa"/>
            <w:tcBorders>
              <w:top w:val="nil"/>
              <w:left w:val="nil"/>
              <w:bottom w:val="nil"/>
              <w:right w:val="nil"/>
            </w:tcBorders>
            <w:shd w:val="clear" w:color="auto" w:fill="auto"/>
            <w:noWrap/>
            <w:vAlign w:val="center"/>
            <w:hideMark/>
          </w:tcPr>
          <w:p w14:paraId="5B6BDF9A"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13.07 ± 26.50</w:t>
            </w:r>
          </w:p>
        </w:tc>
        <w:tc>
          <w:tcPr>
            <w:tcW w:w="1143" w:type="dxa"/>
            <w:tcBorders>
              <w:top w:val="nil"/>
              <w:left w:val="nil"/>
              <w:bottom w:val="nil"/>
              <w:right w:val="nil"/>
            </w:tcBorders>
            <w:shd w:val="clear" w:color="auto" w:fill="auto"/>
            <w:noWrap/>
            <w:vAlign w:val="center"/>
            <w:hideMark/>
          </w:tcPr>
          <w:p w14:paraId="546DF07C"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0.25 ± 0.32</w:t>
            </w:r>
          </w:p>
        </w:tc>
        <w:tc>
          <w:tcPr>
            <w:tcW w:w="1491" w:type="dxa"/>
            <w:tcBorders>
              <w:top w:val="nil"/>
              <w:left w:val="nil"/>
              <w:bottom w:val="nil"/>
              <w:right w:val="nil"/>
            </w:tcBorders>
            <w:shd w:val="clear" w:color="auto" w:fill="auto"/>
            <w:noWrap/>
            <w:vAlign w:val="center"/>
            <w:hideMark/>
          </w:tcPr>
          <w:p w14:paraId="18AFA13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26.42 ± 34.67</w:t>
            </w:r>
          </w:p>
        </w:tc>
      </w:tr>
      <w:tr w:rsidR="00944CB1" w:rsidRPr="00E41E77" w14:paraId="26F0DFC7" w14:textId="77777777" w:rsidTr="002661C9">
        <w:trPr>
          <w:trHeight w:val="454"/>
        </w:trPr>
        <w:tc>
          <w:tcPr>
            <w:tcW w:w="2539" w:type="dxa"/>
            <w:tcBorders>
              <w:top w:val="nil"/>
              <w:left w:val="nil"/>
              <w:bottom w:val="nil"/>
              <w:right w:val="nil"/>
            </w:tcBorders>
            <w:shd w:val="clear" w:color="auto" w:fill="auto"/>
            <w:vAlign w:val="center"/>
            <w:hideMark/>
          </w:tcPr>
          <w:p w14:paraId="34E9B6B7"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Warm Temperate Northwest Atlantic</w:t>
            </w:r>
          </w:p>
        </w:tc>
        <w:tc>
          <w:tcPr>
            <w:tcW w:w="1525" w:type="dxa"/>
            <w:tcBorders>
              <w:top w:val="nil"/>
              <w:left w:val="nil"/>
              <w:bottom w:val="nil"/>
              <w:right w:val="nil"/>
            </w:tcBorders>
            <w:shd w:val="clear" w:color="auto" w:fill="auto"/>
            <w:vAlign w:val="center"/>
            <w:hideMark/>
          </w:tcPr>
          <w:p w14:paraId="05136453"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0.54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.17</w:t>
            </w:r>
          </w:p>
        </w:tc>
        <w:tc>
          <w:tcPr>
            <w:tcW w:w="1893" w:type="dxa"/>
            <w:tcBorders>
              <w:top w:val="nil"/>
              <w:left w:val="nil"/>
              <w:bottom w:val="nil"/>
              <w:right w:val="nil"/>
            </w:tcBorders>
            <w:shd w:val="clear" w:color="auto" w:fill="auto"/>
            <w:vAlign w:val="center"/>
            <w:hideMark/>
          </w:tcPr>
          <w:p w14:paraId="53FC6F7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0.22 ± 0.01</w:t>
            </w:r>
          </w:p>
        </w:tc>
        <w:tc>
          <w:tcPr>
            <w:tcW w:w="1590" w:type="dxa"/>
            <w:tcBorders>
              <w:top w:val="nil"/>
              <w:left w:val="nil"/>
              <w:bottom w:val="nil"/>
              <w:right w:val="nil"/>
            </w:tcBorders>
            <w:shd w:val="clear" w:color="auto" w:fill="auto"/>
            <w:noWrap/>
            <w:vAlign w:val="center"/>
            <w:hideMark/>
          </w:tcPr>
          <w:p w14:paraId="164CDB4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98.98 ± 8.86</w:t>
            </w:r>
          </w:p>
        </w:tc>
        <w:tc>
          <w:tcPr>
            <w:tcW w:w="2272" w:type="dxa"/>
            <w:tcBorders>
              <w:top w:val="nil"/>
              <w:left w:val="nil"/>
              <w:bottom w:val="nil"/>
              <w:right w:val="nil"/>
            </w:tcBorders>
            <w:vAlign w:val="center"/>
          </w:tcPr>
          <w:p w14:paraId="1D84413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16.85 ± 16.48</w:t>
            </w:r>
          </w:p>
        </w:tc>
        <w:tc>
          <w:tcPr>
            <w:tcW w:w="1143" w:type="dxa"/>
            <w:tcBorders>
              <w:top w:val="nil"/>
              <w:left w:val="nil"/>
              <w:bottom w:val="nil"/>
              <w:right w:val="nil"/>
            </w:tcBorders>
            <w:shd w:val="clear" w:color="auto" w:fill="auto"/>
            <w:noWrap/>
            <w:vAlign w:val="center"/>
            <w:hideMark/>
          </w:tcPr>
          <w:p w14:paraId="75C633A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2.58 ± 1.38</w:t>
            </w:r>
          </w:p>
        </w:tc>
        <w:tc>
          <w:tcPr>
            <w:tcW w:w="1491" w:type="dxa"/>
            <w:tcBorders>
              <w:top w:val="nil"/>
              <w:left w:val="nil"/>
              <w:bottom w:val="nil"/>
              <w:right w:val="nil"/>
            </w:tcBorders>
            <w:shd w:val="clear" w:color="auto" w:fill="auto"/>
            <w:noWrap/>
            <w:vAlign w:val="center"/>
            <w:hideMark/>
          </w:tcPr>
          <w:p w14:paraId="4FB80CEB"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15.32 ± 23.12</w:t>
            </w:r>
          </w:p>
        </w:tc>
        <w:tc>
          <w:tcPr>
            <w:tcW w:w="1143" w:type="dxa"/>
            <w:tcBorders>
              <w:top w:val="nil"/>
              <w:left w:val="nil"/>
              <w:bottom w:val="nil"/>
              <w:right w:val="nil"/>
            </w:tcBorders>
            <w:shd w:val="clear" w:color="auto" w:fill="auto"/>
            <w:noWrap/>
            <w:vAlign w:val="center"/>
            <w:hideMark/>
          </w:tcPr>
          <w:p w14:paraId="62D47467"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0.13 ± 0.15</w:t>
            </w:r>
          </w:p>
        </w:tc>
        <w:tc>
          <w:tcPr>
            <w:tcW w:w="1491" w:type="dxa"/>
            <w:tcBorders>
              <w:top w:val="nil"/>
              <w:left w:val="nil"/>
              <w:bottom w:val="nil"/>
              <w:right w:val="nil"/>
            </w:tcBorders>
            <w:shd w:val="clear" w:color="auto" w:fill="auto"/>
            <w:noWrap/>
            <w:vAlign w:val="center"/>
            <w:hideMark/>
          </w:tcPr>
          <w:p w14:paraId="0B8275E1"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24.47 ± 28.18</w:t>
            </w:r>
          </w:p>
        </w:tc>
      </w:tr>
      <w:tr w:rsidR="00944CB1" w:rsidRPr="00E41E77" w14:paraId="4C83BB33" w14:textId="77777777" w:rsidTr="002661C9">
        <w:trPr>
          <w:trHeight w:val="454"/>
        </w:trPr>
        <w:tc>
          <w:tcPr>
            <w:tcW w:w="2539" w:type="dxa"/>
            <w:tcBorders>
              <w:top w:val="nil"/>
              <w:left w:val="nil"/>
              <w:bottom w:val="nil"/>
              <w:right w:val="nil"/>
            </w:tcBorders>
            <w:shd w:val="clear" w:color="auto" w:fill="auto"/>
            <w:vAlign w:val="center"/>
            <w:hideMark/>
          </w:tcPr>
          <w:p w14:paraId="01C5A12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Northern New Zealand</w:t>
            </w:r>
          </w:p>
        </w:tc>
        <w:tc>
          <w:tcPr>
            <w:tcW w:w="1525" w:type="dxa"/>
            <w:tcBorders>
              <w:top w:val="nil"/>
              <w:left w:val="nil"/>
              <w:bottom w:val="nil"/>
              <w:right w:val="nil"/>
            </w:tcBorders>
            <w:shd w:val="clear" w:color="auto" w:fill="auto"/>
            <w:vAlign w:val="center"/>
            <w:hideMark/>
          </w:tcPr>
          <w:p w14:paraId="15C2F53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0.48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.16</w:t>
            </w:r>
          </w:p>
        </w:tc>
        <w:tc>
          <w:tcPr>
            <w:tcW w:w="1893" w:type="dxa"/>
            <w:tcBorders>
              <w:top w:val="nil"/>
              <w:left w:val="nil"/>
              <w:bottom w:val="nil"/>
              <w:right w:val="nil"/>
            </w:tcBorders>
            <w:shd w:val="clear" w:color="auto" w:fill="auto"/>
            <w:vAlign w:val="center"/>
            <w:hideMark/>
          </w:tcPr>
          <w:p w14:paraId="7345CF0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0.20 ± 0.02</w:t>
            </w:r>
          </w:p>
        </w:tc>
        <w:tc>
          <w:tcPr>
            <w:tcW w:w="1590" w:type="dxa"/>
            <w:tcBorders>
              <w:top w:val="nil"/>
              <w:left w:val="nil"/>
              <w:bottom w:val="nil"/>
              <w:right w:val="nil"/>
            </w:tcBorders>
            <w:shd w:val="clear" w:color="auto" w:fill="auto"/>
            <w:noWrap/>
            <w:vAlign w:val="center"/>
            <w:hideMark/>
          </w:tcPr>
          <w:p w14:paraId="5823B859"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99.19 ± 8.91</w:t>
            </w:r>
          </w:p>
        </w:tc>
        <w:tc>
          <w:tcPr>
            <w:tcW w:w="2272" w:type="dxa"/>
            <w:tcBorders>
              <w:top w:val="nil"/>
              <w:left w:val="nil"/>
              <w:bottom w:val="nil"/>
              <w:right w:val="nil"/>
            </w:tcBorders>
            <w:vAlign w:val="center"/>
          </w:tcPr>
          <w:p w14:paraId="6D641DBF"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18.33 ± 18.01</w:t>
            </w:r>
          </w:p>
        </w:tc>
        <w:tc>
          <w:tcPr>
            <w:tcW w:w="1143" w:type="dxa"/>
            <w:tcBorders>
              <w:top w:val="nil"/>
              <w:left w:val="nil"/>
              <w:bottom w:val="nil"/>
              <w:right w:val="nil"/>
            </w:tcBorders>
            <w:shd w:val="clear" w:color="auto" w:fill="auto"/>
            <w:noWrap/>
            <w:vAlign w:val="center"/>
            <w:hideMark/>
          </w:tcPr>
          <w:p w14:paraId="34D62C69"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-2.40 ± 1.07</w:t>
            </w:r>
          </w:p>
        </w:tc>
        <w:tc>
          <w:tcPr>
            <w:tcW w:w="1491" w:type="dxa"/>
            <w:tcBorders>
              <w:top w:val="nil"/>
              <w:left w:val="nil"/>
              <w:bottom w:val="nil"/>
              <w:right w:val="nil"/>
            </w:tcBorders>
            <w:shd w:val="clear" w:color="auto" w:fill="auto"/>
            <w:noWrap/>
            <w:vAlign w:val="center"/>
            <w:hideMark/>
          </w:tcPr>
          <w:p w14:paraId="1772941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-13.09 </w:t>
            </w:r>
            <w:proofErr w:type="gramStart"/>
            <w:r w:rsidRPr="00E41E77">
              <w:rPr>
                <w:rFonts w:ascii="Calibri" w:eastAsia="Times New Roman" w:hAnsi="Calibri" w:cs="Times New Roman"/>
                <w:color w:val="000000"/>
                <w:sz w:val="16"/>
                <w:szCs w:val="16"/>
                <w:lang w:eastAsia="en-GB"/>
              </w:rPr>
              <w:t>±  8</w:t>
            </w:r>
            <w:proofErr w:type="gramEnd"/>
            <w:r w:rsidRPr="00E41E77">
              <w:rPr>
                <w:rFonts w:ascii="Calibri" w:eastAsia="Times New Roman" w:hAnsi="Calibri" w:cs="Times New Roman"/>
                <w:color w:val="000000"/>
                <w:sz w:val="16"/>
                <w:szCs w:val="16"/>
                <w:lang w:eastAsia="en-GB"/>
              </w:rPr>
              <w:t>.50</w:t>
            </w:r>
          </w:p>
        </w:tc>
        <w:tc>
          <w:tcPr>
            <w:tcW w:w="1143" w:type="dxa"/>
            <w:tcBorders>
              <w:top w:val="nil"/>
              <w:left w:val="nil"/>
              <w:bottom w:val="nil"/>
              <w:right w:val="nil"/>
            </w:tcBorders>
            <w:shd w:val="clear" w:color="auto" w:fill="auto"/>
            <w:noWrap/>
            <w:vAlign w:val="center"/>
            <w:hideMark/>
          </w:tcPr>
          <w:p w14:paraId="21A7BE9A"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-0.03 ± 0.06</w:t>
            </w:r>
          </w:p>
        </w:tc>
        <w:tc>
          <w:tcPr>
            <w:tcW w:w="1491" w:type="dxa"/>
            <w:tcBorders>
              <w:top w:val="nil"/>
              <w:left w:val="nil"/>
              <w:bottom w:val="nil"/>
              <w:right w:val="nil"/>
            </w:tcBorders>
            <w:shd w:val="clear" w:color="auto" w:fill="auto"/>
            <w:noWrap/>
            <w:vAlign w:val="center"/>
            <w:hideMark/>
          </w:tcPr>
          <w:p w14:paraId="3B47CCAC"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-5.74 ± 12.91</w:t>
            </w:r>
          </w:p>
        </w:tc>
      </w:tr>
      <w:tr w:rsidR="00944CB1" w:rsidRPr="00E41E77" w14:paraId="2919DE87" w14:textId="77777777" w:rsidTr="002661C9">
        <w:trPr>
          <w:trHeight w:val="454"/>
        </w:trPr>
        <w:tc>
          <w:tcPr>
            <w:tcW w:w="2539" w:type="dxa"/>
            <w:tcBorders>
              <w:top w:val="nil"/>
              <w:left w:val="nil"/>
              <w:bottom w:val="nil"/>
              <w:right w:val="nil"/>
            </w:tcBorders>
            <w:shd w:val="clear" w:color="auto" w:fill="auto"/>
            <w:vAlign w:val="center"/>
            <w:hideMark/>
          </w:tcPr>
          <w:p w14:paraId="74B16FC3"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Southern New Zealand</w:t>
            </w:r>
          </w:p>
        </w:tc>
        <w:tc>
          <w:tcPr>
            <w:tcW w:w="1525" w:type="dxa"/>
            <w:tcBorders>
              <w:top w:val="nil"/>
              <w:left w:val="nil"/>
              <w:bottom w:val="nil"/>
              <w:right w:val="nil"/>
            </w:tcBorders>
            <w:shd w:val="clear" w:color="auto" w:fill="auto"/>
            <w:vAlign w:val="center"/>
            <w:hideMark/>
          </w:tcPr>
          <w:p w14:paraId="56197CAE"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0.36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.12</w:t>
            </w:r>
          </w:p>
        </w:tc>
        <w:tc>
          <w:tcPr>
            <w:tcW w:w="1893" w:type="dxa"/>
            <w:tcBorders>
              <w:top w:val="nil"/>
              <w:left w:val="nil"/>
              <w:bottom w:val="nil"/>
              <w:right w:val="nil"/>
            </w:tcBorders>
            <w:shd w:val="clear" w:color="auto" w:fill="auto"/>
            <w:vAlign w:val="center"/>
            <w:hideMark/>
          </w:tcPr>
          <w:p w14:paraId="2AD10E55"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0.15 ± 0.01</w:t>
            </w:r>
          </w:p>
        </w:tc>
        <w:tc>
          <w:tcPr>
            <w:tcW w:w="1590" w:type="dxa"/>
            <w:tcBorders>
              <w:top w:val="nil"/>
              <w:left w:val="nil"/>
              <w:bottom w:val="nil"/>
              <w:right w:val="nil"/>
            </w:tcBorders>
            <w:shd w:val="clear" w:color="auto" w:fill="auto"/>
            <w:noWrap/>
            <w:vAlign w:val="center"/>
            <w:hideMark/>
          </w:tcPr>
          <w:p w14:paraId="311F94AB"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99.34 ± 8.96</w:t>
            </w:r>
          </w:p>
        </w:tc>
        <w:tc>
          <w:tcPr>
            <w:tcW w:w="2272" w:type="dxa"/>
            <w:tcBorders>
              <w:top w:val="nil"/>
              <w:left w:val="nil"/>
              <w:bottom w:val="nil"/>
              <w:right w:val="nil"/>
            </w:tcBorders>
            <w:vAlign w:val="center"/>
          </w:tcPr>
          <w:p w14:paraId="23972A08"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18.80 ± 18.55</w:t>
            </w:r>
          </w:p>
        </w:tc>
        <w:tc>
          <w:tcPr>
            <w:tcW w:w="1143" w:type="dxa"/>
            <w:tcBorders>
              <w:top w:val="nil"/>
              <w:left w:val="nil"/>
              <w:bottom w:val="nil"/>
              <w:right w:val="nil"/>
            </w:tcBorders>
            <w:shd w:val="clear" w:color="auto" w:fill="auto"/>
            <w:noWrap/>
            <w:vAlign w:val="center"/>
            <w:hideMark/>
          </w:tcPr>
          <w:p w14:paraId="79343A7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-2.63 ± 1.22</w:t>
            </w:r>
          </w:p>
        </w:tc>
        <w:tc>
          <w:tcPr>
            <w:tcW w:w="1491" w:type="dxa"/>
            <w:tcBorders>
              <w:top w:val="nil"/>
              <w:left w:val="nil"/>
              <w:bottom w:val="nil"/>
              <w:right w:val="nil"/>
            </w:tcBorders>
            <w:shd w:val="clear" w:color="auto" w:fill="auto"/>
            <w:noWrap/>
            <w:vAlign w:val="center"/>
            <w:hideMark/>
          </w:tcPr>
          <w:p w14:paraId="63B2CA1B"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-14.00 </w:t>
            </w:r>
            <w:proofErr w:type="gramStart"/>
            <w:r w:rsidRPr="00E41E77">
              <w:rPr>
                <w:rFonts w:ascii="Calibri" w:eastAsia="Times New Roman" w:hAnsi="Calibri" w:cs="Times New Roman"/>
                <w:color w:val="000000"/>
                <w:sz w:val="16"/>
                <w:szCs w:val="16"/>
                <w:lang w:eastAsia="en-GB"/>
              </w:rPr>
              <w:t>±  7</w:t>
            </w:r>
            <w:proofErr w:type="gramEnd"/>
            <w:r w:rsidRPr="00E41E77">
              <w:rPr>
                <w:rFonts w:ascii="Calibri" w:eastAsia="Times New Roman" w:hAnsi="Calibri" w:cs="Times New Roman"/>
                <w:color w:val="000000"/>
                <w:sz w:val="16"/>
                <w:szCs w:val="16"/>
                <w:lang w:eastAsia="en-GB"/>
              </w:rPr>
              <w:t>.83</w:t>
            </w:r>
          </w:p>
        </w:tc>
        <w:tc>
          <w:tcPr>
            <w:tcW w:w="1143" w:type="dxa"/>
            <w:tcBorders>
              <w:top w:val="nil"/>
              <w:left w:val="nil"/>
              <w:bottom w:val="nil"/>
              <w:right w:val="nil"/>
            </w:tcBorders>
            <w:shd w:val="clear" w:color="auto" w:fill="auto"/>
            <w:noWrap/>
            <w:vAlign w:val="center"/>
            <w:hideMark/>
          </w:tcPr>
          <w:p w14:paraId="5D004B8B"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-0.02 ± 0.05</w:t>
            </w:r>
          </w:p>
        </w:tc>
        <w:tc>
          <w:tcPr>
            <w:tcW w:w="1491" w:type="dxa"/>
            <w:tcBorders>
              <w:top w:val="nil"/>
              <w:left w:val="nil"/>
              <w:bottom w:val="nil"/>
              <w:right w:val="nil"/>
            </w:tcBorders>
            <w:shd w:val="clear" w:color="auto" w:fill="auto"/>
            <w:noWrap/>
            <w:vAlign w:val="center"/>
            <w:hideMark/>
          </w:tcPr>
          <w:p w14:paraId="6F5EF64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-5.49 ± 12.77</w:t>
            </w:r>
          </w:p>
        </w:tc>
      </w:tr>
      <w:tr w:rsidR="00944CB1" w:rsidRPr="00E41E77" w14:paraId="54425361" w14:textId="77777777" w:rsidTr="002661C9">
        <w:trPr>
          <w:trHeight w:val="257"/>
        </w:trPr>
        <w:tc>
          <w:tcPr>
            <w:tcW w:w="2539" w:type="dxa"/>
            <w:tcBorders>
              <w:top w:val="nil"/>
              <w:left w:val="nil"/>
              <w:bottom w:val="nil"/>
              <w:right w:val="nil"/>
            </w:tcBorders>
            <w:shd w:val="clear" w:color="auto" w:fill="auto"/>
            <w:vAlign w:val="center"/>
            <w:hideMark/>
          </w:tcPr>
          <w:p w14:paraId="607A9C7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Galapagos</w:t>
            </w:r>
          </w:p>
        </w:tc>
        <w:tc>
          <w:tcPr>
            <w:tcW w:w="1525" w:type="dxa"/>
            <w:tcBorders>
              <w:top w:val="nil"/>
              <w:left w:val="nil"/>
              <w:bottom w:val="nil"/>
              <w:right w:val="nil"/>
            </w:tcBorders>
            <w:shd w:val="clear" w:color="auto" w:fill="auto"/>
            <w:vAlign w:val="center"/>
            <w:hideMark/>
          </w:tcPr>
          <w:p w14:paraId="5AD13647"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0.33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.09</w:t>
            </w:r>
          </w:p>
        </w:tc>
        <w:tc>
          <w:tcPr>
            <w:tcW w:w="1893" w:type="dxa"/>
            <w:tcBorders>
              <w:top w:val="nil"/>
              <w:left w:val="nil"/>
              <w:bottom w:val="nil"/>
              <w:right w:val="nil"/>
            </w:tcBorders>
            <w:shd w:val="clear" w:color="auto" w:fill="auto"/>
            <w:vAlign w:val="center"/>
            <w:hideMark/>
          </w:tcPr>
          <w:p w14:paraId="271C32B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0.14 ± 0.00</w:t>
            </w:r>
          </w:p>
        </w:tc>
        <w:tc>
          <w:tcPr>
            <w:tcW w:w="1590" w:type="dxa"/>
            <w:tcBorders>
              <w:top w:val="nil"/>
              <w:left w:val="nil"/>
              <w:bottom w:val="nil"/>
              <w:right w:val="nil"/>
            </w:tcBorders>
            <w:shd w:val="clear" w:color="auto" w:fill="auto"/>
            <w:noWrap/>
            <w:vAlign w:val="center"/>
            <w:hideMark/>
          </w:tcPr>
          <w:p w14:paraId="7FD23FB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99.47 ± 9.00</w:t>
            </w:r>
          </w:p>
        </w:tc>
        <w:tc>
          <w:tcPr>
            <w:tcW w:w="2272" w:type="dxa"/>
            <w:tcBorders>
              <w:top w:val="nil"/>
              <w:left w:val="nil"/>
              <w:bottom w:val="nil"/>
              <w:right w:val="nil"/>
            </w:tcBorders>
            <w:vAlign w:val="center"/>
          </w:tcPr>
          <w:p w14:paraId="3FE23F65"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26.94 ± 26.69</w:t>
            </w:r>
          </w:p>
        </w:tc>
        <w:tc>
          <w:tcPr>
            <w:tcW w:w="1143" w:type="dxa"/>
            <w:tcBorders>
              <w:top w:val="nil"/>
              <w:left w:val="nil"/>
              <w:bottom w:val="nil"/>
              <w:right w:val="nil"/>
            </w:tcBorders>
            <w:shd w:val="clear" w:color="auto" w:fill="auto"/>
            <w:noWrap/>
            <w:vAlign w:val="center"/>
            <w:hideMark/>
          </w:tcPr>
          <w:p w14:paraId="65A6D44A"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1.52 ± 0.79</w:t>
            </w:r>
          </w:p>
        </w:tc>
        <w:tc>
          <w:tcPr>
            <w:tcW w:w="1491" w:type="dxa"/>
            <w:tcBorders>
              <w:top w:val="nil"/>
              <w:left w:val="nil"/>
              <w:bottom w:val="nil"/>
              <w:right w:val="nil"/>
            </w:tcBorders>
            <w:shd w:val="clear" w:color="auto" w:fill="auto"/>
            <w:noWrap/>
            <w:vAlign w:val="center"/>
            <w:hideMark/>
          </w:tcPr>
          <w:p w14:paraId="4C2B097A"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5.65 ± 13.99</w:t>
            </w:r>
          </w:p>
        </w:tc>
        <w:tc>
          <w:tcPr>
            <w:tcW w:w="1143" w:type="dxa"/>
            <w:tcBorders>
              <w:top w:val="nil"/>
              <w:left w:val="nil"/>
              <w:bottom w:val="nil"/>
              <w:right w:val="nil"/>
            </w:tcBorders>
            <w:shd w:val="clear" w:color="auto" w:fill="auto"/>
            <w:noWrap/>
            <w:vAlign w:val="center"/>
            <w:hideMark/>
          </w:tcPr>
          <w:p w14:paraId="2A176B0F"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0.02 ± 0.04</w:t>
            </w:r>
          </w:p>
        </w:tc>
        <w:tc>
          <w:tcPr>
            <w:tcW w:w="1491" w:type="dxa"/>
            <w:tcBorders>
              <w:top w:val="nil"/>
              <w:left w:val="nil"/>
              <w:bottom w:val="nil"/>
              <w:right w:val="nil"/>
            </w:tcBorders>
            <w:shd w:val="clear" w:color="auto" w:fill="auto"/>
            <w:noWrap/>
            <w:vAlign w:val="center"/>
            <w:hideMark/>
          </w:tcPr>
          <w:p w14:paraId="5F72DAD7"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4.61 ± 13.35</w:t>
            </w:r>
          </w:p>
        </w:tc>
      </w:tr>
      <w:tr w:rsidR="00944CB1" w:rsidRPr="00E41E77" w14:paraId="24E43874" w14:textId="77777777" w:rsidTr="002661C9">
        <w:trPr>
          <w:trHeight w:val="454"/>
        </w:trPr>
        <w:tc>
          <w:tcPr>
            <w:tcW w:w="2539" w:type="dxa"/>
            <w:tcBorders>
              <w:top w:val="nil"/>
              <w:left w:val="nil"/>
              <w:bottom w:val="nil"/>
              <w:right w:val="nil"/>
            </w:tcBorders>
            <w:shd w:val="clear" w:color="auto" w:fill="auto"/>
            <w:vAlign w:val="center"/>
            <w:hideMark/>
          </w:tcPr>
          <w:p w14:paraId="0F8591F3"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Tropical </w:t>
            </w:r>
            <w:proofErr w:type="spellStart"/>
            <w:r w:rsidRPr="00E41E77">
              <w:rPr>
                <w:rFonts w:ascii="Calibri" w:eastAsia="Times New Roman" w:hAnsi="Calibri" w:cs="Times New Roman"/>
                <w:color w:val="000000"/>
                <w:sz w:val="16"/>
                <w:szCs w:val="16"/>
                <w:lang w:eastAsia="en-GB"/>
              </w:rPr>
              <w:t>Northwestern</w:t>
            </w:r>
            <w:proofErr w:type="spellEnd"/>
            <w:r w:rsidRPr="00E41E77">
              <w:rPr>
                <w:rFonts w:ascii="Calibri" w:eastAsia="Times New Roman" w:hAnsi="Calibri" w:cs="Times New Roman"/>
                <w:color w:val="000000"/>
                <w:sz w:val="16"/>
                <w:szCs w:val="16"/>
                <w:lang w:eastAsia="en-GB"/>
              </w:rPr>
              <w:t xml:space="preserve"> Pacific</w:t>
            </w:r>
          </w:p>
        </w:tc>
        <w:tc>
          <w:tcPr>
            <w:tcW w:w="1525" w:type="dxa"/>
            <w:tcBorders>
              <w:top w:val="nil"/>
              <w:left w:val="nil"/>
              <w:bottom w:val="nil"/>
              <w:right w:val="nil"/>
            </w:tcBorders>
            <w:shd w:val="clear" w:color="auto" w:fill="auto"/>
            <w:vAlign w:val="center"/>
            <w:hideMark/>
          </w:tcPr>
          <w:p w14:paraId="123CC55D"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0.19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.04</w:t>
            </w:r>
          </w:p>
        </w:tc>
        <w:tc>
          <w:tcPr>
            <w:tcW w:w="1893" w:type="dxa"/>
            <w:tcBorders>
              <w:top w:val="nil"/>
              <w:left w:val="nil"/>
              <w:bottom w:val="nil"/>
              <w:right w:val="nil"/>
            </w:tcBorders>
            <w:shd w:val="clear" w:color="auto" w:fill="auto"/>
            <w:vAlign w:val="center"/>
            <w:hideMark/>
          </w:tcPr>
          <w:p w14:paraId="406C2919"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0.08 ± 0.00</w:t>
            </w:r>
          </w:p>
        </w:tc>
        <w:tc>
          <w:tcPr>
            <w:tcW w:w="1590" w:type="dxa"/>
            <w:tcBorders>
              <w:top w:val="nil"/>
              <w:left w:val="nil"/>
              <w:bottom w:val="nil"/>
              <w:right w:val="nil"/>
            </w:tcBorders>
            <w:shd w:val="clear" w:color="auto" w:fill="auto"/>
            <w:noWrap/>
            <w:vAlign w:val="center"/>
            <w:hideMark/>
          </w:tcPr>
          <w:p w14:paraId="10717349"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99.56 ± 9.05</w:t>
            </w:r>
          </w:p>
        </w:tc>
        <w:tc>
          <w:tcPr>
            <w:tcW w:w="2272" w:type="dxa"/>
            <w:tcBorders>
              <w:top w:val="nil"/>
              <w:left w:val="nil"/>
              <w:bottom w:val="nil"/>
              <w:right w:val="nil"/>
            </w:tcBorders>
            <w:vAlign w:val="center"/>
          </w:tcPr>
          <w:p w14:paraId="6B606AC5"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26.28 ± 26.13</w:t>
            </w:r>
          </w:p>
        </w:tc>
        <w:tc>
          <w:tcPr>
            <w:tcW w:w="1143" w:type="dxa"/>
            <w:tcBorders>
              <w:top w:val="nil"/>
              <w:left w:val="nil"/>
              <w:bottom w:val="nil"/>
              <w:right w:val="nil"/>
            </w:tcBorders>
            <w:shd w:val="clear" w:color="auto" w:fill="auto"/>
            <w:noWrap/>
            <w:vAlign w:val="center"/>
            <w:hideMark/>
          </w:tcPr>
          <w:p w14:paraId="6CECEAB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-1.21 ± 0.56</w:t>
            </w:r>
          </w:p>
        </w:tc>
        <w:tc>
          <w:tcPr>
            <w:tcW w:w="1491" w:type="dxa"/>
            <w:tcBorders>
              <w:top w:val="nil"/>
              <w:left w:val="nil"/>
              <w:bottom w:val="nil"/>
              <w:right w:val="nil"/>
            </w:tcBorders>
            <w:shd w:val="clear" w:color="auto" w:fill="auto"/>
            <w:noWrap/>
            <w:vAlign w:val="center"/>
            <w:hideMark/>
          </w:tcPr>
          <w:p w14:paraId="57F4947E"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-4.60 </w:t>
            </w:r>
            <w:proofErr w:type="gramStart"/>
            <w:r w:rsidRPr="00E41E77">
              <w:rPr>
                <w:rFonts w:ascii="Calibri" w:eastAsia="Times New Roman" w:hAnsi="Calibri" w:cs="Times New Roman"/>
                <w:color w:val="000000"/>
                <w:sz w:val="16"/>
                <w:szCs w:val="16"/>
                <w:lang w:eastAsia="en-GB"/>
              </w:rPr>
              <w:t>±  8</w:t>
            </w:r>
            <w:proofErr w:type="gramEnd"/>
            <w:r w:rsidRPr="00E41E77">
              <w:rPr>
                <w:rFonts w:ascii="Calibri" w:eastAsia="Times New Roman" w:hAnsi="Calibri" w:cs="Times New Roman"/>
                <w:color w:val="000000"/>
                <w:sz w:val="16"/>
                <w:szCs w:val="16"/>
                <w:lang w:eastAsia="en-GB"/>
              </w:rPr>
              <w:t>.15</w:t>
            </w:r>
          </w:p>
        </w:tc>
        <w:tc>
          <w:tcPr>
            <w:tcW w:w="1143" w:type="dxa"/>
            <w:tcBorders>
              <w:top w:val="nil"/>
              <w:left w:val="nil"/>
              <w:bottom w:val="nil"/>
              <w:right w:val="nil"/>
            </w:tcBorders>
            <w:shd w:val="clear" w:color="auto" w:fill="auto"/>
            <w:noWrap/>
            <w:vAlign w:val="center"/>
            <w:hideMark/>
          </w:tcPr>
          <w:p w14:paraId="5CF179EB"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-0.01 ± 0.02</w:t>
            </w:r>
          </w:p>
        </w:tc>
        <w:tc>
          <w:tcPr>
            <w:tcW w:w="1491" w:type="dxa"/>
            <w:tcBorders>
              <w:top w:val="nil"/>
              <w:left w:val="nil"/>
              <w:bottom w:val="nil"/>
              <w:right w:val="nil"/>
            </w:tcBorders>
            <w:shd w:val="clear" w:color="auto" w:fill="auto"/>
            <w:noWrap/>
            <w:vAlign w:val="center"/>
            <w:hideMark/>
          </w:tcPr>
          <w:p w14:paraId="36DF0589"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-4.41 </w:t>
            </w:r>
            <w:proofErr w:type="gramStart"/>
            <w:r w:rsidRPr="00E41E77">
              <w:rPr>
                <w:rFonts w:ascii="Calibri" w:eastAsia="Times New Roman" w:hAnsi="Calibri" w:cs="Times New Roman"/>
                <w:color w:val="000000"/>
                <w:sz w:val="16"/>
                <w:szCs w:val="16"/>
                <w:lang w:eastAsia="en-GB"/>
              </w:rPr>
              <w:t>±  7</w:t>
            </w:r>
            <w:proofErr w:type="gramEnd"/>
            <w:r w:rsidRPr="00E41E77">
              <w:rPr>
                <w:rFonts w:ascii="Calibri" w:eastAsia="Times New Roman" w:hAnsi="Calibri" w:cs="Times New Roman"/>
                <w:color w:val="000000"/>
                <w:sz w:val="16"/>
                <w:szCs w:val="16"/>
                <w:lang w:eastAsia="en-GB"/>
              </w:rPr>
              <w:t>.96</w:t>
            </w:r>
          </w:p>
        </w:tc>
      </w:tr>
      <w:tr w:rsidR="00944CB1" w:rsidRPr="00E41E77" w14:paraId="1C8E1F2C" w14:textId="77777777" w:rsidTr="002661C9">
        <w:trPr>
          <w:trHeight w:val="257"/>
        </w:trPr>
        <w:tc>
          <w:tcPr>
            <w:tcW w:w="2539" w:type="dxa"/>
            <w:tcBorders>
              <w:top w:val="nil"/>
              <w:left w:val="nil"/>
              <w:bottom w:val="nil"/>
              <w:right w:val="nil"/>
            </w:tcBorders>
            <w:shd w:val="clear" w:color="auto" w:fill="auto"/>
            <w:vAlign w:val="center"/>
            <w:hideMark/>
          </w:tcPr>
          <w:p w14:paraId="62569241"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Somali Arabian</w:t>
            </w:r>
          </w:p>
        </w:tc>
        <w:tc>
          <w:tcPr>
            <w:tcW w:w="1525" w:type="dxa"/>
            <w:tcBorders>
              <w:top w:val="nil"/>
              <w:left w:val="nil"/>
              <w:bottom w:val="nil"/>
              <w:right w:val="nil"/>
            </w:tcBorders>
            <w:shd w:val="clear" w:color="auto" w:fill="auto"/>
            <w:vAlign w:val="center"/>
            <w:hideMark/>
          </w:tcPr>
          <w:p w14:paraId="2E35B8D5"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0.18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.05</w:t>
            </w:r>
          </w:p>
        </w:tc>
        <w:tc>
          <w:tcPr>
            <w:tcW w:w="1893" w:type="dxa"/>
            <w:tcBorders>
              <w:top w:val="nil"/>
              <w:left w:val="nil"/>
              <w:bottom w:val="nil"/>
              <w:right w:val="nil"/>
            </w:tcBorders>
            <w:shd w:val="clear" w:color="auto" w:fill="auto"/>
            <w:vAlign w:val="center"/>
            <w:hideMark/>
          </w:tcPr>
          <w:p w14:paraId="5E00887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0.08 ± 0.01</w:t>
            </w:r>
          </w:p>
        </w:tc>
        <w:tc>
          <w:tcPr>
            <w:tcW w:w="1590" w:type="dxa"/>
            <w:tcBorders>
              <w:top w:val="nil"/>
              <w:left w:val="nil"/>
              <w:bottom w:val="nil"/>
              <w:right w:val="nil"/>
            </w:tcBorders>
            <w:shd w:val="clear" w:color="auto" w:fill="auto"/>
            <w:noWrap/>
            <w:vAlign w:val="center"/>
            <w:hideMark/>
          </w:tcPr>
          <w:p w14:paraId="558002D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99.63 ± 9.09</w:t>
            </w:r>
          </w:p>
        </w:tc>
        <w:tc>
          <w:tcPr>
            <w:tcW w:w="2272" w:type="dxa"/>
            <w:tcBorders>
              <w:top w:val="nil"/>
              <w:left w:val="nil"/>
              <w:bottom w:val="nil"/>
              <w:right w:val="nil"/>
            </w:tcBorders>
            <w:vAlign w:val="center"/>
          </w:tcPr>
          <w:p w14:paraId="2AF9C221"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20.01 ± 19.88</w:t>
            </w:r>
          </w:p>
        </w:tc>
        <w:tc>
          <w:tcPr>
            <w:tcW w:w="1143" w:type="dxa"/>
            <w:tcBorders>
              <w:top w:val="nil"/>
              <w:left w:val="nil"/>
              <w:bottom w:val="nil"/>
              <w:right w:val="nil"/>
            </w:tcBorders>
            <w:shd w:val="clear" w:color="auto" w:fill="auto"/>
            <w:noWrap/>
            <w:vAlign w:val="center"/>
            <w:hideMark/>
          </w:tcPr>
          <w:p w14:paraId="4A994587"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2.79 ± 1.88</w:t>
            </w:r>
          </w:p>
        </w:tc>
        <w:tc>
          <w:tcPr>
            <w:tcW w:w="1491" w:type="dxa"/>
            <w:tcBorders>
              <w:top w:val="nil"/>
              <w:left w:val="nil"/>
              <w:bottom w:val="nil"/>
              <w:right w:val="nil"/>
            </w:tcBorders>
            <w:shd w:val="clear" w:color="auto" w:fill="auto"/>
            <w:noWrap/>
            <w:vAlign w:val="center"/>
            <w:hideMark/>
          </w:tcPr>
          <w:p w14:paraId="750D283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13.93 ± 22.61</w:t>
            </w:r>
          </w:p>
        </w:tc>
        <w:tc>
          <w:tcPr>
            <w:tcW w:w="1143" w:type="dxa"/>
            <w:tcBorders>
              <w:top w:val="nil"/>
              <w:left w:val="nil"/>
              <w:bottom w:val="nil"/>
              <w:right w:val="nil"/>
            </w:tcBorders>
            <w:shd w:val="clear" w:color="auto" w:fill="auto"/>
            <w:noWrap/>
            <w:vAlign w:val="center"/>
            <w:hideMark/>
          </w:tcPr>
          <w:p w14:paraId="14CC3CC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0.04 ± 0.05</w:t>
            </w:r>
          </w:p>
        </w:tc>
        <w:tc>
          <w:tcPr>
            <w:tcW w:w="1491" w:type="dxa"/>
            <w:tcBorders>
              <w:top w:val="nil"/>
              <w:left w:val="nil"/>
              <w:bottom w:val="nil"/>
              <w:right w:val="nil"/>
            </w:tcBorders>
            <w:shd w:val="clear" w:color="auto" w:fill="auto"/>
            <w:noWrap/>
            <w:vAlign w:val="center"/>
            <w:hideMark/>
          </w:tcPr>
          <w:p w14:paraId="7A43F80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23.24 ± 27.57</w:t>
            </w:r>
          </w:p>
        </w:tc>
      </w:tr>
      <w:tr w:rsidR="00944CB1" w:rsidRPr="00E41E77" w14:paraId="3C6BE9BD" w14:textId="77777777" w:rsidTr="002661C9">
        <w:trPr>
          <w:trHeight w:val="454"/>
        </w:trPr>
        <w:tc>
          <w:tcPr>
            <w:tcW w:w="2539" w:type="dxa"/>
            <w:tcBorders>
              <w:top w:val="nil"/>
              <w:left w:val="nil"/>
              <w:bottom w:val="nil"/>
              <w:right w:val="nil"/>
            </w:tcBorders>
            <w:shd w:val="clear" w:color="auto" w:fill="auto"/>
            <w:vAlign w:val="center"/>
            <w:hideMark/>
          </w:tcPr>
          <w:p w14:paraId="134EA88A"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Warm Temperate Northwest Pacific</w:t>
            </w:r>
          </w:p>
        </w:tc>
        <w:tc>
          <w:tcPr>
            <w:tcW w:w="1525" w:type="dxa"/>
            <w:tcBorders>
              <w:top w:val="nil"/>
              <w:left w:val="nil"/>
              <w:bottom w:val="nil"/>
              <w:right w:val="nil"/>
            </w:tcBorders>
            <w:shd w:val="clear" w:color="auto" w:fill="auto"/>
            <w:vAlign w:val="center"/>
            <w:hideMark/>
          </w:tcPr>
          <w:p w14:paraId="4BA46989"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0.17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.06</w:t>
            </w:r>
          </w:p>
        </w:tc>
        <w:tc>
          <w:tcPr>
            <w:tcW w:w="1893" w:type="dxa"/>
            <w:tcBorders>
              <w:top w:val="nil"/>
              <w:left w:val="nil"/>
              <w:bottom w:val="nil"/>
              <w:right w:val="nil"/>
            </w:tcBorders>
            <w:shd w:val="clear" w:color="auto" w:fill="auto"/>
            <w:vAlign w:val="center"/>
            <w:hideMark/>
          </w:tcPr>
          <w:p w14:paraId="7D717778"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0.07 ± 0.01</w:t>
            </w:r>
          </w:p>
        </w:tc>
        <w:tc>
          <w:tcPr>
            <w:tcW w:w="1590" w:type="dxa"/>
            <w:tcBorders>
              <w:top w:val="nil"/>
              <w:left w:val="nil"/>
              <w:bottom w:val="nil"/>
              <w:right w:val="nil"/>
            </w:tcBorders>
            <w:shd w:val="clear" w:color="auto" w:fill="auto"/>
            <w:noWrap/>
            <w:vAlign w:val="center"/>
            <w:hideMark/>
          </w:tcPr>
          <w:p w14:paraId="05013A79"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99.70 ± 9.12</w:t>
            </w:r>
          </w:p>
        </w:tc>
        <w:tc>
          <w:tcPr>
            <w:tcW w:w="2272" w:type="dxa"/>
            <w:tcBorders>
              <w:top w:val="nil"/>
              <w:left w:val="nil"/>
              <w:bottom w:val="nil"/>
              <w:right w:val="nil"/>
            </w:tcBorders>
            <w:vAlign w:val="center"/>
          </w:tcPr>
          <w:p w14:paraId="1B2CDB7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12.91 ± 12.80</w:t>
            </w:r>
          </w:p>
        </w:tc>
        <w:tc>
          <w:tcPr>
            <w:tcW w:w="1143" w:type="dxa"/>
            <w:tcBorders>
              <w:top w:val="nil"/>
              <w:left w:val="nil"/>
              <w:bottom w:val="nil"/>
              <w:right w:val="nil"/>
            </w:tcBorders>
            <w:shd w:val="clear" w:color="auto" w:fill="auto"/>
            <w:noWrap/>
            <w:vAlign w:val="center"/>
            <w:hideMark/>
          </w:tcPr>
          <w:p w14:paraId="22EB73B1"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4.22 ± 2.37</w:t>
            </w:r>
          </w:p>
        </w:tc>
        <w:tc>
          <w:tcPr>
            <w:tcW w:w="1491" w:type="dxa"/>
            <w:tcBorders>
              <w:top w:val="nil"/>
              <w:left w:val="nil"/>
              <w:bottom w:val="nil"/>
              <w:right w:val="nil"/>
            </w:tcBorders>
            <w:shd w:val="clear" w:color="auto" w:fill="auto"/>
            <w:noWrap/>
            <w:vAlign w:val="center"/>
            <w:hideMark/>
          </w:tcPr>
          <w:p w14:paraId="3DC20785"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32.68 ± 39.76</w:t>
            </w:r>
          </w:p>
        </w:tc>
        <w:tc>
          <w:tcPr>
            <w:tcW w:w="1143" w:type="dxa"/>
            <w:tcBorders>
              <w:top w:val="nil"/>
              <w:left w:val="nil"/>
              <w:bottom w:val="nil"/>
              <w:right w:val="nil"/>
            </w:tcBorders>
            <w:shd w:val="clear" w:color="auto" w:fill="auto"/>
            <w:noWrap/>
            <w:vAlign w:val="center"/>
            <w:hideMark/>
          </w:tcPr>
          <w:p w14:paraId="57A75853"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0.05 ± 0.06</w:t>
            </w:r>
          </w:p>
        </w:tc>
        <w:tc>
          <w:tcPr>
            <w:tcW w:w="1491" w:type="dxa"/>
            <w:tcBorders>
              <w:top w:val="nil"/>
              <w:left w:val="nil"/>
              <w:bottom w:val="nil"/>
              <w:right w:val="nil"/>
            </w:tcBorders>
            <w:shd w:val="clear" w:color="auto" w:fill="auto"/>
            <w:noWrap/>
            <w:vAlign w:val="center"/>
            <w:hideMark/>
          </w:tcPr>
          <w:p w14:paraId="49F44E48"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31.55 ± 37.15</w:t>
            </w:r>
          </w:p>
        </w:tc>
      </w:tr>
      <w:tr w:rsidR="00944CB1" w:rsidRPr="00E41E77" w14:paraId="27BC4677" w14:textId="77777777" w:rsidTr="002661C9">
        <w:trPr>
          <w:trHeight w:val="454"/>
        </w:trPr>
        <w:tc>
          <w:tcPr>
            <w:tcW w:w="2539" w:type="dxa"/>
            <w:tcBorders>
              <w:top w:val="nil"/>
              <w:left w:val="nil"/>
              <w:bottom w:val="nil"/>
              <w:right w:val="nil"/>
            </w:tcBorders>
            <w:shd w:val="clear" w:color="auto" w:fill="auto"/>
            <w:vAlign w:val="center"/>
            <w:hideMark/>
          </w:tcPr>
          <w:p w14:paraId="12F2B96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Southwest Australian Shelf</w:t>
            </w:r>
          </w:p>
        </w:tc>
        <w:tc>
          <w:tcPr>
            <w:tcW w:w="1525" w:type="dxa"/>
            <w:tcBorders>
              <w:top w:val="nil"/>
              <w:left w:val="nil"/>
              <w:bottom w:val="nil"/>
              <w:right w:val="nil"/>
            </w:tcBorders>
            <w:shd w:val="clear" w:color="auto" w:fill="auto"/>
            <w:vAlign w:val="center"/>
            <w:hideMark/>
          </w:tcPr>
          <w:p w14:paraId="04BE56D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0.16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.07</w:t>
            </w:r>
          </w:p>
        </w:tc>
        <w:tc>
          <w:tcPr>
            <w:tcW w:w="1893" w:type="dxa"/>
            <w:tcBorders>
              <w:top w:val="nil"/>
              <w:left w:val="nil"/>
              <w:bottom w:val="nil"/>
              <w:right w:val="nil"/>
            </w:tcBorders>
            <w:shd w:val="clear" w:color="auto" w:fill="auto"/>
            <w:vAlign w:val="center"/>
            <w:hideMark/>
          </w:tcPr>
          <w:p w14:paraId="15155995"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0.06 ± 0.02</w:t>
            </w:r>
          </w:p>
        </w:tc>
        <w:tc>
          <w:tcPr>
            <w:tcW w:w="1590" w:type="dxa"/>
            <w:tcBorders>
              <w:top w:val="nil"/>
              <w:left w:val="nil"/>
              <w:bottom w:val="nil"/>
              <w:right w:val="nil"/>
            </w:tcBorders>
            <w:shd w:val="clear" w:color="auto" w:fill="auto"/>
            <w:noWrap/>
            <w:vAlign w:val="center"/>
            <w:hideMark/>
          </w:tcPr>
          <w:p w14:paraId="6F1A71CF"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99.77 ± 9.13</w:t>
            </w:r>
          </w:p>
        </w:tc>
        <w:tc>
          <w:tcPr>
            <w:tcW w:w="2272" w:type="dxa"/>
            <w:tcBorders>
              <w:top w:val="nil"/>
              <w:left w:val="nil"/>
              <w:bottom w:val="nil"/>
              <w:right w:val="nil"/>
            </w:tcBorders>
            <w:vAlign w:val="center"/>
          </w:tcPr>
          <w:p w14:paraId="648CF361"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7.33 </w:t>
            </w:r>
            <w:proofErr w:type="gramStart"/>
            <w:r w:rsidRPr="00E41E77">
              <w:rPr>
                <w:rFonts w:ascii="Calibri" w:eastAsia="Times New Roman" w:hAnsi="Calibri" w:cs="Times New Roman"/>
                <w:color w:val="000000"/>
                <w:sz w:val="16"/>
                <w:szCs w:val="16"/>
                <w:lang w:eastAsia="en-GB"/>
              </w:rPr>
              <w:t>±  7</w:t>
            </w:r>
            <w:proofErr w:type="gramEnd"/>
            <w:r w:rsidRPr="00E41E77">
              <w:rPr>
                <w:rFonts w:ascii="Calibri" w:eastAsia="Times New Roman" w:hAnsi="Calibri" w:cs="Times New Roman"/>
                <w:color w:val="000000"/>
                <w:sz w:val="16"/>
                <w:szCs w:val="16"/>
                <w:lang w:eastAsia="en-GB"/>
              </w:rPr>
              <w:t>.23</w:t>
            </w:r>
          </w:p>
        </w:tc>
        <w:tc>
          <w:tcPr>
            <w:tcW w:w="1143" w:type="dxa"/>
            <w:tcBorders>
              <w:top w:val="nil"/>
              <w:left w:val="nil"/>
              <w:bottom w:val="nil"/>
              <w:right w:val="nil"/>
            </w:tcBorders>
            <w:shd w:val="clear" w:color="auto" w:fill="auto"/>
            <w:noWrap/>
            <w:vAlign w:val="center"/>
            <w:hideMark/>
          </w:tcPr>
          <w:p w14:paraId="0E61C0B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3.38 ± 1.82</w:t>
            </w:r>
          </w:p>
        </w:tc>
        <w:tc>
          <w:tcPr>
            <w:tcW w:w="1491" w:type="dxa"/>
            <w:tcBorders>
              <w:top w:val="nil"/>
              <w:left w:val="nil"/>
              <w:bottom w:val="nil"/>
              <w:right w:val="nil"/>
            </w:tcBorders>
            <w:shd w:val="clear" w:color="auto" w:fill="auto"/>
            <w:noWrap/>
            <w:vAlign w:val="center"/>
            <w:hideMark/>
          </w:tcPr>
          <w:p w14:paraId="572AABE1"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46.12 ± 54.98</w:t>
            </w:r>
          </w:p>
        </w:tc>
        <w:tc>
          <w:tcPr>
            <w:tcW w:w="1143" w:type="dxa"/>
            <w:tcBorders>
              <w:top w:val="nil"/>
              <w:left w:val="nil"/>
              <w:bottom w:val="nil"/>
              <w:right w:val="nil"/>
            </w:tcBorders>
            <w:shd w:val="clear" w:color="auto" w:fill="auto"/>
            <w:noWrap/>
            <w:vAlign w:val="center"/>
            <w:hideMark/>
          </w:tcPr>
          <w:p w14:paraId="1B10C58F"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0.10 ± 0.11</w:t>
            </w:r>
          </w:p>
        </w:tc>
        <w:tc>
          <w:tcPr>
            <w:tcW w:w="1491" w:type="dxa"/>
            <w:tcBorders>
              <w:top w:val="nil"/>
              <w:left w:val="nil"/>
              <w:bottom w:val="nil"/>
              <w:right w:val="nil"/>
            </w:tcBorders>
            <w:shd w:val="clear" w:color="auto" w:fill="auto"/>
            <w:noWrap/>
            <w:vAlign w:val="center"/>
            <w:hideMark/>
          </w:tcPr>
          <w:p w14:paraId="6D77CB39"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60.58 ± 65.27</w:t>
            </w:r>
          </w:p>
        </w:tc>
      </w:tr>
      <w:tr w:rsidR="00944CB1" w:rsidRPr="00E41E77" w14:paraId="6817349E" w14:textId="77777777" w:rsidTr="002661C9">
        <w:trPr>
          <w:trHeight w:val="454"/>
        </w:trPr>
        <w:tc>
          <w:tcPr>
            <w:tcW w:w="2539" w:type="dxa"/>
            <w:tcBorders>
              <w:top w:val="nil"/>
              <w:left w:val="nil"/>
              <w:bottom w:val="nil"/>
              <w:right w:val="nil"/>
            </w:tcBorders>
            <w:shd w:val="clear" w:color="auto" w:fill="auto"/>
            <w:vAlign w:val="center"/>
            <w:hideMark/>
          </w:tcPr>
          <w:p w14:paraId="7CE8075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Southeast Australian Shelf</w:t>
            </w:r>
          </w:p>
        </w:tc>
        <w:tc>
          <w:tcPr>
            <w:tcW w:w="1525" w:type="dxa"/>
            <w:tcBorders>
              <w:top w:val="nil"/>
              <w:left w:val="nil"/>
              <w:bottom w:val="nil"/>
              <w:right w:val="nil"/>
            </w:tcBorders>
            <w:shd w:val="clear" w:color="auto" w:fill="auto"/>
            <w:vAlign w:val="center"/>
            <w:hideMark/>
          </w:tcPr>
          <w:p w14:paraId="6C6E72B7"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0.14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.05</w:t>
            </w:r>
          </w:p>
        </w:tc>
        <w:tc>
          <w:tcPr>
            <w:tcW w:w="1893" w:type="dxa"/>
            <w:tcBorders>
              <w:top w:val="nil"/>
              <w:left w:val="nil"/>
              <w:bottom w:val="nil"/>
              <w:right w:val="nil"/>
            </w:tcBorders>
            <w:shd w:val="clear" w:color="auto" w:fill="auto"/>
            <w:vAlign w:val="center"/>
            <w:hideMark/>
          </w:tcPr>
          <w:p w14:paraId="6433B5B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0.06 ± 0.01</w:t>
            </w:r>
          </w:p>
        </w:tc>
        <w:tc>
          <w:tcPr>
            <w:tcW w:w="1590" w:type="dxa"/>
            <w:tcBorders>
              <w:top w:val="nil"/>
              <w:left w:val="nil"/>
              <w:bottom w:val="nil"/>
              <w:right w:val="nil"/>
            </w:tcBorders>
            <w:shd w:val="clear" w:color="auto" w:fill="auto"/>
            <w:noWrap/>
            <w:vAlign w:val="center"/>
            <w:hideMark/>
          </w:tcPr>
          <w:p w14:paraId="2ECF023A"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99.82 ± 9.14</w:t>
            </w:r>
          </w:p>
        </w:tc>
        <w:tc>
          <w:tcPr>
            <w:tcW w:w="2272" w:type="dxa"/>
            <w:tcBorders>
              <w:top w:val="nil"/>
              <w:left w:val="nil"/>
              <w:bottom w:val="nil"/>
              <w:right w:val="nil"/>
            </w:tcBorders>
            <w:vAlign w:val="center"/>
          </w:tcPr>
          <w:p w14:paraId="56952F41"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10.48 ± 10.39</w:t>
            </w:r>
          </w:p>
        </w:tc>
        <w:tc>
          <w:tcPr>
            <w:tcW w:w="1143" w:type="dxa"/>
            <w:tcBorders>
              <w:top w:val="nil"/>
              <w:left w:val="nil"/>
              <w:bottom w:val="nil"/>
              <w:right w:val="nil"/>
            </w:tcBorders>
            <w:shd w:val="clear" w:color="auto" w:fill="auto"/>
            <w:noWrap/>
            <w:vAlign w:val="center"/>
            <w:hideMark/>
          </w:tcPr>
          <w:p w14:paraId="3442B5B1"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-0.85 ± 0.36</w:t>
            </w:r>
          </w:p>
        </w:tc>
        <w:tc>
          <w:tcPr>
            <w:tcW w:w="1491" w:type="dxa"/>
            <w:tcBorders>
              <w:top w:val="nil"/>
              <w:left w:val="nil"/>
              <w:bottom w:val="nil"/>
              <w:right w:val="nil"/>
            </w:tcBorders>
            <w:shd w:val="clear" w:color="auto" w:fill="auto"/>
            <w:noWrap/>
            <w:vAlign w:val="center"/>
            <w:hideMark/>
          </w:tcPr>
          <w:p w14:paraId="7E412269"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-8.14 ± 14.60</w:t>
            </w:r>
          </w:p>
        </w:tc>
        <w:tc>
          <w:tcPr>
            <w:tcW w:w="1143" w:type="dxa"/>
            <w:tcBorders>
              <w:top w:val="nil"/>
              <w:left w:val="nil"/>
              <w:bottom w:val="nil"/>
              <w:right w:val="nil"/>
            </w:tcBorders>
            <w:shd w:val="clear" w:color="auto" w:fill="auto"/>
            <w:noWrap/>
            <w:vAlign w:val="center"/>
            <w:hideMark/>
          </w:tcPr>
          <w:p w14:paraId="23D2118E"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-0.01 ± 0.02</w:t>
            </w:r>
          </w:p>
        </w:tc>
        <w:tc>
          <w:tcPr>
            <w:tcW w:w="1491" w:type="dxa"/>
            <w:tcBorders>
              <w:top w:val="nil"/>
              <w:left w:val="nil"/>
              <w:bottom w:val="nil"/>
              <w:right w:val="nil"/>
            </w:tcBorders>
            <w:shd w:val="clear" w:color="auto" w:fill="auto"/>
            <w:noWrap/>
            <w:vAlign w:val="center"/>
            <w:hideMark/>
          </w:tcPr>
          <w:p w14:paraId="4CF82E5B"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-8.96 ± 15.90</w:t>
            </w:r>
          </w:p>
        </w:tc>
      </w:tr>
      <w:tr w:rsidR="00944CB1" w:rsidRPr="00E41E77" w14:paraId="29EAE635" w14:textId="77777777" w:rsidTr="002661C9">
        <w:trPr>
          <w:trHeight w:val="257"/>
        </w:trPr>
        <w:tc>
          <w:tcPr>
            <w:tcW w:w="2539" w:type="dxa"/>
            <w:tcBorders>
              <w:top w:val="nil"/>
              <w:left w:val="nil"/>
              <w:bottom w:val="nil"/>
              <w:right w:val="nil"/>
            </w:tcBorders>
            <w:shd w:val="clear" w:color="auto" w:fill="auto"/>
            <w:vAlign w:val="center"/>
            <w:hideMark/>
          </w:tcPr>
          <w:p w14:paraId="5D4A904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South Kuroshio</w:t>
            </w:r>
          </w:p>
        </w:tc>
        <w:tc>
          <w:tcPr>
            <w:tcW w:w="1525" w:type="dxa"/>
            <w:tcBorders>
              <w:top w:val="nil"/>
              <w:left w:val="nil"/>
              <w:bottom w:val="nil"/>
              <w:right w:val="nil"/>
            </w:tcBorders>
            <w:shd w:val="clear" w:color="auto" w:fill="auto"/>
            <w:vAlign w:val="center"/>
            <w:hideMark/>
          </w:tcPr>
          <w:p w14:paraId="108CD4F3"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0.11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.04</w:t>
            </w:r>
          </w:p>
        </w:tc>
        <w:tc>
          <w:tcPr>
            <w:tcW w:w="1893" w:type="dxa"/>
            <w:tcBorders>
              <w:top w:val="nil"/>
              <w:left w:val="nil"/>
              <w:bottom w:val="nil"/>
              <w:right w:val="nil"/>
            </w:tcBorders>
            <w:shd w:val="clear" w:color="auto" w:fill="auto"/>
            <w:vAlign w:val="center"/>
            <w:hideMark/>
          </w:tcPr>
          <w:p w14:paraId="05D21EC3"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0.04 ± 0.00</w:t>
            </w:r>
          </w:p>
        </w:tc>
        <w:tc>
          <w:tcPr>
            <w:tcW w:w="1590" w:type="dxa"/>
            <w:tcBorders>
              <w:top w:val="nil"/>
              <w:left w:val="nil"/>
              <w:bottom w:val="nil"/>
              <w:right w:val="nil"/>
            </w:tcBorders>
            <w:shd w:val="clear" w:color="auto" w:fill="auto"/>
            <w:noWrap/>
            <w:vAlign w:val="center"/>
            <w:hideMark/>
          </w:tcPr>
          <w:p w14:paraId="68F2BFF5"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99.87 ± 9.14</w:t>
            </w:r>
          </w:p>
        </w:tc>
        <w:tc>
          <w:tcPr>
            <w:tcW w:w="2272" w:type="dxa"/>
            <w:tcBorders>
              <w:top w:val="nil"/>
              <w:left w:val="nil"/>
              <w:bottom w:val="nil"/>
              <w:right w:val="nil"/>
            </w:tcBorders>
            <w:vAlign w:val="center"/>
          </w:tcPr>
          <w:p w14:paraId="43BAFEC8"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23.48 ± 23.40</w:t>
            </w:r>
          </w:p>
        </w:tc>
        <w:tc>
          <w:tcPr>
            <w:tcW w:w="1143" w:type="dxa"/>
            <w:tcBorders>
              <w:top w:val="nil"/>
              <w:left w:val="nil"/>
              <w:bottom w:val="nil"/>
              <w:right w:val="nil"/>
            </w:tcBorders>
            <w:shd w:val="clear" w:color="auto" w:fill="auto"/>
            <w:noWrap/>
            <w:vAlign w:val="center"/>
            <w:hideMark/>
          </w:tcPr>
          <w:p w14:paraId="77CD244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-0.01 ± 0.11</w:t>
            </w:r>
          </w:p>
        </w:tc>
        <w:tc>
          <w:tcPr>
            <w:tcW w:w="1491" w:type="dxa"/>
            <w:tcBorders>
              <w:top w:val="nil"/>
              <w:left w:val="nil"/>
              <w:bottom w:val="nil"/>
              <w:right w:val="nil"/>
            </w:tcBorders>
            <w:shd w:val="clear" w:color="auto" w:fill="auto"/>
            <w:noWrap/>
            <w:vAlign w:val="center"/>
            <w:hideMark/>
          </w:tcPr>
          <w:p w14:paraId="13F4DD8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-0.02 ± 13.30</w:t>
            </w:r>
          </w:p>
        </w:tc>
        <w:tc>
          <w:tcPr>
            <w:tcW w:w="1143" w:type="dxa"/>
            <w:tcBorders>
              <w:top w:val="nil"/>
              <w:left w:val="nil"/>
              <w:bottom w:val="nil"/>
              <w:right w:val="nil"/>
            </w:tcBorders>
            <w:shd w:val="clear" w:color="auto" w:fill="auto"/>
            <w:noWrap/>
            <w:vAlign w:val="center"/>
            <w:hideMark/>
          </w:tcPr>
          <w:p w14:paraId="33E27C8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0.00 ± 0.02</w:t>
            </w:r>
          </w:p>
        </w:tc>
        <w:tc>
          <w:tcPr>
            <w:tcW w:w="1491" w:type="dxa"/>
            <w:tcBorders>
              <w:top w:val="nil"/>
              <w:left w:val="nil"/>
              <w:bottom w:val="nil"/>
              <w:right w:val="nil"/>
            </w:tcBorders>
            <w:shd w:val="clear" w:color="auto" w:fill="auto"/>
            <w:noWrap/>
            <w:vAlign w:val="center"/>
            <w:hideMark/>
          </w:tcPr>
          <w:p w14:paraId="12CEFDCA"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3.66 ± 15.05</w:t>
            </w:r>
          </w:p>
        </w:tc>
      </w:tr>
      <w:tr w:rsidR="00944CB1" w:rsidRPr="00E41E77" w14:paraId="3F8B151B" w14:textId="77777777" w:rsidTr="002661C9">
        <w:trPr>
          <w:trHeight w:val="454"/>
        </w:trPr>
        <w:tc>
          <w:tcPr>
            <w:tcW w:w="2539" w:type="dxa"/>
            <w:tcBorders>
              <w:top w:val="nil"/>
              <w:left w:val="nil"/>
              <w:bottom w:val="nil"/>
              <w:right w:val="nil"/>
            </w:tcBorders>
            <w:shd w:val="clear" w:color="auto" w:fill="auto"/>
            <w:vAlign w:val="center"/>
            <w:hideMark/>
          </w:tcPr>
          <w:p w14:paraId="338E3F18"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West Central Australian Shelf</w:t>
            </w:r>
          </w:p>
        </w:tc>
        <w:tc>
          <w:tcPr>
            <w:tcW w:w="1525" w:type="dxa"/>
            <w:tcBorders>
              <w:top w:val="nil"/>
              <w:left w:val="nil"/>
              <w:bottom w:val="nil"/>
              <w:right w:val="nil"/>
            </w:tcBorders>
            <w:shd w:val="clear" w:color="auto" w:fill="auto"/>
            <w:vAlign w:val="center"/>
            <w:hideMark/>
          </w:tcPr>
          <w:p w14:paraId="73174C4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0.11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.03</w:t>
            </w:r>
          </w:p>
        </w:tc>
        <w:tc>
          <w:tcPr>
            <w:tcW w:w="1893" w:type="dxa"/>
            <w:tcBorders>
              <w:top w:val="nil"/>
              <w:left w:val="nil"/>
              <w:bottom w:val="nil"/>
              <w:right w:val="nil"/>
            </w:tcBorders>
            <w:shd w:val="clear" w:color="auto" w:fill="auto"/>
            <w:vAlign w:val="center"/>
            <w:hideMark/>
          </w:tcPr>
          <w:p w14:paraId="5FD5B0A8"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0.04 ± 0.00</w:t>
            </w:r>
          </w:p>
        </w:tc>
        <w:tc>
          <w:tcPr>
            <w:tcW w:w="1590" w:type="dxa"/>
            <w:tcBorders>
              <w:top w:val="nil"/>
              <w:left w:val="nil"/>
              <w:bottom w:val="nil"/>
              <w:right w:val="nil"/>
            </w:tcBorders>
            <w:shd w:val="clear" w:color="auto" w:fill="auto"/>
            <w:noWrap/>
            <w:vAlign w:val="center"/>
            <w:hideMark/>
          </w:tcPr>
          <w:p w14:paraId="23E702DC"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99.91 ± 9.14</w:t>
            </w:r>
          </w:p>
        </w:tc>
        <w:tc>
          <w:tcPr>
            <w:tcW w:w="2272" w:type="dxa"/>
            <w:tcBorders>
              <w:top w:val="nil"/>
              <w:left w:val="nil"/>
              <w:bottom w:val="nil"/>
              <w:right w:val="nil"/>
            </w:tcBorders>
            <w:vAlign w:val="center"/>
          </w:tcPr>
          <w:p w14:paraId="706585FD"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21.81 ± 21.73</w:t>
            </w:r>
          </w:p>
        </w:tc>
        <w:tc>
          <w:tcPr>
            <w:tcW w:w="1143" w:type="dxa"/>
            <w:tcBorders>
              <w:top w:val="nil"/>
              <w:left w:val="nil"/>
              <w:bottom w:val="nil"/>
              <w:right w:val="nil"/>
            </w:tcBorders>
            <w:shd w:val="clear" w:color="auto" w:fill="auto"/>
            <w:noWrap/>
            <w:vAlign w:val="center"/>
            <w:hideMark/>
          </w:tcPr>
          <w:p w14:paraId="01D23379"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1.13 ± 0.62</w:t>
            </w:r>
          </w:p>
        </w:tc>
        <w:tc>
          <w:tcPr>
            <w:tcW w:w="1491" w:type="dxa"/>
            <w:tcBorders>
              <w:top w:val="nil"/>
              <w:left w:val="nil"/>
              <w:bottom w:val="nil"/>
              <w:right w:val="nil"/>
            </w:tcBorders>
            <w:shd w:val="clear" w:color="auto" w:fill="auto"/>
            <w:noWrap/>
            <w:vAlign w:val="center"/>
            <w:hideMark/>
          </w:tcPr>
          <w:p w14:paraId="780D6678"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5.19 ± 16.73</w:t>
            </w:r>
          </w:p>
        </w:tc>
        <w:tc>
          <w:tcPr>
            <w:tcW w:w="1143" w:type="dxa"/>
            <w:tcBorders>
              <w:top w:val="nil"/>
              <w:left w:val="nil"/>
              <w:bottom w:val="nil"/>
              <w:right w:val="nil"/>
            </w:tcBorders>
            <w:shd w:val="clear" w:color="auto" w:fill="auto"/>
            <w:noWrap/>
            <w:vAlign w:val="center"/>
            <w:hideMark/>
          </w:tcPr>
          <w:p w14:paraId="35210EAB"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0.01 ± 0.02</w:t>
            </w:r>
          </w:p>
        </w:tc>
        <w:tc>
          <w:tcPr>
            <w:tcW w:w="1491" w:type="dxa"/>
            <w:tcBorders>
              <w:top w:val="nil"/>
              <w:left w:val="nil"/>
              <w:bottom w:val="nil"/>
              <w:right w:val="nil"/>
            </w:tcBorders>
            <w:shd w:val="clear" w:color="auto" w:fill="auto"/>
            <w:noWrap/>
            <w:vAlign w:val="center"/>
            <w:hideMark/>
          </w:tcPr>
          <w:p w14:paraId="503C977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8.68 ± 18.14</w:t>
            </w:r>
          </w:p>
        </w:tc>
      </w:tr>
      <w:tr w:rsidR="00944CB1" w:rsidRPr="00E41E77" w14:paraId="318447A2" w14:textId="77777777" w:rsidTr="002661C9">
        <w:trPr>
          <w:trHeight w:val="257"/>
        </w:trPr>
        <w:tc>
          <w:tcPr>
            <w:tcW w:w="2539" w:type="dxa"/>
            <w:tcBorders>
              <w:top w:val="nil"/>
              <w:left w:val="nil"/>
              <w:bottom w:val="nil"/>
              <w:right w:val="nil"/>
            </w:tcBorders>
            <w:shd w:val="clear" w:color="auto" w:fill="auto"/>
            <w:vAlign w:val="center"/>
            <w:hideMark/>
          </w:tcPr>
          <w:p w14:paraId="55B5901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Hawaii</w:t>
            </w:r>
          </w:p>
        </w:tc>
        <w:tc>
          <w:tcPr>
            <w:tcW w:w="1525" w:type="dxa"/>
            <w:tcBorders>
              <w:top w:val="nil"/>
              <w:left w:val="nil"/>
              <w:bottom w:val="nil"/>
              <w:right w:val="nil"/>
            </w:tcBorders>
            <w:shd w:val="clear" w:color="auto" w:fill="auto"/>
            <w:vAlign w:val="center"/>
            <w:hideMark/>
          </w:tcPr>
          <w:p w14:paraId="31658FAF"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0.09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.02</w:t>
            </w:r>
          </w:p>
        </w:tc>
        <w:tc>
          <w:tcPr>
            <w:tcW w:w="1893" w:type="dxa"/>
            <w:tcBorders>
              <w:top w:val="nil"/>
              <w:left w:val="nil"/>
              <w:bottom w:val="nil"/>
              <w:right w:val="nil"/>
            </w:tcBorders>
            <w:shd w:val="clear" w:color="auto" w:fill="auto"/>
            <w:vAlign w:val="center"/>
            <w:hideMark/>
          </w:tcPr>
          <w:p w14:paraId="2045F170"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0.04 ± 0.00</w:t>
            </w:r>
          </w:p>
        </w:tc>
        <w:tc>
          <w:tcPr>
            <w:tcW w:w="1590" w:type="dxa"/>
            <w:tcBorders>
              <w:top w:val="nil"/>
              <w:left w:val="nil"/>
              <w:bottom w:val="nil"/>
              <w:right w:val="nil"/>
            </w:tcBorders>
            <w:shd w:val="clear" w:color="auto" w:fill="auto"/>
            <w:noWrap/>
            <w:vAlign w:val="center"/>
            <w:hideMark/>
          </w:tcPr>
          <w:p w14:paraId="364C066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99.95 ± 9.15</w:t>
            </w:r>
          </w:p>
        </w:tc>
        <w:tc>
          <w:tcPr>
            <w:tcW w:w="2272" w:type="dxa"/>
            <w:tcBorders>
              <w:top w:val="nil"/>
              <w:left w:val="nil"/>
              <w:bottom w:val="nil"/>
              <w:right w:val="nil"/>
            </w:tcBorders>
            <w:vAlign w:val="center"/>
          </w:tcPr>
          <w:p w14:paraId="1D9E06B8"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26.28 ± 26.20</w:t>
            </w:r>
          </w:p>
        </w:tc>
        <w:tc>
          <w:tcPr>
            <w:tcW w:w="1143" w:type="dxa"/>
            <w:tcBorders>
              <w:top w:val="nil"/>
              <w:left w:val="nil"/>
              <w:bottom w:val="nil"/>
              <w:right w:val="nil"/>
            </w:tcBorders>
            <w:shd w:val="clear" w:color="auto" w:fill="auto"/>
            <w:noWrap/>
            <w:vAlign w:val="center"/>
            <w:hideMark/>
          </w:tcPr>
          <w:p w14:paraId="527472E5"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0.03 ± 0.07</w:t>
            </w:r>
          </w:p>
        </w:tc>
        <w:tc>
          <w:tcPr>
            <w:tcW w:w="1491" w:type="dxa"/>
            <w:tcBorders>
              <w:top w:val="nil"/>
              <w:left w:val="nil"/>
              <w:bottom w:val="nil"/>
              <w:right w:val="nil"/>
            </w:tcBorders>
            <w:shd w:val="clear" w:color="auto" w:fill="auto"/>
            <w:noWrap/>
            <w:vAlign w:val="center"/>
            <w:hideMark/>
          </w:tcPr>
          <w:p w14:paraId="5868A1EB"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0.13 ± 10.21</w:t>
            </w:r>
          </w:p>
        </w:tc>
        <w:tc>
          <w:tcPr>
            <w:tcW w:w="1143" w:type="dxa"/>
            <w:tcBorders>
              <w:top w:val="nil"/>
              <w:left w:val="nil"/>
              <w:bottom w:val="nil"/>
              <w:right w:val="nil"/>
            </w:tcBorders>
            <w:shd w:val="clear" w:color="auto" w:fill="auto"/>
            <w:noWrap/>
            <w:vAlign w:val="center"/>
            <w:hideMark/>
          </w:tcPr>
          <w:p w14:paraId="41188F5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0.00 ± 0.01</w:t>
            </w:r>
          </w:p>
        </w:tc>
        <w:tc>
          <w:tcPr>
            <w:tcW w:w="1491" w:type="dxa"/>
            <w:tcBorders>
              <w:top w:val="nil"/>
              <w:left w:val="nil"/>
              <w:bottom w:val="nil"/>
              <w:right w:val="nil"/>
            </w:tcBorders>
            <w:shd w:val="clear" w:color="auto" w:fill="auto"/>
            <w:noWrap/>
            <w:vAlign w:val="center"/>
            <w:hideMark/>
          </w:tcPr>
          <w:p w14:paraId="663F9D59"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-0.65 </w:t>
            </w:r>
            <w:proofErr w:type="gramStart"/>
            <w:r w:rsidRPr="00E41E77">
              <w:rPr>
                <w:rFonts w:ascii="Calibri" w:eastAsia="Times New Roman" w:hAnsi="Calibri" w:cs="Times New Roman"/>
                <w:color w:val="000000"/>
                <w:sz w:val="16"/>
                <w:szCs w:val="16"/>
                <w:lang w:eastAsia="en-GB"/>
              </w:rPr>
              <w:t>±  9</w:t>
            </w:r>
            <w:proofErr w:type="gramEnd"/>
            <w:r w:rsidRPr="00E41E77">
              <w:rPr>
                <w:rFonts w:ascii="Calibri" w:eastAsia="Times New Roman" w:hAnsi="Calibri" w:cs="Times New Roman"/>
                <w:color w:val="000000"/>
                <w:sz w:val="16"/>
                <w:szCs w:val="16"/>
                <w:lang w:eastAsia="en-GB"/>
              </w:rPr>
              <w:t>.92</w:t>
            </w:r>
          </w:p>
        </w:tc>
      </w:tr>
      <w:tr w:rsidR="00944CB1" w:rsidRPr="00E41E77" w14:paraId="0EA3F631" w14:textId="77777777" w:rsidTr="002661C9">
        <w:trPr>
          <w:trHeight w:val="257"/>
        </w:trPr>
        <w:tc>
          <w:tcPr>
            <w:tcW w:w="2539" w:type="dxa"/>
            <w:tcBorders>
              <w:top w:val="nil"/>
              <w:left w:val="nil"/>
              <w:bottom w:val="nil"/>
              <w:right w:val="nil"/>
            </w:tcBorders>
            <w:shd w:val="clear" w:color="auto" w:fill="auto"/>
            <w:vAlign w:val="center"/>
            <w:hideMark/>
          </w:tcPr>
          <w:p w14:paraId="3ABCE5B2"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Agulhas</w:t>
            </w:r>
          </w:p>
        </w:tc>
        <w:tc>
          <w:tcPr>
            <w:tcW w:w="1525" w:type="dxa"/>
            <w:tcBorders>
              <w:top w:val="nil"/>
              <w:left w:val="nil"/>
              <w:bottom w:val="nil"/>
              <w:right w:val="nil"/>
            </w:tcBorders>
            <w:shd w:val="clear" w:color="auto" w:fill="auto"/>
            <w:vAlign w:val="center"/>
            <w:hideMark/>
          </w:tcPr>
          <w:p w14:paraId="7BC4C151"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0.04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.01</w:t>
            </w:r>
          </w:p>
        </w:tc>
        <w:tc>
          <w:tcPr>
            <w:tcW w:w="1893" w:type="dxa"/>
            <w:tcBorders>
              <w:top w:val="nil"/>
              <w:left w:val="nil"/>
              <w:bottom w:val="nil"/>
              <w:right w:val="nil"/>
            </w:tcBorders>
            <w:shd w:val="clear" w:color="auto" w:fill="auto"/>
            <w:vAlign w:val="center"/>
            <w:hideMark/>
          </w:tcPr>
          <w:p w14:paraId="46393098"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0.02 ± 0.00</w:t>
            </w:r>
          </w:p>
        </w:tc>
        <w:tc>
          <w:tcPr>
            <w:tcW w:w="1590" w:type="dxa"/>
            <w:tcBorders>
              <w:top w:val="nil"/>
              <w:left w:val="nil"/>
              <w:bottom w:val="nil"/>
              <w:right w:val="nil"/>
            </w:tcBorders>
            <w:shd w:val="clear" w:color="auto" w:fill="auto"/>
            <w:noWrap/>
            <w:vAlign w:val="center"/>
            <w:hideMark/>
          </w:tcPr>
          <w:p w14:paraId="1B0A0DEA"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99.97 ± 9.16</w:t>
            </w:r>
          </w:p>
        </w:tc>
        <w:tc>
          <w:tcPr>
            <w:tcW w:w="2272" w:type="dxa"/>
            <w:tcBorders>
              <w:top w:val="nil"/>
              <w:left w:val="nil"/>
              <w:bottom w:val="nil"/>
              <w:right w:val="nil"/>
            </w:tcBorders>
            <w:vAlign w:val="center"/>
          </w:tcPr>
          <w:p w14:paraId="6BC4838D"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16.67 ± 16.64</w:t>
            </w:r>
          </w:p>
        </w:tc>
        <w:tc>
          <w:tcPr>
            <w:tcW w:w="1143" w:type="dxa"/>
            <w:tcBorders>
              <w:top w:val="nil"/>
              <w:left w:val="nil"/>
              <w:bottom w:val="nil"/>
              <w:right w:val="nil"/>
            </w:tcBorders>
            <w:shd w:val="clear" w:color="auto" w:fill="auto"/>
            <w:noWrap/>
            <w:vAlign w:val="center"/>
            <w:hideMark/>
          </w:tcPr>
          <w:p w14:paraId="6CF7A53E"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-0.54 ± 0.15</w:t>
            </w:r>
          </w:p>
        </w:tc>
        <w:tc>
          <w:tcPr>
            <w:tcW w:w="1491" w:type="dxa"/>
            <w:tcBorders>
              <w:top w:val="nil"/>
              <w:left w:val="nil"/>
              <w:bottom w:val="nil"/>
              <w:right w:val="nil"/>
            </w:tcBorders>
            <w:shd w:val="clear" w:color="auto" w:fill="auto"/>
            <w:noWrap/>
            <w:vAlign w:val="center"/>
            <w:hideMark/>
          </w:tcPr>
          <w:p w14:paraId="738B2073"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-3.27 ± 14.79</w:t>
            </w:r>
          </w:p>
        </w:tc>
        <w:tc>
          <w:tcPr>
            <w:tcW w:w="1143" w:type="dxa"/>
            <w:tcBorders>
              <w:top w:val="nil"/>
              <w:left w:val="nil"/>
              <w:bottom w:val="nil"/>
              <w:right w:val="nil"/>
            </w:tcBorders>
            <w:shd w:val="clear" w:color="auto" w:fill="auto"/>
            <w:noWrap/>
            <w:vAlign w:val="center"/>
            <w:hideMark/>
          </w:tcPr>
          <w:p w14:paraId="3B68CF6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0.00 ± 0.01</w:t>
            </w:r>
          </w:p>
        </w:tc>
        <w:tc>
          <w:tcPr>
            <w:tcW w:w="1491" w:type="dxa"/>
            <w:tcBorders>
              <w:top w:val="nil"/>
              <w:left w:val="nil"/>
              <w:bottom w:val="nil"/>
              <w:right w:val="nil"/>
            </w:tcBorders>
            <w:shd w:val="clear" w:color="auto" w:fill="auto"/>
            <w:noWrap/>
            <w:vAlign w:val="center"/>
            <w:hideMark/>
          </w:tcPr>
          <w:p w14:paraId="3EE913A8"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4.84 ± 20.25</w:t>
            </w:r>
          </w:p>
        </w:tc>
      </w:tr>
      <w:tr w:rsidR="00944CB1" w:rsidRPr="00E41E77" w14:paraId="0E3D4292" w14:textId="77777777" w:rsidTr="002661C9">
        <w:trPr>
          <w:trHeight w:val="454"/>
        </w:trPr>
        <w:tc>
          <w:tcPr>
            <w:tcW w:w="2539" w:type="dxa"/>
            <w:tcBorders>
              <w:top w:val="nil"/>
              <w:left w:val="nil"/>
              <w:bottom w:val="nil"/>
              <w:right w:val="nil"/>
            </w:tcBorders>
            <w:shd w:val="clear" w:color="auto" w:fill="auto"/>
            <w:vAlign w:val="center"/>
            <w:hideMark/>
          </w:tcPr>
          <w:p w14:paraId="4328675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Central Indian Ocean Islands</w:t>
            </w:r>
          </w:p>
        </w:tc>
        <w:tc>
          <w:tcPr>
            <w:tcW w:w="1525" w:type="dxa"/>
            <w:tcBorders>
              <w:top w:val="nil"/>
              <w:left w:val="nil"/>
              <w:bottom w:val="nil"/>
              <w:right w:val="nil"/>
            </w:tcBorders>
            <w:shd w:val="clear" w:color="auto" w:fill="auto"/>
            <w:vAlign w:val="center"/>
            <w:hideMark/>
          </w:tcPr>
          <w:p w14:paraId="0010DDD5"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0.03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.01</w:t>
            </w:r>
          </w:p>
        </w:tc>
        <w:tc>
          <w:tcPr>
            <w:tcW w:w="1893" w:type="dxa"/>
            <w:tcBorders>
              <w:top w:val="nil"/>
              <w:left w:val="nil"/>
              <w:bottom w:val="nil"/>
              <w:right w:val="nil"/>
            </w:tcBorders>
            <w:shd w:val="clear" w:color="auto" w:fill="auto"/>
            <w:vAlign w:val="center"/>
            <w:hideMark/>
          </w:tcPr>
          <w:p w14:paraId="221ADF77"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0.01 ± 0.00</w:t>
            </w:r>
          </w:p>
        </w:tc>
        <w:tc>
          <w:tcPr>
            <w:tcW w:w="1590" w:type="dxa"/>
            <w:tcBorders>
              <w:top w:val="nil"/>
              <w:left w:val="nil"/>
              <w:bottom w:val="nil"/>
              <w:right w:val="nil"/>
            </w:tcBorders>
            <w:shd w:val="clear" w:color="auto" w:fill="auto"/>
            <w:noWrap/>
            <w:vAlign w:val="center"/>
            <w:hideMark/>
          </w:tcPr>
          <w:p w14:paraId="7BFB9CB7"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99.98 ± 9.17</w:t>
            </w:r>
          </w:p>
        </w:tc>
        <w:tc>
          <w:tcPr>
            <w:tcW w:w="2272" w:type="dxa"/>
            <w:tcBorders>
              <w:top w:val="nil"/>
              <w:left w:val="nil"/>
              <w:bottom w:val="nil"/>
              <w:right w:val="nil"/>
            </w:tcBorders>
            <w:vAlign w:val="center"/>
          </w:tcPr>
          <w:p w14:paraId="7EB800B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26.89 ± 26.87</w:t>
            </w:r>
          </w:p>
        </w:tc>
        <w:tc>
          <w:tcPr>
            <w:tcW w:w="1143" w:type="dxa"/>
            <w:tcBorders>
              <w:top w:val="nil"/>
              <w:left w:val="nil"/>
              <w:bottom w:val="nil"/>
              <w:right w:val="nil"/>
            </w:tcBorders>
            <w:shd w:val="clear" w:color="auto" w:fill="auto"/>
            <w:noWrap/>
            <w:vAlign w:val="center"/>
            <w:hideMark/>
          </w:tcPr>
          <w:p w14:paraId="73FFECB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-0.44 ± 0.11</w:t>
            </w:r>
          </w:p>
        </w:tc>
        <w:tc>
          <w:tcPr>
            <w:tcW w:w="1491" w:type="dxa"/>
            <w:tcBorders>
              <w:top w:val="nil"/>
              <w:left w:val="nil"/>
              <w:bottom w:val="nil"/>
              <w:right w:val="nil"/>
            </w:tcBorders>
            <w:shd w:val="clear" w:color="auto" w:fill="auto"/>
            <w:noWrap/>
            <w:vAlign w:val="center"/>
            <w:hideMark/>
          </w:tcPr>
          <w:p w14:paraId="3C28A436"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-1.65 </w:t>
            </w:r>
            <w:proofErr w:type="gramStart"/>
            <w:r w:rsidRPr="00E41E77">
              <w:rPr>
                <w:rFonts w:ascii="Calibri" w:eastAsia="Times New Roman" w:hAnsi="Calibri" w:cs="Times New Roman"/>
                <w:color w:val="000000"/>
                <w:sz w:val="16"/>
                <w:szCs w:val="16"/>
                <w:lang w:eastAsia="en-GB"/>
              </w:rPr>
              <w:t>±  8</w:t>
            </w:r>
            <w:proofErr w:type="gramEnd"/>
            <w:r w:rsidRPr="00E41E77">
              <w:rPr>
                <w:rFonts w:ascii="Calibri" w:eastAsia="Times New Roman" w:hAnsi="Calibri" w:cs="Times New Roman"/>
                <w:color w:val="000000"/>
                <w:sz w:val="16"/>
                <w:szCs w:val="16"/>
                <w:lang w:eastAsia="en-GB"/>
              </w:rPr>
              <w:t>.24</w:t>
            </w:r>
          </w:p>
        </w:tc>
        <w:tc>
          <w:tcPr>
            <w:tcW w:w="1143" w:type="dxa"/>
            <w:tcBorders>
              <w:top w:val="nil"/>
              <w:left w:val="nil"/>
              <w:bottom w:val="nil"/>
              <w:right w:val="nil"/>
            </w:tcBorders>
            <w:shd w:val="clear" w:color="auto" w:fill="auto"/>
            <w:noWrap/>
            <w:vAlign w:val="center"/>
            <w:hideMark/>
          </w:tcPr>
          <w:p w14:paraId="7E3077F7"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0.00 ± 0.00</w:t>
            </w:r>
          </w:p>
        </w:tc>
        <w:tc>
          <w:tcPr>
            <w:tcW w:w="1491" w:type="dxa"/>
            <w:tcBorders>
              <w:top w:val="nil"/>
              <w:left w:val="nil"/>
              <w:bottom w:val="nil"/>
              <w:right w:val="nil"/>
            </w:tcBorders>
            <w:shd w:val="clear" w:color="auto" w:fill="auto"/>
            <w:noWrap/>
            <w:vAlign w:val="center"/>
            <w:hideMark/>
          </w:tcPr>
          <w:p w14:paraId="24774275"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0.55 </w:t>
            </w:r>
            <w:proofErr w:type="gramStart"/>
            <w:r w:rsidRPr="00E41E77">
              <w:rPr>
                <w:rFonts w:ascii="Calibri" w:eastAsia="Times New Roman" w:hAnsi="Calibri" w:cs="Times New Roman"/>
                <w:color w:val="000000"/>
                <w:sz w:val="16"/>
                <w:szCs w:val="16"/>
                <w:lang w:eastAsia="en-GB"/>
              </w:rPr>
              <w:t>±  9</w:t>
            </w:r>
            <w:proofErr w:type="gramEnd"/>
            <w:r w:rsidRPr="00E41E77">
              <w:rPr>
                <w:rFonts w:ascii="Calibri" w:eastAsia="Times New Roman" w:hAnsi="Calibri" w:cs="Times New Roman"/>
                <w:color w:val="000000"/>
                <w:sz w:val="16"/>
                <w:szCs w:val="16"/>
                <w:lang w:eastAsia="en-GB"/>
              </w:rPr>
              <w:t>.78</w:t>
            </w:r>
          </w:p>
        </w:tc>
      </w:tr>
      <w:tr w:rsidR="00944CB1" w:rsidRPr="00E41E77" w14:paraId="124417C3" w14:textId="77777777" w:rsidTr="002661C9">
        <w:trPr>
          <w:trHeight w:val="273"/>
        </w:trPr>
        <w:tc>
          <w:tcPr>
            <w:tcW w:w="2539" w:type="dxa"/>
            <w:tcBorders>
              <w:top w:val="nil"/>
              <w:left w:val="nil"/>
              <w:bottom w:val="single" w:sz="4" w:space="0" w:color="auto"/>
              <w:right w:val="nil"/>
            </w:tcBorders>
            <w:shd w:val="clear" w:color="auto" w:fill="auto"/>
            <w:vAlign w:val="center"/>
            <w:hideMark/>
          </w:tcPr>
          <w:p w14:paraId="5F2F9A21"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Lusitanian</w:t>
            </w:r>
          </w:p>
        </w:tc>
        <w:tc>
          <w:tcPr>
            <w:tcW w:w="1525" w:type="dxa"/>
            <w:tcBorders>
              <w:top w:val="nil"/>
              <w:left w:val="nil"/>
              <w:bottom w:val="single" w:sz="4" w:space="0" w:color="auto"/>
              <w:right w:val="nil"/>
            </w:tcBorders>
            <w:shd w:val="clear" w:color="auto" w:fill="auto"/>
            <w:vAlign w:val="center"/>
            <w:hideMark/>
          </w:tcPr>
          <w:p w14:paraId="4038BB9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0.01 </w:t>
            </w:r>
            <w:proofErr w:type="gramStart"/>
            <w:r w:rsidRPr="00E41E77">
              <w:rPr>
                <w:rFonts w:ascii="Calibri" w:eastAsia="Times New Roman" w:hAnsi="Calibri" w:cs="Times New Roman"/>
                <w:color w:val="000000"/>
                <w:sz w:val="16"/>
                <w:szCs w:val="16"/>
                <w:lang w:eastAsia="en-GB"/>
              </w:rPr>
              <w:t>±  0</w:t>
            </w:r>
            <w:proofErr w:type="gramEnd"/>
            <w:r w:rsidRPr="00E41E77">
              <w:rPr>
                <w:rFonts w:ascii="Calibri" w:eastAsia="Times New Roman" w:hAnsi="Calibri" w:cs="Times New Roman"/>
                <w:color w:val="000000"/>
                <w:sz w:val="16"/>
                <w:szCs w:val="16"/>
                <w:lang w:eastAsia="en-GB"/>
              </w:rPr>
              <w:t>.00</w:t>
            </w:r>
          </w:p>
        </w:tc>
        <w:tc>
          <w:tcPr>
            <w:tcW w:w="1893" w:type="dxa"/>
            <w:tcBorders>
              <w:top w:val="nil"/>
              <w:left w:val="nil"/>
              <w:bottom w:val="single" w:sz="4" w:space="0" w:color="auto"/>
              <w:right w:val="nil"/>
            </w:tcBorders>
            <w:shd w:val="clear" w:color="auto" w:fill="auto"/>
            <w:vAlign w:val="center"/>
            <w:hideMark/>
          </w:tcPr>
          <w:p w14:paraId="5B810391"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0.00 ± 0.00</w:t>
            </w:r>
          </w:p>
        </w:tc>
        <w:tc>
          <w:tcPr>
            <w:tcW w:w="1590" w:type="dxa"/>
            <w:tcBorders>
              <w:top w:val="nil"/>
              <w:left w:val="nil"/>
              <w:bottom w:val="single" w:sz="4" w:space="0" w:color="auto"/>
              <w:right w:val="nil"/>
            </w:tcBorders>
            <w:shd w:val="clear" w:color="auto" w:fill="auto"/>
            <w:noWrap/>
            <w:vAlign w:val="center"/>
            <w:hideMark/>
          </w:tcPr>
          <w:p w14:paraId="7F72B39A"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99.98 ± 9.18</w:t>
            </w:r>
          </w:p>
        </w:tc>
        <w:tc>
          <w:tcPr>
            <w:tcW w:w="2272" w:type="dxa"/>
            <w:tcBorders>
              <w:top w:val="nil"/>
              <w:left w:val="nil"/>
              <w:bottom w:val="single" w:sz="4" w:space="0" w:color="auto"/>
              <w:right w:val="nil"/>
            </w:tcBorders>
            <w:vAlign w:val="center"/>
          </w:tcPr>
          <w:p w14:paraId="6E612AA8"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21.36 ± 21.35</w:t>
            </w:r>
          </w:p>
        </w:tc>
        <w:tc>
          <w:tcPr>
            <w:tcW w:w="1143" w:type="dxa"/>
            <w:tcBorders>
              <w:top w:val="nil"/>
              <w:left w:val="nil"/>
              <w:bottom w:val="single" w:sz="4" w:space="0" w:color="auto"/>
              <w:right w:val="nil"/>
            </w:tcBorders>
            <w:shd w:val="clear" w:color="auto" w:fill="auto"/>
            <w:noWrap/>
            <w:vAlign w:val="center"/>
            <w:hideMark/>
          </w:tcPr>
          <w:p w14:paraId="20AE57DC"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 xml:space="preserve"> 1.17 ± 0.62</w:t>
            </w:r>
          </w:p>
        </w:tc>
        <w:tc>
          <w:tcPr>
            <w:tcW w:w="1491" w:type="dxa"/>
            <w:tcBorders>
              <w:top w:val="nil"/>
              <w:left w:val="nil"/>
              <w:bottom w:val="single" w:sz="4" w:space="0" w:color="auto"/>
              <w:right w:val="nil"/>
            </w:tcBorders>
            <w:shd w:val="clear" w:color="auto" w:fill="auto"/>
            <w:noWrap/>
            <w:vAlign w:val="center"/>
            <w:hideMark/>
          </w:tcPr>
          <w:p w14:paraId="5B6D4AE4"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5.47 ± 20.38</w:t>
            </w:r>
          </w:p>
        </w:tc>
        <w:tc>
          <w:tcPr>
            <w:tcW w:w="1143" w:type="dxa"/>
            <w:tcBorders>
              <w:top w:val="nil"/>
              <w:left w:val="nil"/>
              <w:bottom w:val="single" w:sz="4" w:space="0" w:color="auto"/>
              <w:right w:val="nil"/>
            </w:tcBorders>
            <w:shd w:val="clear" w:color="auto" w:fill="auto"/>
            <w:noWrap/>
            <w:vAlign w:val="center"/>
            <w:hideMark/>
          </w:tcPr>
          <w:p w14:paraId="0ADF00F8"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0.00 ± 0.00</w:t>
            </w:r>
          </w:p>
        </w:tc>
        <w:tc>
          <w:tcPr>
            <w:tcW w:w="1491" w:type="dxa"/>
            <w:tcBorders>
              <w:top w:val="nil"/>
              <w:left w:val="nil"/>
              <w:bottom w:val="single" w:sz="4" w:space="0" w:color="auto"/>
              <w:right w:val="nil"/>
            </w:tcBorders>
            <w:shd w:val="clear" w:color="auto" w:fill="auto"/>
            <w:noWrap/>
            <w:vAlign w:val="center"/>
            <w:hideMark/>
          </w:tcPr>
          <w:p w14:paraId="2834F267" w14:textId="77777777" w:rsidR="00944CB1" w:rsidRPr="00E41E77" w:rsidRDefault="00944CB1" w:rsidP="002661C9">
            <w:pPr>
              <w:contextualSpacing/>
              <w:jc w:val="center"/>
              <w:rPr>
                <w:rFonts w:ascii="Calibri" w:eastAsia="Times New Roman" w:hAnsi="Calibri" w:cs="Times New Roman"/>
                <w:color w:val="000000"/>
                <w:sz w:val="16"/>
                <w:szCs w:val="16"/>
                <w:lang w:eastAsia="en-GB"/>
              </w:rPr>
            </w:pPr>
            <w:r w:rsidRPr="00E41E77">
              <w:rPr>
                <w:rFonts w:ascii="Calibri" w:eastAsia="Times New Roman" w:hAnsi="Calibri" w:cs="Times New Roman"/>
                <w:color w:val="000000"/>
                <w:sz w:val="16"/>
                <w:szCs w:val="16"/>
                <w:lang w:eastAsia="en-GB"/>
              </w:rPr>
              <w:t>9.72 ± 22.31</w:t>
            </w:r>
          </w:p>
        </w:tc>
      </w:tr>
    </w:tbl>
    <w:p w14:paraId="59504C1C" w14:textId="77777777" w:rsidR="00944CB1" w:rsidRDefault="00944CB1" w:rsidP="00944CB1">
      <w:pPr>
        <w:spacing w:line="480" w:lineRule="auto"/>
        <w:rPr>
          <w:sz w:val="22"/>
          <w:szCs w:val="22"/>
          <w:lang w:val="en-US"/>
        </w:rPr>
      </w:pPr>
    </w:p>
    <w:p w14:paraId="1B71EEAF" w14:textId="158267D5" w:rsidR="00944CB1" w:rsidRDefault="00944CB1" w:rsidP="00906374">
      <w:pPr>
        <w:rPr>
          <w:sz w:val="20"/>
          <w:szCs w:val="20"/>
          <w:lang w:val="en-US"/>
        </w:rPr>
        <w:sectPr w:rsidR="00944CB1" w:rsidSect="00270A79">
          <w:pgSz w:w="16838" w:h="11906" w:orient="landscape"/>
          <w:pgMar w:top="720" w:right="720" w:bottom="720" w:left="720" w:header="708" w:footer="708" w:gutter="0"/>
          <w:cols w:space="708"/>
          <w:docGrid w:linePitch="360"/>
        </w:sectPr>
      </w:pPr>
    </w:p>
    <w:p w14:paraId="7CDE6FEF" w14:textId="77777777" w:rsidR="00906374" w:rsidRDefault="00906374" w:rsidP="00906374">
      <w:pPr>
        <w:rPr>
          <w:sz w:val="20"/>
          <w:szCs w:val="20"/>
          <w:lang w:val="en-US"/>
        </w:rPr>
      </w:pPr>
    </w:p>
    <w:p w14:paraId="7C792526" w14:textId="77777777" w:rsidR="00906374" w:rsidRPr="001E65D6" w:rsidRDefault="00906374" w:rsidP="00906374">
      <w:pPr>
        <w:rPr>
          <w:lang w:val="en-US"/>
        </w:rPr>
      </w:pPr>
    </w:p>
    <w:p w14:paraId="4E93106D" w14:textId="77777777" w:rsidR="00906374" w:rsidRPr="000008F6" w:rsidRDefault="00906374" w:rsidP="00906374">
      <w:pPr>
        <w:rPr>
          <w:b/>
          <w:bCs/>
          <w:sz w:val="20"/>
          <w:szCs w:val="20"/>
          <w:lang w:val="en-US"/>
        </w:rPr>
      </w:pPr>
    </w:p>
    <w:p w14:paraId="7AE9F58B" w14:textId="10B600EB" w:rsidR="00906374" w:rsidRPr="009E788F" w:rsidRDefault="00906374" w:rsidP="00906374">
      <w:pPr>
        <w:rPr>
          <w:b/>
          <w:bCs/>
          <w:sz w:val="20"/>
          <w:szCs w:val="20"/>
          <w:lang w:val="en-US"/>
        </w:rPr>
      </w:pPr>
      <w:r w:rsidRPr="009E788F">
        <w:rPr>
          <w:b/>
          <w:bCs/>
          <w:sz w:val="20"/>
          <w:szCs w:val="20"/>
        </w:rPr>
        <w:t xml:space="preserve">Table </w:t>
      </w:r>
      <w:r>
        <w:rPr>
          <w:b/>
          <w:bCs/>
          <w:sz w:val="20"/>
          <w:szCs w:val="20"/>
        </w:rPr>
        <w:t>A</w:t>
      </w:r>
      <w:r w:rsidR="00944CB1">
        <w:rPr>
          <w:b/>
          <w:bCs/>
          <w:sz w:val="20"/>
          <w:szCs w:val="20"/>
        </w:rPr>
        <w:t>3</w:t>
      </w:r>
      <w:r w:rsidRPr="009E788F">
        <w:rPr>
          <w:b/>
          <w:bCs/>
          <w:sz w:val="20"/>
          <w:szCs w:val="20"/>
        </w:rPr>
        <w:t xml:space="preserve">: </w:t>
      </w:r>
      <w:r w:rsidRPr="00044EEE">
        <w:rPr>
          <w:b/>
          <w:bCs/>
          <w:sz w:val="20"/>
          <w:szCs w:val="20"/>
        </w:rPr>
        <w:t>Climate ensemble members and weighting coefficients for forecasted climate datasets.</w:t>
      </w:r>
    </w:p>
    <w:tbl>
      <w:tblPr>
        <w:tblW w:w="6861" w:type="dxa"/>
        <w:tblInd w:w="93" w:type="dxa"/>
        <w:tblLook w:val="04A0" w:firstRow="1" w:lastRow="0" w:firstColumn="1" w:lastColumn="0" w:noHBand="0" w:noVBand="1"/>
      </w:tblPr>
      <w:tblGrid>
        <w:gridCol w:w="2116"/>
        <w:gridCol w:w="1057"/>
        <w:gridCol w:w="156"/>
        <w:gridCol w:w="994"/>
        <w:gridCol w:w="109"/>
        <w:gridCol w:w="1436"/>
        <w:gridCol w:w="993"/>
      </w:tblGrid>
      <w:tr w:rsidR="00906374" w:rsidRPr="00906374" w14:paraId="36C49015" w14:textId="77777777" w:rsidTr="00672286">
        <w:trPr>
          <w:trHeight w:val="304"/>
        </w:trPr>
        <w:tc>
          <w:tcPr>
            <w:tcW w:w="2116" w:type="dxa"/>
            <w:tcBorders>
              <w:top w:val="single" w:sz="4" w:space="0" w:color="auto"/>
              <w:left w:val="nil"/>
              <w:bottom w:val="single" w:sz="4" w:space="0" w:color="auto"/>
              <w:right w:val="nil"/>
            </w:tcBorders>
            <w:shd w:val="clear" w:color="auto" w:fill="auto"/>
            <w:noWrap/>
            <w:vAlign w:val="bottom"/>
            <w:hideMark/>
          </w:tcPr>
          <w:p w14:paraId="7C7DCE6D" w14:textId="77777777" w:rsidR="00906374" w:rsidRPr="00906374" w:rsidRDefault="00906374" w:rsidP="00672286">
            <w:pPr>
              <w:jc w:val="center"/>
              <w:rPr>
                <w:rFonts w:cstheme="minorHAnsi"/>
                <w:b/>
                <w:bCs/>
                <w:color w:val="000000"/>
                <w:sz w:val="22"/>
                <w:szCs w:val="22"/>
              </w:rPr>
            </w:pPr>
          </w:p>
        </w:tc>
        <w:tc>
          <w:tcPr>
            <w:tcW w:w="3752" w:type="dxa"/>
            <w:gridSpan w:val="5"/>
            <w:tcBorders>
              <w:top w:val="single" w:sz="4" w:space="0" w:color="auto"/>
              <w:left w:val="nil"/>
              <w:bottom w:val="single" w:sz="4" w:space="0" w:color="auto"/>
              <w:right w:val="nil"/>
            </w:tcBorders>
            <w:shd w:val="clear" w:color="auto" w:fill="auto"/>
            <w:noWrap/>
            <w:vAlign w:val="bottom"/>
            <w:hideMark/>
          </w:tcPr>
          <w:p w14:paraId="01653266" w14:textId="77777777" w:rsidR="00906374" w:rsidRPr="00906374" w:rsidRDefault="00906374" w:rsidP="00672286">
            <w:pPr>
              <w:jc w:val="center"/>
              <w:rPr>
                <w:rFonts w:cstheme="minorHAnsi"/>
                <w:b/>
                <w:bCs/>
                <w:color w:val="000000"/>
                <w:sz w:val="22"/>
                <w:szCs w:val="22"/>
                <w:highlight w:val="yellow"/>
              </w:rPr>
            </w:pPr>
            <w:r w:rsidRPr="00906374">
              <w:rPr>
                <w:rFonts w:cstheme="minorHAnsi"/>
                <w:b/>
                <w:bCs/>
                <w:color w:val="000000"/>
                <w:sz w:val="22"/>
                <w:szCs w:val="22"/>
              </w:rPr>
              <w:t>Weighting coefficients</w:t>
            </w:r>
          </w:p>
        </w:tc>
        <w:tc>
          <w:tcPr>
            <w:tcW w:w="993" w:type="dxa"/>
            <w:tcBorders>
              <w:top w:val="single" w:sz="4" w:space="0" w:color="auto"/>
              <w:left w:val="nil"/>
              <w:bottom w:val="single" w:sz="4" w:space="0" w:color="auto"/>
              <w:right w:val="nil"/>
            </w:tcBorders>
          </w:tcPr>
          <w:p w14:paraId="224B1DD7" w14:textId="77777777" w:rsidR="00906374" w:rsidRPr="00906374" w:rsidRDefault="00906374" w:rsidP="00672286">
            <w:pPr>
              <w:jc w:val="center"/>
              <w:rPr>
                <w:rFonts w:cstheme="minorHAnsi"/>
                <w:b/>
                <w:bCs/>
                <w:color w:val="000000"/>
                <w:sz w:val="22"/>
                <w:szCs w:val="22"/>
                <w:highlight w:val="yellow"/>
              </w:rPr>
            </w:pPr>
          </w:p>
        </w:tc>
      </w:tr>
      <w:tr w:rsidR="00906374" w:rsidRPr="00906374" w14:paraId="50857D4E" w14:textId="77777777" w:rsidTr="00672286">
        <w:trPr>
          <w:trHeight w:val="304"/>
        </w:trPr>
        <w:tc>
          <w:tcPr>
            <w:tcW w:w="2116" w:type="dxa"/>
            <w:tcBorders>
              <w:top w:val="single" w:sz="4" w:space="0" w:color="auto"/>
              <w:left w:val="nil"/>
              <w:bottom w:val="single" w:sz="4" w:space="0" w:color="auto"/>
              <w:right w:val="nil"/>
            </w:tcBorders>
            <w:shd w:val="clear" w:color="auto" w:fill="auto"/>
            <w:noWrap/>
            <w:vAlign w:val="bottom"/>
            <w:hideMark/>
          </w:tcPr>
          <w:p w14:paraId="2DD845D7" w14:textId="77777777" w:rsidR="00906374" w:rsidRPr="00906374" w:rsidRDefault="00906374" w:rsidP="00672286">
            <w:pPr>
              <w:jc w:val="center"/>
              <w:rPr>
                <w:rFonts w:cstheme="minorHAnsi"/>
                <w:b/>
                <w:bCs/>
                <w:color w:val="000000"/>
                <w:sz w:val="22"/>
                <w:szCs w:val="22"/>
                <w:highlight w:val="yellow"/>
              </w:rPr>
            </w:pPr>
            <w:r w:rsidRPr="00906374">
              <w:rPr>
                <w:rFonts w:cstheme="minorHAnsi"/>
                <w:b/>
                <w:bCs/>
                <w:color w:val="000000"/>
                <w:sz w:val="22"/>
                <w:szCs w:val="22"/>
              </w:rPr>
              <w:t>Climate Model</w:t>
            </w:r>
          </w:p>
        </w:tc>
        <w:tc>
          <w:tcPr>
            <w:tcW w:w="1213" w:type="dxa"/>
            <w:gridSpan w:val="2"/>
            <w:tcBorders>
              <w:top w:val="single" w:sz="4" w:space="0" w:color="auto"/>
              <w:left w:val="nil"/>
              <w:bottom w:val="single" w:sz="4" w:space="0" w:color="auto"/>
              <w:right w:val="nil"/>
            </w:tcBorders>
            <w:shd w:val="clear" w:color="auto" w:fill="auto"/>
            <w:noWrap/>
            <w:vAlign w:val="bottom"/>
            <w:hideMark/>
          </w:tcPr>
          <w:p w14:paraId="5CFC20EC" w14:textId="77777777" w:rsidR="00906374" w:rsidRPr="00906374" w:rsidRDefault="00906374" w:rsidP="00672286">
            <w:pPr>
              <w:jc w:val="center"/>
              <w:rPr>
                <w:rFonts w:cstheme="minorHAnsi"/>
                <w:b/>
                <w:bCs/>
                <w:color w:val="000000"/>
                <w:sz w:val="22"/>
                <w:szCs w:val="22"/>
              </w:rPr>
            </w:pPr>
            <w:proofErr w:type="spellStart"/>
            <w:r w:rsidRPr="00906374">
              <w:rPr>
                <w:rFonts w:cstheme="minorHAnsi"/>
                <w:b/>
                <w:bCs/>
                <w:color w:val="000000"/>
                <w:sz w:val="22"/>
                <w:szCs w:val="22"/>
              </w:rPr>
              <w:t>P</w:t>
            </w:r>
            <w:r w:rsidRPr="00906374">
              <w:rPr>
                <w:rFonts w:cstheme="minorHAnsi"/>
                <w:b/>
                <w:bCs/>
                <w:color w:val="000000"/>
                <w:sz w:val="22"/>
                <w:szCs w:val="22"/>
                <w:vertAlign w:val="subscript"/>
              </w:rPr>
              <w:t>mean</w:t>
            </w:r>
            <w:proofErr w:type="spellEnd"/>
          </w:p>
        </w:tc>
        <w:tc>
          <w:tcPr>
            <w:tcW w:w="1103" w:type="dxa"/>
            <w:gridSpan w:val="2"/>
            <w:tcBorders>
              <w:top w:val="single" w:sz="4" w:space="0" w:color="auto"/>
              <w:left w:val="nil"/>
              <w:bottom w:val="single" w:sz="4" w:space="0" w:color="auto"/>
              <w:right w:val="nil"/>
            </w:tcBorders>
            <w:shd w:val="clear" w:color="auto" w:fill="auto"/>
            <w:noWrap/>
            <w:vAlign w:val="bottom"/>
            <w:hideMark/>
          </w:tcPr>
          <w:p w14:paraId="4F87D314" w14:textId="77777777" w:rsidR="00906374" w:rsidRPr="00906374" w:rsidRDefault="00906374" w:rsidP="00672286">
            <w:pPr>
              <w:jc w:val="center"/>
              <w:rPr>
                <w:rFonts w:cstheme="minorHAnsi"/>
                <w:b/>
                <w:bCs/>
                <w:color w:val="000000"/>
                <w:sz w:val="22"/>
                <w:szCs w:val="22"/>
              </w:rPr>
            </w:pPr>
            <w:proofErr w:type="spellStart"/>
            <w:r w:rsidRPr="00906374">
              <w:rPr>
                <w:rFonts w:cstheme="minorHAnsi"/>
                <w:b/>
                <w:bCs/>
                <w:color w:val="000000"/>
                <w:sz w:val="22"/>
                <w:szCs w:val="22"/>
              </w:rPr>
              <w:t>T</w:t>
            </w:r>
            <w:r w:rsidRPr="00906374">
              <w:rPr>
                <w:rFonts w:cstheme="minorHAnsi"/>
                <w:b/>
                <w:bCs/>
                <w:color w:val="000000"/>
                <w:sz w:val="22"/>
                <w:szCs w:val="22"/>
                <w:vertAlign w:val="subscript"/>
              </w:rPr>
              <w:t>mean</w:t>
            </w:r>
            <w:proofErr w:type="spellEnd"/>
          </w:p>
        </w:tc>
        <w:tc>
          <w:tcPr>
            <w:tcW w:w="1436" w:type="dxa"/>
            <w:tcBorders>
              <w:top w:val="single" w:sz="4" w:space="0" w:color="auto"/>
              <w:left w:val="nil"/>
              <w:bottom w:val="single" w:sz="4" w:space="0" w:color="auto"/>
              <w:right w:val="nil"/>
            </w:tcBorders>
            <w:shd w:val="clear" w:color="auto" w:fill="auto"/>
            <w:noWrap/>
            <w:vAlign w:val="bottom"/>
            <w:hideMark/>
          </w:tcPr>
          <w:p w14:paraId="28B97BD6" w14:textId="77777777" w:rsidR="00906374" w:rsidRPr="00906374" w:rsidRDefault="00906374" w:rsidP="00672286">
            <w:pPr>
              <w:jc w:val="center"/>
              <w:rPr>
                <w:rFonts w:cstheme="minorHAnsi"/>
                <w:b/>
                <w:bCs/>
                <w:color w:val="000000"/>
                <w:sz w:val="22"/>
                <w:szCs w:val="22"/>
              </w:rPr>
            </w:pPr>
            <w:proofErr w:type="spellStart"/>
            <w:r w:rsidRPr="00906374">
              <w:rPr>
                <w:rFonts w:cstheme="minorHAnsi"/>
                <w:b/>
                <w:bCs/>
                <w:color w:val="000000"/>
                <w:sz w:val="22"/>
                <w:szCs w:val="22"/>
              </w:rPr>
              <w:t>T</w:t>
            </w:r>
            <w:r w:rsidRPr="00906374">
              <w:rPr>
                <w:rFonts w:cstheme="minorHAnsi"/>
                <w:b/>
                <w:bCs/>
                <w:color w:val="000000"/>
                <w:sz w:val="22"/>
                <w:szCs w:val="22"/>
                <w:vertAlign w:val="subscript"/>
              </w:rPr>
              <w:t>max</w:t>
            </w:r>
            <w:proofErr w:type="spellEnd"/>
          </w:p>
        </w:tc>
        <w:tc>
          <w:tcPr>
            <w:tcW w:w="993" w:type="dxa"/>
            <w:tcBorders>
              <w:top w:val="single" w:sz="4" w:space="0" w:color="auto"/>
              <w:left w:val="nil"/>
              <w:bottom w:val="single" w:sz="4" w:space="0" w:color="auto"/>
              <w:right w:val="nil"/>
            </w:tcBorders>
          </w:tcPr>
          <w:p w14:paraId="6ED084D9" w14:textId="77777777" w:rsidR="00906374" w:rsidRPr="00906374" w:rsidRDefault="00906374" w:rsidP="00672286">
            <w:pPr>
              <w:jc w:val="center"/>
              <w:rPr>
                <w:rFonts w:cstheme="minorHAnsi"/>
                <w:b/>
                <w:bCs/>
                <w:color w:val="000000"/>
                <w:sz w:val="22"/>
                <w:szCs w:val="22"/>
              </w:rPr>
            </w:pPr>
            <w:proofErr w:type="spellStart"/>
            <w:r w:rsidRPr="00906374">
              <w:rPr>
                <w:rFonts w:cstheme="minorHAnsi"/>
                <w:b/>
                <w:bCs/>
                <w:color w:val="000000"/>
                <w:sz w:val="22"/>
                <w:szCs w:val="22"/>
              </w:rPr>
              <w:t>T</w:t>
            </w:r>
            <w:r w:rsidRPr="00906374">
              <w:rPr>
                <w:rFonts w:cstheme="minorHAnsi"/>
                <w:b/>
                <w:bCs/>
                <w:color w:val="000000"/>
                <w:sz w:val="22"/>
                <w:szCs w:val="22"/>
                <w:vertAlign w:val="subscript"/>
              </w:rPr>
              <w:t>min</w:t>
            </w:r>
            <w:proofErr w:type="spellEnd"/>
          </w:p>
        </w:tc>
      </w:tr>
      <w:tr w:rsidR="00906374" w:rsidRPr="00906374" w14:paraId="707EF2ED" w14:textId="77777777" w:rsidTr="00672286">
        <w:trPr>
          <w:trHeight w:val="304"/>
        </w:trPr>
        <w:tc>
          <w:tcPr>
            <w:tcW w:w="2116" w:type="dxa"/>
            <w:tcBorders>
              <w:top w:val="nil"/>
              <w:left w:val="nil"/>
              <w:bottom w:val="nil"/>
              <w:right w:val="nil"/>
            </w:tcBorders>
            <w:shd w:val="clear" w:color="auto" w:fill="auto"/>
            <w:noWrap/>
            <w:vAlign w:val="bottom"/>
            <w:hideMark/>
          </w:tcPr>
          <w:p w14:paraId="2C24F892"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CanESM5</w:t>
            </w:r>
          </w:p>
        </w:tc>
        <w:tc>
          <w:tcPr>
            <w:tcW w:w="1057" w:type="dxa"/>
            <w:tcBorders>
              <w:top w:val="nil"/>
              <w:left w:val="nil"/>
              <w:bottom w:val="nil"/>
              <w:right w:val="nil"/>
            </w:tcBorders>
            <w:shd w:val="clear" w:color="auto" w:fill="auto"/>
            <w:noWrap/>
            <w:vAlign w:val="bottom"/>
            <w:hideMark/>
          </w:tcPr>
          <w:p w14:paraId="2160CDB6"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0.22</w:t>
            </w:r>
          </w:p>
        </w:tc>
        <w:tc>
          <w:tcPr>
            <w:tcW w:w="1150" w:type="dxa"/>
            <w:gridSpan w:val="2"/>
            <w:tcBorders>
              <w:top w:val="nil"/>
              <w:left w:val="nil"/>
              <w:bottom w:val="nil"/>
              <w:right w:val="nil"/>
            </w:tcBorders>
            <w:shd w:val="clear" w:color="auto" w:fill="auto"/>
            <w:noWrap/>
            <w:vAlign w:val="bottom"/>
            <w:hideMark/>
          </w:tcPr>
          <w:p w14:paraId="19C07C56"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0.84</w:t>
            </w:r>
          </w:p>
        </w:tc>
        <w:tc>
          <w:tcPr>
            <w:tcW w:w="1545" w:type="dxa"/>
            <w:gridSpan w:val="2"/>
            <w:tcBorders>
              <w:top w:val="nil"/>
              <w:left w:val="nil"/>
              <w:bottom w:val="nil"/>
              <w:right w:val="nil"/>
            </w:tcBorders>
            <w:shd w:val="clear" w:color="auto" w:fill="auto"/>
            <w:noWrap/>
            <w:vAlign w:val="bottom"/>
            <w:hideMark/>
          </w:tcPr>
          <w:p w14:paraId="086EB215"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1.56</w:t>
            </w:r>
          </w:p>
        </w:tc>
        <w:tc>
          <w:tcPr>
            <w:tcW w:w="993" w:type="dxa"/>
            <w:tcBorders>
              <w:top w:val="nil"/>
              <w:left w:val="nil"/>
              <w:bottom w:val="nil"/>
              <w:right w:val="nil"/>
            </w:tcBorders>
          </w:tcPr>
          <w:p w14:paraId="19B28402"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0.76</w:t>
            </w:r>
          </w:p>
        </w:tc>
      </w:tr>
      <w:tr w:rsidR="00906374" w:rsidRPr="00906374" w14:paraId="77E73610" w14:textId="77777777" w:rsidTr="00672286">
        <w:trPr>
          <w:trHeight w:val="304"/>
        </w:trPr>
        <w:tc>
          <w:tcPr>
            <w:tcW w:w="2116" w:type="dxa"/>
            <w:tcBorders>
              <w:top w:val="nil"/>
              <w:left w:val="nil"/>
              <w:bottom w:val="nil"/>
              <w:right w:val="nil"/>
            </w:tcBorders>
            <w:shd w:val="clear" w:color="auto" w:fill="auto"/>
            <w:noWrap/>
            <w:vAlign w:val="bottom"/>
            <w:hideMark/>
          </w:tcPr>
          <w:p w14:paraId="513A62C3"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FGOALS-g3</w:t>
            </w:r>
          </w:p>
        </w:tc>
        <w:tc>
          <w:tcPr>
            <w:tcW w:w="1057" w:type="dxa"/>
            <w:tcBorders>
              <w:top w:val="nil"/>
              <w:left w:val="nil"/>
              <w:bottom w:val="nil"/>
              <w:right w:val="nil"/>
            </w:tcBorders>
            <w:shd w:val="clear" w:color="auto" w:fill="auto"/>
            <w:noWrap/>
            <w:vAlign w:val="bottom"/>
            <w:hideMark/>
          </w:tcPr>
          <w:p w14:paraId="47EBA5A3"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&lt;0.01</w:t>
            </w:r>
          </w:p>
        </w:tc>
        <w:tc>
          <w:tcPr>
            <w:tcW w:w="1150" w:type="dxa"/>
            <w:gridSpan w:val="2"/>
            <w:tcBorders>
              <w:top w:val="nil"/>
              <w:left w:val="nil"/>
              <w:bottom w:val="nil"/>
              <w:right w:val="nil"/>
            </w:tcBorders>
            <w:shd w:val="clear" w:color="auto" w:fill="auto"/>
            <w:noWrap/>
            <w:vAlign w:val="bottom"/>
            <w:hideMark/>
          </w:tcPr>
          <w:p w14:paraId="363E2D0A"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1.27</w:t>
            </w:r>
          </w:p>
        </w:tc>
        <w:tc>
          <w:tcPr>
            <w:tcW w:w="1545" w:type="dxa"/>
            <w:gridSpan w:val="2"/>
            <w:tcBorders>
              <w:top w:val="nil"/>
              <w:left w:val="nil"/>
              <w:bottom w:val="nil"/>
              <w:right w:val="nil"/>
            </w:tcBorders>
            <w:shd w:val="clear" w:color="auto" w:fill="auto"/>
            <w:noWrap/>
            <w:vAlign w:val="bottom"/>
            <w:hideMark/>
          </w:tcPr>
          <w:p w14:paraId="0A52B5C6"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0.92</w:t>
            </w:r>
          </w:p>
        </w:tc>
        <w:tc>
          <w:tcPr>
            <w:tcW w:w="993" w:type="dxa"/>
            <w:tcBorders>
              <w:top w:val="nil"/>
              <w:left w:val="nil"/>
              <w:bottom w:val="nil"/>
              <w:right w:val="nil"/>
            </w:tcBorders>
          </w:tcPr>
          <w:p w14:paraId="221417F1"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0.96</w:t>
            </w:r>
          </w:p>
        </w:tc>
      </w:tr>
      <w:tr w:rsidR="00906374" w:rsidRPr="00906374" w14:paraId="18F7E9D5" w14:textId="77777777" w:rsidTr="00672286">
        <w:trPr>
          <w:trHeight w:val="304"/>
        </w:trPr>
        <w:tc>
          <w:tcPr>
            <w:tcW w:w="2116" w:type="dxa"/>
            <w:tcBorders>
              <w:top w:val="nil"/>
              <w:left w:val="nil"/>
              <w:bottom w:val="nil"/>
              <w:right w:val="nil"/>
            </w:tcBorders>
            <w:shd w:val="clear" w:color="auto" w:fill="auto"/>
            <w:noWrap/>
            <w:vAlign w:val="bottom"/>
            <w:hideMark/>
          </w:tcPr>
          <w:p w14:paraId="7C1208E2"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GFDL-ESM4</w:t>
            </w:r>
          </w:p>
        </w:tc>
        <w:tc>
          <w:tcPr>
            <w:tcW w:w="1057" w:type="dxa"/>
            <w:tcBorders>
              <w:top w:val="nil"/>
              <w:left w:val="nil"/>
              <w:bottom w:val="nil"/>
              <w:right w:val="nil"/>
            </w:tcBorders>
            <w:shd w:val="clear" w:color="auto" w:fill="auto"/>
            <w:noWrap/>
            <w:vAlign w:val="bottom"/>
            <w:hideMark/>
          </w:tcPr>
          <w:p w14:paraId="5AEBB6B8"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3.77</w:t>
            </w:r>
          </w:p>
        </w:tc>
        <w:tc>
          <w:tcPr>
            <w:tcW w:w="1150" w:type="dxa"/>
            <w:gridSpan w:val="2"/>
            <w:tcBorders>
              <w:top w:val="nil"/>
              <w:left w:val="nil"/>
              <w:bottom w:val="nil"/>
              <w:right w:val="nil"/>
            </w:tcBorders>
            <w:shd w:val="clear" w:color="auto" w:fill="auto"/>
            <w:noWrap/>
            <w:vAlign w:val="bottom"/>
            <w:hideMark/>
          </w:tcPr>
          <w:p w14:paraId="1FCD8AFC"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0.73</w:t>
            </w:r>
          </w:p>
        </w:tc>
        <w:tc>
          <w:tcPr>
            <w:tcW w:w="1545" w:type="dxa"/>
            <w:gridSpan w:val="2"/>
            <w:tcBorders>
              <w:top w:val="nil"/>
              <w:left w:val="nil"/>
              <w:bottom w:val="nil"/>
              <w:right w:val="nil"/>
            </w:tcBorders>
            <w:shd w:val="clear" w:color="auto" w:fill="auto"/>
            <w:noWrap/>
            <w:vAlign w:val="bottom"/>
            <w:hideMark/>
          </w:tcPr>
          <w:p w14:paraId="2B59ACBB"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0.19</w:t>
            </w:r>
          </w:p>
        </w:tc>
        <w:tc>
          <w:tcPr>
            <w:tcW w:w="993" w:type="dxa"/>
            <w:tcBorders>
              <w:top w:val="nil"/>
              <w:left w:val="nil"/>
              <w:bottom w:val="nil"/>
              <w:right w:val="nil"/>
            </w:tcBorders>
          </w:tcPr>
          <w:p w14:paraId="2A444AD7"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0.15</w:t>
            </w:r>
          </w:p>
        </w:tc>
      </w:tr>
      <w:tr w:rsidR="00906374" w:rsidRPr="00906374" w14:paraId="459FC682" w14:textId="77777777" w:rsidTr="00672286">
        <w:trPr>
          <w:trHeight w:val="304"/>
        </w:trPr>
        <w:tc>
          <w:tcPr>
            <w:tcW w:w="2116" w:type="dxa"/>
            <w:tcBorders>
              <w:top w:val="nil"/>
              <w:left w:val="nil"/>
              <w:bottom w:val="nil"/>
              <w:right w:val="nil"/>
            </w:tcBorders>
            <w:shd w:val="clear" w:color="auto" w:fill="auto"/>
            <w:noWrap/>
            <w:vAlign w:val="bottom"/>
            <w:hideMark/>
          </w:tcPr>
          <w:p w14:paraId="79D24E0B"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IPSL-CM6A-LR</w:t>
            </w:r>
          </w:p>
        </w:tc>
        <w:tc>
          <w:tcPr>
            <w:tcW w:w="1057" w:type="dxa"/>
            <w:tcBorders>
              <w:top w:val="nil"/>
              <w:left w:val="nil"/>
              <w:bottom w:val="nil"/>
              <w:right w:val="nil"/>
            </w:tcBorders>
            <w:shd w:val="clear" w:color="auto" w:fill="auto"/>
            <w:noWrap/>
            <w:vAlign w:val="bottom"/>
            <w:hideMark/>
          </w:tcPr>
          <w:p w14:paraId="1408E8A5"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3.00</w:t>
            </w:r>
          </w:p>
        </w:tc>
        <w:tc>
          <w:tcPr>
            <w:tcW w:w="1150" w:type="dxa"/>
            <w:gridSpan w:val="2"/>
            <w:tcBorders>
              <w:top w:val="nil"/>
              <w:left w:val="nil"/>
              <w:bottom w:val="nil"/>
              <w:right w:val="nil"/>
            </w:tcBorders>
            <w:shd w:val="clear" w:color="auto" w:fill="auto"/>
            <w:noWrap/>
            <w:vAlign w:val="bottom"/>
            <w:hideMark/>
          </w:tcPr>
          <w:p w14:paraId="34D1C41B"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0.87</w:t>
            </w:r>
          </w:p>
        </w:tc>
        <w:tc>
          <w:tcPr>
            <w:tcW w:w="1545" w:type="dxa"/>
            <w:gridSpan w:val="2"/>
            <w:tcBorders>
              <w:top w:val="nil"/>
              <w:left w:val="nil"/>
              <w:bottom w:val="nil"/>
              <w:right w:val="nil"/>
            </w:tcBorders>
            <w:shd w:val="clear" w:color="auto" w:fill="auto"/>
            <w:noWrap/>
            <w:vAlign w:val="bottom"/>
            <w:hideMark/>
          </w:tcPr>
          <w:p w14:paraId="6E5D0231"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0.97</w:t>
            </w:r>
          </w:p>
        </w:tc>
        <w:tc>
          <w:tcPr>
            <w:tcW w:w="993" w:type="dxa"/>
            <w:tcBorders>
              <w:top w:val="nil"/>
              <w:left w:val="nil"/>
              <w:bottom w:val="nil"/>
              <w:right w:val="nil"/>
            </w:tcBorders>
          </w:tcPr>
          <w:p w14:paraId="012A0F76"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0.98</w:t>
            </w:r>
          </w:p>
        </w:tc>
      </w:tr>
      <w:tr w:rsidR="00906374" w:rsidRPr="00906374" w14:paraId="10983675" w14:textId="77777777" w:rsidTr="00672286">
        <w:trPr>
          <w:trHeight w:val="304"/>
        </w:trPr>
        <w:tc>
          <w:tcPr>
            <w:tcW w:w="2116" w:type="dxa"/>
            <w:tcBorders>
              <w:top w:val="nil"/>
              <w:left w:val="nil"/>
              <w:bottom w:val="nil"/>
              <w:right w:val="nil"/>
            </w:tcBorders>
            <w:shd w:val="clear" w:color="auto" w:fill="auto"/>
            <w:noWrap/>
            <w:vAlign w:val="bottom"/>
            <w:hideMark/>
          </w:tcPr>
          <w:p w14:paraId="1D8F3C40"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MIROC6</w:t>
            </w:r>
          </w:p>
        </w:tc>
        <w:tc>
          <w:tcPr>
            <w:tcW w:w="1057" w:type="dxa"/>
            <w:tcBorders>
              <w:top w:val="nil"/>
              <w:left w:val="nil"/>
              <w:bottom w:val="nil"/>
              <w:right w:val="nil"/>
            </w:tcBorders>
            <w:shd w:val="clear" w:color="auto" w:fill="auto"/>
            <w:noWrap/>
            <w:vAlign w:val="bottom"/>
            <w:hideMark/>
          </w:tcPr>
          <w:p w14:paraId="1B072C15"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&lt;0.01</w:t>
            </w:r>
          </w:p>
        </w:tc>
        <w:tc>
          <w:tcPr>
            <w:tcW w:w="1150" w:type="dxa"/>
            <w:gridSpan w:val="2"/>
            <w:tcBorders>
              <w:top w:val="nil"/>
              <w:left w:val="nil"/>
              <w:bottom w:val="nil"/>
              <w:right w:val="nil"/>
            </w:tcBorders>
            <w:shd w:val="clear" w:color="auto" w:fill="auto"/>
            <w:noWrap/>
            <w:vAlign w:val="bottom"/>
            <w:hideMark/>
          </w:tcPr>
          <w:p w14:paraId="7D32EA62"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1.45</w:t>
            </w:r>
          </w:p>
        </w:tc>
        <w:tc>
          <w:tcPr>
            <w:tcW w:w="1545" w:type="dxa"/>
            <w:gridSpan w:val="2"/>
            <w:tcBorders>
              <w:top w:val="nil"/>
              <w:left w:val="nil"/>
              <w:bottom w:val="nil"/>
              <w:right w:val="nil"/>
            </w:tcBorders>
            <w:shd w:val="clear" w:color="auto" w:fill="auto"/>
            <w:noWrap/>
            <w:vAlign w:val="bottom"/>
            <w:hideMark/>
          </w:tcPr>
          <w:p w14:paraId="255699C1"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1.09</w:t>
            </w:r>
          </w:p>
        </w:tc>
        <w:tc>
          <w:tcPr>
            <w:tcW w:w="993" w:type="dxa"/>
            <w:tcBorders>
              <w:top w:val="nil"/>
              <w:left w:val="nil"/>
              <w:bottom w:val="nil"/>
              <w:right w:val="nil"/>
            </w:tcBorders>
          </w:tcPr>
          <w:p w14:paraId="0655472D"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1.60</w:t>
            </w:r>
          </w:p>
        </w:tc>
      </w:tr>
      <w:tr w:rsidR="00906374" w:rsidRPr="00906374" w14:paraId="5BD79BB9" w14:textId="77777777" w:rsidTr="00672286">
        <w:trPr>
          <w:trHeight w:val="304"/>
        </w:trPr>
        <w:tc>
          <w:tcPr>
            <w:tcW w:w="2116" w:type="dxa"/>
            <w:tcBorders>
              <w:top w:val="nil"/>
              <w:left w:val="nil"/>
              <w:bottom w:val="nil"/>
              <w:right w:val="nil"/>
            </w:tcBorders>
            <w:shd w:val="clear" w:color="auto" w:fill="auto"/>
            <w:noWrap/>
            <w:vAlign w:val="bottom"/>
            <w:hideMark/>
          </w:tcPr>
          <w:p w14:paraId="3A6DE751"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MPI-ESM-1-2-HR</w:t>
            </w:r>
          </w:p>
        </w:tc>
        <w:tc>
          <w:tcPr>
            <w:tcW w:w="1057" w:type="dxa"/>
            <w:tcBorders>
              <w:top w:val="nil"/>
              <w:left w:val="nil"/>
              <w:bottom w:val="nil"/>
              <w:right w:val="nil"/>
            </w:tcBorders>
            <w:shd w:val="clear" w:color="auto" w:fill="auto"/>
            <w:noWrap/>
            <w:vAlign w:val="bottom"/>
            <w:hideMark/>
          </w:tcPr>
          <w:p w14:paraId="254FECD6"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&lt;0.01</w:t>
            </w:r>
          </w:p>
        </w:tc>
        <w:tc>
          <w:tcPr>
            <w:tcW w:w="1150" w:type="dxa"/>
            <w:gridSpan w:val="2"/>
            <w:tcBorders>
              <w:top w:val="nil"/>
              <w:left w:val="nil"/>
              <w:bottom w:val="nil"/>
              <w:right w:val="nil"/>
            </w:tcBorders>
            <w:shd w:val="clear" w:color="auto" w:fill="auto"/>
            <w:noWrap/>
            <w:vAlign w:val="bottom"/>
            <w:hideMark/>
          </w:tcPr>
          <w:p w14:paraId="063DA27D"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0.69</w:t>
            </w:r>
          </w:p>
        </w:tc>
        <w:tc>
          <w:tcPr>
            <w:tcW w:w="1545" w:type="dxa"/>
            <w:gridSpan w:val="2"/>
            <w:tcBorders>
              <w:top w:val="nil"/>
              <w:left w:val="nil"/>
              <w:bottom w:val="nil"/>
              <w:right w:val="nil"/>
            </w:tcBorders>
            <w:shd w:val="clear" w:color="auto" w:fill="auto"/>
            <w:noWrap/>
            <w:vAlign w:val="bottom"/>
            <w:hideMark/>
          </w:tcPr>
          <w:p w14:paraId="058F5999"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1.28</w:t>
            </w:r>
          </w:p>
        </w:tc>
        <w:tc>
          <w:tcPr>
            <w:tcW w:w="993" w:type="dxa"/>
            <w:tcBorders>
              <w:top w:val="nil"/>
              <w:left w:val="nil"/>
              <w:bottom w:val="nil"/>
              <w:right w:val="nil"/>
            </w:tcBorders>
          </w:tcPr>
          <w:p w14:paraId="676D014C"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1.49</w:t>
            </w:r>
          </w:p>
        </w:tc>
      </w:tr>
      <w:tr w:rsidR="00906374" w:rsidRPr="00906374" w14:paraId="54603A45" w14:textId="77777777" w:rsidTr="00672286">
        <w:trPr>
          <w:trHeight w:val="304"/>
        </w:trPr>
        <w:tc>
          <w:tcPr>
            <w:tcW w:w="2116" w:type="dxa"/>
            <w:tcBorders>
              <w:top w:val="nil"/>
              <w:left w:val="nil"/>
              <w:bottom w:val="single" w:sz="4" w:space="0" w:color="auto"/>
              <w:right w:val="nil"/>
            </w:tcBorders>
            <w:shd w:val="clear" w:color="auto" w:fill="auto"/>
            <w:noWrap/>
            <w:vAlign w:val="bottom"/>
            <w:hideMark/>
          </w:tcPr>
          <w:p w14:paraId="797DDD3F"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MRI-ESM2-0</w:t>
            </w:r>
          </w:p>
        </w:tc>
        <w:tc>
          <w:tcPr>
            <w:tcW w:w="1057" w:type="dxa"/>
            <w:tcBorders>
              <w:top w:val="nil"/>
              <w:left w:val="nil"/>
              <w:bottom w:val="single" w:sz="4" w:space="0" w:color="auto"/>
              <w:right w:val="nil"/>
            </w:tcBorders>
            <w:shd w:val="clear" w:color="auto" w:fill="auto"/>
            <w:noWrap/>
            <w:vAlign w:val="bottom"/>
            <w:hideMark/>
          </w:tcPr>
          <w:p w14:paraId="6C9DC04E"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0.01</w:t>
            </w:r>
          </w:p>
        </w:tc>
        <w:tc>
          <w:tcPr>
            <w:tcW w:w="1150" w:type="dxa"/>
            <w:gridSpan w:val="2"/>
            <w:tcBorders>
              <w:top w:val="nil"/>
              <w:left w:val="nil"/>
              <w:bottom w:val="single" w:sz="4" w:space="0" w:color="auto"/>
              <w:right w:val="nil"/>
            </w:tcBorders>
            <w:shd w:val="clear" w:color="auto" w:fill="auto"/>
            <w:noWrap/>
            <w:vAlign w:val="bottom"/>
            <w:hideMark/>
          </w:tcPr>
          <w:p w14:paraId="7AE76B71"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1.15</w:t>
            </w:r>
          </w:p>
        </w:tc>
        <w:tc>
          <w:tcPr>
            <w:tcW w:w="1545" w:type="dxa"/>
            <w:gridSpan w:val="2"/>
            <w:tcBorders>
              <w:top w:val="nil"/>
              <w:left w:val="nil"/>
              <w:bottom w:val="single" w:sz="4" w:space="0" w:color="auto"/>
              <w:right w:val="nil"/>
            </w:tcBorders>
            <w:shd w:val="clear" w:color="auto" w:fill="auto"/>
            <w:noWrap/>
            <w:vAlign w:val="bottom"/>
            <w:hideMark/>
          </w:tcPr>
          <w:p w14:paraId="1B11B8AD"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1.00</w:t>
            </w:r>
          </w:p>
        </w:tc>
        <w:tc>
          <w:tcPr>
            <w:tcW w:w="993" w:type="dxa"/>
            <w:tcBorders>
              <w:top w:val="nil"/>
              <w:left w:val="nil"/>
              <w:bottom w:val="single" w:sz="4" w:space="0" w:color="auto"/>
              <w:right w:val="nil"/>
            </w:tcBorders>
          </w:tcPr>
          <w:p w14:paraId="11E68A9C" w14:textId="77777777" w:rsidR="00906374" w:rsidRPr="00906374" w:rsidRDefault="00906374" w:rsidP="00672286">
            <w:pPr>
              <w:jc w:val="center"/>
              <w:rPr>
                <w:rFonts w:cstheme="minorHAnsi"/>
                <w:color w:val="000000"/>
                <w:sz w:val="22"/>
                <w:szCs w:val="22"/>
              </w:rPr>
            </w:pPr>
            <w:r w:rsidRPr="00906374">
              <w:rPr>
                <w:rFonts w:cstheme="minorHAnsi"/>
                <w:color w:val="000000"/>
                <w:sz w:val="22"/>
                <w:szCs w:val="22"/>
              </w:rPr>
              <w:t>1.05</w:t>
            </w:r>
          </w:p>
        </w:tc>
      </w:tr>
    </w:tbl>
    <w:p w14:paraId="0AA83A5E" w14:textId="77777777" w:rsidR="00906374" w:rsidRDefault="00906374" w:rsidP="00906374"/>
    <w:p w14:paraId="72D3DEB2" w14:textId="77777777" w:rsidR="00906374" w:rsidRDefault="00906374" w:rsidP="00906374"/>
    <w:p w14:paraId="4513357F" w14:textId="314DE035" w:rsidR="00906374" w:rsidRPr="006547D5" w:rsidRDefault="00906374" w:rsidP="00906374">
      <w:pPr>
        <w:rPr>
          <w:b/>
          <w:bCs/>
          <w:sz w:val="20"/>
          <w:szCs w:val="20"/>
        </w:rPr>
      </w:pPr>
      <w:r w:rsidRPr="006547D5">
        <w:rPr>
          <w:b/>
          <w:bCs/>
          <w:sz w:val="20"/>
          <w:szCs w:val="20"/>
        </w:rPr>
        <w:t>Table A</w:t>
      </w:r>
      <w:r w:rsidR="00944CB1">
        <w:rPr>
          <w:b/>
          <w:bCs/>
          <w:sz w:val="20"/>
          <w:szCs w:val="20"/>
        </w:rPr>
        <w:t>4</w:t>
      </w:r>
      <w:r w:rsidRPr="006547D5">
        <w:rPr>
          <w:b/>
          <w:bCs/>
          <w:sz w:val="20"/>
          <w:szCs w:val="20"/>
        </w:rPr>
        <w:t xml:space="preserve">: </w:t>
      </w:r>
      <w:r w:rsidRPr="00FC6333">
        <w:rPr>
          <w:b/>
          <w:bCs/>
          <w:sz w:val="20"/>
          <w:szCs w:val="20"/>
        </w:rPr>
        <w:t>Mean ± 2 standard errors emissions (</w:t>
      </w:r>
      <w:proofErr w:type="spellStart"/>
      <w:r w:rsidRPr="00FC6333">
        <w:rPr>
          <w:b/>
          <w:bCs/>
          <w:sz w:val="20"/>
          <w:szCs w:val="20"/>
        </w:rPr>
        <w:t>Tg</w:t>
      </w:r>
      <w:proofErr w:type="spellEnd"/>
      <w:r w:rsidRPr="00FC6333">
        <w:rPr>
          <w:b/>
          <w:bCs/>
          <w:sz w:val="20"/>
          <w:szCs w:val="20"/>
        </w:rPr>
        <w:t xml:space="preserve"> CO2e yr-1) for top 30 individual countries from mangrove deforestation with their % contribution and % cumulative contribution to the global total from 2010 to 2095.</w:t>
      </w:r>
    </w:p>
    <w:tbl>
      <w:tblPr>
        <w:tblW w:w="9961" w:type="dxa"/>
        <w:tblLook w:val="04A0" w:firstRow="1" w:lastRow="0" w:firstColumn="1" w:lastColumn="0" w:noHBand="0" w:noVBand="1"/>
      </w:tblPr>
      <w:tblGrid>
        <w:gridCol w:w="2139"/>
        <w:gridCol w:w="2894"/>
        <w:gridCol w:w="1636"/>
        <w:gridCol w:w="3292"/>
      </w:tblGrid>
      <w:tr w:rsidR="00906374" w:rsidRPr="00906374" w14:paraId="5C091892" w14:textId="77777777" w:rsidTr="00672286">
        <w:trPr>
          <w:trHeight w:val="352"/>
        </w:trPr>
        <w:tc>
          <w:tcPr>
            <w:tcW w:w="2139" w:type="dxa"/>
            <w:tcBorders>
              <w:top w:val="single" w:sz="4" w:space="0" w:color="auto"/>
              <w:left w:val="nil"/>
              <w:bottom w:val="single" w:sz="4" w:space="0" w:color="auto"/>
              <w:right w:val="nil"/>
            </w:tcBorders>
            <w:shd w:val="clear" w:color="auto" w:fill="auto"/>
            <w:noWrap/>
            <w:vAlign w:val="bottom"/>
            <w:hideMark/>
          </w:tcPr>
          <w:p w14:paraId="0CF81318" w14:textId="77777777" w:rsidR="00906374" w:rsidRPr="00906374" w:rsidRDefault="00906374" w:rsidP="00672286">
            <w:pPr>
              <w:widowControl w:val="0"/>
              <w:autoSpaceDE w:val="0"/>
              <w:autoSpaceDN w:val="0"/>
              <w:adjustRightInd w:val="0"/>
              <w:contextualSpacing/>
              <w:jc w:val="center"/>
              <w:rPr>
                <w:rFonts w:cstheme="minorHAnsi"/>
                <w:b/>
                <w:bCs/>
                <w:color w:val="000000"/>
                <w:sz w:val="22"/>
                <w:szCs w:val="22"/>
              </w:rPr>
            </w:pPr>
            <w:r w:rsidRPr="00906374">
              <w:rPr>
                <w:rFonts w:cstheme="minorHAnsi"/>
                <w:b/>
                <w:bCs/>
                <w:color w:val="000000"/>
                <w:sz w:val="22"/>
                <w:szCs w:val="22"/>
              </w:rPr>
              <w:t>Country</w:t>
            </w:r>
          </w:p>
        </w:tc>
        <w:tc>
          <w:tcPr>
            <w:tcW w:w="2894" w:type="dxa"/>
            <w:tcBorders>
              <w:top w:val="single" w:sz="4" w:space="0" w:color="auto"/>
              <w:left w:val="nil"/>
              <w:bottom w:val="single" w:sz="4" w:space="0" w:color="auto"/>
              <w:right w:val="nil"/>
            </w:tcBorders>
            <w:shd w:val="clear" w:color="auto" w:fill="auto"/>
            <w:noWrap/>
            <w:vAlign w:val="bottom"/>
            <w:hideMark/>
          </w:tcPr>
          <w:p w14:paraId="24013DE9" w14:textId="77777777" w:rsidR="00906374" w:rsidRPr="00906374" w:rsidRDefault="00906374" w:rsidP="00672286">
            <w:pPr>
              <w:widowControl w:val="0"/>
              <w:autoSpaceDE w:val="0"/>
              <w:autoSpaceDN w:val="0"/>
              <w:adjustRightInd w:val="0"/>
              <w:contextualSpacing/>
              <w:jc w:val="center"/>
              <w:rPr>
                <w:rFonts w:cstheme="minorHAnsi"/>
                <w:b/>
                <w:bCs/>
                <w:color w:val="000000"/>
                <w:sz w:val="22"/>
                <w:szCs w:val="22"/>
              </w:rPr>
            </w:pPr>
            <w:r w:rsidRPr="00906374">
              <w:rPr>
                <w:rFonts w:cstheme="minorHAnsi"/>
                <w:b/>
                <w:bCs/>
                <w:color w:val="000000"/>
                <w:sz w:val="22"/>
                <w:szCs w:val="22"/>
              </w:rPr>
              <w:t xml:space="preserve">Emissions </w:t>
            </w:r>
            <w:proofErr w:type="spellStart"/>
            <w:r w:rsidRPr="00906374">
              <w:rPr>
                <w:rFonts w:cstheme="minorHAnsi"/>
                <w:b/>
                <w:bCs/>
                <w:color w:val="000000"/>
                <w:sz w:val="22"/>
                <w:szCs w:val="22"/>
              </w:rPr>
              <w:t>Tg</w:t>
            </w:r>
            <w:proofErr w:type="spellEnd"/>
            <w:r w:rsidRPr="00906374">
              <w:rPr>
                <w:rFonts w:cstheme="minorHAnsi"/>
                <w:b/>
                <w:bCs/>
                <w:color w:val="000000"/>
                <w:sz w:val="22"/>
                <w:szCs w:val="22"/>
              </w:rPr>
              <w:t xml:space="preserve"> CO</w:t>
            </w:r>
            <w:r w:rsidRPr="00906374">
              <w:rPr>
                <w:rFonts w:cstheme="minorHAnsi"/>
                <w:b/>
                <w:bCs/>
                <w:color w:val="000000"/>
                <w:sz w:val="22"/>
                <w:szCs w:val="22"/>
                <w:vertAlign w:val="subscript"/>
              </w:rPr>
              <w:t>2</w:t>
            </w:r>
            <w:r w:rsidRPr="00906374">
              <w:rPr>
                <w:rFonts w:cstheme="minorHAnsi"/>
                <w:b/>
                <w:bCs/>
                <w:color w:val="000000"/>
                <w:sz w:val="22"/>
                <w:szCs w:val="22"/>
              </w:rPr>
              <w:t>e yr</w:t>
            </w:r>
            <w:r w:rsidRPr="00906374">
              <w:rPr>
                <w:rFonts w:cstheme="minorHAnsi"/>
                <w:b/>
                <w:bCs/>
                <w:color w:val="000000"/>
                <w:sz w:val="22"/>
                <w:szCs w:val="22"/>
                <w:vertAlign w:val="superscript"/>
              </w:rPr>
              <w:t>-1</w:t>
            </w:r>
          </w:p>
        </w:tc>
        <w:tc>
          <w:tcPr>
            <w:tcW w:w="1636" w:type="dxa"/>
            <w:tcBorders>
              <w:top w:val="single" w:sz="4" w:space="0" w:color="auto"/>
              <w:left w:val="nil"/>
              <w:bottom w:val="single" w:sz="4" w:space="0" w:color="auto"/>
              <w:right w:val="nil"/>
            </w:tcBorders>
            <w:shd w:val="clear" w:color="auto" w:fill="auto"/>
            <w:noWrap/>
            <w:vAlign w:val="bottom"/>
            <w:hideMark/>
          </w:tcPr>
          <w:p w14:paraId="5EB0E457" w14:textId="77777777" w:rsidR="00906374" w:rsidRPr="00906374" w:rsidRDefault="00906374" w:rsidP="00672286">
            <w:pPr>
              <w:widowControl w:val="0"/>
              <w:autoSpaceDE w:val="0"/>
              <w:autoSpaceDN w:val="0"/>
              <w:adjustRightInd w:val="0"/>
              <w:contextualSpacing/>
              <w:jc w:val="center"/>
              <w:rPr>
                <w:rFonts w:cstheme="minorHAnsi"/>
                <w:b/>
                <w:bCs/>
                <w:color w:val="000000"/>
                <w:sz w:val="22"/>
                <w:szCs w:val="22"/>
              </w:rPr>
            </w:pPr>
            <w:r w:rsidRPr="00906374">
              <w:rPr>
                <w:rFonts w:cstheme="minorHAnsi"/>
                <w:b/>
                <w:bCs/>
                <w:color w:val="000000"/>
                <w:sz w:val="22"/>
                <w:szCs w:val="22"/>
              </w:rPr>
              <w:t xml:space="preserve">% </w:t>
            </w:r>
            <w:proofErr w:type="gramStart"/>
            <w:r w:rsidRPr="00906374">
              <w:rPr>
                <w:rFonts w:cstheme="minorHAnsi"/>
                <w:b/>
                <w:bCs/>
                <w:color w:val="000000"/>
                <w:sz w:val="22"/>
                <w:szCs w:val="22"/>
              </w:rPr>
              <w:t>of</w:t>
            </w:r>
            <w:proofErr w:type="gramEnd"/>
            <w:r w:rsidRPr="00906374">
              <w:rPr>
                <w:rFonts w:cstheme="minorHAnsi"/>
                <w:b/>
                <w:bCs/>
                <w:color w:val="000000"/>
                <w:sz w:val="22"/>
                <w:szCs w:val="22"/>
              </w:rPr>
              <w:t xml:space="preserve"> total</w:t>
            </w:r>
          </w:p>
        </w:tc>
        <w:tc>
          <w:tcPr>
            <w:tcW w:w="3292" w:type="dxa"/>
            <w:tcBorders>
              <w:top w:val="single" w:sz="4" w:space="0" w:color="auto"/>
              <w:left w:val="nil"/>
              <w:bottom w:val="single" w:sz="4" w:space="0" w:color="auto"/>
              <w:right w:val="nil"/>
            </w:tcBorders>
            <w:shd w:val="clear" w:color="auto" w:fill="auto"/>
            <w:noWrap/>
            <w:vAlign w:val="bottom"/>
            <w:hideMark/>
          </w:tcPr>
          <w:p w14:paraId="4334CF7F" w14:textId="77777777" w:rsidR="00906374" w:rsidRPr="00906374" w:rsidRDefault="00906374" w:rsidP="00672286">
            <w:pPr>
              <w:widowControl w:val="0"/>
              <w:autoSpaceDE w:val="0"/>
              <w:autoSpaceDN w:val="0"/>
              <w:adjustRightInd w:val="0"/>
              <w:contextualSpacing/>
              <w:jc w:val="center"/>
              <w:rPr>
                <w:rFonts w:cstheme="minorHAnsi"/>
                <w:b/>
                <w:bCs/>
                <w:color w:val="000000"/>
                <w:sz w:val="22"/>
                <w:szCs w:val="22"/>
              </w:rPr>
            </w:pPr>
            <w:r w:rsidRPr="00906374">
              <w:rPr>
                <w:rFonts w:cstheme="minorHAnsi"/>
                <w:b/>
                <w:bCs/>
                <w:color w:val="000000"/>
                <w:sz w:val="22"/>
                <w:szCs w:val="22"/>
              </w:rPr>
              <w:t>Cumulative %</w:t>
            </w:r>
          </w:p>
        </w:tc>
      </w:tr>
      <w:tr w:rsidR="00906374" w:rsidRPr="00906374" w14:paraId="0C449AF7" w14:textId="77777777" w:rsidTr="00672286">
        <w:trPr>
          <w:trHeight w:val="352"/>
        </w:trPr>
        <w:tc>
          <w:tcPr>
            <w:tcW w:w="2139" w:type="dxa"/>
            <w:tcBorders>
              <w:top w:val="single" w:sz="4" w:space="0" w:color="auto"/>
              <w:left w:val="nil"/>
              <w:right w:val="nil"/>
            </w:tcBorders>
            <w:shd w:val="clear" w:color="auto" w:fill="auto"/>
            <w:noWrap/>
            <w:vAlign w:val="bottom"/>
            <w:hideMark/>
          </w:tcPr>
          <w:p w14:paraId="64008648"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Indonesia</w:t>
            </w:r>
          </w:p>
        </w:tc>
        <w:tc>
          <w:tcPr>
            <w:tcW w:w="2894" w:type="dxa"/>
            <w:tcBorders>
              <w:top w:val="single" w:sz="4" w:space="0" w:color="auto"/>
              <w:left w:val="nil"/>
              <w:right w:val="nil"/>
            </w:tcBorders>
            <w:shd w:val="clear" w:color="auto" w:fill="auto"/>
            <w:noWrap/>
            <w:vAlign w:val="bottom"/>
            <w:hideMark/>
          </w:tcPr>
          <w:p w14:paraId="032C71EB"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2.57 ± 0.49</w:t>
            </w:r>
          </w:p>
        </w:tc>
        <w:tc>
          <w:tcPr>
            <w:tcW w:w="1636" w:type="dxa"/>
            <w:tcBorders>
              <w:top w:val="single" w:sz="4" w:space="0" w:color="auto"/>
              <w:left w:val="nil"/>
              <w:right w:val="nil"/>
            </w:tcBorders>
            <w:shd w:val="clear" w:color="auto" w:fill="auto"/>
            <w:noWrap/>
            <w:vAlign w:val="bottom"/>
            <w:hideMark/>
          </w:tcPr>
          <w:p w14:paraId="5B1AFE37"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32.58 ± 1.37</w:t>
            </w:r>
          </w:p>
        </w:tc>
        <w:tc>
          <w:tcPr>
            <w:tcW w:w="3292" w:type="dxa"/>
            <w:tcBorders>
              <w:top w:val="single" w:sz="4" w:space="0" w:color="auto"/>
              <w:left w:val="nil"/>
              <w:right w:val="nil"/>
            </w:tcBorders>
            <w:shd w:val="clear" w:color="auto" w:fill="auto"/>
            <w:noWrap/>
            <w:vAlign w:val="bottom"/>
            <w:hideMark/>
          </w:tcPr>
          <w:p w14:paraId="35976684"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32.58 ± 1.37</w:t>
            </w:r>
          </w:p>
        </w:tc>
      </w:tr>
      <w:tr w:rsidR="00906374" w:rsidRPr="00906374" w14:paraId="11F91FF3" w14:textId="77777777" w:rsidTr="00672286">
        <w:trPr>
          <w:trHeight w:val="352"/>
        </w:trPr>
        <w:tc>
          <w:tcPr>
            <w:tcW w:w="2139" w:type="dxa"/>
            <w:tcBorders>
              <w:left w:val="nil"/>
              <w:right w:val="nil"/>
            </w:tcBorders>
            <w:shd w:val="clear" w:color="auto" w:fill="auto"/>
            <w:noWrap/>
            <w:vAlign w:val="bottom"/>
            <w:hideMark/>
          </w:tcPr>
          <w:p w14:paraId="3EF9B45F"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Brazil</w:t>
            </w:r>
          </w:p>
        </w:tc>
        <w:tc>
          <w:tcPr>
            <w:tcW w:w="2894" w:type="dxa"/>
            <w:tcBorders>
              <w:left w:val="nil"/>
              <w:right w:val="nil"/>
            </w:tcBorders>
            <w:shd w:val="clear" w:color="auto" w:fill="auto"/>
            <w:noWrap/>
            <w:vAlign w:val="bottom"/>
            <w:hideMark/>
          </w:tcPr>
          <w:p w14:paraId="0C8974A9"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0.79 ± 0.19</w:t>
            </w:r>
          </w:p>
        </w:tc>
        <w:tc>
          <w:tcPr>
            <w:tcW w:w="1636" w:type="dxa"/>
            <w:tcBorders>
              <w:left w:val="nil"/>
              <w:right w:val="nil"/>
            </w:tcBorders>
            <w:shd w:val="clear" w:color="auto" w:fill="auto"/>
            <w:noWrap/>
            <w:vAlign w:val="bottom"/>
            <w:hideMark/>
          </w:tcPr>
          <w:p w14:paraId="104D2A33"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9.54 ± 0.14</w:t>
            </w:r>
          </w:p>
        </w:tc>
        <w:tc>
          <w:tcPr>
            <w:tcW w:w="3292" w:type="dxa"/>
            <w:tcBorders>
              <w:left w:val="nil"/>
              <w:right w:val="nil"/>
            </w:tcBorders>
            <w:shd w:val="clear" w:color="auto" w:fill="auto"/>
            <w:noWrap/>
            <w:vAlign w:val="bottom"/>
            <w:hideMark/>
          </w:tcPr>
          <w:p w14:paraId="7B589FD8"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42.12 ± 1.51</w:t>
            </w:r>
          </w:p>
        </w:tc>
      </w:tr>
      <w:tr w:rsidR="00906374" w:rsidRPr="00906374" w14:paraId="03754E44" w14:textId="77777777" w:rsidTr="00672286">
        <w:trPr>
          <w:trHeight w:val="352"/>
        </w:trPr>
        <w:tc>
          <w:tcPr>
            <w:tcW w:w="2139" w:type="dxa"/>
            <w:tcBorders>
              <w:left w:val="nil"/>
              <w:right w:val="nil"/>
            </w:tcBorders>
            <w:shd w:val="clear" w:color="auto" w:fill="auto"/>
            <w:noWrap/>
            <w:vAlign w:val="bottom"/>
            <w:hideMark/>
          </w:tcPr>
          <w:p w14:paraId="1D4B7822"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Papua New Guinea</w:t>
            </w:r>
          </w:p>
        </w:tc>
        <w:tc>
          <w:tcPr>
            <w:tcW w:w="2894" w:type="dxa"/>
            <w:tcBorders>
              <w:left w:val="nil"/>
              <w:right w:val="nil"/>
            </w:tcBorders>
            <w:shd w:val="clear" w:color="auto" w:fill="auto"/>
            <w:noWrap/>
            <w:vAlign w:val="bottom"/>
            <w:hideMark/>
          </w:tcPr>
          <w:p w14:paraId="734C756F"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0.51 ± 0.10</w:t>
            </w:r>
          </w:p>
        </w:tc>
        <w:tc>
          <w:tcPr>
            <w:tcW w:w="1636" w:type="dxa"/>
            <w:tcBorders>
              <w:left w:val="nil"/>
              <w:right w:val="nil"/>
            </w:tcBorders>
            <w:shd w:val="clear" w:color="auto" w:fill="auto"/>
            <w:noWrap/>
            <w:vAlign w:val="bottom"/>
            <w:hideMark/>
          </w:tcPr>
          <w:p w14:paraId="57420F4B"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6.42 ± 0.21</w:t>
            </w:r>
          </w:p>
        </w:tc>
        <w:tc>
          <w:tcPr>
            <w:tcW w:w="3292" w:type="dxa"/>
            <w:tcBorders>
              <w:left w:val="nil"/>
              <w:right w:val="nil"/>
            </w:tcBorders>
            <w:shd w:val="clear" w:color="auto" w:fill="auto"/>
            <w:noWrap/>
            <w:vAlign w:val="bottom"/>
            <w:hideMark/>
          </w:tcPr>
          <w:p w14:paraId="1C51A6B6"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48.54 ± 1.72</w:t>
            </w:r>
          </w:p>
        </w:tc>
      </w:tr>
      <w:tr w:rsidR="00906374" w:rsidRPr="00906374" w14:paraId="1E601F66" w14:textId="77777777" w:rsidTr="00672286">
        <w:trPr>
          <w:trHeight w:val="352"/>
        </w:trPr>
        <w:tc>
          <w:tcPr>
            <w:tcW w:w="2139" w:type="dxa"/>
            <w:tcBorders>
              <w:left w:val="nil"/>
              <w:right w:val="nil"/>
            </w:tcBorders>
            <w:shd w:val="clear" w:color="auto" w:fill="auto"/>
            <w:noWrap/>
            <w:vAlign w:val="bottom"/>
            <w:hideMark/>
          </w:tcPr>
          <w:p w14:paraId="46483861"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Malaysia</w:t>
            </w:r>
          </w:p>
        </w:tc>
        <w:tc>
          <w:tcPr>
            <w:tcW w:w="2894" w:type="dxa"/>
            <w:tcBorders>
              <w:left w:val="nil"/>
              <w:right w:val="nil"/>
            </w:tcBorders>
            <w:shd w:val="clear" w:color="auto" w:fill="auto"/>
            <w:noWrap/>
            <w:vAlign w:val="bottom"/>
            <w:hideMark/>
          </w:tcPr>
          <w:p w14:paraId="5BA7CB7C"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0.48 ± 0.09</w:t>
            </w:r>
          </w:p>
        </w:tc>
        <w:tc>
          <w:tcPr>
            <w:tcW w:w="1636" w:type="dxa"/>
            <w:tcBorders>
              <w:left w:val="nil"/>
              <w:right w:val="nil"/>
            </w:tcBorders>
            <w:shd w:val="clear" w:color="auto" w:fill="auto"/>
            <w:noWrap/>
            <w:vAlign w:val="bottom"/>
            <w:hideMark/>
          </w:tcPr>
          <w:p w14:paraId="4F36439D"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6.10 ± 0.26</w:t>
            </w:r>
          </w:p>
        </w:tc>
        <w:tc>
          <w:tcPr>
            <w:tcW w:w="3292" w:type="dxa"/>
            <w:tcBorders>
              <w:left w:val="nil"/>
              <w:right w:val="nil"/>
            </w:tcBorders>
            <w:shd w:val="clear" w:color="auto" w:fill="auto"/>
            <w:noWrap/>
            <w:vAlign w:val="bottom"/>
            <w:hideMark/>
          </w:tcPr>
          <w:p w14:paraId="6FCCC9A1"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54.64 ± 1.98</w:t>
            </w:r>
          </w:p>
        </w:tc>
      </w:tr>
      <w:tr w:rsidR="00906374" w:rsidRPr="00906374" w14:paraId="6C6DB918" w14:textId="77777777" w:rsidTr="00672286">
        <w:trPr>
          <w:trHeight w:val="352"/>
        </w:trPr>
        <w:tc>
          <w:tcPr>
            <w:tcW w:w="2139" w:type="dxa"/>
            <w:tcBorders>
              <w:left w:val="nil"/>
              <w:right w:val="nil"/>
            </w:tcBorders>
            <w:shd w:val="clear" w:color="auto" w:fill="auto"/>
            <w:noWrap/>
            <w:vAlign w:val="bottom"/>
            <w:hideMark/>
          </w:tcPr>
          <w:p w14:paraId="68A153E9"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Australia</w:t>
            </w:r>
          </w:p>
        </w:tc>
        <w:tc>
          <w:tcPr>
            <w:tcW w:w="2894" w:type="dxa"/>
            <w:tcBorders>
              <w:left w:val="nil"/>
              <w:right w:val="nil"/>
            </w:tcBorders>
            <w:shd w:val="clear" w:color="auto" w:fill="auto"/>
            <w:noWrap/>
            <w:vAlign w:val="bottom"/>
            <w:hideMark/>
          </w:tcPr>
          <w:p w14:paraId="101CF2E8"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0.26 ± 0.08</w:t>
            </w:r>
          </w:p>
        </w:tc>
        <w:tc>
          <w:tcPr>
            <w:tcW w:w="1636" w:type="dxa"/>
            <w:tcBorders>
              <w:left w:val="nil"/>
              <w:right w:val="nil"/>
            </w:tcBorders>
            <w:shd w:val="clear" w:color="auto" w:fill="auto"/>
            <w:noWrap/>
            <w:vAlign w:val="bottom"/>
            <w:hideMark/>
          </w:tcPr>
          <w:p w14:paraId="419F58EA"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2.95 ± 0.26</w:t>
            </w:r>
          </w:p>
        </w:tc>
        <w:tc>
          <w:tcPr>
            <w:tcW w:w="3292" w:type="dxa"/>
            <w:tcBorders>
              <w:left w:val="nil"/>
              <w:right w:val="nil"/>
            </w:tcBorders>
            <w:shd w:val="clear" w:color="auto" w:fill="auto"/>
            <w:noWrap/>
            <w:vAlign w:val="bottom"/>
            <w:hideMark/>
          </w:tcPr>
          <w:p w14:paraId="1922F069"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57.59 ± 2.24</w:t>
            </w:r>
          </w:p>
        </w:tc>
      </w:tr>
      <w:tr w:rsidR="00906374" w:rsidRPr="00906374" w14:paraId="4B8CFBE0" w14:textId="77777777" w:rsidTr="00672286">
        <w:trPr>
          <w:trHeight w:val="352"/>
        </w:trPr>
        <w:tc>
          <w:tcPr>
            <w:tcW w:w="2139" w:type="dxa"/>
            <w:tcBorders>
              <w:left w:val="nil"/>
              <w:right w:val="nil"/>
            </w:tcBorders>
            <w:shd w:val="clear" w:color="auto" w:fill="auto"/>
            <w:noWrap/>
            <w:vAlign w:val="bottom"/>
            <w:hideMark/>
          </w:tcPr>
          <w:p w14:paraId="4862BC76"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Nigeria</w:t>
            </w:r>
          </w:p>
        </w:tc>
        <w:tc>
          <w:tcPr>
            <w:tcW w:w="2894" w:type="dxa"/>
            <w:tcBorders>
              <w:left w:val="nil"/>
              <w:right w:val="nil"/>
            </w:tcBorders>
            <w:shd w:val="clear" w:color="auto" w:fill="auto"/>
            <w:noWrap/>
            <w:vAlign w:val="bottom"/>
            <w:hideMark/>
          </w:tcPr>
          <w:p w14:paraId="0EE4E6B1"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0.28 ± 0.07</w:t>
            </w:r>
          </w:p>
        </w:tc>
        <w:tc>
          <w:tcPr>
            <w:tcW w:w="1636" w:type="dxa"/>
            <w:tcBorders>
              <w:left w:val="nil"/>
              <w:right w:val="nil"/>
            </w:tcBorders>
            <w:shd w:val="clear" w:color="auto" w:fill="auto"/>
            <w:noWrap/>
            <w:vAlign w:val="bottom"/>
            <w:hideMark/>
          </w:tcPr>
          <w:p w14:paraId="7E72D662"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3.35 ± 0.02</w:t>
            </w:r>
          </w:p>
        </w:tc>
        <w:tc>
          <w:tcPr>
            <w:tcW w:w="3292" w:type="dxa"/>
            <w:tcBorders>
              <w:left w:val="nil"/>
              <w:right w:val="nil"/>
            </w:tcBorders>
            <w:shd w:val="clear" w:color="auto" w:fill="auto"/>
            <w:noWrap/>
            <w:vAlign w:val="bottom"/>
            <w:hideMark/>
          </w:tcPr>
          <w:p w14:paraId="169775C0"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60.94 ± 2.26</w:t>
            </w:r>
          </w:p>
        </w:tc>
      </w:tr>
      <w:tr w:rsidR="00906374" w:rsidRPr="00906374" w14:paraId="4B1E5E88" w14:textId="77777777" w:rsidTr="00672286">
        <w:trPr>
          <w:trHeight w:val="352"/>
        </w:trPr>
        <w:tc>
          <w:tcPr>
            <w:tcW w:w="2139" w:type="dxa"/>
            <w:tcBorders>
              <w:left w:val="nil"/>
              <w:right w:val="nil"/>
            </w:tcBorders>
            <w:shd w:val="clear" w:color="auto" w:fill="auto"/>
            <w:noWrap/>
            <w:vAlign w:val="bottom"/>
            <w:hideMark/>
          </w:tcPr>
          <w:p w14:paraId="7AA791E5"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Myanmar</w:t>
            </w:r>
          </w:p>
        </w:tc>
        <w:tc>
          <w:tcPr>
            <w:tcW w:w="2894" w:type="dxa"/>
            <w:tcBorders>
              <w:left w:val="nil"/>
              <w:right w:val="nil"/>
            </w:tcBorders>
            <w:shd w:val="clear" w:color="auto" w:fill="auto"/>
            <w:noWrap/>
            <w:vAlign w:val="bottom"/>
            <w:hideMark/>
          </w:tcPr>
          <w:p w14:paraId="0994F003"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0.24 ± 0.08</w:t>
            </w:r>
          </w:p>
        </w:tc>
        <w:tc>
          <w:tcPr>
            <w:tcW w:w="1636" w:type="dxa"/>
            <w:tcBorders>
              <w:left w:val="nil"/>
              <w:right w:val="nil"/>
            </w:tcBorders>
            <w:shd w:val="clear" w:color="auto" w:fill="auto"/>
            <w:noWrap/>
            <w:vAlign w:val="bottom"/>
            <w:hideMark/>
          </w:tcPr>
          <w:p w14:paraId="31C85345"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2.65 ± 0.33</w:t>
            </w:r>
          </w:p>
        </w:tc>
        <w:tc>
          <w:tcPr>
            <w:tcW w:w="3292" w:type="dxa"/>
            <w:tcBorders>
              <w:left w:val="nil"/>
              <w:right w:val="nil"/>
            </w:tcBorders>
            <w:shd w:val="clear" w:color="auto" w:fill="auto"/>
            <w:noWrap/>
            <w:vAlign w:val="bottom"/>
            <w:hideMark/>
          </w:tcPr>
          <w:p w14:paraId="6D2F5009"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63.58 ± 2.59</w:t>
            </w:r>
          </w:p>
        </w:tc>
      </w:tr>
      <w:tr w:rsidR="00906374" w:rsidRPr="00906374" w14:paraId="638804EC" w14:textId="77777777" w:rsidTr="00672286">
        <w:trPr>
          <w:trHeight w:val="352"/>
        </w:trPr>
        <w:tc>
          <w:tcPr>
            <w:tcW w:w="2139" w:type="dxa"/>
            <w:tcBorders>
              <w:left w:val="nil"/>
              <w:right w:val="nil"/>
            </w:tcBorders>
            <w:shd w:val="clear" w:color="auto" w:fill="auto"/>
            <w:noWrap/>
            <w:vAlign w:val="bottom"/>
            <w:hideMark/>
          </w:tcPr>
          <w:p w14:paraId="671D6B95"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Mexico</w:t>
            </w:r>
          </w:p>
        </w:tc>
        <w:tc>
          <w:tcPr>
            <w:tcW w:w="2894" w:type="dxa"/>
            <w:tcBorders>
              <w:left w:val="nil"/>
              <w:right w:val="nil"/>
            </w:tcBorders>
            <w:shd w:val="clear" w:color="auto" w:fill="auto"/>
            <w:noWrap/>
            <w:vAlign w:val="bottom"/>
            <w:hideMark/>
          </w:tcPr>
          <w:p w14:paraId="6EB52DB6"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0.22 ± 0.07</w:t>
            </w:r>
          </w:p>
        </w:tc>
        <w:tc>
          <w:tcPr>
            <w:tcW w:w="1636" w:type="dxa"/>
            <w:tcBorders>
              <w:left w:val="nil"/>
              <w:right w:val="nil"/>
            </w:tcBorders>
            <w:shd w:val="clear" w:color="auto" w:fill="auto"/>
            <w:noWrap/>
            <w:vAlign w:val="bottom"/>
            <w:hideMark/>
          </w:tcPr>
          <w:p w14:paraId="37A77F40"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2.37 ± 0.30</w:t>
            </w:r>
          </w:p>
        </w:tc>
        <w:tc>
          <w:tcPr>
            <w:tcW w:w="3292" w:type="dxa"/>
            <w:tcBorders>
              <w:left w:val="nil"/>
              <w:right w:val="nil"/>
            </w:tcBorders>
            <w:shd w:val="clear" w:color="auto" w:fill="auto"/>
            <w:noWrap/>
            <w:vAlign w:val="bottom"/>
            <w:hideMark/>
          </w:tcPr>
          <w:p w14:paraId="2FC995E3"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65.95 ± 2.89</w:t>
            </w:r>
          </w:p>
        </w:tc>
      </w:tr>
      <w:tr w:rsidR="00906374" w:rsidRPr="00906374" w14:paraId="6CBA3232" w14:textId="77777777" w:rsidTr="00672286">
        <w:trPr>
          <w:trHeight w:val="352"/>
        </w:trPr>
        <w:tc>
          <w:tcPr>
            <w:tcW w:w="2139" w:type="dxa"/>
            <w:tcBorders>
              <w:left w:val="nil"/>
              <w:right w:val="nil"/>
            </w:tcBorders>
            <w:shd w:val="clear" w:color="auto" w:fill="auto"/>
            <w:noWrap/>
            <w:vAlign w:val="bottom"/>
            <w:hideMark/>
          </w:tcPr>
          <w:p w14:paraId="7431BB4E"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Venezuela</w:t>
            </w:r>
          </w:p>
        </w:tc>
        <w:tc>
          <w:tcPr>
            <w:tcW w:w="2894" w:type="dxa"/>
            <w:tcBorders>
              <w:left w:val="nil"/>
              <w:right w:val="nil"/>
            </w:tcBorders>
            <w:shd w:val="clear" w:color="auto" w:fill="auto"/>
            <w:noWrap/>
            <w:vAlign w:val="bottom"/>
            <w:hideMark/>
          </w:tcPr>
          <w:p w14:paraId="32EB9CEB"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0.23 ± 0.06</w:t>
            </w:r>
          </w:p>
        </w:tc>
        <w:tc>
          <w:tcPr>
            <w:tcW w:w="1636" w:type="dxa"/>
            <w:tcBorders>
              <w:left w:val="nil"/>
              <w:right w:val="nil"/>
            </w:tcBorders>
            <w:shd w:val="clear" w:color="auto" w:fill="auto"/>
            <w:noWrap/>
            <w:vAlign w:val="bottom"/>
            <w:hideMark/>
          </w:tcPr>
          <w:p w14:paraId="13EFA756"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2.65 ± 0.11</w:t>
            </w:r>
          </w:p>
        </w:tc>
        <w:tc>
          <w:tcPr>
            <w:tcW w:w="3292" w:type="dxa"/>
            <w:tcBorders>
              <w:left w:val="nil"/>
              <w:right w:val="nil"/>
            </w:tcBorders>
            <w:shd w:val="clear" w:color="auto" w:fill="auto"/>
            <w:noWrap/>
            <w:vAlign w:val="bottom"/>
            <w:hideMark/>
          </w:tcPr>
          <w:p w14:paraId="6BF3380D"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68.60 ± 3.00</w:t>
            </w:r>
          </w:p>
        </w:tc>
      </w:tr>
      <w:tr w:rsidR="00906374" w:rsidRPr="00906374" w14:paraId="250A46DD" w14:textId="77777777" w:rsidTr="00672286">
        <w:trPr>
          <w:trHeight w:val="352"/>
        </w:trPr>
        <w:tc>
          <w:tcPr>
            <w:tcW w:w="2139" w:type="dxa"/>
            <w:tcBorders>
              <w:left w:val="nil"/>
              <w:right w:val="nil"/>
            </w:tcBorders>
            <w:shd w:val="clear" w:color="auto" w:fill="auto"/>
            <w:noWrap/>
            <w:vAlign w:val="bottom"/>
            <w:hideMark/>
          </w:tcPr>
          <w:p w14:paraId="3E24A286"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Colombia</w:t>
            </w:r>
          </w:p>
        </w:tc>
        <w:tc>
          <w:tcPr>
            <w:tcW w:w="2894" w:type="dxa"/>
            <w:tcBorders>
              <w:left w:val="nil"/>
              <w:right w:val="nil"/>
            </w:tcBorders>
            <w:shd w:val="clear" w:color="auto" w:fill="auto"/>
            <w:noWrap/>
            <w:vAlign w:val="bottom"/>
            <w:hideMark/>
          </w:tcPr>
          <w:p w14:paraId="1E7BB9FC"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0.22 ± 0.06</w:t>
            </w:r>
          </w:p>
        </w:tc>
        <w:tc>
          <w:tcPr>
            <w:tcW w:w="1636" w:type="dxa"/>
            <w:tcBorders>
              <w:left w:val="nil"/>
              <w:right w:val="nil"/>
            </w:tcBorders>
            <w:shd w:val="clear" w:color="auto" w:fill="auto"/>
            <w:noWrap/>
            <w:vAlign w:val="bottom"/>
            <w:hideMark/>
          </w:tcPr>
          <w:p w14:paraId="0B9AC115"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2.57 ± 0.07</w:t>
            </w:r>
          </w:p>
        </w:tc>
        <w:tc>
          <w:tcPr>
            <w:tcW w:w="3292" w:type="dxa"/>
            <w:tcBorders>
              <w:left w:val="nil"/>
              <w:right w:val="nil"/>
            </w:tcBorders>
            <w:shd w:val="clear" w:color="auto" w:fill="auto"/>
            <w:noWrap/>
            <w:vAlign w:val="bottom"/>
            <w:hideMark/>
          </w:tcPr>
          <w:p w14:paraId="4AEDEF83"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71.16 ± 3.07</w:t>
            </w:r>
          </w:p>
        </w:tc>
      </w:tr>
      <w:tr w:rsidR="00906374" w:rsidRPr="00906374" w14:paraId="65EAF34A" w14:textId="77777777" w:rsidTr="00672286">
        <w:trPr>
          <w:trHeight w:val="352"/>
        </w:trPr>
        <w:tc>
          <w:tcPr>
            <w:tcW w:w="2139" w:type="dxa"/>
            <w:tcBorders>
              <w:left w:val="nil"/>
              <w:right w:val="nil"/>
            </w:tcBorders>
            <w:shd w:val="clear" w:color="auto" w:fill="auto"/>
            <w:noWrap/>
            <w:vAlign w:val="bottom"/>
            <w:hideMark/>
          </w:tcPr>
          <w:p w14:paraId="164D50B3"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Philippines</w:t>
            </w:r>
          </w:p>
        </w:tc>
        <w:tc>
          <w:tcPr>
            <w:tcW w:w="2894" w:type="dxa"/>
            <w:tcBorders>
              <w:left w:val="nil"/>
              <w:right w:val="nil"/>
            </w:tcBorders>
            <w:shd w:val="clear" w:color="auto" w:fill="auto"/>
            <w:noWrap/>
            <w:vAlign w:val="bottom"/>
            <w:hideMark/>
          </w:tcPr>
          <w:p w14:paraId="2F1D9049"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0.23 ± 0.05</w:t>
            </w:r>
          </w:p>
        </w:tc>
        <w:tc>
          <w:tcPr>
            <w:tcW w:w="1636" w:type="dxa"/>
            <w:tcBorders>
              <w:left w:val="nil"/>
              <w:right w:val="nil"/>
            </w:tcBorders>
            <w:shd w:val="clear" w:color="auto" w:fill="auto"/>
            <w:noWrap/>
            <w:vAlign w:val="bottom"/>
            <w:hideMark/>
          </w:tcPr>
          <w:p w14:paraId="1C350F46"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2.9 ± 0.10</w:t>
            </w:r>
          </w:p>
        </w:tc>
        <w:tc>
          <w:tcPr>
            <w:tcW w:w="3292" w:type="dxa"/>
            <w:tcBorders>
              <w:left w:val="nil"/>
              <w:right w:val="nil"/>
            </w:tcBorders>
            <w:shd w:val="clear" w:color="auto" w:fill="auto"/>
            <w:noWrap/>
            <w:vAlign w:val="bottom"/>
            <w:hideMark/>
          </w:tcPr>
          <w:p w14:paraId="3A97A03C"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74.06 ± 3.17</w:t>
            </w:r>
          </w:p>
        </w:tc>
      </w:tr>
      <w:tr w:rsidR="00906374" w:rsidRPr="00906374" w14:paraId="14158E8D" w14:textId="77777777" w:rsidTr="00672286">
        <w:trPr>
          <w:trHeight w:val="352"/>
        </w:trPr>
        <w:tc>
          <w:tcPr>
            <w:tcW w:w="2139" w:type="dxa"/>
            <w:tcBorders>
              <w:left w:val="nil"/>
              <w:right w:val="nil"/>
            </w:tcBorders>
            <w:shd w:val="clear" w:color="auto" w:fill="auto"/>
            <w:noWrap/>
            <w:vAlign w:val="bottom"/>
            <w:hideMark/>
          </w:tcPr>
          <w:p w14:paraId="01844164"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Thailand</w:t>
            </w:r>
          </w:p>
        </w:tc>
        <w:tc>
          <w:tcPr>
            <w:tcW w:w="2894" w:type="dxa"/>
            <w:tcBorders>
              <w:left w:val="nil"/>
              <w:right w:val="nil"/>
            </w:tcBorders>
            <w:shd w:val="clear" w:color="auto" w:fill="auto"/>
            <w:noWrap/>
            <w:vAlign w:val="bottom"/>
            <w:hideMark/>
          </w:tcPr>
          <w:p w14:paraId="49CD5532"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0.20 ± 0.04</w:t>
            </w:r>
          </w:p>
        </w:tc>
        <w:tc>
          <w:tcPr>
            <w:tcW w:w="1636" w:type="dxa"/>
            <w:tcBorders>
              <w:left w:val="nil"/>
              <w:right w:val="nil"/>
            </w:tcBorders>
            <w:shd w:val="clear" w:color="auto" w:fill="auto"/>
            <w:noWrap/>
            <w:vAlign w:val="bottom"/>
            <w:hideMark/>
          </w:tcPr>
          <w:p w14:paraId="654A3E06"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2.51 ± 0.07</w:t>
            </w:r>
          </w:p>
        </w:tc>
        <w:tc>
          <w:tcPr>
            <w:tcW w:w="3292" w:type="dxa"/>
            <w:tcBorders>
              <w:left w:val="nil"/>
              <w:right w:val="nil"/>
            </w:tcBorders>
            <w:shd w:val="clear" w:color="auto" w:fill="auto"/>
            <w:noWrap/>
            <w:vAlign w:val="bottom"/>
            <w:hideMark/>
          </w:tcPr>
          <w:p w14:paraId="6C3A4FD5"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76.57 ± 3.24</w:t>
            </w:r>
          </w:p>
        </w:tc>
      </w:tr>
      <w:tr w:rsidR="00906374" w:rsidRPr="00906374" w14:paraId="75401A7C" w14:textId="77777777" w:rsidTr="00672286">
        <w:trPr>
          <w:trHeight w:val="352"/>
        </w:trPr>
        <w:tc>
          <w:tcPr>
            <w:tcW w:w="2139" w:type="dxa"/>
            <w:tcBorders>
              <w:left w:val="nil"/>
              <w:right w:val="nil"/>
            </w:tcBorders>
            <w:shd w:val="clear" w:color="auto" w:fill="auto"/>
            <w:noWrap/>
            <w:vAlign w:val="bottom"/>
            <w:hideMark/>
          </w:tcPr>
          <w:p w14:paraId="1A0A678E"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Bangladesh</w:t>
            </w:r>
          </w:p>
        </w:tc>
        <w:tc>
          <w:tcPr>
            <w:tcW w:w="2894" w:type="dxa"/>
            <w:tcBorders>
              <w:left w:val="nil"/>
              <w:right w:val="nil"/>
            </w:tcBorders>
            <w:shd w:val="clear" w:color="auto" w:fill="auto"/>
            <w:noWrap/>
            <w:vAlign w:val="bottom"/>
            <w:hideMark/>
          </w:tcPr>
          <w:p w14:paraId="1C336C22"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0.15 ± 0.05</w:t>
            </w:r>
          </w:p>
        </w:tc>
        <w:tc>
          <w:tcPr>
            <w:tcW w:w="1636" w:type="dxa"/>
            <w:tcBorders>
              <w:left w:val="nil"/>
              <w:right w:val="nil"/>
            </w:tcBorders>
            <w:shd w:val="clear" w:color="auto" w:fill="auto"/>
            <w:noWrap/>
            <w:vAlign w:val="bottom"/>
            <w:hideMark/>
          </w:tcPr>
          <w:p w14:paraId="7BC81B01"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1.63 ± 0.16</w:t>
            </w:r>
          </w:p>
        </w:tc>
        <w:tc>
          <w:tcPr>
            <w:tcW w:w="3292" w:type="dxa"/>
            <w:tcBorders>
              <w:left w:val="nil"/>
              <w:right w:val="nil"/>
            </w:tcBorders>
            <w:shd w:val="clear" w:color="auto" w:fill="auto"/>
            <w:noWrap/>
            <w:vAlign w:val="bottom"/>
            <w:hideMark/>
          </w:tcPr>
          <w:p w14:paraId="46C10094"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78.20 ± 3.40</w:t>
            </w:r>
          </w:p>
        </w:tc>
      </w:tr>
      <w:tr w:rsidR="00906374" w:rsidRPr="00906374" w14:paraId="40DB1025" w14:textId="77777777" w:rsidTr="00672286">
        <w:trPr>
          <w:trHeight w:val="352"/>
        </w:trPr>
        <w:tc>
          <w:tcPr>
            <w:tcW w:w="2139" w:type="dxa"/>
            <w:tcBorders>
              <w:left w:val="nil"/>
              <w:right w:val="nil"/>
            </w:tcBorders>
            <w:shd w:val="clear" w:color="auto" w:fill="auto"/>
            <w:noWrap/>
            <w:vAlign w:val="bottom"/>
            <w:hideMark/>
          </w:tcPr>
          <w:p w14:paraId="3744F664"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Cuba</w:t>
            </w:r>
          </w:p>
        </w:tc>
        <w:tc>
          <w:tcPr>
            <w:tcW w:w="2894" w:type="dxa"/>
            <w:tcBorders>
              <w:left w:val="nil"/>
              <w:right w:val="nil"/>
            </w:tcBorders>
            <w:shd w:val="clear" w:color="auto" w:fill="auto"/>
            <w:noWrap/>
            <w:vAlign w:val="bottom"/>
            <w:hideMark/>
          </w:tcPr>
          <w:p w14:paraId="6BAD312B"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0.15 ± 0.04</w:t>
            </w:r>
          </w:p>
        </w:tc>
        <w:tc>
          <w:tcPr>
            <w:tcW w:w="1636" w:type="dxa"/>
            <w:tcBorders>
              <w:left w:val="nil"/>
              <w:right w:val="nil"/>
            </w:tcBorders>
            <w:shd w:val="clear" w:color="auto" w:fill="auto"/>
            <w:noWrap/>
            <w:vAlign w:val="bottom"/>
            <w:hideMark/>
          </w:tcPr>
          <w:p w14:paraId="6E442C77"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1.78 ± 0.01</w:t>
            </w:r>
          </w:p>
        </w:tc>
        <w:tc>
          <w:tcPr>
            <w:tcW w:w="3292" w:type="dxa"/>
            <w:tcBorders>
              <w:left w:val="nil"/>
              <w:right w:val="nil"/>
            </w:tcBorders>
            <w:shd w:val="clear" w:color="auto" w:fill="auto"/>
            <w:noWrap/>
            <w:vAlign w:val="bottom"/>
            <w:hideMark/>
          </w:tcPr>
          <w:p w14:paraId="486AB629"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79.97 ± 3.41</w:t>
            </w:r>
          </w:p>
        </w:tc>
      </w:tr>
      <w:tr w:rsidR="00906374" w:rsidRPr="00906374" w14:paraId="11FBB6C6" w14:textId="77777777" w:rsidTr="00672286">
        <w:trPr>
          <w:trHeight w:val="352"/>
        </w:trPr>
        <w:tc>
          <w:tcPr>
            <w:tcW w:w="2139" w:type="dxa"/>
            <w:tcBorders>
              <w:left w:val="nil"/>
              <w:right w:val="nil"/>
            </w:tcBorders>
            <w:shd w:val="clear" w:color="auto" w:fill="auto"/>
            <w:noWrap/>
            <w:vAlign w:val="bottom"/>
            <w:hideMark/>
          </w:tcPr>
          <w:p w14:paraId="2F073FB2"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Panama</w:t>
            </w:r>
          </w:p>
        </w:tc>
        <w:tc>
          <w:tcPr>
            <w:tcW w:w="2894" w:type="dxa"/>
            <w:tcBorders>
              <w:left w:val="nil"/>
              <w:right w:val="nil"/>
            </w:tcBorders>
            <w:shd w:val="clear" w:color="auto" w:fill="auto"/>
            <w:noWrap/>
            <w:vAlign w:val="bottom"/>
            <w:hideMark/>
          </w:tcPr>
          <w:p w14:paraId="44236ADA"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0.14 ± 0.03</w:t>
            </w:r>
          </w:p>
        </w:tc>
        <w:tc>
          <w:tcPr>
            <w:tcW w:w="1636" w:type="dxa"/>
            <w:tcBorders>
              <w:left w:val="nil"/>
              <w:right w:val="nil"/>
            </w:tcBorders>
            <w:shd w:val="clear" w:color="auto" w:fill="auto"/>
            <w:noWrap/>
            <w:vAlign w:val="bottom"/>
            <w:hideMark/>
          </w:tcPr>
          <w:p w14:paraId="1DC70936"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1.73 ± 0.02</w:t>
            </w:r>
          </w:p>
        </w:tc>
        <w:tc>
          <w:tcPr>
            <w:tcW w:w="3292" w:type="dxa"/>
            <w:tcBorders>
              <w:left w:val="nil"/>
              <w:right w:val="nil"/>
            </w:tcBorders>
            <w:shd w:val="clear" w:color="auto" w:fill="auto"/>
            <w:noWrap/>
            <w:vAlign w:val="bottom"/>
            <w:hideMark/>
          </w:tcPr>
          <w:p w14:paraId="77B91230"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81.70 ± 3.43</w:t>
            </w:r>
          </w:p>
        </w:tc>
      </w:tr>
      <w:tr w:rsidR="00906374" w:rsidRPr="00906374" w14:paraId="3BB0F2D6" w14:textId="77777777" w:rsidTr="00672286">
        <w:trPr>
          <w:trHeight w:val="352"/>
        </w:trPr>
        <w:tc>
          <w:tcPr>
            <w:tcW w:w="2139" w:type="dxa"/>
            <w:tcBorders>
              <w:left w:val="nil"/>
              <w:right w:val="nil"/>
            </w:tcBorders>
            <w:shd w:val="clear" w:color="auto" w:fill="auto"/>
            <w:noWrap/>
            <w:vAlign w:val="bottom"/>
            <w:hideMark/>
          </w:tcPr>
          <w:p w14:paraId="009F7CCF"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United States</w:t>
            </w:r>
          </w:p>
        </w:tc>
        <w:tc>
          <w:tcPr>
            <w:tcW w:w="2894" w:type="dxa"/>
            <w:tcBorders>
              <w:left w:val="nil"/>
              <w:right w:val="nil"/>
            </w:tcBorders>
            <w:shd w:val="clear" w:color="auto" w:fill="auto"/>
            <w:noWrap/>
            <w:vAlign w:val="bottom"/>
            <w:hideMark/>
          </w:tcPr>
          <w:p w14:paraId="0183D17E"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0.13 ± 0.04</w:t>
            </w:r>
          </w:p>
        </w:tc>
        <w:tc>
          <w:tcPr>
            <w:tcW w:w="1636" w:type="dxa"/>
            <w:tcBorders>
              <w:left w:val="nil"/>
              <w:right w:val="nil"/>
            </w:tcBorders>
            <w:shd w:val="clear" w:color="auto" w:fill="auto"/>
            <w:noWrap/>
            <w:vAlign w:val="bottom"/>
            <w:hideMark/>
          </w:tcPr>
          <w:p w14:paraId="39087C68"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1.47 ± 0.08</w:t>
            </w:r>
          </w:p>
        </w:tc>
        <w:tc>
          <w:tcPr>
            <w:tcW w:w="3292" w:type="dxa"/>
            <w:tcBorders>
              <w:left w:val="nil"/>
              <w:right w:val="nil"/>
            </w:tcBorders>
            <w:shd w:val="clear" w:color="auto" w:fill="auto"/>
            <w:noWrap/>
            <w:vAlign w:val="bottom"/>
            <w:hideMark/>
          </w:tcPr>
          <w:p w14:paraId="15997883"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83.17 ± 3.51</w:t>
            </w:r>
          </w:p>
        </w:tc>
      </w:tr>
      <w:tr w:rsidR="00906374" w:rsidRPr="00906374" w14:paraId="4790098A" w14:textId="77777777" w:rsidTr="00672286">
        <w:trPr>
          <w:trHeight w:val="352"/>
        </w:trPr>
        <w:tc>
          <w:tcPr>
            <w:tcW w:w="2139" w:type="dxa"/>
            <w:tcBorders>
              <w:left w:val="nil"/>
              <w:right w:val="nil"/>
            </w:tcBorders>
            <w:shd w:val="clear" w:color="auto" w:fill="auto"/>
            <w:noWrap/>
            <w:vAlign w:val="bottom"/>
            <w:hideMark/>
          </w:tcPr>
          <w:p w14:paraId="0E60CCE5"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Cameroon</w:t>
            </w:r>
          </w:p>
        </w:tc>
        <w:tc>
          <w:tcPr>
            <w:tcW w:w="2894" w:type="dxa"/>
            <w:tcBorders>
              <w:left w:val="nil"/>
              <w:right w:val="nil"/>
            </w:tcBorders>
            <w:shd w:val="clear" w:color="auto" w:fill="auto"/>
            <w:noWrap/>
            <w:vAlign w:val="bottom"/>
            <w:hideMark/>
          </w:tcPr>
          <w:p w14:paraId="32A115CE"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0.13 ± 0.03</w:t>
            </w:r>
          </w:p>
        </w:tc>
        <w:tc>
          <w:tcPr>
            <w:tcW w:w="1636" w:type="dxa"/>
            <w:tcBorders>
              <w:left w:val="nil"/>
              <w:right w:val="nil"/>
            </w:tcBorders>
            <w:shd w:val="clear" w:color="auto" w:fill="auto"/>
            <w:noWrap/>
            <w:vAlign w:val="bottom"/>
            <w:hideMark/>
          </w:tcPr>
          <w:p w14:paraId="68CE448B"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1.54 ± 0.01</w:t>
            </w:r>
          </w:p>
        </w:tc>
        <w:tc>
          <w:tcPr>
            <w:tcW w:w="3292" w:type="dxa"/>
            <w:tcBorders>
              <w:left w:val="nil"/>
              <w:right w:val="nil"/>
            </w:tcBorders>
            <w:shd w:val="clear" w:color="auto" w:fill="auto"/>
            <w:noWrap/>
            <w:vAlign w:val="bottom"/>
            <w:hideMark/>
          </w:tcPr>
          <w:p w14:paraId="4C2877FD"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84.70 ± 3.52</w:t>
            </w:r>
          </w:p>
        </w:tc>
      </w:tr>
      <w:tr w:rsidR="00906374" w:rsidRPr="00906374" w14:paraId="6B0BD92C" w14:textId="77777777" w:rsidTr="00672286">
        <w:trPr>
          <w:trHeight w:val="352"/>
        </w:trPr>
        <w:tc>
          <w:tcPr>
            <w:tcW w:w="2139" w:type="dxa"/>
            <w:tcBorders>
              <w:left w:val="nil"/>
              <w:right w:val="nil"/>
            </w:tcBorders>
            <w:shd w:val="clear" w:color="auto" w:fill="auto"/>
            <w:noWrap/>
            <w:vAlign w:val="bottom"/>
            <w:hideMark/>
          </w:tcPr>
          <w:p w14:paraId="7BCACACC"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Gabon</w:t>
            </w:r>
          </w:p>
        </w:tc>
        <w:tc>
          <w:tcPr>
            <w:tcW w:w="2894" w:type="dxa"/>
            <w:tcBorders>
              <w:left w:val="nil"/>
              <w:right w:val="nil"/>
            </w:tcBorders>
            <w:shd w:val="clear" w:color="auto" w:fill="auto"/>
            <w:noWrap/>
            <w:vAlign w:val="bottom"/>
            <w:hideMark/>
          </w:tcPr>
          <w:p w14:paraId="2DD2E1E1"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0.10 ± 0.03</w:t>
            </w:r>
          </w:p>
        </w:tc>
        <w:tc>
          <w:tcPr>
            <w:tcW w:w="1636" w:type="dxa"/>
            <w:tcBorders>
              <w:left w:val="nil"/>
              <w:right w:val="nil"/>
            </w:tcBorders>
            <w:shd w:val="clear" w:color="auto" w:fill="auto"/>
            <w:noWrap/>
            <w:vAlign w:val="bottom"/>
            <w:hideMark/>
          </w:tcPr>
          <w:p w14:paraId="0E3052A0"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1.19 ± 0.05</w:t>
            </w:r>
          </w:p>
        </w:tc>
        <w:tc>
          <w:tcPr>
            <w:tcW w:w="3292" w:type="dxa"/>
            <w:tcBorders>
              <w:left w:val="nil"/>
              <w:right w:val="nil"/>
            </w:tcBorders>
            <w:shd w:val="clear" w:color="auto" w:fill="auto"/>
            <w:noWrap/>
            <w:vAlign w:val="bottom"/>
            <w:hideMark/>
          </w:tcPr>
          <w:p w14:paraId="6EDE8E74"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85.89 ± 3.57</w:t>
            </w:r>
          </w:p>
        </w:tc>
      </w:tr>
      <w:tr w:rsidR="00906374" w:rsidRPr="00906374" w14:paraId="4961ECF7" w14:textId="77777777" w:rsidTr="00672286">
        <w:trPr>
          <w:trHeight w:val="352"/>
        </w:trPr>
        <w:tc>
          <w:tcPr>
            <w:tcW w:w="2139" w:type="dxa"/>
            <w:tcBorders>
              <w:left w:val="nil"/>
              <w:right w:val="nil"/>
            </w:tcBorders>
            <w:shd w:val="clear" w:color="auto" w:fill="auto"/>
            <w:noWrap/>
            <w:vAlign w:val="bottom"/>
            <w:hideMark/>
          </w:tcPr>
          <w:p w14:paraId="40974F84"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Mozambique</w:t>
            </w:r>
          </w:p>
        </w:tc>
        <w:tc>
          <w:tcPr>
            <w:tcW w:w="2894" w:type="dxa"/>
            <w:tcBorders>
              <w:left w:val="nil"/>
              <w:right w:val="nil"/>
            </w:tcBorders>
            <w:shd w:val="clear" w:color="auto" w:fill="auto"/>
            <w:noWrap/>
            <w:vAlign w:val="bottom"/>
            <w:hideMark/>
          </w:tcPr>
          <w:p w14:paraId="07D24F67"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0.10 ± 0.03</w:t>
            </w:r>
          </w:p>
        </w:tc>
        <w:tc>
          <w:tcPr>
            <w:tcW w:w="1636" w:type="dxa"/>
            <w:tcBorders>
              <w:left w:val="nil"/>
              <w:right w:val="nil"/>
            </w:tcBorders>
            <w:shd w:val="clear" w:color="auto" w:fill="auto"/>
            <w:noWrap/>
            <w:vAlign w:val="bottom"/>
            <w:hideMark/>
          </w:tcPr>
          <w:p w14:paraId="2A3CCABB"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1.08 ± 0.10</w:t>
            </w:r>
          </w:p>
        </w:tc>
        <w:tc>
          <w:tcPr>
            <w:tcW w:w="3292" w:type="dxa"/>
            <w:tcBorders>
              <w:left w:val="nil"/>
              <w:right w:val="nil"/>
            </w:tcBorders>
            <w:shd w:val="clear" w:color="auto" w:fill="auto"/>
            <w:noWrap/>
            <w:vAlign w:val="bottom"/>
            <w:hideMark/>
          </w:tcPr>
          <w:p w14:paraId="793A3721"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86.96 ± 3.67</w:t>
            </w:r>
          </w:p>
        </w:tc>
      </w:tr>
      <w:tr w:rsidR="00906374" w:rsidRPr="00906374" w14:paraId="064FBEA7" w14:textId="77777777" w:rsidTr="00672286">
        <w:trPr>
          <w:trHeight w:val="352"/>
        </w:trPr>
        <w:tc>
          <w:tcPr>
            <w:tcW w:w="2139" w:type="dxa"/>
            <w:tcBorders>
              <w:left w:val="nil"/>
              <w:right w:val="nil"/>
            </w:tcBorders>
            <w:shd w:val="clear" w:color="auto" w:fill="auto"/>
            <w:noWrap/>
            <w:vAlign w:val="bottom"/>
            <w:hideMark/>
          </w:tcPr>
          <w:p w14:paraId="4CCCA2DC"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Ecuador</w:t>
            </w:r>
          </w:p>
        </w:tc>
        <w:tc>
          <w:tcPr>
            <w:tcW w:w="2894" w:type="dxa"/>
            <w:tcBorders>
              <w:left w:val="nil"/>
              <w:right w:val="nil"/>
            </w:tcBorders>
            <w:shd w:val="clear" w:color="auto" w:fill="auto"/>
            <w:noWrap/>
            <w:vAlign w:val="bottom"/>
            <w:hideMark/>
          </w:tcPr>
          <w:p w14:paraId="6190B7AC"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0.08 ± 0.03</w:t>
            </w:r>
          </w:p>
        </w:tc>
        <w:tc>
          <w:tcPr>
            <w:tcW w:w="1636" w:type="dxa"/>
            <w:tcBorders>
              <w:left w:val="nil"/>
              <w:right w:val="nil"/>
            </w:tcBorders>
            <w:shd w:val="clear" w:color="auto" w:fill="auto"/>
            <w:noWrap/>
            <w:vAlign w:val="bottom"/>
            <w:hideMark/>
          </w:tcPr>
          <w:p w14:paraId="07E334F4"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0.77 ± 0.17</w:t>
            </w:r>
          </w:p>
        </w:tc>
        <w:tc>
          <w:tcPr>
            <w:tcW w:w="3292" w:type="dxa"/>
            <w:tcBorders>
              <w:left w:val="nil"/>
              <w:right w:val="nil"/>
            </w:tcBorders>
            <w:shd w:val="clear" w:color="auto" w:fill="auto"/>
            <w:noWrap/>
            <w:vAlign w:val="bottom"/>
            <w:hideMark/>
          </w:tcPr>
          <w:p w14:paraId="32732499"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87.73 ± 3.84</w:t>
            </w:r>
          </w:p>
        </w:tc>
      </w:tr>
      <w:tr w:rsidR="00906374" w:rsidRPr="00906374" w14:paraId="50710BEA" w14:textId="77777777" w:rsidTr="00672286">
        <w:trPr>
          <w:trHeight w:val="352"/>
        </w:trPr>
        <w:tc>
          <w:tcPr>
            <w:tcW w:w="2139" w:type="dxa"/>
            <w:tcBorders>
              <w:left w:val="nil"/>
              <w:right w:val="nil"/>
            </w:tcBorders>
            <w:shd w:val="clear" w:color="auto" w:fill="auto"/>
            <w:noWrap/>
            <w:vAlign w:val="bottom"/>
            <w:hideMark/>
          </w:tcPr>
          <w:p w14:paraId="3C51C191"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Guinea</w:t>
            </w:r>
          </w:p>
        </w:tc>
        <w:tc>
          <w:tcPr>
            <w:tcW w:w="2894" w:type="dxa"/>
            <w:tcBorders>
              <w:left w:val="nil"/>
              <w:right w:val="nil"/>
            </w:tcBorders>
            <w:shd w:val="clear" w:color="auto" w:fill="auto"/>
            <w:noWrap/>
            <w:vAlign w:val="bottom"/>
            <w:hideMark/>
          </w:tcPr>
          <w:p w14:paraId="277BBAA8"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0.09 ± 0.03</w:t>
            </w:r>
          </w:p>
        </w:tc>
        <w:tc>
          <w:tcPr>
            <w:tcW w:w="1636" w:type="dxa"/>
            <w:tcBorders>
              <w:left w:val="nil"/>
              <w:right w:val="nil"/>
            </w:tcBorders>
            <w:shd w:val="clear" w:color="auto" w:fill="auto"/>
            <w:noWrap/>
            <w:vAlign w:val="bottom"/>
            <w:hideMark/>
          </w:tcPr>
          <w:p w14:paraId="50B496D9"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0.99 ± 0.06</w:t>
            </w:r>
          </w:p>
        </w:tc>
        <w:tc>
          <w:tcPr>
            <w:tcW w:w="3292" w:type="dxa"/>
            <w:tcBorders>
              <w:left w:val="nil"/>
              <w:right w:val="nil"/>
            </w:tcBorders>
            <w:shd w:val="clear" w:color="auto" w:fill="auto"/>
            <w:noWrap/>
            <w:vAlign w:val="bottom"/>
            <w:hideMark/>
          </w:tcPr>
          <w:p w14:paraId="3B0BD82D"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88.72 ± 3.90</w:t>
            </w:r>
          </w:p>
        </w:tc>
      </w:tr>
      <w:tr w:rsidR="00906374" w:rsidRPr="00906374" w14:paraId="6FC92BA5" w14:textId="77777777" w:rsidTr="00672286">
        <w:trPr>
          <w:trHeight w:val="352"/>
        </w:trPr>
        <w:tc>
          <w:tcPr>
            <w:tcW w:w="2139" w:type="dxa"/>
            <w:tcBorders>
              <w:left w:val="nil"/>
              <w:right w:val="nil"/>
            </w:tcBorders>
            <w:shd w:val="clear" w:color="auto" w:fill="auto"/>
            <w:noWrap/>
            <w:vAlign w:val="bottom"/>
            <w:hideMark/>
          </w:tcPr>
          <w:p w14:paraId="1BE2FA7C"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Guinea-Bissau</w:t>
            </w:r>
          </w:p>
        </w:tc>
        <w:tc>
          <w:tcPr>
            <w:tcW w:w="2894" w:type="dxa"/>
            <w:tcBorders>
              <w:left w:val="nil"/>
              <w:right w:val="nil"/>
            </w:tcBorders>
            <w:shd w:val="clear" w:color="auto" w:fill="auto"/>
            <w:noWrap/>
            <w:vAlign w:val="bottom"/>
            <w:hideMark/>
          </w:tcPr>
          <w:p w14:paraId="6DB01ECB"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0.07 ± 0.02</w:t>
            </w:r>
          </w:p>
        </w:tc>
        <w:tc>
          <w:tcPr>
            <w:tcW w:w="1636" w:type="dxa"/>
            <w:tcBorders>
              <w:left w:val="nil"/>
              <w:right w:val="nil"/>
            </w:tcBorders>
            <w:shd w:val="clear" w:color="auto" w:fill="auto"/>
            <w:noWrap/>
            <w:vAlign w:val="bottom"/>
            <w:hideMark/>
          </w:tcPr>
          <w:p w14:paraId="189A30FC"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0.80 ± 0.07</w:t>
            </w:r>
          </w:p>
        </w:tc>
        <w:tc>
          <w:tcPr>
            <w:tcW w:w="3292" w:type="dxa"/>
            <w:tcBorders>
              <w:left w:val="nil"/>
              <w:right w:val="nil"/>
            </w:tcBorders>
            <w:shd w:val="clear" w:color="auto" w:fill="auto"/>
            <w:noWrap/>
            <w:vAlign w:val="bottom"/>
            <w:hideMark/>
          </w:tcPr>
          <w:p w14:paraId="6E55E1ED"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89.52 ± 3.97</w:t>
            </w:r>
          </w:p>
        </w:tc>
      </w:tr>
      <w:tr w:rsidR="00906374" w:rsidRPr="00906374" w14:paraId="6B1A2C02" w14:textId="77777777" w:rsidTr="00672286">
        <w:trPr>
          <w:trHeight w:val="352"/>
        </w:trPr>
        <w:tc>
          <w:tcPr>
            <w:tcW w:w="2139" w:type="dxa"/>
            <w:tcBorders>
              <w:left w:val="nil"/>
              <w:right w:val="nil"/>
            </w:tcBorders>
            <w:shd w:val="clear" w:color="auto" w:fill="auto"/>
            <w:noWrap/>
            <w:vAlign w:val="bottom"/>
            <w:hideMark/>
          </w:tcPr>
          <w:p w14:paraId="139C3E2C"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Madagascar</w:t>
            </w:r>
          </w:p>
        </w:tc>
        <w:tc>
          <w:tcPr>
            <w:tcW w:w="2894" w:type="dxa"/>
            <w:tcBorders>
              <w:left w:val="nil"/>
              <w:right w:val="nil"/>
            </w:tcBorders>
            <w:shd w:val="clear" w:color="auto" w:fill="auto"/>
            <w:noWrap/>
            <w:vAlign w:val="bottom"/>
            <w:hideMark/>
          </w:tcPr>
          <w:p w14:paraId="6C09E0BE"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0.07 ± 0.02</w:t>
            </w:r>
          </w:p>
        </w:tc>
        <w:tc>
          <w:tcPr>
            <w:tcW w:w="1636" w:type="dxa"/>
            <w:tcBorders>
              <w:left w:val="nil"/>
              <w:right w:val="nil"/>
            </w:tcBorders>
            <w:shd w:val="clear" w:color="auto" w:fill="auto"/>
            <w:noWrap/>
            <w:vAlign w:val="bottom"/>
            <w:hideMark/>
          </w:tcPr>
          <w:p w14:paraId="51FFD328"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0.80 ± 0.07</w:t>
            </w:r>
          </w:p>
        </w:tc>
        <w:tc>
          <w:tcPr>
            <w:tcW w:w="3292" w:type="dxa"/>
            <w:tcBorders>
              <w:left w:val="nil"/>
              <w:right w:val="nil"/>
            </w:tcBorders>
            <w:shd w:val="clear" w:color="auto" w:fill="auto"/>
            <w:noWrap/>
            <w:vAlign w:val="bottom"/>
            <w:hideMark/>
          </w:tcPr>
          <w:p w14:paraId="5E54825E"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90.31 ± 4.04</w:t>
            </w:r>
          </w:p>
        </w:tc>
      </w:tr>
      <w:tr w:rsidR="00906374" w:rsidRPr="00906374" w14:paraId="2875FEE8" w14:textId="77777777" w:rsidTr="00672286">
        <w:trPr>
          <w:trHeight w:val="352"/>
        </w:trPr>
        <w:tc>
          <w:tcPr>
            <w:tcW w:w="2139" w:type="dxa"/>
            <w:tcBorders>
              <w:left w:val="nil"/>
              <w:right w:val="nil"/>
            </w:tcBorders>
            <w:shd w:val="clear" w:color="auto" w:fill="auto"/>
            <w:noWrap/>
            <w:vAlign w:val="bottom"/>
            <w:hideMark/>
          </w:tcPr>
          <w:p w14:paraId="66173D17"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India</w:t>
            </w:r>
          </w:p>
        </w:tc>
        <w:tc>
          <w:tcPr>
            <w:tcW w:w="2894" w:type="dxa"/>
            <w:tcBorders>
              <w:left w:val="nil"/>
              <w:right w:val="nil"/>
            </w:tcBorders>
            <w:shd w:val="clear" w:color="auto" w:fill="auto"/>
            <w:noWrap/>
            <w:vAlign w:val="bottom"/>
            <w:hideMark/>
          </w:tcPr>
          <w:p w14:paraId="248F78A5"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0.07 ± 0.02</w:t>
            </w:r>
          </w:p>
        </w:tc>
        <w:tc>
          <w:tcPr>
            <w:tcW w:w="1636" w:type="dxa"/>
            <w:tcBorders>
              <w:left w:val="nil"/>
              <w:right w:val="nil"/>
            </w:tcBorders>
            <w:shd w:val="clear" w:color="auto" w:fill="auto"/>
            <w:noWrap/>
            <w:vAlign w:val="bottom"/>
            <w:hideMark/>
          </w:tcPr>
          <w:p w14:paraId="2F140AE3"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0.76 ± 0.05</w:t>
            </w:r>
          </w:p>
        </w:tc>
        <w:tc>
          <w:tcPr>
            <w:tcW w:w="3292" w:type="dxa"/>
            <w:tcBorders>
              <w:left w:val="nil"/>
              <w:right w:val="nil"/>
            </w:tcBorders>
            <w:shd w:val="clear" w:color="auto" w:fill="auto"/>
            <w:noWrap/>
            <w:vAlign w:val="bottom"/>
            <w:hideMark/>
          </w:tcPr>
          <w:p w14:paraId="2EF2821A"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91.07 ± 4.09</w:t>
            </w:r>
          </w:p>
        </w:tc>
      </w:tr>
      <w:tr w:rsidR="00906374" w:rsidRPr="00906374" w14:paraId="243BD371" w14:textId="77777777" w:rsidTr="00672286">
        <w:trPr>
          <w:trHeight w:val="352"/>
        </w:trPr>
        <w:tc>
          <w:tcPr>
            <w:tcW w:w="2139" w:type="dxa"/>
            <w:tcBorders>
              <w:left w:val="nil"/>
              <w:right w:val="nil"/>
            </w:tcBorders>
            <w:shd w:val="clear" w:color="auto" w:fill="auto"/>
            <w:noWrap/>
            <w:vAlign w:val="bottom"/>
            <w:hideMark/>
          </w:tcPr>
          <w:p w14:paraId="51C0CD7E"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lastRenderedPageBreak/>
              <w:t>Sierra Leone</w:t>
            </w:r>
          </w:p>
        </w:tc>
        <w:tc>
          <w:tcPr>
            <w:tcW w:w="2894" w:type="dxa"/>
            <w:tcBorders>
              <w:left w:val="nil"/>
              <w:right w:val="nil"/>
            </w:tcBorders>
            <w:shd w:val="clear" w:color="auto" w:fill="auto"/>
            <w:noWrap/>
            <w:vAlign w:val="bottom"/>
            <w:hideMark/>
          </w:tcPr>
          <w:p w14:paraId="6C9831FD"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0.07 ± 0.02</w:t>
            </w:r>
          </w:p>
        </w:tc>
        <w:tc>
          <w:tcPr>
            <w:tcW w:w="1636" w:type="dxa"/>
            <w:tcBorders>
              <w:left w:val="nil"/>
              <w:right w:val="nil"/>
            </w:tcBorders>
            <w:shd w:val="clear" w:color="auto" w:fill="auto"/>
            <w:noWrap/>
            <w:vAlign w:val="bottom"/>
            <w:hideMark/>
          </w:tcPr>
          <w:p w14:paraId="25C2A13C"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0.76 ± 0.05</w:t>
            </w:r>
          </w:p>
        </w:tc>
        <w:tc>
          <w:tcPr>
            <w:tcW w:w="3292" w:type="dxa"/>
            <w:tcBorders>
              <w:left w:val="nil"/>
              <w:right w:val="nil"/>
            </w:tcBorders>
            <w:shd w:val="clear" w:color="auto" w:fill="auto"/>
            <w:noWrap/>
            <w:vAlign w:val="bottom"/>
            <w:hideMark/>
          </w:tcPr>
          <w:p w14:paraId="36B04B0C"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91.82 ± 4.14</w:t>
            </w:r>
          </w:p>
        </w:tc>
      </w:tr>
      <w:tr w:rsidR="00906374" w:rsidRPr="00906374" w14:paraId="1A1EA865" w14:textId="77777777" w:rsidTr="00672286">
        <w:trPr>
          <w:trHeight w:val="352"/>
        </w:trPr>
        <w:tc>
          <w:tcPr>
            <w:tcW w:w="2139" w:type="dxa"/>
            <w:tcBorders>
              <w:left w:val="nil"/>
              <w:right w:val="nil"/>
            </w:tcBorders>
            <w:shd w:val="clear" w:color="auto" w:fill="auto"/>
            <w:noWrap/>
            <w:vAlign w:val="bottom"/>
            <w:hideMark/>
          </w:tcPr>
          <w:p w14:paraId="262B65DA"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Vietnam</w:t>
            </w:r>
          </w:p>
        </w:tc>
        <w:tc>
          <w:tcPr>
            <w:tcW w:w="2894" w:type="dxa"/>
            <w:tcBorders>
              <w:left w:val="nil"/>
              <w:right w:val="nil"/>
            </w:tcBorders>
            <w:shd w:val="clear" w:color="auto" w:fill="auto"/>
            <w:noWrap/>
            <w:vAlign w:val="bottom"/>
            <w:hideMark/>
          </w:tcPr>
          <w:p w14:paraId="69EF20D4"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0.07 ± 0.02</w:t>
            </w:r>
          </w:p>
        </w:tc>
        <w:tc>
          <w:tcPr>
            <w:tcW w:w="1636" w:type="dxa"/>
            <w:tcBorders>
              <w:left w:val="nil"/>
              <w:right w:val="nil"/>
            </w:tcBorders>
            <w:shd w:val="clear" w:color="auto" w:fill="auto"/>
            <w:noWrap/>
            <w:vAlign w:val="bottom"/>
            <w:hideMark/>
          </w:tcPr>
          <w:p w14:paraId="15CB4D8B"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0.76 ± 0.05</w:t>
            </w:r>
          </w:p>
        </w:tc>
        <w:tc>
          <w:tcPr>
            <w:tcW w:w="3292" w:type="dxa"/>
            <w:tcBorders>
              <w:left w:val="nil"/>
              <w:right w:val="nil"/>
            </w:tcBorders>
            <w:shd w:val="clear" w:color="auto" w:fill="auto"/>
            <w:noWrap/>
            <w:vAlign w:val="bottom"/>
            <w:hideMark/>
          </w:tcPr>
          <w:p w14:paraId="336A8FE2"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92.58 ± 4.19</w:t>
            </w:r>
          </w:p>
        </w:tc>
      </w:tr>
      <w:tr w:rsidR="00906374" w:rsidRPr="00906374" w14:paraId="54824F4C" w14:textId="77777777" w:rsidTr="00672286">
        <w:trPr>
          <w:trHeight w:val="352"/>
        </w:trPr>
        <w:tc>
          <w:tcPr>
            <w:tcW w:w="2139" w:type="dxa"/>
            <w:tcBorders>
              <w:left w:val="nil"/>
              <w:right w:val="nil"/>
            </w:tcBorders>
            <w:shd w:val="clear" w:color="auto" w:fill="auto"/>
            <w:noWrap/>
            <w:vAlign w:val="bottom"/>
            <w:hideMark/>
          </w:tcPr>
          <w:p w14:paraId="252EF59F"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Nicaragua</w:t>
            </w:r>
          </w:p>
        </w:tc>
        <w:tc>
          <w:tcPr>
            <w:tcW w:w="2894" w:type="dxa"/>
            <w:tcBorders>
              <w:left w:val="nil"/>
              <w:right w:val="nil"/>
            </w:tcBorders>
            <w:shd w:val="clear" w:color="auto" w:fill="auto"/>
            <w:noWrap/>
            <w:vAlign w:val="bottom"/>
            <w:hideMark/>
          </w:tcPr>
          <w:p w14:paraId="1591A0D1"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0.06 ± 0.02</w:t>
            </w:r>
          </w:p>
        </w:tc>
        <w:tc>
          <w:tcPr>
            <w:tcW w:w="1636" w:type="dxa"/>
            <w:tcBorders>
              <w:left w:val="nil"/>
              <w:right w:val="nil"/>
            </w:tcBorders>
            <w:shd w:val="clear" w:color="auto" w:fill="auto"/>
            <w:noWrap/>
            <w:vAlign w:val="bottom"/>
            <w:hideMark/>
          </w:tcPr>
          <w:p w14:paraId="0ED3336B"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0.67 ± 0.01</w:t>
            </w:r>
          </w:p>
        </w:tc>
        <w:tc>
          <w:tcPr>
            <w:tcW w:w="3292" w:type="dxa"/>
            <w:tcBorders>
              <w:left w:val="nil"/>
              <w:right w:val="nil"/>
            </w:tcBorders>
            <w:shd w:val="clear" w:color="auto" w:fill="auto"/>
            <w:noWrap/>
            <w:vAlign w:val="bottom"/>
            <w:hideMark/>
          </w:tcPr>
          <w:p w14:paraId="576839E8"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93.25 ± 4.20</w:t>
            </w:r>
          </w:p>
        </w:tc>
      </w:tr>
      <w:tr w:rsidR="00906374" w:rsidRPr="00906374" w14:paraId="40C0587A" w14:textId="77777777" w:rsidTr="00672286">
        <w:trPr>
          <w:trHeight w:val="352"/>
        </w:trPr>
        <w:tc>
          <w:tcPr>
            <w:tcW w:w="2139" w:type="dxa"/>
            <w:tcBorders>
              <w:left w:val="nil"/>
              <w:right w:val="nil"/>
            </w:tcBorders>
            <w:shd w:val="clear" w:color="auto" w:fill="auto"/>
            <w:noWrap/>
            <w:vAlign w:val="bottom"/>
            <w:hideMark/>
          </w:tcPr>
          <w:p w14:paraId="26290488"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Honduras</w:t>
            </w:r>
          </w:p>
        </w:tc>
        <w:tc>
          <w:tcPr>
            <w:tcW w:w="2894" w:type="dxa"/>
            <w:tcBorders>
              <w:left w:val="nil"/>
              <w:right w:val="nil"/>
            </w:tcBorders>
            <w:shd w:val="clear" w:color="auto" w:fill="auto"/>
            <w:noWrap/>
            <w:vAlign w:val="bottom"/>
            <w:hideMark/>
          </w:tcPr>
          <w:p w14:paraId="0E9F9ACB"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0.05 ± 0.01</w:t>
            </w:r>
          </w:p>
        </w:tc>
        <w:tc>
          <w:tcPr>
            <w:tcW w:w="1636" w:type="dxa"/>
            <w:tcBorders>
              <w:left w:val="nil"/>
              <w:right w:val="nil"/>
            </w:tcBorders>
            <w:shd w:val="clear" w:color="auto" w:fill="auto"/>
            <w:noWrap/>
            <w:vAlign w:val="bottom"/>
            <w:hideMark/>
          </w:tcPr>
          <w:p w14:paraId="1C0218DE"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0.63 ± 0.02</w:t>
            </w:r>
          </w:p>
        </w:tc>
        <w:tc>
          <w:tcPr>
            <w:tcW w:w="3292" w:type="dxa"/>
            <w:tcBorders>
              <w:left w:val="nil"/>
              <w:right w:val="nil"/>
            </w:tcBorders>
            <w:shd w:val="clear" w:color="auto" w:fill="auto"/>
            <w:noWrap/>
            <w:vAlign w:val="bottom"/>
            <w:hideMark/>
          </w:tcPr>
          <w:p w14:paraId="1780BC31"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93.87 ± 4.22</w:t>
            </w:r>
          </w:p>
        </w:tc>
      </w:tr>
      <w:tr w:rsidR="00906374" w:rsidRPr="00906374" w14:paraId="6F2B143C" w14:textId="77777777" w:rsidTr="00672286">
        <w:trPr>
          <w:trHeight w:val="352"/>
        </w:trPr>
        <w:tc>
          <w:tcPr>
            <w:tcW w:w="2139" w:type="dxa"/>
            <w:tcBorders>
              <w:left w:val="nil"/>
              <w:right w:val="nil"/>
            </w:tcBorders>
            <w:shd w:val="clear" w:color="auto" w:fill="auto"/>
            <w:noWrap/>
            <w:vAlign w:val="bottom"/>
            <w:hideMark/>
          </w:tcPr>
          <w:p w14:paraId="2E0F0E66"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Solomon Is.</w:t>
            </w:r>
          </w:p>
        </w:tc>
        <w:tc>
          <w:tcPr>
            <w:tcW w:w="2894" w:type="dxa"/>
            <w:tcBorders>
              <w:left w:val="nil"/>
              <w:right w:val="nil"/>
            </w:tcBorders>
            <w:shd w:val="clear" w:color="auto" w:fill="auto"/>
            <w:noWrap/>
            <w:vAlign w:val="bottom"/>
            <w:hideMark/>
          </w:tcPr>
          <w:p w14:paraId="12A81CE0"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0.05 ± 0.01</w:t>
            </w:r>
          </w:p>
        </w:tc>
        <w:tc>
          <w:tcPr>
            <w:tcW w:w="1636" w:type="dxa"/>
            <w:tcBorders>
              <w:left w:val="nil"/>
              <w:right w:val="nil"/>
            </w:tcBorders>
            <w:shd w:val="clear" w:color="auto" w:fill="auto"/>
            <w:noWrap/>
            <w:vAlign w:val="bottom"/>
            <w:hideMark/>
          </w:tcPr>
          <w:p w14:paraId="56686B3B"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0.63 ± 0.02</w:t>
            </w:r>
          </w:p>
        </w:tc>
        <w:tc>
          <w:tcPr>
            <w:tcW w:w="3292" w:type="dxa"/>
            <w:tcBorders>
              <w:left w:val="nil"/>
              <w:right w:val="nil"/>
            </w:tcBorders>
            <w:shd w:val="clear" w:color="auto" w:fill="auto"/>
            <w:noWrap/>
            <w:vAlign w:val="bottom"/>
            <w:hideMark/>
          </w:tcPr>
          <w:p w14:paraId="7EE69690"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94.50 ± 4.24</w:t>
            </w:r>
          </w:p>
        </w:tc>
      </w:tr>
      <w:tr w:rsidR="00906374" w:rsidRPr="00906374" w14:paraId="154B0B00" w14:textId="77777777" w:rsidTr="00672286">
        <w:trPr>
          <w:trHeight w:val="352"/>
        </w:trPr>
        <w:tc>
          <w:tcPr>
            <w:tcW w:w="2139" w:type="dxa"/>
            <w:tcBorders>
              <w:left w:val="nil"/>
              <w:bottom w:val="single" w:sz="4" w:space="0" w:color="auto"/>
              <w:right w:val="nil"/>
            </w:tcBorders>
            <w:shd w:val="clear" w:color="auto" w:fill="auto"/>
            <w:noWrap/>
            <w:vAlign w:val="bottom"/>
            <w:hideMark/>
          </w:tcPr>
          <w:p w14:paraId="62B440CC"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Fiji</w:t>
            </w:r>
          </w:p>
        </w:tc>
        <w:tc>
          <w:tcPr>
            <w:tcW w:w="2894" w:type="dxa"/>
            <w:tcBorders>
              <w:left w:val="nil"/>
              <w:bottom w:val="single" w:sz="4" w:space="0" w:color="auto"/>
              <w:right w:val="nil"/>
            </w:tcBorders>
            <w:shd w:val="clear" w:color="auto" w:fill="auto"/>
            <w:noWrap/>
            <w:vAlign w:val="bottom"/>
            <w:hideMark/>
          </w:tcPr>
          <w:p w14:paraId="3826CDD1"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0.05 ± 0.01</w:t>
            </w:r>
          </w:p>
        </w:tc>
        <w:tc>
          <w:tcPr>
            <w:tcW w:w="1636" w:type="dxa"/>
            <w:tcBorders>
              <w:left w:val="nil"/>
              <w:bottom w:val="single" w:sz="4" w:space="0" w:color="auto"/>
              <w:right w:val="nil"/>
            </w:tcBorders>
            <w:shd w:val="clear" w:color="auto" w:fill="auto"/>
            <w:noWrap/>
            <w:vAlign w:val="bottom"/>
            <w:hideMark/>
          </w:tcPr>
          <w:p w14:paraId="43B2A07E"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0.59 ± 0.04</w:t>
            </w:r>
          </w:p>
        </w:tc>
        <w:tc>
          <w:tcPr>
            <w:tcW w:w="3292" w:type="dxa"/>
            <w:tcBorders>
              <w:left w:val="nil"/>
              <w:bottom w:val="single" w:sz="4" w:space="0" w:color="auto"/>
              <w:right w:val="nil"/>
            </w:tcBorders>
            <w:shd w:val="clear" w:color="auto" w:fill="auto"/>
            <w:noWrap/>
            <w:vAlign w:val="bottom"/>
            <w:hideMark/>
          </w:tcPr>
          <w:p w14:paraId="36C3EC3F" w14:textId="77777777" w:rsidR="00906374" w:rsidRPr="00906374" w:rsidRDefault="00906374" w:rsidP="00672286">
            <w:pPr>
              <w:widowControl w:val="0"/>
              <w:autoSpaceDE w:val="0"/>
              <w:autoSpaceDN w:val="0"/>
              <w:adjustRightInd w:val="0"/>
              <w:contextualSpacing/>
              <w:jc w:val="center"/>
              <w:rPr>
                <w:rFonts w:cstheme="minorHAnsi"/>
                <w:color w:val="000000"/>
                <w:sz w:val="22"/>
                <w:szCs w:val="22"/>
              </w:rPr>
            </w:pPr>
            <w:r w:rsidRPr="00906374">
              <w:rPr>
                <w:rFonts w:cstheme="minorHAnsi"/>
                <w:color w:val="000000"/>
                <w:sz w:val="22"/>
                <w:szCs w:val="22"/>
              </w:rPr>
              <w:t>95.08 ± 4.28</w:t>
            </w:r>
          </w:p>
        </w:tc>
      </w:tr>
    </w:tbl>
    <w:p w14:paraId="7AF1B7DE" w14:textId="77777777" w:rsidR="00906374" w:rsidRPr="006547D5" w:rsidRDefault="00906374" w:rsidP="00906374">
      <w:pPr>
        <w:rPr>
          <w:b/>
          <w:bCs/>
          <w:sz w:val="20"/>
          <w:szCs w:val="20"/>
        </w:rPr>
      </w:pPr>
    </w:p>
    <w:p w14:paraId="2627BAAF" w14:textId="77777777" w:rsidR="00906374" w:rsidRPr="006547D5" w:rsidRDefault="00906374" w:rsidP="00906374">
      <w:pPr>
        <w:rPr>
          <w:b/>
          <w:bCs/>
          <w:sz w:val="20"/>
          <w:szCs w:val="20"/>
        </w:rPr>
      </w:pPr>
    </w:p>
    <w:p w14:paraId="5D3188F0" w14:textId="77777777" w:rsidR="00906374" w:rsidRDefault="00906374" w:rsidP="00906374">
      <w:pPr>
        <w:pStyle w:val="Heading2"/>
        <w:rPr>
          <w:rFonts w:asciiTheme="minorHAnsi" w:hAnsiTheme="minorHAnsi" w:cstheme="minorHAnsi"/>
          <w:b/>
          <w:bCs/>
          <w:color w:val="000000" w:themeColor="text1"/>
        </w:rPr>
        <w:sectPr w:rsidR="00906374" w:rsidSect="00B2063E">
          <w:pgSz w:w="11906" w:h="16838"/>
          <w:pgMar w:top="1440" w:right="1440" w:bottom="1440" w:left="1440" w:header="708" w:footer="708" w:gutter="0"/>
          <w:cols w:space="708"/>
          <w:docGrid w:linePitch="360"/>
        </w:sectPr>
      </w:pPr>
    </w:p>
    <w:p w14:paraId="505F5653" w14:textId="4EFB0482" w:rsidR="00906374" w:rsidRPr="00492CEA" w:rsidRDefault="00906374" w:rsidP="00906374">
      <w:pPr>
        <w:pStyle w:val="Heading2"/>
        <w:rPr>
          <w:rFonts w:asciiTheme="minorHAnsi" w:hAnsiTheme="minorHAnsi" w:cstheme="minorHAnsi"/>
          <w:b/>
          <w:bCs/>
          <w:color w:val="000000" w:themeColor="text1"/>
        </w:rPr>
      </w:pPr>
      <w:bookmarkStart w:id="80" w:name="_Toc120622165"/>
      <w:r>
        <w:rPr>
          <w:rFonts w:asciiTheme="minorHAnsi" w:hAnsiTheme="minorHAnsi" w:cstheme="minorHAnsi"/>
          <w:b/>
          <w:bCs/>
          <w:color w:val="000000" w:themeColor="text1"/>
        </w:rPr>
        <w:lastRenderedPageBreak/>
        <w:t>8</w:t>
      </w:r>
      <w:r w:rsidRPr="00492CEA">
        <w:rPr>
          <w:rFonts w:asciiTheme="minorHAnsi" w:hAnsiTheme="minorHAnsi" w:cstheme="minorHAnsi"/>
          <w:b/>
          <w:bCs/>
          <w:color w:val="000000" w:themeColor="text1"/>
        </w:rPr>
        <w:t>.2</w:t>
      </w:r>
      <w:r w:rsidRPr="00492CEA">
        <w:rPr>
          <w:rFonts w:asciiTheme="minorHAnsi" w:hAnsiTheme="minorHAnsi" w:cstheme="minorHAnsi"/>
          <w:b/>
          <w:bCs/>
          <w:color w:val="000000" w:themeColor="text1"/>
        </w:rPr>
        <w:tab/>
        <w:t>Figures</w:t>
      </w:r>
      <w:bookmarkEnd w:id="80"/>
    </w:p>
    <w:p w14:paraId="747F80A5" w14:textId="77777777" w:rsidR="00906374" w:rsidRDefault="00906374" w:rsidP="00906374">
      <w:pPr>
        <w:widowControl w:val="0"/>
        <w:autoSpaceDE w:val="0"/>
        <w:autoSpaceDN w:val="0"/>
        <w:adjustRightInd w:val="0"/>
        <w:spacing w:line="480" w:lineRule="auto"/>
        <w:ind w:left="480" w:hanging="480"/>
        <w:jc w:val="center"/>
        <w:rPr>
          <w:b/>
          <w:bCs/>
        </w:rPr>
      </w:pPr>
      <w:r>
        <w:rPr>
          <w:b/>
          <w:bCs/>
          <w:noProof/>
          <w:lang w:eastAsia="en-GB"/>
        </w:rPr>
        <w:drawing>
          <wp:inline distT="0" distB="0" distL="0" distR="0" wp14:anchorId="03B72485" wp14:editId="2400C528">
            <wp:extent cx="4873557" cy="4756731"/>
            <wp:effectExtent l="0" t="0" r="3810" b="6350"/>
            <wp:docPr id="59" name="Picture 5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S4.tif"/>
                    <pic:cNvPicPr/>
                  </pic:nvPicPr>
                  <pic:blipFill rotWithShape="1">
                    <a:blip r:embed="rId59" cstate="print">
                      <a:extLst>
                        <a:ext uri="{28A0092B-C50C-407E-A947-70E740481C1C}">
                          <a14:useLocalDpi xmlns:a14="http://schemas.microsoft.com/office/drawing/2010/main" val="0"/>
                        </a:ext>
                      </a:extLst>
                    </a:blip>
                    <a:srcRect l="10013" r="4954" b="42288"/>
                    <a:stretch/>
                  </pic:blipFill>
                  <pic:spPr bwMode="auto">
                    <a:xfrm>
                      <a:off x="0" y="0"/>
                      <a:ext cx="4873654" cy="4756826"/>
                    </a:xfrm>
                    <a:prstGeom prst="rect">
                      <a:avLst/>
                    </a:prstGeom>
                    <a:ln>
                      <a:noFill/>
                    </a:ln>
                    <a:extLst>
                      <a:ext uri="{53640926-AAD7-44D8-BBD7-CCE9431645EC}">
                        <a14:shadowObscured xmlns:a14="http://schemas.microsoft.com/office/drawing/2010/main"/>
                      </a:ext>
                    </a:extLst>
                  </pic:spPr>
                </pic:pic>
              </a:graphicData>
            </a:graphic>
          </wp:inline>
        </w:drawing>
      </w:r>
    </w:p>
    <w:p w14:paraId="5A77399E" w14:textId="77777777" w:rsidR="00906374" w:rsidRPr="00283B63" w:rsidRDefault="00906374" w:rsidP="00906374">
      <w:pPr>
        <w:rPr>
          <w:b/>
          <w:bCs/>
          <w:sz w:val="20"/>
          <w:szCs w:val="20"/>
          <w:vertAlign w:val="superscript"/>
        </w:rPr>
      </w:pPr>
      <w:r w:rsidRPr="00283B63">
        <w:rPr>
          <w:b/>
          <w:bCs/>
          <w:sz w:val="20"/>
          <w:szCs w:val="20"/>
        </w:rPr>
        <w:t>Figure A1: Transect sampling design used at the three sites. Experimental plots were placed approximately equidistant apart along each transect. Every mangrove tree rooted within each plot was measured</w:t>
      </w:r>
      <w:r>
        <w:rPr>
          <w:b/>
          <w:bCs/>
          <w:sz w:val="20"/>
          <w:szCs w:val="20"/>
        </w:rPr>
        <w:t>.</w:t>
      </w:r>
    </w:p>
    <w:p w14:paraId="2AEA5005" w14:textId="77777777" w:rsidR="00906374" w:rsidRDefault="00906374" w:rsidP="00906374">
      <w:pPr>
        <w:sectPr w:rsidR="00906374" w:rsidSect="00B2063E">
          <w:pgSz w:w="11906" w:h="16838"/>
          <w:pgMar w:top="1440" w:right="1440" w:bottom="1440" w:left="1440" w:header="708" w:footer="708" w:gutter="0"/>
          <w:cols w:space="708"/>
          <w:docGrid w:linePitch="360"/>
        </w:sectPr>
      </w:pPr>
    </w:p>
    <w:p w14:paraId="7A0C9FB0" w14:textId="77777777" w:rsidR="00906374" w:rsidRDefault="00906374" w:rsidP="00906374">
      <w:pPr>
        <w:widowControl w:val="0"/>
        <w:autoSpaceDE w:val="0"/>
        <w:autoSpaceDN w:val="0"/>
        <w:adjustRightInd w:val="0"/>
        <w:spacing w:line="480" w:lineRule="auto"/>
        <w:ind w:left="480" w:hanging="480"/>
        <w:rPr>
          <w:b/>
          <w:bCs/>
        </w:rPr>
      </w:pPr>
      <w:r>
        <w:rPr>
          <w:noProof/>
          <w:lang w:eastAsia="en-GB"/>
        </w:rPr>
        <w:lastRenderedPageBreak/>
        <w:drawing>
          <wp:inline distT="0" distB="0" distL="0" distR="0" wp14:anchorId="4C9843E8" wp14:editId="615B8A38">
            <wp:extent cx="8160414" cy="5440101"/>
            <wp:effectExtent l="0" t="0" r="5715" b="0"/>
            <wp:docPr id="60" name="Picture 6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8229372" cy="5486071"/>
                    </a:xfrm>
                    <a:prstGeom prst="rect">
                      <a:avLst/>
                    </a:prstGeom>
                  </pic:spPr>
                </pic:pic>
              </a:graphicData>
            </a:graphic>
          </wp:inline>
        </w:drawing>
      </w:r>
    </w:p>
    <w:p w14:paraId="515714E7" w14:textId="77777777" w:rsidR="00906374" w:rsidRPr="00376BF8" w:rsidRDefault="00906374" w:rsidP="00906374">
      <w:r>
        <w:rPr>
          <w:b/>
          <w:bCs/>
          <w:sz w:val="18"/>
          <w:szCs w:val="18"/>
        </w:rPr>
        <w:t>Figure A2</w:t>
      </w:r>
      <w:r w:rsidRPr="00535022">
        <w:rPr>
          <w:b/>
          <w:bCs/>
          <w:sz w:val="18"/>
          <w:szCs w:val="18"/>
        </w:rPr>
        <w:t xml:space="preserve">: </w:t>
      </w:r>
      <w:r>
        <w:rPr>
          <w:b/>
          <w:bCs/>
          <w:sz w:val="18"/>
          <w:szCs w:val="18"/>
        </w:rPr>
        <w:t xml:space="preserve">Monthly air temperatures from weather station data around Qatar from December 2018 to October 2019. Black points represent individual temperature measurements, while the blue line is the mean for each month. Note standard errors are included but as there were so many data points, the </w:t>
      </w:r>
      <w:proofErr w:type="gramStart"/>
      <w:r>
        <w:rPr>
          <w:b/>
          <w:bCs/>
          <w:sz w:val="18"/>
          <w:szCs w:val="18"/>
        </w:rPr>
        <w:t>SE’s</w:t>
      </w:r>
      <w:proofErr w:type="gramEnd"/>
      <w:r>
        <w:rPr>
          <w:b/>
          <w:bCs/>
          <w:sz w:val="18"/>
          <w:szCs w:val="18"/>
        </w:rPr>
        <w:t xml:space="preserve"> are too close to the mean line to distinguish them. These data were recorded from Qatar meteorology department.</w:t>
      </w:r>
    </w:p>
    <w:p w14:paraId="0E701F85" w14:textId="77777777" w:rsidR="00212CBF" w:rsidRDefault="00212CBF" w:rsidP="00906374">
      <w:pPr>
        <w:sectPr w:rsidR="00212CBF" w:rsidSect="00ED5594">
          <w:pgSz w:w="16838" w:h="11906" w:orient="landscape"/>
          <w:pgMar w:top="720" w:right="720" w:bottom="720" w:left="720" w:header="720" w:footer="720" w:gutter="0"/>
          <w:cols w:space="720"/>
          <w:docGrid w:linePitch="360"/>
        </w:sectPr>
      </w:pPr>
    </w:p>
    <w:p w14:paraId="45D35A37" w14:textId="77777777" w:rsidR="00050032" w:rsidRDefault="00212CBF" w:rsidP="001428BB">
      <w:pPr>
        <w:keepNext/>
        <w:pBdr>
          <w:top w:val="nil"/>
          <w:left w:val="nil"/>
          <w:bottom w:val="nil"/>
          <w:right w:val="nil"/>
          <w:between w:val="nil"/>
        </w:pBdr>
        <w:spacing w:before="240" w:after="60"/>
        <w:rPr>
          <w:rFonts w:cstheme="minorHAnsi"/>
          <w:b/>
          <w:sz w:val="20"/>
          <w:szCs w:val="20"/>
        </w:rPr>
      </w:pPr>
      <w:r>
        <w:rPr>
          <w:noProof/>
        </w:rPr>
        <w:lastRenderedPageBreak/>
        <w:drawing>
          <wp:inline distT="0" distB="0" distL="0" distR="0" wp14:anchorId="0960925C" wp14:editId="591E2594">
            <wp:extent cx="6050145" cy="8546471"/>
            <wp:effectExtent l="0" t="0" r="0" b="63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086217" cy="8597426"/>
                    </a:xfrm>
                    <a:prstGeom prst="rect">
                      <a:avLst/>
                    </a:prstGeom>
                  </pic:spPr>
                </pic:pic>
              </a:graphicData>
            </a:graphic>
          </wp:inline>
        </w:drawing>
      </w:r>
      <w:r w:rsidR="001428BB" w:rsidRPr="001428BB">
        <w:rPr>
          <w:rFonts w:cstheme="minorHAnsi"/>
          <w:b/>
          <w:sz w:val="20"/>
          <w:szCs w:val="20"/>
        </w:rPr>
        <w:t xml:space="preserve"> </w:t>
      </w:r>
    </w:p>
    <w:p w14:paraId="22E1B7D2" w14:textId="17770E9B" w:rsidR="001428BB" w:rsidRPr="00760F3E" w:rsidRDefault="001428BB" w:rsidP="001428BB">
      <w:pPr>
        <w:keepNext/>
        <w:pBdr>
          <w:top w:val="nil"/>
          <w:left w:val="nil"/>
          <w:bottom w:val="nil"/>
          <w:right w:val="nil"/>
          <w:between w:val="nil"/>
        </w:pBdr>
        <w:spacing w:before="240" w:after="60"/>
        <w:rPr>
          <w:rFonts w:cstheme="minorHAnsi"/>
          <w:b/>
          <w:sz w:val="20"/>
          <w:szCs w:val="20"/>
        </w:rPr>
      </w:pPr>
      <w:r>
        <w:rPr>
          <w:rFonts w:cstheme="minorHAnsi"/>
          <w:b/>
          <w:sz w:val="20"/>
          <w:szCs w:val="20"/>
        </w:rPr>
        <w:t xml:space="preserve">Figure A3: </w:t>
      </w:r>
      <w:r w:rsidRPr="00334248">
        <w:rPr>
          <w:rFonts w:cstheme="minorHAnsi"/>
          <w:b/>
          <w:sz w:val="20"/>
          <w:szCs w:val="20"/>
        </w:rPr>
        <w:t xml:space="preserve">Estimated </w:t>
      </w:r>
      <w:r>
        <w:rPr>
          <w:rFonts w:cstheme="minorHAnsi"/>
          <w:b/>
          <w:sz w:val="20"/>
          <w:szCs w:val="20"/>
        </w:rPr>
        <w:t>change</w:t>
      </w:r>
      <w:r w:rsidRPr="00334248">
        <w:rPr>
          <w:rFonts w:cstheme="minorHAnsi"/>
          <w:b/>
          <w:sz w:val="20"/>
          <w:szCs w:val="20"/>
        </w:rPr>
        <w:t xml:space="preserve"> </w:t>
      </w:r>
      <w:r>
        <w:rPr>
          <w:rFonts w:cstheme="minorHAnsi"/>
          <w:b/>
          <w:sz w:val="20"/>
          <w:szCs w:val="20"/>
        </w:rPr>
        <w:t xml:space="preserve">in </w:t>
      </w:r>
      <w:r w:rsidR="00A079B9">
        <w:rPr>
          <w:rFonts w:cstheme="minorHAnsi"/>
          <w:b/>
          <w:sz w:val="20"/>
          <w:szCs w:val="20"/>
        </w:rPr>
        <w:t xml:space="preserve">annual </w:t>
      </w:r>
      <w:r w:rsidRPr="00334248">
        <w:rPr>
          <w:rFonts w:cstheme="minorHAnsi"/>
          <w:b/>
          <w:sz w:val="20"/>
          <w:szCs w:val="20"/>
        </w:rPr>
        <w:t xml:space="preserve">global </w:t>
      </w:r>
      <w:r w:rsidR="00F44644">
        <w:rPr>
          <w:rFonts w:cstheme="minorHAnsi"/>
          <w:b/>
          <w:sz w:val="20"/>
          <w:szCs w:val="20"/>
        </w:rPr>
        <w:t>NPP rates</w:t>
      </w:r>
      <w:r w:rsidRPr="00334248">
        <w:rPr>
          <w:rFonts w:cstheme="minorHAnsi"/>
          <w:b/>
          <w:sz w:val="20"/>
          <w:szCs w:val="20"/>
        </w:rPr>
        <w:t xml:space="preserve"> </w:t>
      </w:r>
      <w:r w:rsidR="00EB735E">
        <w:rPr>
          <w:rFonts w:cstheme="minorHAnsi"/>
          <w:b/>
          <w:sz w:val="20"/>
          <w:szCs w:val="20"/>
        </w:rPr>
        <w:t xml:space="preserve">by late-century (2085 to 2095) </w:t>
      </w:r>
      <w:r w:rsidR="00A079B9">
        <w:rPr>
          <w:rFonts w:cstheme="minorHAnsi"/>
          <w:b/>
          <w:sz w:val="20"/>
          <w:szCs w:val="20"/>
        </w:rPr>
        <w:t xml:space="preserve">under </w:t>
      </w:r>
      <w:r w:rsidR="00EB735E">
        <w:rPr>
          <w:rFonts w:cstheme="minorHAnsi"/>
          <w:b/>
          <w:sz w:val="20"/>
          <w:szCs w:val="20"/>
        </w:rPr>
        <w:t xml:space="preserve">scenarios </w:t>
      </w:r>
      <w:r>
        <w:rPr>
          <w:rFonts w:cstheme="minorHAnsi"/>
          <w:b/>
          <w:sz w:val="20"/>
          <w:szCs w:val="20"/>
        </w:rPr>
        <w:t>a</w:t>
      </w:r>
      <w:r w:rsidRPr="00334248">
        <w:rPr>
          <w:rFonts w:cstheme="minorHAnsi"/>
          <w:b/>
          <w:sz w:val="20"/>
          <w:szCs w:val="20"/>
        </w:rPr>
        <w:t xml:space="preserve">) </w:t>
      </w:r>
      <w:r w:rsidR="00EB735E">
        <w:rPr>
          <w:rFonts w:cstheme="minorHAnsi"/>
          <w:b/>
          <w:sz w:val="20"/>
          <w:szCs w:val="20"/>
        </w:rPr>
        <w:t>SSP126</w:t>
      </w:r>
      <w:r w:rsidRPr="00334248">
        <w:rPr>
          <w:rFonts w:cstheme="minorHAnsi"/>
          <w:b/>
          <w:sz w:val="20"/>
          <w:szCs w:val="20"/>
        </w:rPr>
        <w:t xml:space="preserve">, </w:t>
      </w:r>
      <w:r>
        <w:rPr>
          <w:rFonts w:cstheme="minorHAnsi"/>
          <w:b/>
          <w:sz w:val="20"/>
          <w:szCs w:val="20"/>
        </w:rPr>
        <w:t>b</w:t>
      </w:r>
      <w:r w:rsidRPr="00334248">
        <w:rPr>
          <w:rFonts w:cstheme="minorHAnsi"/>
          <w:b/>
          <w:sz w:val="20"/>
          <w:szCs w:val="20"/>
        </w:rPr>
        <w:t xml:space="preserve">) </w:t>
      </w:r>
      <w:r w:rsidR="00EB735E">
        <w:rPr>
          <w:rFonts w:cstheme="minorHAnsi"/>
          <w:b/>
          <w:sz w:val="20"/>
          <w:szCs w:val="20"/>
        </w:rPr>
        <w:t xml:space="preserve">SSP245, </w:t>
      </w:r>
      <w:r>
        <w:rPr>
          <w:rFonts w:cstheme="minorHAnsi"/>
          <w:b/>
          <w:sz w:val="20"/>
          <w:szCs w:val="20"/>
        </w:rPr>
        <w:t>c</w:t>
      </w:r>
      <w:r w:rsidRPr="00334248">
        <w:rPr>
          <w:rFonts w:cstheme="minorHAnsi"/>
          <w:b/>
          <w:sz w:val="20"/>
          <w:szCs w:val="20"/>
        </w:rPr>
        <w:t xml:space="preserve">) </w:t>
      </w:r>
      <w:r w:rsidR="00EB735E">
        <w:rPr>
          <w:rFonts w:cstheme="minorHAnsi"/>
          <w:b/>
          <w:sz w:val="20"/>
          <w:szCs w:val="20"/>
        </w:rPr>
        <w:t>SSP370 and d) SSP585</w:t>
      </w:r>
      <w:r w:rsidRPr="00334248">
        <w:rPr>
          <w:rFonts w:cstheme="minorHAnsi"/>
          <w:b/>
          <w:sz w:val="20"/>
          <w:szCs w:val="20"/>
        </w:rPr>
        <w:t>. Data presented are mean predicted values</w:t>
      </w:r>
      <w:r>
        <w:rPr>
          <w:rFonts w:cstheme="minorHAnsi"/>
          <w:b/>
          <w:sz w:val="20"/>
          <w:szCs w:val="20"/>
        </w:rPr>
        <w:t>.</w:t>
      </w:r>
    </w:p>
    <w:p w14:paraId="14C9C666" w14:textId="4855AD95" w:rsidR="00906374" w:rsidRDefault="00906374" w:rsidP="00906374">
      <w:pPr>
        <w:sectPr w:rsidR="00906374" w:rsidSect="00906EF9">
          <w:pgSz w:w="11906" w:h="16838"/>
          <w:pgMar w:top="720" w:right="720" w:bottom="720" w:left="720" w:header="720" w:footer="720" w:gutter="0"/>
          <w:cols w:space="720"/>
          <w:docGrid w:linePitch="360"/>
        </w:sectPr>
      </w:pPr>
    </w:p>
    <w:p w14:paraId="1BCD00C9" w14:textId="77777777" w:rsidR="00906374" w:rsidRDefault="00906374" w:rsidP="00906374">
      <w:pPr>
        <w:jc w:val="center"/>
      </w:pPr>
      <w:r>
        <w:rPr>
          <w:b/>
          <w:bCs/>
          <w:noProof/>
          <w:lang w:eastAsia="en-GB"/>
        </w:rPr>
        <w:lastRenderedPageBreak/>
        <w:drawing>
          <wp:inline distT="0" distB="0" distL="0" distR="0" wp14:anchorId="16A49A23" wp14:editId="43B9DD13">
            <wp:extent cx="4794696" cy="3326130"/>
            <wp:effectExtent l="0" t="0" r="6350" b="1270"/>
            <wp:docPr id="61" name="Picture 6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S4.tif"/>
                    <pic:cNvPicPr/>
                  </pic:nvPicPr>
                  <pic:blipFill rotWithShape="1">
                    <a:blip r:embed="rId59" cstate="print">
                      <a:extLst>
                        <a:ext uri="{28A0092B-C50C-407E-A947-70E740481C1C}">
                          <a14:useLocalDpi xmlns:a14="http://schemas.microsoft.com/office/drawing/2010/main" val="0"/>
                        </a:ext>
                      </a:extLst>
                    </a:blip>
                    <a:srcRect l="11032" t="59262" r="5290" b="373"/>
                    <a:stretch/>
                  </pic:blipFill>
                  <pic:spPr bwMode="auto">
                    <a:xfrm>
                      <a:off x="0" y="0"/>
                      <a:ext cx="4796011" cy="3327042"/>
                    </a:xfrm>
                    <a:prstGeom prst="rect">
                      <a:avLst/>
                    </a:prstGeom>
                    <a:ln>
                      <a:noFill/>
                    </a:ln>
                    <a:extLst>
                      <a:ext uri="{53640926-AAD7-44D8-BBD7-CCE9431645EC}">
                        <a14:shadowObscured xmlns:a14="http://schemas.microsoft.com/office/drawing/2010/main"/>
                      </a:ext>
                    </a:extLst>
                  </pic:spPr>
                </pic:pic>
              </a:graphicData>
            </a:graphic>
          </wp:inline>
        </w:drawing>
      </w:r>
    </w:p>
    <w:p w14:paraId="22A3EEAC" w14:textId="7B9B7D1F" w:rsidR="00906374" w:rsidRDefault="00906374" w:rsidP="00906374">
      <w:pPr>
        <w:rPr>
          <w:b/>
          <w:bCs/>
          <w:sz w:val="20"/>
          <w:szCs w:val="20"/>
        </w:rPr>
      </w:pPr>
      <w:r>
        <w:rPr>
          <w:b/>
          <w:bCs/>
          <w:sz w:val="20"/>
          <w:szCs w:val="20"/>
        </w:rPr>
        <w:t>Figure A</w:t>
      </w:r>
      <w:r w:rsidR="00212CBF">
        <w:rPr>
          <w:b/>
          <w:bCs/>
          <w:sz w:val="20"/>
          <w:szCs w:val="20"/>
        </w:rPr>
        <w:t>4</w:t>
      </w:r>
      <w:r>
        <w:rPr>
          <w:b/>
          <w:bCs/>
          <w:sz w:val="20"/>
          <w:szCs w:val="20"/>
        </w:rPr>
        <w:t>:</w:t>
      </w:r>
      <w:r w:rsidRPr="00283B63">
        <w:rPr>
          <w:b/>
          <w:bCs/>
          <w:sz w:val="20"/>
          <w:szCs w:val="20"/>
        </w:rPr>
        <w:t xml:space="preserve"> </w:t>
      </w:r>
      <w:r>
        <w:rPr>
          <w:b/>
          <w:bCs/>
          <w:sz w:val="20"/>
          <w:szCs w:val="20"/>
        </w:rPr>
        <w:t>S</w:t>
      </w:r>
      <w:r w:rsidRPr="00283B63">
        <w:rPr>
          <w:b/>
          <w:bCs/>
          <w:sz w:val="20"/>
          <w:szCs w:val="20"/>
        </w:rPr>
        <w:t>oil carbon sampling method where each sample consisted of two sub-samples, one in the fine root layer and the other in the deeper sediment layer, a steel pole was also driven into the ground to measure depth to bedrock, however, as many sites were shallower than 50 cm soil depth, estimates were standardised to 50 cm.</w:t>
      </w:r>
    </w:p>
    <w:p w14:paraId="0607F330" w14:textId="77777777" w:rsidR="00906374" w:rsidRDefault="00906374" w:rsidP="00906374">
      <w:pPr>
        <w:rPr>
          <w:b/>
          <w:bCs/>
          <w:sz w:val="20"/>
          <w:szCs w:val="20"/>
        </w:rPr>
      </w:pPr>
    </w:p>
    <w:p w14:paraId="7A091C7A" w14:textId="77777777" w:rsidR="00906374" w:rsidRDefault="00906374" w:rsidP="00906374">
      <w:pPr>
        <w:rPr>
          <w:b/>
          <w:bCs/>
          <w:sz w:val="20"/>
          <w:szCs w:val="20"/>
        </w:rPr>
      </w:pPr>
    </w:p>
    <w:p w14:paraId="4A965C52" w14:textId="77777777" w:rsidR="00906374" w:rsidRDefault="00906374" w:rsidP="00906374">
      <w:pPr>
        <w:rPr>
          <w:b/>
          <w:bCs/>
          <w:sz w:val="20"/>
          <w:szCs w:val="20"/>
        </w:rPr>
      </w:pPr>
    </w:p>
    <w:p w14:paraId="05609421" w14:textId="77777777" w:rsidR="00906374" w:rsidRDefault="00906374" w:rsidP="00906374">
      <w:pPr>
        <w:rPr>
          <w:b/>
          <w:bCs/>
          <w:sz w:val="20"/>
          <w:szCs w:val="20"/>
        </w:rPr>
      </w:pPr>
    </w:p>
    <w:p w14:paraId="651F5D66" w14:textId="77777777" w:rsidR="00906374" w:rsidRPr="00283B63" w:rsidRDefault="00906374" w:rsidP="00906374">
      <w:pPr>
        <w:rPr>
          <w:b/>
          <w:bCs/>
          <w:sz w:val="20"/>
          <w:szCs w:val="20"/>
          <w:vertAlign w:val="superscript"/>
        </w:rPr>
      </w:pPr>
    </w:p>
    <w:p w14:paraId="7F4F00B8" w14:textId="1C51BC35" w:rsidR="00906374" w:rsidRDefault="002A4898" w:rsidP="00906374">
      <w:r>
        <w:rPr>
          <w:b/>
          <w:bCs/>
          <w:noProof/>
          <w:sz w:val="18"/>
          <w:szCs w:val="18"/>
        </w:rPr>
        <w:lastRenderedPageBreak/>
        <mc:AlternateContent>
          <mc:Choice Requires="wps">
            <w:drawing>
              <wp:anchor distT="0" distB="0" distL="114300" distR="114300" simplePos="0" relativeHeight="251736064" behindDoc="0" locked="0" layoutInCell="1" allowOverlap="1" wp14:anchorId="06AE0078" wp14:editId="44A0B056">
                <wp:simplePos x="0" y="0"/>
                <wp:positionH relativeFrom="column">
                  <wp:posOffset>2651156</wp:posOffset>
                </wp:positionH>
                <wp:positionV relativeFrom="paragraph">
                  <wp:posOffset>97551</wp:posOffset>
                </wp:positionV>
                <wp:extent cx="660903" cy="633730"/>
                <wp:effectExtent l="0" t="0" r="0" b="1270"/>
                <wp:wrapNone/>
                <wp:docPr id="71" name="Text Box 71"/>
                <wp:cNvGraphicFramePr/>
                <a:graphic xmlns:a="http://schemas.openxmlformats.org/drawingml/2006/main">
                  <a:graphicData uri="http://schemas.microsoft.com/office/word/2010/wordprocessingShape">
                    <wps:wsp>
                      <wps:cNvSpPr txBox="1"/>
                      <wps:spPr>
                        <a:xfrm>
                          <a:off x="0" y="0"/>
                          <a:ext cx="660903" cy="633730"/>
                        </a:xfrm>
                        <a:prstGeom prst="rect">
                          <a:avLst/>
                        </a:prstGeom>
                        <a:solidFill>
                          <a:schemeClr val="lt1"/>
                        </a:solidFill>
                        <a:ln w="6350">
                          <a:noFill/>
                        </a:ln>
                      </wps:spPr>
                      <wps:txbx>
                        <w:txbxContent>
                          <w:p w14:paraId="1A5725CC" w14:textId="1BF334E3" w:rsidR="002A4898" w:rsidRPr="00D04E5C" w:rsidRDefault="002A4898" w:rsidP="002A4898">
                            <w:pPr>
                              <w:rPr>
                                <w:sz w:val="72"/>
                                <w:szCs w:val="72"/>
                              </w:rPr>
                            </w:pPr>
                            <w:r>
                              <w:rPr>
                                <w:sz w:val="72"/>
                                <w:szCs w:val="72"/>
                              </w:rPr>
                              <w:t>b</w:t>
                            </w:r>
                            <w:r w:rsidRPr="00D04E5C">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AE0078" id="Text Box 71" o:spid="_x0000_s1070" type="#_x0000_t202" style="position:absolute;margin-left:208.75pt;margin-top:7.7pt;width:52.05pt;height:49.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" fillcolor="white [3201]" stroked="f" strokeweight=".5pt">
                <v:textbox>
                  <w:txbxContent>
                    <w:p w14:paraId="1A5725CC" w14:textId="1BF334E3" w:rsidR="002A4898" w:rsidRPr="00D04E5C" w:rsidRDefault="002A4898" w:rsidP="002A4898">
                      <w:pPr>
                        <w:rPr>
                          <w:sz w:val="72"/>
                          <w:szCs w:val="72"/>
                        </w:rPr>
                      </w:pPr>
                      <w:r>
                        <w:rPr>
                          <w:sz w:val="72"/>
                          <w:szCs w:val="72"/>
                        </w:rPr>
                        <w:t>b</w:t>
                      </w:r>
                      <w:r w:rsidRPr="00D04E5C">
                        <w:rPr>
                          <w:sz w:val="72"/>
                          <w:szCs w:val="72"/>
                        </w:rPr>
                        <w:t>)</w:t>
                      </w:r>
                    </w:p>
                  </w:txbxContent>
                </v:textbox>
              </v:shape>
            </w:pict>
          </mc:Fallback>
        </mc:AlternateContent>
      </w:r>
      <w:r>
        <w:rPr>
          <w:b/>
          <w:bCs/>
          <w:noProof/>
          <w:sz w:val="18"/>
          <w:szCs w:val="18"/>
        </w:rPr>
        <mc:AlternateContent>
          <mc:Choice Requires="wps">
            <w:drawing>
              <wp:anchor distT="0" distB="0" distL="114300" distR="114300" simplePos="0" relativeHeight="251734016" behindDoc="0" locked="0" layoutInCell="1" allowOverlap="1" wp14:anchorId="143EFB18" wp14:editId="3CDFD82E">
                <wp:simplePos x="0" y="0"/>
                <wp:positionH relativeFrom="column">
                  <wp:posOffset>0</wp:posOffset>
                </wp:positionH>
                <wp:positionV relativeFrom="paragraph">
                  <wp:posOffset>99588</wp:posOffset>
                </wp:positionV>
                <wp:extent cx="660903" cy="633730"/>
                <wp:effectExtent l="0" t="0" r="0" b="1270"/>
                <wp:wrapNone/>
                <wp:docPr id="70" name="Text Box 70"/>
                <wp:cNvGraphicFramePr/>
                <a:graphic xmlns:a="http://schemas.openxmlformats.org/drawingml/2006/main">
                  <a:graphicData uri="http://schemas.microsoft.com/office/word/2010/wordprocessingShape">
                    <wps:wsp>
                      <wps:cNvSpPr txBox="1"/>
                      <wps:spPr>
                        <a:xfrm>
                          <a:off x="0" y="0"/>
                          <a:ext cx="660903" cy="633730"/>
                        </a:xfrm>
                        <a:prstGeom prst="rect">
                          <a:avLst/>
                        </a:prstGeom>
                        <a:solidFill>
                          <a:schemeClr val="lt1"/>
                        </a:solidFill>
                        <a:ln w="6350">
                          <a:noFill/>
                        </a:ln>
                      </wps:spPr>
                      <wps:txbx>
                        <w:txbxContent>
                          <w:p w14:paraId="5B7E1A12" w14:textId="77777777" w:rsidR="002A4898" w:rsidRPr="00D04E5C" w:rsidRDefault="002A4898" w:rsidP="002A4898">
                            <w:pPr>
                              <w:rPr>
                                <w:sz w:val="72"/>
                                <w:szCs w:val="72"/>
                              </w:rPr>
                            </w:pPr>
                            <w:r w:rsidRPr="00D04E5C">
                              <w:rPr>
                                <w:sz w:val="72"/>
                                <w:szCs w:val="7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EFB18" id="Text Box 70" o:spid="_x0000_s1071" type="#_x0000_t202" style="position:absolute;margin-left:0;margin-top:7.85pt;width:52.05pt;height:49.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" fillcolor="white [3201]" stroked="f" strokeweight=".5pt">
                <v:textbox>
                  <w:txbxContent>
                    <w:p w14:paraId="5B7E1A12" w14:textId="77777777" w:rsidR="002A4898" w:rsidRPr="00D04E5C" w:rsidRDefault="002A4898" w:rsidP="002A4898">
                      <w:pPr>
                        <w:rPr>
                          <w:sz w:val="72"/>
                          <w:szCs w:val="72"/>
                        </w:rPr>
                      </w:pPr>
                      <w:r w:rsidRPr="00D04E5C">
                        <w:rPr>
                          <w:sz w:val="72"/>
                          <w:szCs w:val="72"/>
                        </w:rPr>
                        <w:t>a)</w:t>
                      </w:r>
                    </w:p>
                  </w:txbxContent>
                </v:textbox>
              </v:shape>
            </w:pict>
          </mc:Fallback>
        </mc:AlternateContent>
      </w:r>
      <w:r w:rsidR="00906374">
        <w:rPr>
          <w:noProof/>
        </w:rPr>
        <w:drawing>
          <wp:inline distT="0" distB="0" distL="0" distR="0" wp14:anchorId="4C62E9C2" wp14:editId="09AE98BD">
            <wp:extent cx="5535038" cy="5206960"/>
            <wp:effectExtent l="0" t="0" r="2540" b="635"/>
            <wp:docPr id="62" name="Picture 6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hart, line chart&#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672630" cy="5336397"/>
                    </a:xfrm>
                    <a:prstGeom prst="rect">
                      <a:avLst/>
                    </a:prstGeom>
                  </pic:spPr>
                </pic:pic>
              </a:graphicData>
            </a:graphic>
          </wp:inline>
        </w:drawing>
      </w:r>
    </w:p>
    <w:p w14:paraId="4845D247" w14:textId="171C17C2" w:rsidR="00906374" w:rsidRPr="00716B16" w:rsidRDefault="00906374" w:rsidP="00906374">
      <w:pPr>
        <w:rPr>
          <w:b/>
          <w:bCs/>
          <w:sz w:val="20"/>
          <w:szCs w:val="20"/>
          <w:vertAlign w:val="superscript"/>
        </w:rPr>
        <w:sectPr w:rsidR="00906374" w:rsidRPr="00716B16" w:rsidSect="00E90A2C">
          <w:pgSz w:w="11906" w:h="16838"/>
          <w:pgMar w:top="1440" w:right="1440" w:bottom="1440" w:left="1440" w:header="720" w:footer="720" w:gutter="0"/>
          <w:cols w:space="720"/>
          <w:docGrid w:linePitch="360"/>
        </w:sectPr>
      </w:pPr>
      <w:r w:rsidRPr="00272D1C">
        <w:rPr>
          <w:b/>
          <w:bCs/>
          <w:sz w:val="20"/>
          <w:szCs w:val="20"/>
        </w:rPr>
        <w:t>Figure A</w:t>
      </w:r>
      <w:r w:rsidR="00212CBF">
        <w:rPr>
          <w:b/>
          <w:bCs/>
          <w:sz w:val="20"/>
          <w:szCs w:val="20"/>
        </w:rPr>
        <w:t>5</w:t>
      </w:r>
      <w:r w:rsidRPr="00272D1C">
        <w:rPr>
          <w:b/>
          <w:bCs/>
          <w:sz w:val="20"/>
          <w:szCs w:val="20"/>
        </w:rPr>
        <w:t xml:space="preserve">: </w:t>
      </w:r>
      <w:r w:rsidR="00E4071A" w:rsidRPr="00272D1C">
        <w:rPr>
          <w:b/>
          <w:bCs/>
          <w:sz w:val="20"/>
          <w:szCs w:val="20"/>
        </w:rPr>
        <w:t>Increase in Mean Squared Error (MSE)</w:t>
      </w:r>
      <w:r w:rsidR="00716B16" w:rsidRPr="00272D1C">
        <w:rPr>
          <w:b/>
          <w:bCs/>
          <w:sz w:val="20"/>
          <w:szCs w:val="20"/>
        </w:rPr>
        <w:t xml:space="preserve"> for mangrove a</w:t>
      </w:r>
      <w:r w:rsidR="00EE6DE0">
        <w:rPr>
          <w:b/>
          <w:bCs/>
          <w:sz w:val="20"/>
          <w:szCs w:val="20"/>
        </w:rPr>
        <w:t>)</w:t>
      </w:r>
      <w:r w:rsidR="00716B16" w:rsidRPr="00272D1C">
        <w:rPr>
          <w:b/>
          <w:bCs/>
          <w:sz w:val="20"/>
          <w:szCs w:val="20"/>
        </w:rPr>
        <w:t xml:space="preserve"> carbon stocks and b</w:t>
      </w:r>
      <w:r w:rsidR="00EE6DE0">
        <w:rPr>
          <w:b/>
          <w:bCs/>
          <w:sz w:val="20"/>
          <w:szCs w:val="20"/>
        </w:rPr>
        <w:t>)</w:t>
      </w:r>
      <w:r w:rsidR="00716B16" w:rsidRPr="00272D1C">
        <w:rPr>
          <w:b/>
          <w:bCs/>
          <w:sz w:val="20"/>
          <w:szCs w:val="20"/>
        </w:rPr>
        <w:t xml:space="preserve"> soil sequestration rates</w:t>
      </w:r>
      <w:r w:rsidR="00864055" w:rsidRPr="00272D1C">
        <w:rPr>
          <w:b/>
          <w:bCs/>
          <w:sz w:val="20"/>
          <w:szCs w:val="20"/>
        </w:rPr>
        <w:t xml:space="preserve"> when dropping a </w:t>
      </w:r>
      <w:proofErr w:type="spellStart"/>
      <w:r w:rsidR="00864055" w:rsidRPr="00272D1C">
        <w:rPr>
          <w:b/>
          <w:bCs/>
          <w:sz w:val="20"/>
          <w:szCs w:val="20"/>
        </w:rPr>
        <w:t>bioclim</w:t>
      </w:r>
      <w:proofErr w:type="spellEnd"/>
      <w:r w:rsidR="00864055" w:rsidRPr="00272D1C">
        <w:rPr>
          <w:b/>
          <w:bCs/>
          <w:sz w:val="20"/>
          <w:szCs w:val="20"/>
        </w:rPr>
        <w:t xml:space="preserve"> predictor from the numerical models.</w:t>
      </w:r>
      <w:r w:rsidR="00864055">
        <w:rPr>
          <w:b/>
          <w:bCs/>
          <w:sz w:val="20"/>
          <w:szCs w:val="20"/>
        </w:rPr>
        <w:t xml:space="preserve"> </w:t>
      </w:r>
    </w:p>
    <w:p w14:paraId="39A0D771" w14:textId="77777777" w:rsidR="00906374" w:rsidRDefault="00906374" w:rsidP="00906374"/>
    <w:p w14:paraId="6A75E83C" w14:textId="708ED715" w:rsidR="00906374" w:rsidRDefault="00A21D1D" w:rsidP="00906374">
      <w:r>
        <w:rPr>
          <w:b/>
          <w:bCs/>
          <w:noProof/>
          <w:sz w:val="18"/>
          <w:szCs w:val="18"/>
        </w:rPr>
        <mc:AlternateContent>
          <mc:Choice Requires="wps">
            <w:drawing>
              <wp:anchor distT="0" distB="0" distL="114300" distR="114300" simplePos="0" relativeHeight="251742208" behindDoc="0" locked="0" layoutInCell="1" allowOverlap="1" wp14:anchorId="32DE3C1D" wp14:editId="39E65B70">
                <wp:simplePos x="0" y="0"/>
                <wp:positionH relativeFrom="column">
                  <wp:posOffset>2936</wp:posOffset>
                </wp:positionH>
                <wp:positionV relativeFrom="paragraph">
                  <wp:posOffset>4688519</wp:posOffset>
                </wp:positionV>
                <wp:extent cx="660903" cy="633730"/>
                <wp:effectExtent l="0" t="0" r="0" b="1270"/>
                <wp:wrapNone/>
                <wp:docPr id="74" name="Text Box 74"/>
                <wp:cNvGraphicFramePr/>
                <a:graphic xmlns:a="http://schemas.openxmlformats.org/drawingml/2006/main">
                  <a:graphicData uri="http://schemas.microsoft.com/office/word/2010/wordprocessingShape">
                    <wps:wsp>
                      <wps:cNvSpPr txBox="1"/>
                      <wps:spPr>
                        <a:xfrm>
                          <a:off x="0" y="0"/>
                          <a:ext cx="660903" cy="633730"/>
                        </a:xfrm>
                        <a:prstGeom prst="rect">
                          <a:avLst/>
                        </a:prstGeom>
                        <a:solidFill>
                          <a:schemeClr val="lt1"/>
                        </a:solidFill>
                        <a:ln w="6350">
                          <a:noFill/>
                        </a:ln>
                      </wps:spPr>
                      <wps:txbx>
                        <w:txbxContent>
                          <w:p w14:paraId="25B9B204" w14:textId="48564A32" w:rsidR="00A21D1D" w:rsidRPr="00D04E5C" w:rsidRDefault="00A21D1D" w:rsidP="00A21D1D">
                            <w:pPr>
                              <w:rPr>
                                <w:sz w:val="72"/>
                                <w:szCs w:val="72"/>
                              </w:rPr>
                            </w:pPr>
                            <w:r>
                              <w:rPr>
                                <w:sz w:val="72"/>
                                <w:szCs w:val="72"/>
                              </w:rPr>
                              <w:t>c</w:t>
                            </w:r>
                            <w:r w:rsidRPr="00D04E5C">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E3C1D" id="Text Box 74" o:spid="_x0000_s1072" type="#_x0000_t202" style="position:absolute;margin-left:.25pt;margin-top:369.15pt;width:52.05pt;height:49.9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" fillcolor="white [3201]" stroked="f" strokeweight=".5pt">
                <v:textbox>
                  <w:txbxContent>
                    <w:p w14:paraId="25B9B204" w14:textId="48564A32" w:rsidR="00A21D1D" w:rsidRPr="00D04E5C" w:rsidRDefault="00A21D1D" w:rsidP="00A21D1D">
                      <w:pPr>
                        <w:rPr>
                          <w:sz w:val="72"/>
                          <w:szCs w:val="72"/>
                        </w:rPr>
                      </w:pPr>
                      <w:r>
                        <w:rPr>
                          <w:sz w:val="72"/>
                          <w:szCs w:val="72"/>
                        </w:rPr>
                        <w:t>c</w:t>
                      </w:r>
                      <w:r w:rsidRPr="00D04E5C">
                        <w:rPr>
                          <w:sz w:val="72"/>
                          <w:szCs w:val="72"/>
                        </w:rPr>
                        <w:t>)</w:t>
                      </w:r>
                    </w:p>
                  </w:txbxContent>
                </v:textbox>
              </v:shape>
            </w:pict>
          </mc:Fallback>
        </mc:AlternateContent>
      </w:r>
      <w:r>
        <w:rPr>
          <w:b/>
          <w:bCs/>
          <w:noProof/>
          <w:sz w:val="18"/>
          <w:szCs w:val="18"/>
        </w:rPr>
        <mc:AlternateContent>
          <mc:Choice Requires="wps">
            <w:drawing>
              <wp:anchor distT="0" distB="0" distL="114300" distR="114300" simplePos="0" relativeHeight="251740160" behindDoc="0" locked="0" layoutInCell="1" allowOverlap="1" wp14:anchorId="6B74D0EE" wp14:editId="3308030C">
                <wp:simplePos x="0" y="0"/>
                <wp:positionH relativeFrom="column">
                  <wp:posOffset>2936</wp:posOffset>
                </wp:positionH>
                <wp:positionV relativeFrom="paragraph">
                  <wp:posOffset>2407348</wp:posOffset>
                </wp:positionV>
                <wp:extent cx="660903" cy="633730"/>
                <wp:effectExtent l="0" t="0" r="0" b="1270"/>
                <wp:wrapNone/>
                <wp:docPr id="73" name="Text Box 73"/>
                <wp:cNvGraphicFramePr/>
                <a:graphic xmlns:a="http://schemas.openxmlformats.org/drawingml/2006/main">
                  <a:graphicData uri="http://schemas.microsoft.com/office/word/2010/wordprocessingShape">
                    <wps:wsp>
                      <wps:cNvSpPr txBox="1"/>
                      <wps:spPr>
                        <a:xfrm>
                          <a:off x="0" y="0"/>
                          <a:ext cx="660903" cy="633730"/>
                        </a:xfrm>
                        <a:prstGeom prst="rect">
                          <a:avLst/>
                        </a:prstGeom>
                        <a:solidFill>
                          <a:schemeClr val="lt1"/>
                        </a:solidFill>
                        <a:ln w="6350">
                          <a:noFill/>
                        </a:ln>
                      </wps:spPr>
                      <wps:txbx>
                        <w:txbxContent>
                          <w:p w14:paraId="530C5E21" w14:textId="52363A19" w:rsidR="00A21D1D" w:rsidRPr="00D04E5C" w:rsidRDefault="00A21D1D" w:rsidP="00A21D1D">
                            <w:pPr>
                              <w:rPr>
                                <w:sz w:val="72"/>
                                <w:szCs w:val="72"/>
                              </w:rPr>
                            </w:pPr>
                            <w:r>
                              <w:rPr>
                                <w:sz w:val="72"/>
                                <w:szCs w:val="72"/>
                              </w:rPr>
                              <w:t>b</w:t>
                            </w:r>
                            <w:r w:rsidRPr="00D04E5C">
                              <w:rPr>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4D0EE" id="Text Box 73" o:spid="_x0000_s1073" type="#_x0000_t202" style="position:absolute;margin-left:.25pt;margin-top:189.55pt;width:52.05pt;height:49.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" fillcolor="white [3201]" stroked="f" strokeweight=".5pt">
                <v:textbox>
                  <w:txbxContent>
                    <w:p w14:paraId="530C5E21" w14:textId="52363A19" w:rsidR="00A21D1D" w:rsidRPr="00D04E5C" w:rsidRDefault="00A21D1D" w:rsidP="00A21D1D">
                      <w:pPr>
                        <w:rPr>
                          <w:sz w:val="72"/>
                          <w:szCs w:val="72"/>
                        </w:rPr>
                      </w:pPr>
                      <w:r>
                        <w:rPr>
                          <w:sz w:val="72"/>
                          <w:szCs w:val="72"/>
                        </w:rPr>
                        <w:t>b</w:t>
                      </w:r>
                      <w:r w:rsidRPr="00D04E5C">
                        <w:rPr>
                          <w:sz w:val="72"/>
                          <w:szCs w:val="72"/>
                        </w:rPr>
                        <w:t>)</w:t>
                      </w:r>
                    </w:p>
                  </w:txbxContent>
                </v:textbox>
              </v:shape>
            </w:pict>
          </mc:Fallback>
        </mc:AlternateContent>
      </w:r>
      <w:r>
        <w:rPr>
          <w:b/>
          <w:bCs/>
          <w:noProof/>
          <w:sz w:val="18"/>
          <w:szCs w:val="18"/>
        </w:rPr>
        <mc:AlternateContent>
          <mc:Choice Requires="wps">
            <w:drawing>
              <wp:anchor distT="0" distB="0" distL="114300" distR="114300" simplePos="0" relativeHeight="251738112" behindDoc="0" locked="0" layoutInCell="1" allowOverlap="1" wp14:anchorId="2A2321E9" wp14:editId="20D8B9FE">
                <wp:simplePos x="0" y="0"/>
                <wp:positionH relativeFrom="column">
                  <wp:posOffset>4527</wp:posOffset>
                </wp:positionH>
                <wp:positionV relativeFrom="paragraph">
                  <wp:posOffset>742</wp:posOffset>
                </wp:positionV>
                <wp:extent cx="660903" cy="633730"/>
                <wp:effectExtent l="0" t="0" r="0" b="1270"/>
                <wp:wrapNone/>
                <wp:docPr id="72" name="Text Box 72"/>
                <wp:cNvGraphicFramePr/>
                <a:graphic xmlns:a="http://schemas.openxmlformats.org/drawingml/2006/main">
                  <a:graphicData uri="http://schemas.microsoft.com/office/word/2010/wordprocessingShape">
                    <wps:wsp>
                      <wps:cNvSpPr txBox="1"/>
                      <wps:spPr>
                        <a:xfrm>
                          <a:off x="0" y="0"/>
                          <a:ext cx="660903" cy="633730"/>
                        </a:xfrm>
                        <a:prstGeom prst="rect">
                          <a:avLst/>
                        </a:prstGeom>
                        <a:solidFill>
                          <a:schemeClr val="lt1"/>
                        </a:solidFill>
                        <a:ln w="6350">
                          <a:noFill/>
                        </a:ln>
                      </wps:spPr>
                      <wps:txbx>
                        <w:txbxContent>
                          <w:p w14:paraId="28283716" w14:textId="77777777" w:rsidR="00A21D1D" w:rsidRPr="00D04E5C" w:rsidRDefault="00A21D1D" w:rsidP="00A21D1D">
                            <w:pPr>
                              <w:rPr>
                                <w:sz w:val="72"/>
                                <w:szCs w:val="72"/>
                              </w:rPr>
                            </w:pPr>
                            <w:r w:rsidRPr="00D04E5C">
                              <w:rPr>
                                <w:sz w:val="72"/>
                                <w:szCs w:val="7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321E9" id="Text Box 72" o:spid="_x0000_s1074" type="#_x0000_t202" style="position:absolute;margin-left:.35pt;margin-top:.05pt;width:52.05pt;height:49.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" fillcolor="white [3201]" stroked="f" strokeweight=".5pt">
                <v:textbox>
                  <w:txbxContent>
                    <w:p w14:paraId="28283716" w14:textId="77777777" w:rsidR="00A21D1D" w:rsidRPr="00D04E5C" w:rsidRDefault="00A21D1D" w:rsidP="00A21D1D">
                      <w:pPr>
                        <w:rPr>
                          <w:sz w:val="72"/>
                          <w:szCs w:val="72"/>
                        </w:rPr>
                      </w:pPr>
                      <w:r w:rsidRPr="00D04E5C">
                        <w:rPr>
                          <w:sz w:val="72"/>
                          <w:szCs w:val="72"/>
                        </w:rPr>
                        <w:t>a)</w:t>
                      </w:r>
                    </w:p>
                  </w:txbxContent>
                </v:textbox>
              </v:shape>
            </w:pict>
          </mc:Fallback>
        </mc:AlternateContent>
      </w:r>
      <w:r w:rsidR="00906374">
        <w:rPr>
          <w:noProof/>
        </w:rPr>
        <w:drawing>
          <wp:inline distT="0" distB="0" distL="0" distR="0" wp14:anchorId="0A26354C" wp14:editId="76D765A5">
            <wp:extent cx="6536987" cy="6957046"/>
            <wp:effectExtent l="0" t="0" r="3810" b="3175"/>
            <wp:docPr id="63" name="Picture 6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563558" cy="6985325"/>
                    </a:xfrm>
                    <a:prstGeom prst="rect">
                      <a:avLst/>
                    </a:prstGeom>
                  </pic:spPr>
                </pic:pic>
              </a:graphicData>
            </a:graphic>
          </wp:inline>
        </w:drawing>
      </w:r>
    </w:p>
    <w:p w14:paraId="6CB3CC8C" w14:textId="01C76429" w:rsidR="00906374" w:rsidRPr="00760F3E" w:rsidRDefault="00212CBF" w:rsidP="00760F3E">
      <w:pPr>
        <w:keepNext/>
        <w:pBdr>
          <w:top w:val="nil"/>
          <w:left w:val="nil"/>
          <w:bottom w:val="nil"/>
          <w:right w:val="nil"/>
          <w:between w:val="nil"/>
        </w:pBdr>
        <w:spacing w:before="240" w:after="60"/>
        <w:rPr>
          <w:rFonts w:cstheme="minorHAnsi"/>
          <w:b/>
          <w:sz w:val="20"/>
          <w:szCs w:val="20"/>
        </w:rPr>
      </w:pPr>
      <w:r>
        <w:rPr>
          <w:rFonts w:cstheme="minorHAnsi"/>
          <w:b/>
          <w:sz w:val="20"/>
          <w:szCs w:val="20"/>
        </w:rPr>
        <w:t xml:space="preserve">Figure A6: </w:t>
      </w:r>
      <w:r w:rsidR="00760F3E" w:rsidRPr="00334248">
        <w:rPr>
          <w:rFonts w:cstheme="minorHAnsi"/>
          <w:b/>
          <w:sz w:val="20"/>
          <w:szCs w:val="20"/>
        </w:rPr>
        <w:t xml:space="preserve">Estimated </w:t>
      </w:r>
      <w:r w:rsidR="00760F3E">
        <w:rPr>
          <w:rFonts w:cstheme="minorHAnsi"/>
          <w:b/>
          <w:sz w:val="20"/>
          <w:szCs w:val="20"/>
        </w:rPr>
        <w:t>change</w:t>
      </w:r>
      <w:r w:rsidR="00760F3E" w:rsidRPr="00334248">
        <w:rPr>
          <w:rFonts w:cstheme="minorHAnsi"/>
          <w:b/>
          <w:sz w:val="20"/>
          <w:szCs w:val="20"/>
        </w:rPr>
        <w:t xml:space="preserve"> </w:t>
      </w:r>
      <w:r w:rsidR="00760F3E">
        <w:rPr>
          <w:rFonts w:cstheme="minorHAnsi"/>
          <w:b/>
          <w:sz w:val="20"/>
          <w:szCs w:val="20"/>
        </w:rPr>
        <w:t xml:space="preserve">in </w:t>
      </w:r>
      <w:r w:rsidR="00760F3E" w:rsidRPr="00334248">
        <w:rPr>
          <w:rFonts w:cstheme="minorHAnsi"/>
          <w:b/>
          <w:sz w:val="20"/>
          <w:szCs w:val="20"/>
        </w:rPr>
        <w:t xml:space="preserve">global C stocks in mangrove </w:t>
      </w:r>
      <w:r w:rsidR="006B527E">
        <w:rPr>
          <w:rFonts w:cstheme="minorHAnsi"/>
          <w:b/>
          <w:sz w:val="20"/>
          <w:szCs w:val="20"/>
        </w:rPr>
        <w:t>a</w:t>
      </w:r>
      <w:r w:rsidR="00760F3E" w:rsidRPr="00334248">
        <w:rPr>
          <w:rFonts w:cstheme="minorHAnsi"/>
          <w:b/>
          <w:sz w:val="20"/>
          <w:szCs w:val="20"/>
        </w:rPr>
        <w:t xml:space="preserve">) trees, </w:t>
      </w:r>
      <w:r w:rsidR="006B527E">
        <w:rPr>
          <w:rFonts w:cstheme="minorHAnsi"/>
          <w:b/>
          <w:sz w:val="20"/>
          <w:szCs w:val="20"/>
        </w:rPr>
        <w:t>b</w:t>
      </w:r>
      <w:r w:rsidR="00760F3E" w:rsidRPr="00334248">
        <w:rPr>
          <w:rFonts w:cstheme="minorHAnsi"/>
          <w:b/>
          <w:sz w:val="20"/>
          <w:szCs w:val="20"/>
        </w:rPr>
        <w:t xml:space="preserve">) soils to 1m depth, and </w:t>
      </w:r>
      <w:r w:rsidR="006B527E">
        <w:rPr>
          <w:rFonts w:cstheme="minorHAnsi"/>
          <w:b/>
          <w:sz w:val="20"/>
          <w:szCs w:val="20"/>
        </w:rPr>
        <w:t>c</w:t>
      </w:r>
      <w:r w:rsidR="00760F3E" w:rsidRPr="00334248">
        <w:rPr>
          <w:rFonts w:cstheme="minorHAnsi"/>
          <w:b/>
          <w:sz w:val="20"/>
          <w:szCs w:val="20"/>
        </w:rPr>
        <w:t>) mangrove soil sequestration rates</w:t>
      </w:r>
      <w:r w:rsidR="00760F3E">
        <w:rPr>
          <w:rFonts w:cstheme="minorHAnsi"/>
          <w:b/>
          <w:sz w:val="20"/>
          <w:szCs w:val="20"/>
        </w:rPr>
        <w:t xml:space="preserve"> by the year 2095</w:t>
      </w:r>
      <w:r w:rsidR="00760F3E" w:rsidRPr="00334248">
        <w:rPr>
          <w:rFonts w:cstheme="minorHAnsi"/>
          <w:b/>
          <w:sz w:val="20"/>
          <w:szCs w:val="20"/>
        </w:rPr>
        <w:t>. Data presented are mean predicted values</w:t>
      </w:r>
      <w:r w:rsidR="004A0932">
        <w:rPr>
          <w:rFonts w:cstheme="minorHAnsi"/>
          <w:b/>
          <w:sz w:val="20"/>
          <w:szCs w:val="20"/>
        </w:rPr>
        <w:t>.</w:t>
      </w:r>
    </w:p>
    <w:p w14:paraId="31A0F5E4" w14:textId="77777777" w:rsidR="00375366" w:rsidRDefault="00375366" w:rsidP="00FA0744">
      <w:pPr>
        <w:widowControl w:val="0"/>
        <w:autoSpaceDE w:val="0"/>
        <w:autoSpaceDN w:val="0"/>
        <w:adjustRightInd w:val="0"/>
        <w:spacing w:line="480" w:lineRule="auto"/>
        <w:sectPr w:rsidR="00375366" w:rsidSect="00FD3D66">
          <w:pgSz w:w="11906" w:h="16838"/>
          <w:pgMar w:top="720" w:right="720" w:bottom="720" w:left="720" w:header="720" w:footer="720" w:gutter="0"/>
          <w:cols w:space="720"/>
          <w:docGrid w:linePitch="360"/>
        </w:sectPr>
      </w:pPr>
    </w:p>
    <w:p w14:paraId="7995C918" w14:textId="3C3DA0EA" w:rsidR="00A51DC2" w:rsidRPr="00345738" w:rsidRDefault="005B27F9" w:rsidP="005B27F9">
      <w:pPr>
        <w:pStyle w:val="Heading1"/>
        <w:rPr>
          <w:rFonts w:asciiTheme="minorHAnsi" w:hAnsiTheme="minorHAnsi" w:cstheme="minorHAnsi"/>
          <w:b/>
          <w:bCs/>
          <w:color w:val="000000" w:themeColor="text1"/>
        </w:rPr>
      </w:pPr>
      <w:bookmarkStart w:id="81" w:name="_Toc120622166"/>
      <w:r w:rsidRPr="00345738">
        <w:rPr>
          <w:rFonts w:asciiTheme="minorHAnsi" w:hAnsiTheme="minorHAnsi" w:cstheme="minorHAnsi"/>
          <w:b/>
          <w:bCs/>
          <w:color w:val="000000" w:themeColor="text1"/>
        </w:rPr>
        <w:lastRenderedPageBreak/>
        <w:t>Supplementary Research</w:t>
      </w:r>
      <w:bookmarkEnd w:id="81"/>
    </w:p>
    <w:p w14:paraId="23530168" w14:textId="1E539724" w:rsidR="00EE41AD" w:rsidRPr="001E17C7" w:rsidRDefault="00120525" w:rsidP="001E17C7">
      <w:pPr>
        <w:rPr>
          <w:color w:val="000000" w:themeColor="text1"/>
          <w:sz w:val="22"/>
          <w:szCs w:val="22"/>
          <w:lang w:eastAsia="en-GB"/>
        </w:rPr>
      </w:pPr>
      <w:r w:rsidRPr="001E17C7">
        <w:rPr>
          <w:b/>
          <w:bCs/>
          <w:color w:val="000000" w:themeColor="text1"/>
          <w:sz w:val="22"/>
          <w:szCs w:val="22"/>
        </w:rPr>
        <w:t>SR1</w:t>
      </w:r>
      <w:r w:rsidR="00B26E89" w:rsidRPr="001E17C7">
        <w:rPr>
          <w:b/>
          <w:bCs/>
          <w:color w:val="000000" w:themeColor="text1"/>
          <w:sz w:val="22"/>
          <w:szCs w:val="22"/>
        </w:rPr>
        <w:t xml:space="preserve">: </w:t>
      </w:r>
      <w:r w:rsidR="001E17C7" w:rsidRPr="001E17C7">
        <w:rPr>
          <w:color w:val="000000" w:themeColor="text1"/>
          <w:sz w:val="22"/>
          <w:szCs w:val="22"/>
          <w:shd w:val="clear" w:color="auto" w:fill="FFFFFF"/>
          <w:lang w:eastAsia="en-GB"/>
        </w:rPr>
        <w:t>Chatting, M., Smyth, D., Al-Maslamani, I., Obbard, J., Al-Ansi, M., Hamza, S., Al-Mohanady, S.F., Al-Kuwari, A.J. and Marshall, C.D., 2018. Nesting ecology of hawksbill turtles, Eretmochelys imbricata, in an extreme environmental setting. </w:t>
      </w:r>
      <w:r w:rsidR="001E17C7" w:rsidRPr="001E17C7">
        <w:rPr>
          <w:i/>
          <w:iCs/>
          <w:color w:val="000000" w:themeColor="text1"/>
          <w:sz w:val="22"/>
          <w:szCs w:val="22"/>
          <w:shd w:val="clear" w:color="auto" w:fill="FFFFFF"/>
          <w:lang w:eastAsia="en-GB"/>
        </w:rPr>
        <w:t>PloS one</w:t>
      </w:r>
      <w:r w:rsidR="001E17C7" w:rsidRPr="001E17C7">
        <w:rPr>
          <w:color w:val="000000" w:themeColor="text1"/>
          <w:sz w:val="22"/>
          <w:szCs w:val="22"/>
          <w:shd w:val="clear" w:color="auto" w:fill="FFFFFF"/>
          <w:lang w:eastAsia="en-GB"/>
        </w:rPr>
        <w:t>, </w:t>
      </w:r>
      <w:r w:rsidR="001E17C7" w:rsidRPr="001E17C7">
        <w:rPr>
          <w:i/>
          <w:iCs/>
          <w:color w:val="000000" w:themeColor="text1"/>
          <w:sz w:val="22"/>
          <w:szCs w:val="22"/>
          <w:shd w:val="clear" w:color="auto" w:fill="FFFFFF"/>
          <w:lang w:eastAsia="en-GB"/>
        </w:rPr>
        <w:t>13</w:t>
      </w:r>
      <w:r w:rsidR="001E17C7" w:rsidRPr="001E17C7">
        <w:rPr>
          <w:color w:val="000000" w:themeColor="text1"/>
          <w:sz w:val="22"/>
          <w:szCs w:val="22"/>
          <w:shd w:val="clear" w:color="auto" w:fill="FFFFFF"/>
          <w:lang w:eastAsia="en-GB"/>
        </w:rPr>
        <w:t>(9), p.e0203257.</w:t>
      </w:r>
    </w:p>
    <w:p w14:paraId="0CB21BAD" w14:textId="77777777" w:rsidR="00A62677" w:rsidRPr="00A62677" w:rsidRDefault="00A62677" w:rsidP="00A62677"/>
    <w:p w14:paraId="3C839B48" w14:textId="14D52735" w:rsidR="00345738" w:rsidRPr="001E17C7" w:rsidRDefault="00345738" w:rsidP="00345738">
      <w:pPr>
        <w:rPr>
          <w:rFonts w:ascii="Times New Roman" w:hAnsi="Times New Roman" w:cs="Times New Roman"/>
          <w:color w:val="000000" w:themeColor="text1"/>
          <w:sz w:val="22"/>
          <w:szCs w:val="22"/>
          <w:lang w:eastAsia="en-GB"/>
        </w:rPr>
      </w:pPr>
      <w:r w:rsidRPr="001E17C7">
        <w:rPr>
          <w:b/>
          <w:bCs/>
          <w:color w:val="000000" w:themeColor="text1"/>
          <w:sz w:val="22"/>
          <w:szCs w:val="22"/>
        </w:rPr>
        <w:t>SR2</w:t>
      </w:r>
      <w:r w:rsidR="001E17C7" w:rsidRPr="001E17C7">
        <w:rPr>
          <w:b/>
          <w:bCs/>
          <w:color w:val="000000" w:themeColor="text1"/>
          <w:sz w:val="22"/>
          <w:szCs w:val="22"/>
        </w:rPr>
        <w:t>:</w:t>
      </w:r>
      <w:r w:rsidR="001E17C7" w:rsidRPr="001E17C7">
        <w:rPr>
          <w:color w:val="000000" w:themeColor="text1"/>
          <w:sz w:val="22"/>
          <w:szCs w:val="22"/>
        </w:rPr>
        <w:t xml:space="preserve"> </w:t>
      </w:r>
      <w:r w:rsidR="001E17C7" w:rsidRPr="001E17C7">
        <w:rPr>
          <w:color w:val="000000" w:themeColor="text1"/>
          <w:sz w:val="22"/>
          <w:szCs w:val="22"/>
          <w:shd w:val="clear" w:color="auto" w:fill="FFFFFF"/>
          <w:lang w:eastAsia="en-GB"/>
        </w:rPr>
        <w:t>Chatting, M., Hamza, S., Al-Khayat, J., Smyth, D., Husrevoglu, S. and Marshall, C.D., 2021. Feminization of hawksbill turtle hatchlings in the twenty-first century at an important regional nesting aggregation. </w:t>
      </w:r>
      <w:r w:rsidR="001E17C7" w:rsidRPr="001E17C7">
        <w:rPr>
          <w:i/>
          <w:iCs/>
          <w:color w:val="000000" w:themeColor="text1"/>
          <w:sz w:val="22"/>
          <w:szCs w:val="22"/>
          <w:shd w:val="clear" w:color="auto" w:fill="FFFFFF"/>
          <w:lang w:eastAsia="en-GB"/>
        </w:rPr>
        <w:t>Endangered Species Research</w:t>
      </w:r>
      <w:r w:rsidR="001E17C7" w:rsidRPr="001E17C7">
        <w:rPr>
          <w:color w:val="000000" w:themeColor="text1"/>
          <w:sz w:val="22"/>
          <w:szCs w:val="22"/>
          <w:shd w:val="clear" w:color="auto" w:fill="FFFFFF"/>
          <w:lang w:eastAsia="en-GB"/>
        </w:rPr>
        <w:t>, </w:t>
      </w:r>
      <w:r w:rsidR="001E17C7" w:rsidRPr="001E17C7">
        <w:rPr>
          <w:i/>
          <w:iCs/>
          <w:color w:val="000000" w:themeColor="text1"/>
          <w:sz w:val="22"/>
          <w:szCs w:val="22"/>
          <w:shd w:val="clear" w:color="auto" w:fill="FFFFFF"/>
          <w:lang w:eastAsia="en-GB"/>
        </w:rPr>
        <w:t>44</w:t>
      </w:r>
      <w:r w:rsidR="001E17C7" w:rsidRPr="001E17C7">
        <w:rPr>
          <w:color w:val="000000" w:themeColor="text1"/>
          <w:sz w:val="22"/>
          <w:szCs w:val="22"/>
          <w:shd w:val="clear" w:color="auto" w:fill="FFFFFF"/>
          <w:lang w:eastAsia="en-GB"/>
        </w:rPr>
        <w:t>, pp.149-158.</w:t>
      </w:r>
    </w:p>
    <w:sectPr w:rsidR="00345738" w:rsidRPr="001E17C7" w:rsidSect="00375366">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6C806C" w14:textId="77777777" w:rsidR="00636128" w:rsidRDefault="00636128" w:rsidP="002257E1">
      <w:r>
        <w:separator/>
      </w:r>
    </w:p>
  </w:endnote>
  <w:endnote w:type="continuationSeparator" w:id="0">
    <w:p w14:paraId="74093CE0" w14:textId="77777777" w:rsidR="00636128" w:rsidRDefault="00636128" w:rsidP="002257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6557164"/>
      <w:docPartObj>
        <w:docPartGallery w:val="Page Numbers (Bottom of Page)"/>
        <w:docPartUnique/>
      </w:docPartObj>
    </w:sdtPr>
    <w:sdtContent>
      <w:p w14:paraId="4B28308B" w14:textId="3B0A93EA" w:rsidR="002257E1" w:rsidRDefault="002257E1" w:rsidP="00C46D2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CD73BBB" w14:textId="77777777" w:rsidR="002257E1" w:rsidRDefault="002257E1" w:rsidP="002257E1">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45285906"/>
      <w:docPartObj>
        <w:docPartGallery w:val="Page Numbers (Bottom of Page)"/>
        <w:docPartUnique/>
      </w:docPartObj>
    </w:sdtPr>
    <w:sdtContent>
      <w:p w14:paraId="6BE63924" w14:textId="61825A93" w:rsidR="00416C9F" w:rsidRDefault="00416C9F" w:rsidP="00F0576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72F6523" w14:textId="77777777" w:rsidR="009C75D7" w:rsidRDefault="009C75D7" w:rsidP="00416C9F">
    <w:pPr>
      <w:pStyle w:val="Footer"/>
      <w:ind w:right="36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71653410"/>
      <w:docPartObj>
        <w:docPartGallery w:val="Page Numbers (Bottom of Page)"/>
        <w:docPartUnique/>
      </w:docPartObj>
    </w:sdtPr>
    <w:sdtContent>
      <w:p w14:paraId="4A180369" w14:textId="2F940A31" w:rsidR="00416C9F" w:rsidRDefault="00416C9F" w:rsidP="008D656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81</w:t>
        </w:r>
        <w:r>
          <w:rPr>
            <w:rStyle w:val="PageNumber"/>
          </w:rPr>
          <w:fldChar w:fldCharType="end"/>
        </w:r>
      </w:p>
    </w:sdtContent>
  </w:sdt>
  <w:p w14:paraId="13BD5142" w14:textId="1498F902" w:rsidR="009C75D7" w:rsidRDefault="009C75D7" w:rsidP="00416C9F">
    <w:pPr>
      <w:pStyle w:val="Footer"/>
      <w:ind w:right="360"/>
      <w:jc w:val="righ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AC147" w14:textId="13FA5095" w:rsidR="009C75D7" w:rsidRDefault="00F05769" w:rsidP="00416C9F">
    <w:pPr>
      <w:pStyle w:val="Footer"/>
      <w:jc w:val="right"/>
    </w:pPr>
    <w:r>
      <w:t>107</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25584917"/>
      <w:docPartObj>
        <w:docPartGallery w:val="Page Numbers (Bottom of Page)"/>
        <w:docPartUnique/>
      </w:docPartObj>
    </w:sdtPr>
    <w:sdtContent>
      <w:p w14:paraId="485B58EE" w14:textId="7B33BF3B" w:rsidR="00F05769" w:rsidRDefault="00F05769" w:rsidP="008D656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107</w:t>
        </w:r>
        <w:r>
          <w:rPr>
            <w:rStyle w:val="PageNumber"/>
          </w:rPr>
          <w:fldChar w:fldCharType="end"/>
        </w:r>
      </w:p>
    </w:sdtContent>
  </w:sdt>
  <w:p w14:paraId="5626A199" w14:textId="77777777" w:rsidR="00344027" w:rsidRPr="002233BD" w:rsidRDefault="00344027" w:rsidP="00F05769">
    <w:pPr>
      <w:pBdr>
        <w:top w:val="nil"/>
        <w:left w:val="nil"/>
        <w:bottom w:val="nil"/>
        <w:right w:val="nil"/>
        <w:between w:val="nil"/>
      </w:pBdr>
      <w:tabs>
        <w:tab w:val="center" w:pos="4680"/>
        <w:tab w:val="right" w:pos="9360"/>
      </w:tabs>
      <w:ind w:right="360"/>
      <w:jc w:val="right"/>
      <w:rPr>
        <w:color w:val="000000"/>
      </w:rPr>
    </w:pPr>
  </w:p>
  <w:p w14:paraId="23124A31" w14:textId="77777777" w:rsidR="00344027" w:rsidRPr="002233BD" w:rsidRDefault="00344027">
    <w:pPr>
      <w:pBdr>
        <w:top w:val="nil"/>
        <w:left w:val="nil"/>
        <w:bottom w:val="nil"/>
        <w:right w:val="nil"/>
        <w:between w:val="nil"/>
      </w:pBdr>
      <w:tabs>
        <w:tab w:val="center" w:pos="4680"/>
        <w:tab w:val="right" w:pos="936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58681801"/>
      <w:docPartObj>
        <w:docPartGallery w:val="Page Numbers (Bottom of Page)"/>
        <w:docPartUnique/>
      </w:docPartObj>
    </w:sdtPr>
    <w:sdtContent>
      <w:p w14:paraId="42870B3B" w14:textId="5B5EF3D3" w:rsidR="002257E1" w:rsidRDefault="002257E1" w:rsidP="00C46D2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B422CBF" w14:textId="1F156F94" w:rsidR="002257E1" w:rsidRDefault="002257E1" w:rsidP="002257E1">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C37CD" w14:textId="3C167F0F" w:rsidR="002257E1" w:rsidRDefault="002257E1" w:rsidP="00630DCD">
    <w:pPr>
      <w:pStyle w:val="Footer"/>
      <w:jc w:val="center"/>
    </w:pPr>
    <w:r>
      <w:rPr>
        <w:noProof/>
      </w:rPr>
      <w:drawing>
        <wp:inline distT="0" distB="0" distL="0" distR="0" wp14:anchorId="793E7B35" wp14:editId="5EB8CDC8">
          <wp:extent cx="844952" cy="681316"/>
          <wp:effectExtent l="0" t="0" r="0" b="5080"/>
          <wp:docPr id="76" name="Picture 7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882007" cy="711195"/>
                  </a:xfrm>
                  <a:prstGeom prst="rect">
                    <a:avLst/>
                  </a:prstGeom>
                </pic:spPr>
              </pic:pic>
            </a:graphicData>
          </a:graphic>
        </wp:inline>
      </w:drawing>
    </w:r>
    <w:r w:rsidR="00A3221F">
      <w:t xml:space="preserve">              </w:t>
    </w:r>
    <w:r>
      <w:rPr>
        <w:noProof/>
      </w:rPr>
      <w:drawing>
        <wp:inline distT="0" distB="0" distL="0" distR="0" wp14:anchorId="7804E2F8" wp14:editId="3F5F62E1">
          <wp:extent cx="752354" cy="698853"/>
          <wp:effectExtent l="0" t="0" r="0" b="0"/>
          <wp:docPr id="77" name="Picture 7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Logo, company name&#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766599" cy="712085"/>
                  </a:xfrm>
                  <a:prstGeom prst="rect">
                    <a:avLst/>
                  </a:prstGeom>
                </pic:spPr>
              </pic:pic>
            </a:graphicData>
          </a:graphic>
        </wp:inline>
      </w:drawing>
    </w:r>
    <w:r w:rsidR="00A3221F">
      <w:t xml:space="preserve">              </w:t>
    </w:r>
    <w:r>
      <w:rPr>
        <w:noProof/>
      </w:rPr>
      <w:drawing>
        <wp:inline distT="0" distB="0" distL="0" distR="0" wp14:anchorId="4D5263E5" wp14:editId="57840C52">
          <wp:extent cx="1354238" cy="633277"/>
          <wp:effectExtent l="0" t="0" r="5080" b="1905"/>
          <wp:docPr id="78" name="Picture 7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picture containing text, clipart&#10;&#10;Description automatically generated"/>
                  <pic:cNvPicPr/>
                </pic:nvPicPr>
                <pic:blipFill>
                  <a:blip r:embed="rId3">
                    <a:extLst>
                      <a:ext uri="{28A0092B-C50C-407E-A947-70E740481C1C}">
                        <a14:useLocalDpi xmlns:a14="http://schemas.microsoft.com/office/drawing/2010/main" val="0"/>
                      </a:ext>
                    </a:extLst>
                  </a:blip>
                  <a:stretch>
                    <a:fillRect/>
                  </a:stretch>
                </pic:blipFill>
                <pic:spPr>
                  <a:xfrm>
                    <a:off x="0" y="0"/>
                    <a:ext cx="1369059" cy="640207"/>
                  </a:xfrm>
                  <a:prstGeom prst="rect">
                    <a:avLst/>
                  </a:prstGeom>
                </pic:spPr>
              </pic:pic>
            </a:graphicData>
          </a:graphic>
        </wp:inline>
      </w:drawing>
    </w:r>
    <w:r w:rsidR="00A3221F">
      <w:t xml:space="preserve">              </w:t>
    </w:r>
    <w:r>
      <w:rPr>
        <w:noProof/>
      </w:rPr>
      <w:drawing>
        <wp:inline distT="0" distB="0" distL="0" distR="0" wp14:anchorId="25A29CE8" wp14:editId="1D082595">
          <wp:extent cx="1307939" cy="649957"/>
          <wp:effectExtent l="0" t="0" r="63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4">
                    <a:extLst>
                      <a:ext uri="{28A0092B-C50C-407E-A947-70E740481C1C}">
                        <a14:useLocalDpi xmlns:a14="http://schemas.microsoft.com/office/drawing/2010/main" val="0"/>
                      </a:ext>
                    </a:extLst>
                  </a:blip>
                  <a:stretch>
                    <a:fillRect/>
                  </a:stretch>
                </pic:blipFill>
                <pic:spPr>
                  <a:xfrm>
                    <a:off x="0" y="0"/>
                    <a:ext cx="1357949" cy="674808"/>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B88D9" w14:textId="77777777" w:rsidR="00953796" w:rsidRDefault="0000000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F87061" w14:textId="6CA78F90" w:rsidR="00953796" w:rsidRDefault="00416C9F" w:rsidP="00416C9F">
    <w:pPr>
      <w:pStyle w:val="Footer"/>
      <w:jc w:val="right"/>
    </w:pPr>
    <w:r>
      <w:t>30</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F04EE" w14:textId="77777777" w:rsidR="00953796" w:rsidRDefault="00000000">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85002429"/>
      <w:docPartObj>
        <w:docPartGallery w:val="Page Numbers (Bottom of Page)"/>
        <w:docPartUnique/>
      </w:docPartObj>
    </w:sdtPr>
    <w:sdtContent>
      <w:p w14:paraId="6AF3777E" w14:textId="2D4E0CC0" w:rsidR="00E55250" w:rsidRDefault="00E55250" w:rsidP="008D656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AA1158A" w14:textId="77777777" w:rsidR="004E4D67" w:rsidRDefault="00000000" w:rsidP="00E55250">
    <w:pPr>
      <w:pStyle w:val="Footer"/>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96824395"/>
      <w:docPartObj>
        <w:docPartGallery w:val="Page Numbers (Bottom of Page)"/>
        <w:docPartUnique/>
      </w:docPartObj>
    </w:sdtPr>
    <w:sdtContent>
      <w:p w14:paraId="3302974A" w14:textId="13FC3DC8" w:rsidR="00E55250" w:rsidRDefault="00E55250" w:rsidP="008D656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40</w:t>
        </w:r>
        <w:r>
          <w:rPr>
            <w:rStyle w:val="PageNumber"/>
          </w:rPr>
          <w:fldChar w:fldCharType="end"/>
        </w:r>
      </w:p>
    </w:sdtContent>
  </w:sdt>
  <w:p w14:paraId="2FACC00B" w14:textId="77777777" w:rsidR="0024532C" w:rsidRDefault="00000000" w:rsidP="00E55250">
    <w:pPr>
      <w:pStyle w:val="Footer"/>
      <w:ind w:right="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322AC" w14:textId="49C2B30D" w:rsidR="004E4D67" w:rsidRDefault="00416C9F" w:rsidP="00416C9F">
    <w:pPr>
      <w:pStyle w:val="Footer"/>
      <w:jc w:val="right"/>
    </w:pPr>
    <w:r>
      <w:t>31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2C4A6A" w14:textId="77777777" w:rsidR="00636128" w:rsidRDefault="00636128" w:rsidP="002257E1">
      <w:r>
        <w:separator/>
      </w:r>
    </w:p>
  </w:footnote>
  <w:footnote w:type="continuationSeparator" w:id="0">
    <w:p w14:paraId="5F4670CF" w14:textId="77777777" w:rsidR="00636128" w:rsidRDefault="00636128" w:rsidP="002257E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3E87E" w14:textId="77777777" w:rsidR="00953796" w:rsidRDefault="0000000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EA3CB" w14:textId="77777777" w:rsidR="00953796" w:rsidRDefault="0000000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AFBCF1" w14:textId="77777777" w:rsidR="00953796" w:rsidRDefault="0000000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DE5ED6" w14:textId="77777777" w:rsidR="004E4D67" w:rsidRDefault="0000000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509962" w14:textId="77777777" w:rsidR="004E4D67" w:rsidRDefault="0000000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ACB96" w14:textId="77777777" w:rsidR="004E4D67" w:rsidRDefault="0000000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44AC9" w14:textId="77777777" w:rsidR="009C75D7" w:rsidRDefault="009C75D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27F987" w14:textId="77777777" w:rsidR="009C75D7" w:rsidRDefault="009C75D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091DFD" w14:textId="77777777" w:rsidR="009C75D7" w:rsidRDefault="009C75D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1in;height:77pt;visibility:visible;mso-wrap-style:square" o:bullet="t">
        <v:imagedata r:id="rId1" o:title=""/>
      </v:shape>
    </w:pict>
  </w:numPicBullet>
  <w:abstractNum w:abstractNumId="0" w15:restartNumberingAfterBreak="0">
    <w:nsid w:val="021B7666"/>
    <w:multiLevelType w:val="multilevel"/>
    <w:tmpl w:val="44328928"/>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665120E"/>
    <w:multiLevelType w:val="hybridMultilevel"/>
    <w:tmpl w:val="ED4C09EC"/>
    <w:lvl w:ilvl="0" w:tplc="187E08C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7D34E69"/>
    <w:multiLevelType w:val="hybridMultilevel"/>
    <w:tmpl w:val="122C68A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895C1F"/>
    <w:multiLevelType w:val="hybridMultilevel"/>
    <w:tmpl w:val="C67869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9D419CF"/>
    <w:multiLevelType w:val="multilevel"/>
    <w:tmpl w:val="84FC2AE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C5F14D5"/>
    <w:multiLevelType w:val="hybridMultilevel"/>
    <w:tmpl w:val="E936465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C8A03CD"/>
    <w:multiLevelType w:val="multilevel"/>
    <w:tmpl w:val="ADB20CA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EC0601A"/>
    <w:multiLevelType w:val="multilevel"/>
    <w:tmpl w:val="C6A8CCEA"/>
    <w:styleLink w:val="Headings"/>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9" w15:restartNumberingAfterBreak="0">
    <w:nsid w:val="225305B5"/>
    <w:multiLevelType w:val="hybridMultilevel"/>
    <w:tmpl w:val="4F8C24FA"/>
    <w:lvl w:ilvl="0" w:tplc="A9DCD718">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283D5708"/>
    <w:multiLevelType w:val="hybridMultilevel"/>
    <w:tmpl w:val="086678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85E666D"/>
    <w:multiLevelType w:val="hybridMultilevel"/>
    <w:tmpl w:val="5F7217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B940D0E"/>
    <w:multiLevelType w:val="hybridMultilevel"/>
    <w:tmpl w:val="15246C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2A7CAC"/>
    <w:multiLevelType w:val="multilevel"/>
    <w:tmpl w:val="C6A8CCEA"/>
    <w:numStyleLink w:val="Headings"/>
  </w:abstractNum>
  <w:abstractNum w:abstractNumId="14" w15:restartNumberingAfterBreak="0">
    <w:nsid w:val="350823CF"/>
    <w:multiLevelType w:val="hybridMultilevel"/>
    <w:tmpl w:val="F260FD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6D30736"/>
    <w:multiLevelType w:val="hybridMultilevel"/>
    <w:tmpl w:val="BC1E7B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817787E"/>
    <w:multiLevelType w:val="multilevel"/>
    <w:tmpl w:val="ADB20CA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3AE81A88"/>
    <w:multiLevelType w:val="hybridMultilevel"/>
    <w:tmpl w:val="F170DF40"/>
    <w:lvl w:ilvl="0" w:tplc="B45256F2">
      <w:start w:val="1"/>
      <w:numFmt w:val="decimal"/>
      <w:lvlText w:val="%1."/>
      <w:lvlJc w:val="left"/>
      <w:pPr>
        <w:ind w:left="1147" w:hanging="58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8" w15:restartNumberingAfterBreak="0">
    <w:nsid w:val="3AE92CDE"/>
    <w:multiLevelType w:val="hybridMultilevel"/>
    <w:tmpl w:val="294E0C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C1539C0"/>
    <w:multiLevelType w:val="hybridMultilevel"/>
    <w:tmpl w:val="675E09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08E502C"/>
    <w:multiLevelType w:val="hybridMultilevel"/>
    <w:tmpl w:val="C2165F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4216449"/>
    <w:multiLevelType w:val="hybridMultilevel"/>
    <w:tmpl w:val="60E244E0"/>
    <w:lvl w:ilvl="0" w:tplc="BB925A66">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77A56EB"/>
    <w:multiLevelType w:val="hybridMultilevel"/>
    <w:tmpl w:val="774C1E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91C7D3A"/>
    <w:multiLevelType w:val="hybridMultilevel"/>
    <w:tmpl w:val="763EBC72"/>
    <w:lvl w:ilvl="0" w:tplc="FFFFFFFF">
      <w:start w:val="1"/>
      <w:numFmt w:val="decimal"/>
      <w:lvlText w:val="%1)"/>
      <w:lvlJc w:val="left"/>
      <w:pPr>
        <w:ind w:left="780" w:hanging="360"/>
      </w:pPr>
      <w:rPr>
        <w:rFonts w:cstheme="minorHAnsi" w:hint="default"/>
      </w:rPr>
    </w:lvl>
    <w:lvl w:ilvl="1" w:tplc="FFFFFFFF" w:tentative="1">
      <w:start w:val="1"/>
      <w:numFmt w:val="lowerLetter"/>
      <w:lvlText w:val="%2."/>
      <w:lvlJc w:val="left"/>
      <w:pPr>
        <w:ind w:left="1500" w:hanging="360"/>
      </w:pPr>
    </w:lvl>
    <w:lvl w:ilvl="2" w:tplc="FFFFFFFF">
      <w:start w:val="1"/>
      <w:numFmt w:val="lowerRoman"/>
      <w:lvlText w:val="%3."/>
      <w:lvlJc w:val="right"/>
      <w:pPr>
        <w:ind w:left="2220" w:hanging="180"/>
      </w:pPr>
    </w:lvl>
    <w:lvl w:ilvl="3" w:tplc="FFFFFFFF" w:tentative="1">
      <w:start w:val="1"/>
      <w:numFmt w:val="decimal"/>
      <w:lvlText w:val="%4."/>
      <w:lvlJc w:val="left"/>
      <w:pPr>
        <w:ind w:left="2940" w:hanging="360"/>
      </w:pPr>
    </w:lvl>
    <w:lvl w:ilvl="4" w:tplc="FFFFFFFF" w:tentative="1">
      <w:start w:val="1"/>
      <w:numFmt w:val="lowerLetter"/>
      <w:lvlText w:val="%5."/>
      <w:lvlJc w:val="left"/>
      <w:pPr>
        <w:ind w:left="3660" w:hanging="360"/>
      </w:pPr>
    </w:lvl>
    <w:lvl w:ilvl="5" w:tplc="FFFFFFFF" w:tentative="1">
      <w:start w:val="1"/>
      <w:numFmt w:val="lowerRoman"/>
      <w:lvlText w:val="%6."/>
      <w:lvlJc w:val="right"/>
      <w:pPr>
        <w:ind w:left="4380" w:hanging="180"/>
      </w:pPr>
    </w:lvl>
    <w:lvl w:ilvl="6" w:tplc="FFFFFFFF" w:tentative="1">
      <w:start w:val="1"/>
      <w:numFmt w:val="decimal"/>
      <w:lvlText w:val="%7."/>
      <w:lvlJc w:val="left"/>
      <w:pPr>
        <w:ind w:left="5100" w:hanging="360"/>
      </w:pPr>
    </w:lvl>
    <w:lvl w:ilvl="7" w:tplc="FFFFFFFF" w:tentative="1">
      <w:start w:val="1"/>
      <w:numFmt w:val="lowerLetter"/>
      <w:lvlText w:val="%8."/>
      <w:lvlJc w:val="left"/>
      <w:pPr>
        <w:ind w:left="5820" w:hanging="360"/>
      </w:pPr>
    </w:lvl>
    <w:lvl w:ilvl="8" w:tplc="FFFFFFFF" w:tentative="1">
      <w:start w:val="1"/>
      <w:numFmt w:val="lowerRoman"/>
      <w:lvlText w:val="%9."/>
      <w:lvlJc w:val="right"/>
      <w:pPr>
        <w:ind w:left="6540" w:hanging="180"/>
      </w:pPr>
    </w:lvl>
  </w:abstractNum>
  <w:abstractNum w:abstractNumId="24" w15:restartNumberingAfterBreak="0">
    <w:nsid w:val="4D8113DE"/>
    <w:multiLevelType w:val="multilevel"/>
    <w:tmpl w:val="ADB20CA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51987840"/>
    <w:multiLevelType w:val="hybridMultilevel"/>
    <w:tmpl w:val="763EBC72"/>
    <w:lvl w:ilvl="0" w:tplc="4058EED2">
      <w:start w:val="1"/>
      <w:numFmt w:val="decimal"/>
      <w:lvlText w:val="%1)"/>
      <w:lvlJc w:val="left"/>
      <w:pPr>
        <w:ind w:left="780" w:hanging="360"/>
      </w:pPr>
      <w:rPr>
        <w:rFonts w:cstheme="minorHAnsi" w:hint="default"/>
      </w:rPr>
    </w:lvl>
    <w:lvl w:ilvl="1" w:tplc="08090019" w:tentative="1">
      <w:start w:val="1"/>
      <w:numFmt w:val="lowerLetter"/>
      <w:lvlText w:val="%2."/>
      <w:lvlJc w:val="left"/>
      <w:pPr>
        <w:ind w:left="1500" w:hanging="360"/>
      </w:pPr>
    </w:lvl>
    <w:lvl w:ilvl="2" w:tplc="0809001B">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26" w15:restartNumberingAfterBreak="0">
    <w:nsid w:val="523E53A3"/>
    <w:multiLevelType w:val="hybridMultilevel"/>
    <w:tmpl w:val="BCEAF1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2290D83"/>
    <w:multiLevelType w:val="hybridMultilevel"/>
    <w:tmpl w:val="D1E4BA92"/>
    <w:lvl w:ilvl="0" w:tplc="E9807BE6">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 w15:restartNumberingAfterBreak="0">
    <w:nsid w:val="652228FF"/>
    <w:multiLevelType w:val="hybridMultilevel"/>
    <w:tmpl w:val="98801380"/>
    <w:lvl w:ilvl="0" w:tplc="08090003">
      <w:start w:val="1"/>
      <w:numFmt w:val="bullet"/>
      <w:lvlText w:val="o"/>
      <w:lvlJc w:val="left"/>
      <w:pPr>
        <w:ind w:left="1440" w:hanging="360"/>
      </w:pPr>
      <w:rPr>
        <w:rFonts w:ascii="Courier New" w:hAnsi="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C357589"/>
    <w:multiLevelType w:val="hybridMultilevel"/>
    <w:tmpl w:val="BB229AAE"/>
    <w:lvl w:ilvl="0" w:tplc="91C81E28">
      <w:start w:val="1"/>
      <w:numFmt w:val="bullet"/>
      <w:lvlText w:val="•"/>
      <w:lvlJc w:val="left"/>
      <w:pPr>
        <w:tabs>
          <w:tab w:val="num" w:pos="720"/>
        </w:tabs>
        <w:ind w:left="720" w:hanging="360"/>
      </w:pPr>
      <w:rPr>
        <w:rFonts w:ascii="Arial" w:hAnsi="Arial" w:hint="default"/>
      </w:rPr>
    </w:lvl>
    <w:lvl w:ilvl="1" w:tplc="61D23A32" w:tentative="1">
      <w:start w:val="1"/>
      <w:numFmt w:val="bullet"/>
      <w:lvlText w:val="•"/>
      <w:lvlJc w:val="left"/>
      <w:pPr>
        <w:tabs>
          <w:tab w:val="num" w:pos="1440"/>
        </w:tabs>
        <w:ind w:left="1440" w:hanging="360"/>
      </w:pPr>
      <w:rPr>
        <w:rFonts w:ascii="Arial" w:hAnsi="Arial" w:hint="default"/>
      </w:rPr>
    </w:lvl>
    <w:lvl w:ilvl="2" w:tplc="E87464E0" w:tentative="1">
      <w:start w:val="1"/>
      <w:numFmt w:val="bullet"/>
      <w:lvlText w:val="•"/>
      <w:lvlJc w:val="left"/>
      <w:pPr>
        <w:tabs>
          <w:tab w:val="num" w:pos="2160"/>
        </w:tabs>
        <w:ind w:left="2160" w:hanging="360"/>
      </w:pPr>
      <w:rPr>
        <w:rFonts w:ascii="Arial" w:hAnsi="Arial" w:hint="default"/>
      </w:rPr>
    </w:lvl>
    <w:lvl w:ilvl="3" w:tplc="7F1A838C" w:tentative="1">
      <w:start w:val="1"/>
      <w:numFmt w:val="bullet"/>
      <w:lvlText w:val="•"/>
      <w:lvlJc w:val="left"/>
      <w:pPr>
        <w:tabs>
          <w:tab w:val="num" w:pos="2880"/>
        </w:tabs>
        <w:ind w:left="2880" w:hanging="360"/>
      </w:pPr>
      <w:rPr>
        <w:rFonts w:ascii="Arial" w:hAnsi="Arial" w:hint="default"/>
      </w:rPr>
    </w:lvl>
    <w:lvl w:ilvl="4" w:tplc="34C4C9D2" w:tentative="1">
      <w:start w:val="1"/>
      <w:numFmt w:val="bullet"/>
      <w:lvlText w:val="•"/>
      <w:lvlJc w:val="left"/>
      <w:pPr>
        <w:tabs>
          <w:tab w:val="num" w:pos="3600"/>
        </w:tabs>
        <w:ind w:left="3600" w:hanging="360"/>
      </w:pPr>
      <w:rPr>
        <w:rFonts w:ascii="Arial" w:hAnsi="Arial" w:hint="default"/>
      </w:rPr>
    </w:lvl>
    <w:lvl w:ilvl="5" w:tplc="F5BA9450" w:tentative="1">
      <w:start w:val="1"/>
      <w:numFmt w:val="bullet"/>
      <w:lvlText w:val="•"/>
      <w:lvlJc w:val="left"/>
      <w:pPr>
        <w:tabs>
          <w:tab w:val="num" w:pos="4320"/>
        </w:tabs>
        <w:ind w:left="4320" w:hanging="360"/>
      </w:pPr>
      <w:rPr>
        <w:rFonts w:ascii="Arial" w:hAnsi="Arial" w:hint="default"/>
      </w:rPr>
    </w:lvl>
    <w:lvl w:ilvl="6" w:tplc="4C56E488" w:tentative="1">
      <w:start w:val="1"/>
      <w:numFmt w:val="bullet"/>
      <w:lvlText w:val="•"/>
      <w:lvlJc w:val="left"/>
      <w:pPr>
        <w:tabs>
          <w:tab w:val="num" w:pos="5040"/>
        </w:tabs>
        <w:ind w:left="5040" w:hanging="360"/>
      </w:pPr>
      <w:rPr>
        <w:rFonts w:ascii="Arial" w:hAnsi="Arial" w:hint="default"/>
      </w:rPr>
    </w:lvl>
    <w:lvl w:ilvl="7" w:tplc="CB6C9CA8" w:tentative="1">
      <w:start w:val="1"/>
      <w:numFmt w:val="bullet"/>
      <w:lvlText w:val="•"/>
      <w:lvlJc w:val="left"/>
      <w:pPr>
        <w:tabs>
          <w:tab w:val="num" w:pos="5760"/>
        </w:tabs>
        <w:ind w:left="5760" w:hanging="360"/>
      </w:pPr>
      <w:rPr>
        <w:rFonts w:ascii="Arial" w:hAnsi="Arial" w:hint="default"/>
      </w:rPr>
    </w:lvl>
    <w:lvl w:ilvl="8" w:tplc="646E70B4"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CDA406B"/>
    <w:multiLevelType w:val="hybridMultilevel"/>
    <w:tmpl w:val="1D8CE96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17A1D2C"/>
    <w:multiLevelType w:val="hybridMultilevel"/>
    <w:tmpl w:val="CC206C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6045BB5"/>
    <w:multiLevelType w:val="hybridMultilevel"/>
    <w:tmpl w:val="F2F428E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DBC6F29"/>
    <w:multiLevelType w:val="multilevel"/>
    <w:tmpl w:val="C6A8CCEA"/>
    <w:numStyleLink w:val="Headings"/>
  </w:abstractNum>
  <w:abstractNum w:abstractNumId="36" w15:restartNumberingAfterBreak="0">
    <w:nsid w:val="7E252E67"/>
    <w:multiLevelType w:val="hybridMultilevel"/>
    <w:tmpl w:val="883C100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F983756"/>
    <w:multiLevelType w:val="multilevel"/>
    <w:tmpl w:val="F300CEF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16cid:durableId="798456274">
    <w:abstractNumId w:val="5"/>
  </w:num>
  <w:num w:numId="2" w16cid:durableId="1248811505">
    <w:abstractNumId w:val="22"/>
  </w:num>
  <w:num w:numId="3" w16cid:durableId="160387635">
    <w:abstractNumId w:val="34"/>
  </w:num>
  <w:num w:numId="4" w16cid:durableId="408429027">
    <w:abstractNumId w:val="14"/>
  </w:num>
  <w:num w:numId="5" w16cid:durableId="648554301">
    <w:abstractNumId w:val="26"/>
  </w:num>
  <w:num w:numId="6" w16cid:durableId="627903387">
    <w:abstractNumId w:val="33"/>
  </w:num>
  <w:num w:numId="7" w16cid:durableId="364211028">
    <w:abstractNumId w:val="12"/>
  </w:num>
  <w:num w:numId="8" w16cid:durableId="1693188417">
    <w:abstractNumId w:val="29"/>
  </w:num>
  <w:num w:numId="9" w16cid:durableId="1412123745">
    <w:abstractNumId w:val="1"/>
  </w:num>
  <w:num w:numId="10" w16cid:durableId="10961873">
    <w:abstractNumId w:val="25"/>
  </w:num>
  <w:num w:numId="11" w16cid:durableId="627930431">
    <w:abstractNumId w:val="17"/>
  </w:num>
  <w:num w:numId="12" w16cid:durableId="1421100204">
    <w:abstractNumId w:val="32"/>
  </w:num>
  <w:num w:numId="13" w16cid:durableId="1940915150">
    <w:abstractNumId w:val="10"/>
  </w:num>
  <w:num w:numId="14" w16cid:durableId="1557202110">
    <w:abstractNumId w:val="6"/>
  </w:num>
  <w:num w:numId="15" w16cid:durableId="769933640">
    <w:abstractNumId w:val="36"/>
  </w:num>
  <w:num w:numId="16" w16cid:durableId="520970223">
    <w:abstractNumId w:val="2"/>
  </w:num>
  <w:num w:numId="17" w16cid:durableId="692656223">
    <w:abstractNumId w:val="31"/>
  </w:num>
  <w:num w:numId="18" w16cid:durableId="30225305">
    <w:abstractNumId w:val="11"/>
  </w:num>
  <w:num w:numId="19" w16cid:durableId="297758929">
    <w:abstractNumId w:val="4"/>
  </w:num>
  <w:num w:numId="20" w16cid:durableId="1649944462">
    <w:abstractNumId w:val="0"/>
  </w:num>
  <w:num w:numId="21" w16cid:durableId="1466309509">
    <w:abstractNumId w:val="27"/>
  </w:num>
  <w:num w:numId="22" w16cid:durableId="1251429614">
    <w:abstractNumId w:val="3"/>
  </w:num>
  <w:num w:numId="23" w16cid:durableId="1392385913">
    <w:abstractNumId w:val="30"/>
  </w:num>
  <w:num w:numId="24" w16cid:durableId="4714825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569684432">
    <w:abstractNumId w:val="20"/>
  </w:num>
  <w:num w:numId="26" w16cid:durableId="99223270">
    <w:abstractNumId w:val="18"/>
  </w:num>
  <w:num w:numId="27" w16cid:durableId="435953193">
    <w:abstractNumId w:val="15"/>
  </w:num>
  <w:num w:numId="28" w16cid:durableId="770904185">
    <w:abstractNumId w:val="19"/>
  </w:num>
  <w:num w:numId="29" w16cid:durableId="274212877">
    <w:abstractNumId w:val="16"/>
  </w:num>
  <w:num w:numId="30" w16cid:durableId="1458177714">
    <w:abstractNumId w:val="7"/>
  </w:num>
  <w:num w:numId="31" w16cid:durableId="1198007811">
    <w:abstractNumId w:val="37"/>
  </w:num>
  <w:num w:numId="32" w16cid:durableId="1321421193">
    <w:abstractNumId w:val="24"/>
  </w:num>
  <w:num w:numId="33" w16cid:durableId="1952780335">
    <w:abstractNumId w:val="9"/>
  </w:num>
  <w:num w:numId="34" w16cid:durableId="521432748">
    <w:abstractNumId w:val="21"/>
  </w:num>
  <w:num w:numId="35" w16cid:durableId="1553693120">
    <w:abstractNumId w:val="28"/>
  </w:num>
  <w:num w:numId="36" w16cid:durableId="1891960480">
    <w:abstractNumId w:val="8"/>
    <w:lvlOverride w:ilvl="0">
      <w:lvl w:ilvl="0">
        <w:start w:val="1"/>
        <w:numFmt w:val="decimal"/>
        <w:lvlText w:val="%1"/>
        <w:lvlJc w:val="left"/>
        <w:pPr>
          <w:tabs>
            <w:tab w:val="num" w:pos="567"/>
          </w:tabs>
          <w:ind w:left="567" w:hanging="567"/>
        </w:pPr>
        <w:rPr>
          <w:rFonts w:hint="default"/>
        </w:rPr>
      </w:lvl>
    </w:lvlOverride>
    <w:lvlOverride w:ilvl="1">
      <w:lvl w:ilvl="1">
        <w:start w:val="1"/>
        <w:numFmt w:val="decimal"/>
        <w:lvlText w:val="%1.%2"/>
        <w:lvlJc w:val="left"/>
        <w:pPr>
          <w:tabs>
            <w:tab w:val="num" w:pos="567"/>
          </w:tabs>
          <w:ind w:left="567" w:hanging="567"/>
        </w:pPr>
        <w:rPr>
          <w:rFonts w:hint="default"/>
        </w:rPr>
      </w:lvl>
    </w:lvlOverride>
  </w:num>
  <w:num w:numId="37" w16cid:durableId="205792847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2005207921">
    <w:abstractNumId w:val="13"/>
  </w:num>
  <w:num w:numId="39" w16cid:durableId="2064676208">
    <w:abstractNumId w:val="35"/>
  </w:num>
  <w:num w:numId="40" w16cid:durableId="79955570">
    <w:abstractNumId w:val="8"/>
  </w:num>
  <w:num w:numId="41" w16cid:durableId="738022682">
    <w:abstractNumId w:val="8"/>
    <w:lvlOverride w:ilvl="0">
      <w:startOverride w:val="1"/>
      <w:lvl w:ilvl="0">
        <w:start w:val="1"/>
        <w:numFmt w:val="decimal"/>
        <w:lvlText w:val="%1"/>
        <w:lvlJc w:val="left"/>
        <w:pPr>
          <w:tabs>
            <w:tab w:val="num" w:pos="567"/>
          </w:tabs>
          <w:ind w:left="567" w:hanging="567"/>
        </w:pPr>
      </w:lvl>
    </w:lvlOverride>
    <w:lvlOverride w:ilvl="1">
      <w:startOverride w:val="1"/>
      <w:lvl w:ilvl="1">
        <w:start w:val="1"/>
        <w:numFmt w:val="decimal"/>
        <w:lvlText w:val="%1.%2"/>
        <w:lvlJc w:val="left"/>
        <w:pPr>
          <w:tabs>
            <w:tab w:val="num" w:pos="567"/>
          </w:tabs>
          <w:ind w:left="567" w:hanging="567"/>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2" w16cid:durableId="87177054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4294"/>
    <w:rsid w:val="00000193"/>
    <w:rsid w:val="00001CD6"/>
    <w:rsid w:val="00002263"/>
    <w:rsid w:val="00002D21"/>
    <w:rsid w:val="00005B37"/>
    <w:rsid w:val="00013DA6"/>
    <w:rsid w:val="00020D8B"/>
    <w:rsid w:val="00021E11"/>
    <w:rsid w:val="00022B60"/>
    <w:rsid w:val="0002342A"/>
    <w:rsid w:val="00027749"/>
    <w:rsid w:val="000326FF"/>
    <w:rsid w:val="00034382"/>
    <w:rsid w:val="000453E4"/>
    <w:rsid w:val="00046869"/>
    <w:rsid w:val="000474EC"/>
    <w:rsid w:val="000479DA"/>
    <w:rsid w:val="00047DD5"/>
    <w:rsid w:val="00050032"/>
    <w:rsid w:val="000562DD"/>
    <w:rsid w:val="00057F49"/>
    <w:rsid w:val="0006047D"/>
    <w:rsid w:val="00060911"/>
    <w:rsid w:val="000618A4"/>
    <w:rsid w:val="00061F43"/>
    <w:rsid w:val="00064033"/>
    <w:rsid w:val="00070CDD"/>
    <w:rsid w:val="00071EC0"/>
    <w:rsid w:val="000735F1"/>
    <w:rsid w:val="00076839"/>
    <w:rsid w:val="000826CB"/>
    <w:rsid w:val="00083170"/>
    <w:rsid w:val="00085899"/>
    <w:rsid w:val="00087E87"/>
    <w:rsid w:val="00090EED"/>
    <w:rsid w:val="00094754"/>
    <w:rsid w:val="00096FEC"/>
    <w:rsid w:val="000A3021"/>
    <w:rsid w:val="000A315B"/>
    <w:rsid w:val="000A4B1B"/>
    <w:rsid w:val="000A5136"/>
    <w:rsid w:val="000B0D89"/>
    <w:rsid w:val="000B1F17"/>
    <w:rsid w:val="000B3386"/>
    <w:rsid w:val="000B5D52"/>
    <w:rsid w:val="000B64B4"/>
    <w:rsid w:val="000C5744"/>
    <w:rsid w:val="000D53DA"/>
    <w:rsid w:val="000D66FB"/>
    <w:rsid w:val="000D7F31"/>
    <w:rsid w:val="000E3DDE"/>
    <w:rsid w:val="000E4118"/>
    <w:rsid w:val="000E71ED"/>
    <w:rsid w:val="000E7569"/>
    <w:rsid w:val="000F0D34"/>
    <w:rsid w:val="001012B9"/>
    <w:rsid w:val="00103156"/>
    <w:rsid w:val="0010347D"/>
    <w:rsid w:val="0010657A"/>
    <w:rsid w:val="00107156"/>
    <w:rsid w:val="0011155F"/>
    <w:rsid w:val="00111E96"/>
    <w:rsid w:val="001121A8"/>
    <w:rsid w:val="00113CD5"/>
    <w:rsid w:val="00115BFE"/>
    <w:rsid w:val="00115F3B"/>
    <w:rsid w:val="00120525"/>
    <w:rsid w:val="0012404D"/>
    <w:rsid w:val="00132A78"/>
    <w:rsid w:val="00141221"/>
    <w:rsid w:val="001428BB"/>
    <w:rsid w:val="00143C7A"/>
    <w:rsid w:val="00144D9C"/>
    <w:rsid w:val="00145C3A"/>
    <w:rsid w:val="00150A2A"/>
    <w:rsid w:val="001575F4"/>
    <w:rsid w:val="00162D60"/>
    <w:rsid w:val="00165CC4"/>
    <w:rsid w:val="0016750B"/>
    <w:rsid w:val="001745E4"/>
    <w:rsid w:val="00176A02"/>
    <w:rsid w:val="00181E0A"/>
    <w:rsid w:val="001873EC"/>
    <w:rsid w:val="001878DA"/>
    <w:rsid w:val="00192F55"/>
    <w:rsid w:val="001947B9"/>
    <w:rsid w:val="00196A1F"/>
    <w:rsid w:val="001A58D0"/>
    <w:rsid w:val="001B1E70"/>
    <w:rsid w:val="001B67EE"/>
    <w:rsid w:val="001C04BF"/>
    <w:rsid w:val="001C052F"/>
    <w:rsid w:val="001C0A9C"/>
    <w:rsid w:val="001C60CF"/>
    <w:rsid w:val="001C7EAB"/>
    <w:rsid w:val="001D2883"/>
    <w:rsid w:val="001D45C9"/>
    <w:rsid w:val="001D58D3"/>
    <w:rsid w:val="001D6399"/>
    <w:rsid w:val="001E17C7"/>
    <w:rsid w:val="001E1B80"/>
    <w:rsid w:val="001E4A9A"/>
    <w:rsid w:val="001E6980"/>
    <w:rsid w:val="001F23FA"/>
    <w:rsid w:val="001F242C"/>
    <w:rsid w:val="001F4648"/>
    <w:rsid w:val="001F541C"/>
    <w:rsid w:val="001F5BE0"/>
    <w:rsid w:val="00204243"/>
    <w:rsid w:val="00210C37"/>
    <w:rsid w:val="00212CBF"/>
    <w:rsid w:val="00214B44"/>
    <w:rsid w:val="00220FEB"/>
    <w:rsid w:val="00222239"/>
    <w:rsid w:val="00222DAC"/>
    <w:rsid w:val="00223193"/>
    <w:rsid w:val="002240CA"/>
    <w:rsid w:val="002257E1"/>
    <w:rsid w:val="00226522"/>
    <w:rsid w:val="00226CA7"/>
    <w:rsid w:val="00227CA5"/>
    <w:rsid w:val="00230749"/>
    <w:rsid w:val="00233548"/>
    <w:rsid w:val="0023615E"/>
    <w:rsid w:val="00237FE3"/>
    <w:rsid w:val="00244736"/>
    <w:rsid w:val="0025021D"/>
    <w:rsid w:val="0025385F"/>
    <w:rsid w:val="00255611"/>
    <w:rsid w:val="00257226"/>
    <w:rsid w:val="00257EDE"/>
    <w:rsid w:val="00260745"/>
    <w:rsid w:val="002648A6"/>
    <w:rsid w:val="00266073"/>
    <w:rsid w:val="002722D9"/>
    <w:rsid w:val="002725D1"/>
    <w:rsid w:val="00272D1C"/>
    <w:rsid w:val="002753CF"/>
    <w:rsid w:val="002755C4"/>
    <w:rsid w:val="002777B6"/>
    <w:rsid w:val="00282876"/>
    <w:rsid w:val="0028456B"/>
    <w:rsid w:val="00284642"/>
    <w:rsid w:val="0028465E"/>
    <w:rsid w:val="0028477B"/>
    <w:rsid w:val="002875C2"/>
    <w:rsid w:val="002877BF"/>
    <w:rsid w:val="00287A45"/>
    <w:rsid w:val="002910FB"/>
    <w:rsid w:val="002934A0"/>
    <w:rsid w:val="0029467F"/>
    <w:rsid w:val="0029580B"/>
    <w:rsid w:val="0029671E"/>
    <w:rsid w:val="002A0B99"/>
    <w:rsid w:val="002A23B3"/>
    <w:rsid w:val="002A353F"/>
    <w:rsid w:val="002A3700"/>
    <w:rsid w:val="002A447A"/>
    <w:rsid w:val="002A4898"/>
    <w:rsid w:val="002A691D"/>
    <w:rsid w:val="002B0C42"/>
    <w:rsid w:val="002B5F1E"/>
    <w:rsid w:val="002C1F4A"/>
    <w:rsid w:val="002C24BA"/>
    <w:rsid w:val="002C3255"/>
    <w:rsid w:val="002C351C"/>
    <w:rsid w:val="002C7E96"/>
    <w:rsid w:val="002D4F61"/>
    <w:rsid w:val="002D6DEF"/>
    <w:rsid w:val="002E33CD"/>
    <w:rsid w:val="002E486C"/>
    <w:rsid w:val="002F097C"/>
    <w:rsid w:val="002F11E7"/>
    <w:rsid w:val="002F32E8"/>
    <w:rsid w:val="002F6E32"/>
    <w:rsid w:val="002F7518"/>
    <w:rsid w:val="00300C53"/>
    <w:rsid w:val="00301B8A"/>
    <w:rsid w:val="0030310E"/>
    <w:rsid w:val="00303692"/>
    <w:rsid w:val="00306B3D"/>
    <w:rsid w:val="003110FF"/>
    <w:rsid w:val="00311237"/>
    <w:rsid w:val="0031238D"/>
    <w:rsid w:val="00312F0A"/>
    <w:rsid w:val="00313E82"/>
    <w:rsid w:val="00313F0D"/>
    <w:rsid w:val="003141D1"/>
    <w:rsid w:val="0032233A"/>
    <w:rsid w:val="003242A9"/>
    <w:rsid w:val="00324C94"/>
    <w:rsid w:val="003334E5"/>
    <w:rsid w:val="003348E5"/>
    <w:rsid w:val="00337B6C"/>
    <w:rsid w:val="00337BA9"/>
    <w:rsid w:val="00340F10"/>
    <w:rsid w:val="00341ECB"/>
    <w:rsid w:val="003424BE"/>
    <w:rsid w:val="00343F6D"/>
    <w:rsid w:val="00344027"/>
    <w:rsid w:val="00344B7D"/>
    <w:rsid w:val="00344CDF"/>
    <w:rsid w:val="00344D5B"/>
    <w:rsid w:val="00345738"/>
    <w:rsid w:val="00346974"/>
    <w:rsid w:val="00347872"/>
    <w:rsid w:val="00347FD6"/>
    <w:rsid w:val="0035280F"/>
    <w:rsid w:val="003544C9"/>
    <w:rsid w:val="00354803"/>
    <w:rsid w:val="00357812"/>
    <w:rsid w:val="00357F45"/>
    <w:rsid w:val="003620E4"/>
    <w:rsid w:val="003647C1"/>
    <w:rsid w:val="00370B10"/>
    <w:rsid w:val="00371A31"/>
    <w:rsid w:val="003722CE"/>
    <w:rsid w:val="00373022"/>
    <w:rsid w:val="00374915"/>
    <w:rsid w:val="00375366"/>
    <w:rsid w:val="00376B3A"/>
    <w:rsid w:val="00384742"/>
    <w:rsid w:val="00391232"/>
    <w:rsid w:val="0039379C"/>
    <w:rsid w:val="003A1224"/>
    <w:rsid w:val="003A45BB"/>
    <w:rsid w:val="003B1C7C"/>
    <w:rsid w:val="003B2A89"/>
    <w:rsid w:val="003B4F30"/>
    <w:rsid w:val="003B7D02"/>
    <w:rsid w:val="003C303C"/>
    <w:rsid w:val="003C77E8"/>
    <w:rsid w:val="003D14E9"/>
    <w:rsid w:val="003E55C1"/>
    <w:rsid w:val="003E6985"/>
    <w:rsid w:val="003E75E1"/>
    <w:rsid w:val="003E7FDE"/>
    <w:rsid w:val="003F0D9C"/>
    <w:rsid w:val="003F2EA2"/>
    <w:rsid w:val="003F36D8"/>
    <w:rsid w:val="003F526D"/>
    <w:rsid w:val="003F71F9"/>
    <w:rsid w:val="003F75C0"/>
    <w:rsid w:val="00402A45"/>
    <w:rsid w:val="00403919"/>
    <w:rsid w:val="00406F1D"/>
    <w:rsid w:val="004079AE"/>
    <w:rsid w:val="00413731"/>
    <w:rsid w:val="00414F61"/>
    <w:rsid w:val="00416C9F"/>
    <w:rsid w:val="00420EDF"/>
    <w:rsid w:val="00425071"/>
    <w:rsid w:val="004269A4"/>
    <w:rsid w:val="004329F6"/>
    <w:rsid w:val="004365F2"/>
    <w:rsid w:val="00436D46"/>
    <w:rsid w:val="00437016"/>
    <w:rsid w:val="00440646"/>
    <w:rsid w:val="00440699"/>
    <w:rsid w:val="00443E0B"/>
    <w:rsid w:val="00444905"/>
    <w:rsid w:val="00445C7E"/>
    <w:rsid w:val="00450823"/>
    <w:rsid w:val="00450BB4"/>
    <w:rsid w:val="0045311E"/>
    <w:rsid w:val="0045339F"/>
    <w:rsid w:val="004539BA"/>
    <w:rsid w:val="004561C8"/>
    <w:rsid w:val="00456A88"/>
    <w:rsid w:val="0045711C"/>
    <w:rsid w:val="00461224"/>
    <w:rsid w:val="0046342F"/>
    <w:rsid w:val="004636FB"/>
    <w:rsid w:val="00463CEB"/>
    <w:rsid w:val="00464E32"/>
    <w:rsid w:val="00467196"/>
    <w:rsid w:val="00476C40"/>
    <w:rsid w:val="00480F3A"/>
    <w:rsid w:val="004911CE"/>
    <w:rsid w:val="0049242E"/>
    <w:rsid w:val="00495681"/>
    <w:rsid w:val="004960CF"/>
    <w:rsid w:val="00496659"/>
    <w:rsid w:val="004A0932"/>
    <w:rsid w:val="004A3381"/>
    <w:rsid w:val="004A5E1C"/>
    <w:rsid w:val="004A6C39"/>
    <w:rsid w:val="004A7BAF"/>
    <w:rsid w:val="004B4A4B"/>
    <w:rsid w:val="004C2E92"/>
    <w:rsid w:val="004C709D"/>
    <w:rsid w:val="004C7382"/>
    <w:rsid w:val="004C791A"/>
    <w:rsid w:val="004D0C53"/>
    <w:rsid w:val="004D117C"/>
    <w:rsid w:val="004D12C8"/>
    <w:rsid w:val="004D176F"/>
    <w:rsid w:val="004D5EE2"/>
    <w:rsid w:val="004E037E"/>
    <w:rsid w:val="004E22E5"/>
    <w:rsid w:val="004E5365"/>
    <w:rsid w:val="004E5738"/>
    <w:rsid w:val="004E7452"/>
    <w:rsid w:val="004F0246"/>
    <w:rsid w:val="004F1D5E"/>
    <w:rsid w:val="004F2C22"/>
    <w:rsid w:val="004F3246"/>
    <w:rsid w:val="004F4CF9"/>
    <w:rsid w:val="00500DB2"/>
    <w:rsid w:val="0050144A"/>
    <w:rsid w:val="00504793"/>
    <w:rsid w:val="00506A1A"/>
    <w:rsid w:val="00510905"/>
    <w:rsid w:val="00511EF6"/>
    <w:rsid w:val="00514738"/>
    <w:rsid w:val="005205E2"/>
    <w:rsid w:val="0052416F"/>
    <w:rsid w:val="00524602"/>
    <w:rsid w:val="00525768"/>
    <w:rsid w:val="00526377"/>
    <w:rsid w:val="0052668B"/>
    <w:rsid w:val="005274BF"/>
    <w:rsid w:val="00527A60"/>
    <w:rsid w:val="005369B8"/>
    <w:rsid w:val="0054439B"/>
    <w:rsid w:val="0054745B"/>
    <w:rsid w:val="00551395"/>
    <w:rsid w:val="00551B2F"/>
    <w:rsid w:val="00552714"/>
    <w:rsid w:val="005530ED"/>
    <w:rsid w:val="005538A2"/>
    <w:rsid w:val="00553D19"/>
    <w:rsid w:val="0055472B"/>
    <w:rsid w:val="00557BAB"/>
    <w:rsid w:val="00564C8D"/>
    <w:rsid w:val="00570AAB"/>
    <w:rsid w:val="005718B5"/>
    <w:rsid w:val="005749F8"/>
    <w:rsid w:val="005757AE"/>
    <w:rsid w:val="00575864"/>
    <w:rsid w:val="00576EBA"/>
    <w:rsid w:val="00577EA0"/>
    <w:rsid w:val="005816D9"/>
    <w:rsid w:val="00585F7D"/>
    <w:rsid w:val="00587607"/>
    <w:rsid w:val="00595D6C"/>
    <w:rsid w:val="00596E10"/>
    <w:rsid w:val="00597E44"/>
    <w:rsid w:val="005A02D4"/>
    <w:rsid w:val="005A1489"/>
    <w:rsid w:val="005A5DA2"/>
    <w:rsid w:val="005B2379"/>
    <w:rsid w:val="005B27F9"/>
    <w:rsid w:val="005B2BF0"/>
    <w:rsid w:val="005B3168"/>
    <w:rsid w:val="005C0D75"/>
    <w:rsid w:val="005C3161"/>
    <w:rsid w:val="005D2C18"/>
    <w:rsid w:val="005D2D77"/>
    <w:rsid w:val="005E0918"/>
    <w:rsid w:val="005E240A"/>
    <w:rsid w:val="005E5A46"/>
    <w:rsid w:val="005E6208"/>
    <w:rsid w:val="005E698A"/>
    <w:rsid w:val="005E739C"/>
    <w:rsid w:val="005F0295"/>
    <w:rsid w:val="005F32AC"/>
    <w:rsid w:val="005F3516"/>
    <w:rsid w:val="005F3BE3"/>
    <w:rsid w:val="005F592B"/>
    <w:rsid w:val="006073AC"/>
    <w:rsid w:val="0062444E"/>
    <w:rsid w:val="00627715"/>
    <w:rsid w:val="00630DCD"/>
    <w:rsid w:val="006318E7"/>
    <w:rsid w:val="0063217E"/>
    <w:rsid w:val="00632C9A"/>
    <w:rsid w:val="00632D4A"/>
    <w:rsid w:val="00636128"/>
    <w:rsid w:val="006379CA"/>
    <w:rsid w:val="00643F32"/>
    <w:rsid w:val="00645970"/>
    <w:rsid w:val="006503E8"/>
    <w:rsid w:val="00653C44"/>
    <w:rsid w:val="006551E0"/>
    <w:rsid w:val="0065534B"/>
    <w:rsid w:val="0065787E"/>
    <w:rsid w:val="00657E08"/>
    <w:rsid w:val="006605F0"/>
    <w:rsid w:val="006625BA"/>
    <w:rsid w:val="006663D8"/>
    <w:rsid w:val="00673AF6"/>
    <w:rsid w:val="00676385"/>
    <w:rsid w:val="00676DBC"/>
    <w:rsid w:val="0067708F"/>
    <w:rsid w:val="006772D9"/>
    <w:rsid w:val="00681FA6"/>
    <w:rsid w:val="00686AEE"/>
    <w:rsid w:val="006871AC"/>
    <w:rsid w:val="00693FC8"/>
    <w:rsid w:val="0069567B"/>
    <w:rsid w:val="006961D7"/>
    <w:rsid w:val="006978F0"/>
    <w:rsid w:val="006A0CE6"/>
    <w:rsid w:val="006A0EE5"/>
    <w:rsid w:val="006A1565"/>
    <w:rsid w:val="006A1CFB"/>
    <w:rsid w:val="006A3DAE"/>
    <w:rsid w:val="006A4363"/>
    <w:rsid w:val="006B0F8A"/>
    <w:rsid w:val="006B527E"/>
    <w:rsid w:val="006C219C"/>
    <w:rsid w:val="006C6EF5"/>
    <w:rsid w:val="006E4890"/>
    <w:rsid w:val="006F0029"/>
    <w:rsid w:val="006F0368"/>
    <w:rsid w:val="006F1310"/>
    <w:rsid w:val="006F1FD5"/>
    <w:rsid w:val="006F5162"/>
    <w:rsid w:val="006F5500"/>
    <w:rsid w:val="00700127"/>
    <w:rsid w:val="00701409"/>
    <w:rsid w:val="00701A1C"/>
    <w:rsid w:val="0070216D"/>
    <w:rsid w:val="00703AD6"/>
    <w:rsid w:val="00707D2D"/>
    <w:rsid w:val="007115DD"/>
    <w:rsid w:val="00711A8F"/>
    <w:rsid w:val="00716B16"/>
    <w:rsid w:val="00723609"/>
    <w:rsid w:val="00723BE5"/>
    <w:rsid w:val="00723DF4"/>
    <w:rsid w:val="007253F5"/>
    <w:rsid w:val="00734DD4"/>
    <w:rsid w:val="00736552"/>
    <w:rsid w:val="00750B4E"/>
    <w:rsid w:val="0075178C"/>
    <w:rsid w:val="00752CE7"/>
    <w:rsid w:val="00755FDD"/>
    <w:rsid w:val="00760F3E"/>
    <w:rsid w:val="00765D63"/>
    <w:rsid w:val="007667E1"/>
    <w:rsid w:val="00766952"/>
    <w:rsid w:val="00766CB2"/>
    <w:rsid w:val="00773C17"/>
    <w:rsid w:val="007761C6"/>
    <w:rsid w:val="00780272"/>
    <w:rsid w:val="00781D3B"/>
    <w:rsid w:val="00782E56"/>
    <w:rsid w:val="00782F67"/>
    <w:rsid w:val="007841FB"/>
    <w:rsid w:val="00784C84"/>
    <w:rsid w:val="00790FA5"/>
    <w:rsid w:val="0079342C"/>
    <w:rsid w:val="007936E3"/>
    <w:rsid w:val="007A033F"/>
    <w:rsid w:val="007A3C56"/>
    <w:rsid w:val="007A5E0B"/>
    <w:rsid w:val="007A6E04"/>
    <w:rsid w:val="007A73BD"/>
    <w:rsid w:val="007B1608"/>
    <w:rsid w:val="007B3BFC"/>
    <w:rsid w:val="007B5F81"/>
    <w:rsid w:val="007B6E43"/>
    <w:rsid w:val="007B7EB2"/>
    <w:rsid w:val="007C40C8"/>
    <w:rsid w:val="007D082D"/>
    <w:rsid w:val="007D1DC1"/>
    <w:rsid w:val="007D5B29"/>
    <w:rsid w:val="007E1FE4"/>
    <w:rsid w:val="007E3C43"/>
    <w:rsid w:val="007E41BB"/>
    <w:rsid w:val="007E4304"/>
    <w:rsid w:val="007E5469"/>
    <w:rsid w:val="007E7205"/>
    <w:rsid w:val="007F1083"/>
    <w:rsid w:val="007F1471"/>
    <w:rsid w:val="007F292A"/>
    <w:rsid w:val="007F37A5"/>
    <w:rsid w:val="00802846"/>
    <w:rsid w:val="008028B1"/>
    <w:rsid w:val="00804138"/>
    <w:rsid w:val="008045E7"/>
    <w:rsid w:val="00807FB2"/>
    <w:rsid w:val="00810243"/>
    <w:rsid w:val="00810C30"/>
    <w:rsid w:val="008157A3"/>
    <w:rsid w:val="008222F9"/>
    <w:rsid w:val="00822DBD"/>
    <w:rsid w:val="008266EF"/>
    <w:rsid w:val="00830B2E"/>
    <w:rsid w:val="0083115C"/>
    <w:rsid w:val="00832384"/>
    <w:rsid w:val="00835BC9"/>
    <w:rsid w:val="00836E16"/>
    <w:rsid w:val="00837838"/>
    <w:rsid w:val="00842665"/>
    <w:rsid w:val="00847ACE"/>
    <w:rsid w:val="0085035C"/>
    <w:rsid w:val="0085719D"/>
    <w:rsid w:val="00857742"/>
    <w:rsid w:val="0086027A"/>
    <w:rsid w:val="00864055"/>
    <w:rsid w:val="008704D2"/>
    <w:rsid w:val="00873930"/>
    <w:rsid w:val="00875040"/>
    <w:rsid w:val="0087737A"/>
    <w:rsid w:val="008775E9"/>
    <w:rsid w:val="00877EB2"/>
    <w:rsid w:val="008911D0"/>
    <w:rsid w:val="0089197D"/>
    <w:rsid w:val="00891D08"/>
    <w:rsid w:val="00894DC3"/>
    <w:rsid w:val="00895FB9"/>
    <w:rsid w:val="008968DC"/>
    <w:rsid w:val="008A075A"/>
    <w:rsid w:val="008A48C6"/>
    <w:rsid w:val="008A5158"/>
    <w:rsid w:val="008A6AE3"/>
    <w:rsid w:val="008A78B1"/>
    <w:rsid w:val="008B0426"/>
    <w:rsid w:val="008B0760"/>
    <w:rsid w:val="008B0B11"/>
    <w:rsid w:val="008B1AB2"/>
    <w:rsid w:val="008B2257"/>
    <w:rsid w:val="008B2645"/>
    <w:rsid w:val="008B535D"/>
    <w:rsid w:val="008B5B8D"/>
    <w:rsid w:val="008B5EF2"/>
    <w:rsid w:val="008C10C5"/>
    <w:rsid w:val="008C11B0"/>
    <w:rsid w:val="008C153E"/>
    <w:rsid w:val="008C2085"/>
    <w:rsid w:val="008C4538"/>
    <w:rsid w:val="008D0249"/>
    <w:rsid w:val="008D142D"/>
    <w:rsid w:val="008D350F"/>
    <w:rsid w:val="008E1CEA"/>
    <w:rsid w:val="008E217E"/>
    <w:rsid w:val="008E3F91"/>
    <w:rsid w:val="008E5205"/>
    <w:rsid w:val="008F0256"/>
    <w:rsid w:val="008F16A6"/>
    <w:rsid w:val="009008F0"/>
    <w:rsid w:val="00900CDC"/>
    <w:rsid w:val="00905AC8"/>
    <w:rsid w:val="00906374"/>
    <w:rsid w:val="00906EF9"/>
    <w:rsid w:val="0091417A"/>
    <w:rsid w:val="00917576"/>
    <w:rsid w:val="00917A7B"/>
    <w:rsid w:val="00917A87"/>
    <w:rsid w:val="00917C58"/>
    <w:rsid w:val="00921245"/>
    <w:rsid w:val="00922761"/>
    <w:rsid w:val="00922FB0"/>
    <w:rsid w:val="0092559A"/>
    <w:rsid w:val="00927E97"/>
    <w:rsid w:val="009333B1"/>
    <w:rsid w:val="00933E50"/>
    <w:rsid w:val="00935675"/>
    <w:rsid w:val="0093775F"/>
    <w:rsid w:val="00941E71"/>
    <w:rsid w:val="00944CB1"/>
    <w:rsid w:val="00946A3B"/>
    <w:rsid w:val="00952076"/>
    <w:rsid w:val="00954409"/>
    <w:rsid w:val="00954766"/>
    <w:rsid w:val="00956AF5"/>
    <w:rsid w:val="00961025"/>
    <w:rsid w:val="00961A07"/>
    <w:rsid w:val="00962444"/>
    <w:rsid w:val="00967617"/>
    <w:rsid w:val="00970C7F"/>
    <w:rsid w:val="00977E85"/>
    <w:rsid w:val="009814A7"/>
    <w:rsid w:val="009831DC"/>
    <w:rsid w:val="00983AE8"/>
    <w:rsid w:val="00992303"/>
    <w:rsid w:val="00996E35"/>
    <w:rsid w:val="0099737C"/>
    <w:rsid w:val="00997FDB"/>
    <w:rsid w:val="009A09DC"/>
    <w:rsid w:val="009A399F"/>
    <w:rsid w:val="009B319F"/>
    <w:rsid w:val="009B3262"/>
    <w:rsid w:val="009B3C00"/>
    <w:rsid w:val="009B56F2"/>
    <w:rsid w:val="009B6BEC"/>
    <w:rsid w:val="009B7624"/>
    <w:rsid w:val="009C0243"/>
    <w:rsid w:val="009C0B9D"/>
    <w:rsid w:val="009C1DE8"/>
    <w:rsid w:val="009C2449"/>
    <w:rsid w:val="009C485D"/>
    <w:rsid w:val="009C59B8"/>
    <w:rsid w:val="009C5FC9"/>
    <w:rsid w:val="009C6A06"/>
    <w:rsid w:val="009C75D7"/>
    <w:rsid w:val="009C7671"/>
    <w:rsid w:val="009C7E1C"/>
    <w:rsid w:val="009D2FD8"/>
    <w:rsid w:val="009D30F4"/>
    <w:rsid w:val="009D5551"/>
    <w:rsid w:val="009D6B27"/>
    <w:rsid w:val="009D7FB3"/>
    <w:rsid w:val="009E1292"/>
    <w:rsid w:val="009E2EE1"/>
    <w:rsid w:val="009E471C"/>
    <w:rsid w:val="009E472D"/>
    <w:rsid w:val="009F0387"/>
    <w:rsid w:val="009F29D2"/>
    <w:rsid w:val="009F3536"/>
    <w:rsid w:val="009F3914"/>
    <w:rsid w:val="009F3AB7"/>
    <w:rsid w:val="009F65FF"/>
    <w:rsid w:val="009F6D8F"/>
    <w:rsid w:val="009F7EB9"/>
    <w:rsid w:val="00A03F71"/>
    <w:rsid w:val="00A079B9"/>
    <w:rsid w:val="00A07A7C"/>
    <w:rsid w:val="00A108D7"/>
    <w:rsid w:val="00A124AE"/>
    <w:rsid w:val="00A14644"/>
    <w:rsid w:val="00A17867"/>
    <w:rsid w:val="00A20A33"/>
    <w:rsid w:val="00A21D1D"/>
    <w:rsid w:val="00A21DBF"/>
    <w:rsid w:val="00A234DA"/>
    <w:rsid w:val="00A2466E"/>
    <w:rsid w:val="00A3221F"/>
    <w:rsid w:val="00A34169"/>
    <w:rsid w:val="00A3589C"/>
    <w:rsid w:val="00A35BE4"/>
    <w:rsid w:val="00A36C35"/>
    <w:rsid w:val="00A41483"/>
    <w:rsid w:val="00A4244E"/>
    <w:rsid w:val="00A4748C"/>
    <w:rsid w:val="00A4760B"/>
    <w:rsid w:val="00A51DC2"/>
    <w:rsid w:val="00A52E96"/>
    <w:rsid w:val="00A560B4"/>
    <w:rsid w:val="00A602D1"/>
    <w:rsid w:val="00A60ED9"/>
    <w:rsid w:val="00A62677"/>
    <w:rsid w:val="00A64638"/>
    <w:rsid w:val="00A6571C"/>
    <w:rsid w:val="00A674D3"/>
    <w:rsid w:val="00A6770C"/>
    <w:rsid w:val="00A71885"/>
    <w:rsid w:val="00A71D6F"/>
    <w:rsid w:val="00A72131"/>
    <w:rsid w:val="00A74642"/>
    <w:rsid w:val="00A754D2"/>
    <w:rsid w:val="00A758F7"/>
    <w:rsid w:val="00A76B50"/>
    <w:rsid w:val="00A77F89"/>
    <w:rsid w:val="00A82919"/>
    <w:rsid w:val="00A8630A"/>
    <w:rsid w:val="00A90641"/>
    <w:rsid w:val="00A909A8"/>
    <w:rsid w:val="00A917AE"/>
    <w:rsid w:val="00A91AB8"/>
    <w:rsid w:val="00A91B2A"/>
    <w:rsid w:val="00A9337A"/>
    <w:rsid w:val="00A973DD"/>
    <w:rsid w:val="00A97B13"/>
    <w:rsid w:val="00AA4927"/>
    <w:rsid w:val="00AA6F72"/>
    <w:rsid w:val="00AB0BA6"/>
    <w:rsid w:val="00AC0667"/>
    <w:rsid w:val="00AC0A0E"/>
    <w:rsid w:val="00AC29ED"/>
    <w:rsid w:val="00AC4934"/>
    <w:rsid w:val="00AC6059"/>
    <w:rsid w:val="00AC698C"/>
    <w:rsid w:val="00AC79C0"/>
    <w:rsid w:val="00AD33E4"/>
    <w:rsid w:val="00AD69D8"/>
    <w:rsid w:val="00AE47FC"/>
    <w:rsid w:val="00AE4DD8"/>
    <w:rsid w:val="00AF1FB9"/>
    <w:rsid w:val="00AF55AD"/>
    <w:rsid w:val="00AF6DEE"/>
    <w:rsid w:val="00AF7D19"/>
    <w:rsid w:val="00B001EF"/>
    <w:rsid w:val="00B01050"/>
    <w:rsid w:val="00B10070"/>
    <w:rsid w:val="00B2256F"/>
    <w:rsid w:val="00B24557"/>
    <w:rsid w:val="00B25F7D"/>
    <w:rsid w:val="00B267DC"/>
    <w:rsid w:val="00B26E89"/>
    <w:rsid w:val="00B27BDE"/>
    <w:rsid w:val="00B3046A"/>
    <w:rsid w:val="00B33F4C"/>
    <w:rsid w:val="00B34B3D"/>
    <w:rsid w:val="00B3680B"/>
    <w:rsid w:val="00B36A59"/>
    <w:rsid w:val="00B40276"/>
    <w:rsid w:val="00B417A7"/>
    <w:rsid w:val="00B442D7"/>
    <w:rsid w:val="00B45C78"/>
    <w:rsid w:val="00B46D3A"/>
    <w:rsid w:val="00B51B0F"/>
    <w:rsid w:val="00B51F80"/>
    <w:rsid w:val="00B52217"/>
    <w:rsid w:val="00B532A0"/>
    <w:rsid w:val="00B555C8"/>
    <w:rsid w:val="00B56527"/>
    <w:rsid w:val="00B614AD"/>
    <w:rsid w:val="00B6662D"/>
    <w:rsid w:val="00B72392"/>
    <w:rsid w:val="00B7283C"/>
    <w:rsid w:val="00B7623A"/>
    <w:rsid w:val="00B81360"/>
    <w:rsid w:val="00B829A5"/>
    <w:rsid w:val="00B82A6A"/>
    <w:rsid w:val="00B82CDD"/>
    <w:rsid w:val="00B83773"/>
    <w:rsid w:val="00B84A60"/>
    <w:rsid w:val="00B91EA2"/>
    <w:rsid w:val="00B92A4A"/>
    <w:rsid w:val="00B93FD6"/>
    <w:rsid w:val="00B94AA8"/>
    <w:rsid w:val="00BA0144"/>
    <w:rsid w:val="00BA62BB"/>
    <w:rsid w:val="00BB0E65"/>
    <w:rsid w:val="00BB17C8"/>
    <w:rsid w:val="00BB19F9"/>
    <w:rsid w:val="00BB3B58"/>
    <w:rsid w:val="00BC3B52"/>
    <w:rsid w:val="00BC4484"/>
    <w:rsid w:val="00BC5948"/>
    <w:rsid w:val="00BC6AF1"/>
    <w:rsid w:val="00BC6CE0"/>
    <w:rsid w:val="00BD0EE6"/>
    <w:rsid w:val="00BE23DD"/>
    <w:rsid w:val="00BE2DDF"/>
    <w:rsid w:val="00BE3B77"/>
    <w:rsid w:val="00BE5804"/>
    <w:rsid w:val="00BE615C"/>
    <w:rsid w:val="00BE6337"/>
    <w:rsid w:val="00BE7F8A"/>
    <w:rsid w:val="00BF01DE"/>
    <w:rsid w:val="00BF3671"/>
    <w:rsid w:val="00BF4294"/>
    <w:rsid w:val="00C02ADD"/>
    <w:rsid w:val="00C0506D"/>
    <w:rsid w:val="00C07074"/>
    <w:rsid w:val="00C070D7"/>
    <w:rsid w:val="00C1093B"/>
    <w:rsid w:val="00C112F6"/>
    <w:rsid w:val="00C11DB6"/>
    <w:rsid w:val="00C13910"/>
    <w:rsid w:val="00C13EAA"/>
    <w:rsid w:val="00C140CA"/>
    <w:rsid w:val="00C1513B"/>
    <w:rsid w:val="00C1540E"/>
    <w:rsid w:val="00C15BA8"/>
    <w:rsid w:val="00C3135E"/>
    <w:rsid w:val="00C317E0"/>
    <w:rsid w:val="00C3529E"/>
    <w:rsid w:val="00C3641F"/>
    <w:rsid w:val="00C36E30"/>
    <w:rsid w:val="00C40295"/>
    <w:rsid w:val="00C45B40"/>
    <w:rsid w:val="00C45DDA"/>
    <w:rsid w:val="00C5009F"/>
    <w:rsid w:val="00C509FB"/>
    <w:rsid w:val="00C57A68"/>
    <w:rsid w:val="00C67A48"/>
    <w:rsid w:val="00C721D9"/>
    <w:rsid w:val="00C81062"/>
    <w:rsid w:val="00C810F2"/>
    <w:rsid w:val="00C83365"/>
    <w:rsid w:val="00C844D8"/>
    <w:rsid w:val="00C9055B"/>
    <w:rsid w:val="00C91F02"/>
    <w:rsid w:val="00C9285D"/>
    <w:rsid w:val="00CA178E"/>
    <w:rsid w:val="00CA35E6"/>
    <w:rsid w:val="00CA368F"/>
    <w:rsid w:val="00CA6081"/>
    <w:rsid w:val="00CB14EE"/>
    <w:rsid w:val="00CB1E7E"/>
    <w:rsid w:val="00CB2AA3"/>
    <w:rsid w:val="00CB6069"/>
    <w:rsid w:val="00CB63B4"/>
    <w:rsid w:val="00CC2DE9"/>
    <w:rsid w:val="00CC63EA"/>
    <w:rsid w:val="00CC7C6B"/>
    <w:rsid w:val="00CD1CBF"/>
    <w:rsid w:val="00CD350D"/>
    <w:rsid w:val="00CE2913"/>
    <w:rsid w:val="00CE2AD7"/>
    <w:rsid w:val="00CE35C7"/>
    <w:rsid w:val="00CE3ED3"/>
    <w:rsid w:val="00CE62F6"/>
    <w:rsid w:val="00CF08EE"/>
    <w:rsid w:val="00CF0C83"/>
    <w:rsid w:val="00CF1107"/>
    <w:rsid w:val="00CF1E39"/>
    <w:rsid w:val="00CF28C0"/>
    <w:rsid w:val="00CF3AE7"/>
    <w:rsid w:val="00CF508F"/>
    <w:rsid w:val="00CF7991"/>
    <w:rsid w:val="00D024B1"/>
    <w:rsid w:val="00D04430"/>
    <w:rsid w:val="00D04565"/>
    <w:rsid w:val="00D04E5C"/>
    <w:rsid w:val="00D069F0"/>
    <w:rsid w:val="00D144FE"/>
    <w:rsid w:val="00D147E6"/>
    <w:rsid w:val="00D20A86"/>
    <w:rsid w:val="00D224EB"/>
    <w:rsid w:val="00D254AF"/>
    <w:rsid w:val="00D27A98"/>
    <w:rsid w:val="00D3170F"/>
    <w:rsid w:val="00D33CFA"/>
    <w:rsid w:val="00D34F0C"/>
    <w:rsid w:val="00D4237D"/>
    <w:rsid w:val="00D43A06"/>
    <w:rsid w:val="00D43A4F"/>
    <w:rsid w:val="00D445BC"/>
    <w:rsid w:val="00D452EA"/>
    <w:rsid w:val="00D51067"/>
    <w:rsid w:val="00D51345"/>
    <w:rsid w:val="00D553BA"/>
    <w:rsid w:val="00D568EB"/>
    <w:rsid w:val="00D57417"/>
    <w:rsid w:val="00D60AF2"/>
    <w:rsid w:val="00D6224E"/>
    <w:rsid w:val="00D63431"/>
    <w:rsid w:val="00D650E5"/>
    <w:rsid w:val="00D67122"/>
    <w:rsid w:val="00D72B56"/>
    <w:rsid w:val="00D732FC"/>
    <w:rsid w:val="00D73AB9"/>
    <w:rsid w:val="00D743C8"/>
    <w:rsid w:val="00D84CA6"/>
    <w:rsid w:val="00D87626"/>
    <w:rsid w:val="00D912C5"/>
    <w:rsid w:val="00D956E0"/>
    <w:rsid w:val="00D96134"/>
    <w:rsid w:val="00DA0B1A"/>
    <w:rsid w:val="00DA1F1F"/>
    <w:rsid w:val="00DA3B26"/>
    <w:rsid w:val="00DA746A"/>
    <w:rsid w:val="00DB293C"/>
    <w:rsid w:val="00DB612D"/>
    <w:rsid w:val="00DB6B87"/>
    <w:rsid w:val="00DC05E2"/>
    <w:rsid w:val="00DC2D42"/>
    <w:rsid w:val="00DC4508"/>
    <w:rsid w:val="00DC5C9C"/>
    <w:rsid w:val="00DD07D5"/>
    <w:rsid w:val="00DD1290"/>
    <w:rsid w:val="00DD17D5"/>
    <w:rsid w:val="00DD2581"/>
    <w:rsid w:val="00DD3CA9"/>
    <w:rsid w:val="00DD54D1"/>
    <w:rsid w:val="00DD7B72"/>
    <w:rsid w:val="00DE106C"/>
    <w:rsid w:val="00DE27DD"/>
    <w:rsid w:val="00DE2C54"/>
    <w:rsid w:val="00DE7F51"/>
    <w:rsid w:val="00DF283B"/>
    <w:rsid w:val="00DF330F"/>
    <w:rsid w:val="00DF3FEA"/>
    <w:rsid w:val="00DF4DFE"/>
    <w:rsid w:val="00DF6060"/>
    <w:rsid w:val="00DF7DFC"/>
    <w:rsid w:val="00E00A74"/>
    <w:rsid w:val="00E03834"/>
    <w:rsid w:val="00E058B1"/>
    <w:rsid w:val="00E06592"/>
    <w:rsid w:val="00E065C3"/>
    <w:rsid w:val="00E06632"/>
    <w:rsid w:val="00E10E9E"/>
    <w:rsid w:val="00E1352D"/>
    <w:rsid w:val="00E22134"/>
    <w:rsid w:val="00E31B42"/>
    <w:rsid w:val="00E3219B"/>
    <w:rsid w:val="00E33276"/>
    <w:rsid w:val="00E3528F"/>
    <w:rsid w:val="00E4071A"/>
    <w:rsid w:val="00E43028"/>
    <w:rsid w:val="00E44294"/>
    <w:rsid w:val="00E44454"/>
    <w:rsid w:val="00E44D6C"/>
    <w:rsid w:val="00E50271"/>
    <w:rsid w:val="00E51A58"/>
    <w:rsid w:val="00E533CE"/>
    <w:rsid w:val="00E5366E"/>
    <w:rsid w:val="00E53CEA"/>
    <w:rsid w:val="00E54F32"/>
    <w:rsid w:val="00E55250"/>
    <w:rsid w:val="00E55698"/>
    <w:rsid w:val="00E60196"/>
    <w:rsid w:val="00E60DDD"/>
    <w:rsid w:val="00E61D0E"/>
    <w:rsid w:val="00E67BD0"/>
    <w:rsid w:val="00E71485"/>
    <w:rsid w:val="00E71768"/>
    <w:rsid w:val="00E73D6D"/>
    <w:rsid w:val="00E7519D"/>
    <w:rsid w:val="00E75F36"/>
    <w:rsid w:val="00E763FD"/>
    <w:rsid w:val="00E82EFB"/>
    <w:rsid w:val="00E843BD"/>
    <w:rsid w:val="00E85770"/>
    <w:rsid w:val="00E868B8"/>
    <w:rsid w:val="00E87E44"/>
    <w:rsid w:val="00E94AF1"/>
    <w:rsid w:val="00E94D66"/>
    <w:rsid w:val="00E9502E"/>
    <w:rsid w:val="00EA011A"/>
    <w:rsid w:val="00EA36C7"/>
    <w:rsid w:val="00EA3EAA"/>
    <w:rsid w:val="00EA537E"/>
    <w:rsid w:val="00EA6383"/>
    <w:rsid w:val="00EA7811"/>
    <w:rsid w:val="00EB285D"/>
    <w:rsid w:val="00EB5E7A"/>
    <w:rsid w:val="00EB67EE"/>
    <w:rsid w:val="00EB735E"/>
    <w:rsid w:val="00EB7669"/>
    <w:rsid w:val="00EE0D39"/>
    <w:rsid w:val="00EE2FD1"/>
    <w:rsid w:val="00EE36DE"/>
    <w:rsid w:val="00EE3B23"/>
    <w:rsid w:val="00EE41AD"/>
    <w:rsid w:val="00EE6DE0"/>
    <w:rsid w:val="00EF0253"/>
    <w:rsid w:val="00EF1D78"/>
    <w:rsid w:val="00EF340F"/>
    <w:rsid w:val="00EF77E6"/>
    <w:rsid w:val="00F04716"/>
    <w:rsid w:val="00F056DE"/>
    <w:rsid w:val="00F05769"/>
    <w:rsid w:val="00F05926"/>
    <w:rsid w:val="00F1635D"/>
    <w:rsid w:val="00F165CE"/>
    <w:rsid w:val="00F16D17"/>
    <w:rsid w:val="00F17A9F"/>
    <w:rsid w:val="00F22D1F"/>
    <w:rsid w:val="00F24049"/>
    <w:rsid w:val="00F24456"/>
    <w:rsid w:val="00F250B6"/>
    <w:rsid w:val="00F32B0D"/>
    <w:rsid w:val="00F3492E"/>
    <w:rsid w:val="00F3518F"/>
    <w:rsid w:val="00F35E83"/>
    <w:rsid w:val="00F36CB1"/>
    <w:rsid w:val="00F41FC0"/>
    <w:rsid w:val="00F43400"/>
    <w:rsid w:val="00F43D07"/>
    <w:rsid w:val="00F43F44"/>
    <w:rsid w:val="00F44644"/>
    <w:rsid w:val="00F44B29"/>
    <w:rsid w:val="00F4505E"/>
    <w:rsid w:val="00F45DBC"/>
    <w:rsid w:val="00F4617A"/>
    <w:rsid w:val="00F4640D"/>
    <w:rsid w:val="00F46D22"/>
    <w:rsid w:val="00F50657"/>
    <w:rsid w:val="00F5316D"/>
    <w:rsid w:val="00F54785"/>
    <w:rsid w:val="00F604E1"/>
    <w:rsid w:val="00F60530"/>
    <w:rsid w:val="00F6156C"/>
    <w:rsid w:val="00F61CDA"/>
    <w:rsid w:val="00F654E9"/>
    <w:rsid w:val="00F65695"/>
    <w:rsid w:val="00F71E56"/>
    <w:rsid w:val="00F7225C"/>
    <w:rsid w:val="00F830AC"/>
    <w:rsid w:val="00F83CBA"/>
    <w:rsid w:val="00F83ED6"/>
    <w:rsid w:val="00F84D53"/>
    <w:rsid w:val="00F8556A"/>
    <w:rsid w:val="00F86FE8"/>
    <w:rsid w:val="00F922FA"/>
    <w:rsid w:val="00F944DD"/>
    <w:rsid w:val="00F94D9F"/>
    <w:rsid w:val="00F96134"/>
    <w:rsid w:val="00FA0744"/>
    <w:rsid w:val="00FA08E8"/>
    <w:rsid w:val="00FA0B97"/>
    <w:rsid w:val="00FA23F1"/>
    <w:rsid w:val="00FA2617"/>
    <w:rsid w:val="00FA2731"/>
    <w:rsid w:val="00FA3989"/>
    <w:rsid w:val="00FA5808"/>
    <w:rsid w:val="00FA6BC1"/>
    <w:rsid w:val="00FB316A"/>
    <w:rsid w:val="00FB48B8"/>
    <w:rsid w:val="00FB6031"/>
    <w:rsid w:val="00FC46CE"/>
    <w:rsid w:val="00FC535A"/>
    <w:rsid w:val="00FC58AF"/>
    <w:rsid w:val="00FD2554"/>
    <w:rsid w:val="00FD61D4"/>
    <w:rsid w:val="00FD65A0"/>
    <w:rsid w:val="00FD677C"/>
    <w:rsid w:val="00FE02E6"/>
    <w:rsid w:val="00FE0F6D"/>
    <w:rsid w:val="00FE10A4"/>
    <w:rsid w:val="00FE15BA"/>
    <w:rsid w:val="00FE2366"/>
    <w:rsid w:val="00FE5560"/>
    <w:rsid w:val="00FE591A"/>
    <w:rsid w:val="00FE732E"/>
    <w:rsid w:val="00FF13B9"/>
    <w:rsid w:val="00FF199B"/>
    <w:rsid w:val="00FF39AF"/>
    <w:rsid w:val="00FF3CFA"/>
    <w:rsid w:val="00FF6F00"/>
  </w:rsids>
  <m:mathPr>
    <m:mathFont m:val="Cambria Math"/>
    <m:brkBin m:val="before"/>
    <m:brkBinSub m:val="--"/>
    <m:smallFrac m:val="0"/>
    <m:dispDef/>
    <m:lMargin m:val="0"/>
    <m:rMargin m:val="0"/>
    <m:defJc m:val="centerGroup"/>
    <m:wrapIndent m:val="1440"/>
    <m:intLim m:val="subSup"/>
    <m:naryLim m:val="undOvr"/>
  </m:mathPr>
  <w:themeFontLang w:val="en-Q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51B4BA"/>
  <w15:chartTrackingRefBased/>
  <w15:docId w15:val="{04086E1E-E10A-7C4C-8F9A-81ACD2D9A4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QA" w:eastAsia="en-US" w:bidi="ar-SA"/>
      </w:rPr>
    </w:rPrDefault>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2"/>
    <w:qFormat/>
    <w:rsid w:val="0009475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2"/>
    <w:unhideWhenUsed/>
    <w:qFormat/>
    <w:rsid w:val="00FA0744"/>
    <w:pPr>
      <w:keepNext/>
      <w:keepLines/>
      <w:spacing w:before="40" w:line="276" w:lineRule="auto"/>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2"/>
    <w:unhideWhenUsed/>
    <w:qFormat/>
    <w:rsid w:val="0002342A"/>
    <w:pPr>
      <w:keepNext/>
      <w:keepLines/>
      <w:spacing w:before="40" w:line="276" w:lineRule="auto"/>
      <w:outlineLvl w:val="2"/>
    </w:pPr>
    <w:rPr>
      <w:rFonts w:asciiTheme="majorHAnsi" w:eastAsiaTheme="majorEastAsia" w:hAnsiTheme="majorHAnsi" w:cstheme="majorBidi"/>
      <w:color w:val="1F3763" w:themeColor="accent1" w:themeShade="7F"/>
      <w:lang w:val="en-US"/>
    </w:rPr>
  </w:style>
  <w:style w:type="paragraph" w:styleId="Heading4">
    <w:name w:val="heading 4"/>
    <w:basedOn w:val="Heading3"/>
    <w:next w:val="Normal"/>
    <w:link w:val="Heading4Char"/>
    <w:uiPriority w:val="2"/>
    <w:qFormat/>
    <w:rsid w:val="00344027"/>
    <w:pPr>
      <w:tabs>
        <w:tab w:val="num" w:pos="567"/>
      </w:tabs>
      <w:spacing w:after="120" w:line="240" w:lineRule="auto"/>
      <w:ind w:left="567" w:hanging="567"/>
      <w:outlineLvl w:val="3"/>
    </w:pPr>
    <w:rPr>
      <w:rFonts w:ascii="Times New Roman" w:hAnsi="Times New Roman"/>
      <w:b/>
      <w:iCs/>
      <w:color w:val="auto"/>
      <w:lang w:val="en-GB"/>
    </w:rPr>
  </w:style>
  <w:style w:type="paragraph" w:styleId="Heading5">
    <w:name w:val="heading 5"/>
    <w:basedOn w:val="Heading4"/>
    <w:next w:val="Normal"/>
    <w:link w:val="Heading5Char"/>
    <w:uiPriority w:val="2"/>
    <w:qFormat/>
    <w:rsid w:val="00344027"/>
    <w:p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094754"/>
    <w:rPr>
      <w:rFonts w:asciiTheme="majorHAnsi" w:eastAsiaTheme="majorEastAsia" w:hAnsiTheme="majorHAnsi" w:cstheme="majorBidi"/>
      <w:color w:val="2F5496" w:themeColor="accent1" w:themeShade="BF"/>
      <w:sz w:val="32"/>
      <w:szCs w:val="32"/>
      <w:lang w:val="en-GB"/>
    </w:rPr>
  </w:style>
  <w:style w:type="paragraph" w:styleId="TOCHeading">
    <w:name w:val="TOC Heading"/>
    <w:basedOn w:val="Heading1"/>
    <w:next w:val="Normal"/>
    <w:uiPriority w:val="39"/>
    <w:unhideWhenUsed/>
    <w:qFormat/>
    <w:rsid w:val="00094754"/>
    <w:pPr>
      <w:spacing w:before="480" w:line="276" w:lineRule="auto"/>
      <w:outlineLvl w:val="9"/>
    </w:pPr>
    <w:rPr>
      <w:b/>
      <w:bCs/>
      <w:sz w:val="28"/>
      <w:szCs w:val="28"/>
      <w:lang w:val="en-US"/>
    </w:rPr>
  </w:style>
  <w:style w:type="paragraph" w:styleId="TOC1">
    <w:name w:val="toc 1"/>
    <w:basedOn w:val="Normal"/>
    <w:next w:val="Normal"/>
    <w:autoRedefine/>
    <w:uiPriority w:val="39"/>
    <w:unhideWhenUsed/>
    <w:rsid w:val="00094754"/>
    <w:pPr>
      <w:spacing w:before="240" w:after="120"/>
    </w:pPr>
    <w:rPr>
      <w:rFonts w:cstheme="minorHAnsi"/>
      <w:b/>
      <w:bCs/>
      <w:sz w:val="20"/>
      <w:szCs w:val="20"/>
    </w:rPr>
  </w:style>
  <w:style w:type="character" w:styleId="Hyperlink">
    <w:name w:val="Hyperlink"/>
    <w:basedOn w:val="DefaultParagraphFont"/>
    <w:uiPriority w:val="99"/>
    <w:unhideWhenUsed/>
    <w:rsid w:val="00094754"/>
    <w:rPr>
      <w:color w:val="0563C1" w:themeColor="hyperlink"/>
      <w:u w:val="single"/>
    </w:rPr>
  </w:style>
  <w:style w:type="paragraph" w:styleId="TOC2">
    <w:name w:val="toc 2"/>
    <w:basedOn w:val="Normal"/>
    <w:next w:val="Normal"/>
    <w:autoRedefine/>
    <w:uiPriority w:val="39"/>
    <w:unhideWhenUsed/>
    <w:rsid w:val="00094754"/>
    <w:pPr>
      <w:spacing w:before="120"/>
      <w:ind w:left="240"/>
    </w:pPr>
    <w:rPr>
      <w:rFonts w:cstheme="minorHAnsi"/>
      <w:i/>
      <w:iCs/>
      <w:sz w:val="20"/>
      <w:szCs w:val="20"/>
    </w:rPr>
  </w:style>
  <w:style w:type="paragraph" w:styleId="TOC3">
    <w:name w:val="toc 3"/>
    <w:basedOn w:val="Normal"/>
    <w:next w:val="Normal"/>
    <w:autoRedefine/>
    <w:uiPriority w:val="39"/>
    <w:unhideWhenUsed/>
    <w:rsid w:val="00094754"/>
    <w:pPr>
      <w:ind w:left="480"/>
    </w:pPr>
    <w:rPr>
      <w:rFonts w:cstheme="minorHAnsi"/>
      <w:sz w:val="20"/>
      <w:szCs w:val="20"/>
    </w:rPr>
  </w:style>
  <w:style w:type="paragraph" w:styleId="TOC4">
    <w:name w:val="toc 4"/>
    <w:basedOn w:val="Normal"/>
    <w:next w:val="Normal"/>
    <w:autoRedefine/>
    <w:uiPriority w:val="39"/>
    <w:semiHidden/>
    <w:unhideWhenUsed/>
    <w:rsid w:val="00094754"/>
    <w:pPr>
      <w:ind w:left="720"/>
    </w:pPr>
    <w:rPr>
      <w:rFonts w:cstheme="minorHAnsi"/>
      <w:sz w:val="20"/>
      <w:szCs w:val="20"/>
    </w:rPr>
  </w:style>
  <w:style w:type="paragraph" w:styleId="TOC5">
    <w:name w:val="toc 5"/>
    <w:basedOn w:val="Normal"/>
    <w:next w:val="Normal"/>
    <w:autoRedefine/>
    <w:uiPriority w:val="39"/>
    <w:semiHidden/>
    <w:unhideWhenUsed/>
    <w:rsid w:val="00094754"/>
    <w:pPr>
      <w:ind w:left="960"/>
    </w:pPr>
    <w:rPr>
      <w:rFonts w:cstheme="minorHAnsi"/>
      <w:sz w:val="20"/>
      <w:szCs w:val="20"/>
    </w:rPr>
  </w:style>
  <w:style w:type="paragraph" w:styleId="TOC6">
    <w:name w:val="toc 6"/>
    <w:basedOn w:val="Normal"/>
    <w:next w:val="Normal"/>
    <w:autoRedefine/>
    <w:uiPriority w:val="39"/>
    <w:semiHidden/>
    <w:unhideWhenUsed/>
    <w:rsid w:val="00094754"/>
    <w:pPr>
      <w:ind w:left="1200"/>
    </w:pPr>
    <w:rPr>
      <w:rFonts w:cstheme="minorHAnsi"/>
      <w:sz w:val="20"/>
      <w:szCs w:val="20"/>
    </w:rPr>
  </w:style>
  <w:style w:type="paragraph" w:styleId="TOC7">
    <w:name w:val="toc 7"/>
    <w:basedOn w:val="Normal"/>
    <w:next w:val="Normal"/>
    <w:autoRedefine/>
    <w:uiPriority w:val="39"/>
    <w:semiHidden/>
    <w:unhideWhenUsed/>
    <w:rsid w:val="00094754"/>
    <w:pPr>
      <w:ind w:left="1440"/>
    </w:pPr>
    <w:rPr>
      <w:rFonts w:cstheme="minorHAnsi"/>
      <w:sz w:val="20"/>
      <w:szCs w:val="20"/>
    </w:rPr>
  </w:style>
  <w:style w:type="paragraph" w:styleId="TOC8">
    <w:name w:val="toc 8"/>
    <w:basedOn w:val="Normal"/>
    <w:next w:val="Normal"/>
    <w:autoRedefine/>
    <w:uiPriority w:val="39"/>
    <w:semiHidden/>
    <w:unhideWhenUsed/>
    <w:rsid w:val="00094754"/>
    <w:pPr>
      <w:ind w:left="1680"/>
    </w:pPr>
    <w:rPr>
      <w:rFonts w:cstheme="minorHAnsi"/>
      <w:sz w:val="20"/>
      <w:szCs w:val="20"/>
    </w:rPr>
  </w:style>
  <w:style w:type="paragraph" w:styleId="TOC9">
    <w:name w:val="toc 9"/>
    <w:basedOn w:val="Normal"/>
    <w:next w:val="Normal"/>
    <w:autoRedefine/>
    <w:uiPriority w:val="39"/>
    <w:semiHidden/>
    <w:unhideWhenUsed/>
    <w:rsid w:val="00094754"/>
    <w:pPr>
      <w:ind w:left="1920"/>
    </w:pPr>
    <w:rPr>
      <w:rFonts w:cstheme="minorHAnsi"/>
      <w:sz w:val="20"/>
      <w:szCs w:val="20"/>
    </w:rPr>
  </w:style>
  <w:style w:type="character" w:customStyle="1" w:styleId="Heading2Char">
    <w:name w:val="Heading 2 Char"/>
    <w:basedOn w:val="DefaultParagraphFont"/>
    <w:link w:val="Heading2"/>
    <w:uiPriority w:val="2"/>
    <w:rsid w:val="00FA0744"/>
    <w:rPr>
      <w:rFonts w:asciiTheme="majorHAnsi" w:eastAsiaTheme="majorEastAsia" w:hAnsiTheme="majorHAnsi" w:cstheme="majorBidi"/>
      <w:color w:val="2F5496" w:themeColor="accent1" w:themeShade="BF"/>
      <w:sz w:val="26"/>
      <w:szCs w:val="26"/>
      <w:lang w:val="en-GB"/>
    </w:rPr>
  </w:style>
  <w:style w:type="paragraph" w:styleId="Title">
    <w:name w:val="Title"/>
    <w:basedOn w:val="Normal"/>
    <w:next w:val="Normal"/>
    <w:link w:val="TitleChar"/>
    <w:qFormat/>
    <w:rsid w:val="00FA0744"/>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rsid w:val="00FA0744"/>
    <w:rPr>
      <w:rFonts w:asciiTheme="majorHAnsi" w:eastAsiaTheme="majorEastAsia" w:hAnsiTheme="majorHAnsi" w:cstheme="majorBidi"/>
      <w:color w:val="323E4F" w:themeColor="text2" w:themeShade="BF"/>
      <w:spacing w:val="5"/>
      <w:kern w:val="28"/>
      <w:sz w:val="52"/>
      <w:szCs w:val="52"/>
      <w:lang w:val="en-GB"/>
    </w:rPr>
  </w:style>
  <w:style w:type="paragraph" w:styleId="ListParagraph">
    <w:name w:val="List Paragraph"/>
    <w:basedOn w:val="Normal"/>
    <w:uiPriority w:val="34"/>
    <w:qFormat/>
    <w:rsid w:val="00FA0744"/>
    <w:pPr>
      <w:spacing w:after="200" w:line="276" w:lineRule="auto"/>
      <w:ind w:left="720"/>
      <w:contextualSpacing/>
    </w:pPr>
    <w:rPr>
      <w:sz w:val="22"/>
      <w:szCs w:val="22"/>
    </w:rPr>
  </w:style>
  <w:style w:type="paragraph" w:styleId="BalloonText">
    <w:name w:val="Balloon Text"/>
    <w:basedOn w:val="Normal"/>
    <w:link w:val="BalloonTextChar"/>
    <w:uiPriority w:val="99"/>
    <w:semiHidden/>
    <w:unhideWhenUsed/>
    <w:rsid w:val="00FA0744"/>
    <w:rPr>
      <w:rFonts w:ascii="Tahoma" w:hAnsi="Tahoma" w:cs="Tahoma"/>
      <w:sz w:val="16"/>
      <w:szCs w:val="16"/>
    </w:rPr>
  </w:style>
  <w:style w:type="character" w:customStyle="1" w:styleId="BalloonTextChar">
    <w:name w:val="Balloon Text Char"/>
    <w:basedOn w:val="DefaultParagraphFont"/>
    <w:link w:val="BalloonText"/>
    <w:uiPriority w:val="99"/>
    <w:semiHidden/>
    <w:rsid w:val="00FA0744"/>
    <w:rPr>
      <w:rFonts w:ascii="Tahoma" w:hAnsi="Tahoma" w:cs="Tahoma"/>
      <w:sz w:val="16"/>
      <w:szCs w:val="16"/>
      <w:lang w:val="en-GB"/>
    </w:rPr>
  </w:style>
  <w:style w:type="character" w:styleId="CommentReference">
    <w:name w:val="annotation reference"/>
    <w:basedOn w:val="DefaultParagraphFont"/>
    <w:uiPriority w:val="99"/>
    <w:semiHidden/>
    <w:unhideWhenUsed/>
    <w:rsid w:val="00FA0744"/>
    <w:rPr>
      <w:sz w:val="16"/>
      <w:szCs w:val="16"/>
    </w:rPr>
  </w:style>
  <w:style w:type="paragraph" w:styleId="CommentText">
    <w:name w:val="annotation text"/>
    <w:basedOn w:val="Normal"/>
    <w:link w:val="CommentTextChar"/>
    <w:uiPriority w:val="99"/>
    <w:unhideWhenUsed/>
    <w:rsid w:val="00FA0744"/>
    <w:pPr>
      <w:spacing w:after="200"/>
    </w:pPr>
    <w:rPr>
      <w:sz w:val="20"/>
      <w:szCs w:val="20"/>
    </w:rPr>
  </w:style>
  <w:style w:type="character" w:customStyle="1" w:styleId="CommentTextChar">
    <w:name w:val="Comment Text Char"/>
    <w:basedOn w:val="DefaultParagraphFont"/>
    <w:link w:val="CommentText"/>
    <w:uiPriority w:val="99"/>
    <w:rsid w:val="00FA0744"/>
    <w:rPr>
      <w:sz w:val="20"/>
      <w:szCs w:val="20"/>
      <w:lang w:val="en-GB"/>
    </w:rPr>
  </w:style>
  <w:style w:type="paragraph" w:styleId="CommentSubject">
    <w:name w:val="annotation subject"/>
    <w:basedOn w:val="CommentText"/>
    <w:next w:val="CommentText"/>
    <w:link w:val="CommentSubjectChar"/>
    <w:uiPriority w:val="99"/>
    <w:semiHidden/>
    <w:unhideWhenUsed/>
    <w:rsid w:val="00FA0744"/>
    <w:rPr>
      <w:b/>
      <w:bCs/>
    </w:rPr>
  </w:style>
  <w:style w:type="character" w:customStyle="1" w:styleId="CommentSubjectChar">
    <w:name w:val="Comment Subject Char"/>
    <w:basedOn w:val="CommentTextChar"/>
    <w:link w:val="CommentSubject"/>
    <w:uiPriority w:val="99"/>
    <w:semiHidden/>
    <w:rsid w:val="00FA0744"/>
    <w:rPr>
      <w:b/>
      <w:bCs/>
      <w:sz w:val="20"/>
      <w:szCs w:val="20"/>
      <w:lang w:val="en-GB"/>
    </w:rPr>
  </w:style>
  <w:style w:type="paragraph" w:styleId="Revision">
    <w:name w:val="Revision"/>
    <w:hidden/>
    <w:uiPriority w:val="99"/>
    <w:semiHidden/>
    <w:rsid w:val="00FA0744"/>
    <w:rPr>
      <w:sz w:val="22"/>
      <w:szCs w:val="22"/>
      <w:lang w:val="en-GB"/>
    </w:rPr>
  </w:style>
  <w:style w:type="character" w:customStyle="1" w:styleId="Heading3Char">
    <w:name w:val="Heading 3 Char"/>
    <w:basedOn w:val="DefaultParagraphFont"/>
    <w:link w:val="Heading3"/>
    <w:uiPriority w:val="2"/>
    <w:rsid w:val="0002342A"/>
    <w:rPr>
      <w:rFonts w:asciiTheme="majorHAnsi" w:eastAsiaTheme="majorEastAsia" w:hAnsiTheme="majorHAnsi" w:cstheme="majorBidi"/>
      <w:color w:val="1F3763" w:themeColor="accent1" w:themeShade="7F"/>
      <w:lang w:val="en-US"/>
    </w:rPr>
  </w:style>
  <w:style w:type="table" w:styleId="TableGrid">
    <w:name w:val="Table Grid"/>
    <w:basedOn w:val="TableNormal"/>
    <w:uiPriority w:val="59"/>
    <w:rsid w:val="0002342A"/>
    <w:rPr>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02342A"/>
    <w:rPr>
      <w:color w:val="605E5C"/>
      <w:shd w:val="clear" w:color="auto" w:fill="E1DFDD"/>
    </w:rPr>
  </w:style>
  <w:style w:type="paragraph" w:styleId="Header">
    <w:name w:val="header"/>
    <w:basedOn w:val="Normal"/>
    <w:link w:val="HeaderChar"/>
    <w:uiPriority w:val="99"/>
    <w:unhideWhenUsed/>
    <w:rsid w:val="0002342A"/>
    <w:pPr>
      <w:tabs>
        <w:tab w:val="center" w:pos="4513"/>
        <w:tab w:val="right" w:pos="9026"/>
      </w:tabs>
    </w:pPr>
    <w:rPr>
      <w:sz w:val="22"/>
      <w:szCs w:val="22"/>
      <w:lang w:val="en-US"/>
    </w:rPr>
  </w:style>
  <w:style w:type="character" w:customStyle="1" w:styleId="HeaderChar">
    <w:name w:val="Header Char"/>
    <w:basedOn w:val="DefaultParagraphFont"/>
    <w:link w:val="Header"/>
    <w:uiPriority w:val="99"/>
    <w:rsid w:val="0002342A"/>
    <w:rPr>
      <w:sz w:val="22"/>
      <w:szCs w:val="22"/>
      <w:lang w:val="en-US"/>
    </w:rPr>
  </w:style>
  <w:style w:type="paragraph" w:styleId="Footer">
    <w:name w:val="footer"/>
    <w:basedOn w:val="Normal"/>
    <w:link w:val="FooterChar"/>
    <w:uiPriority w:val="99"/>
    <w:unhideWhenUsed/>
    <w:rsid w:val="0002342A"/>
    <w:pPr>
      <w:tabs>
        <w:tab w:val="center" w:pos="4513"/>
        <w:tab w:val="right" w:pos="9026"/>
      </w:tabs>
    </w:pPr>
    <w:rPr>
      <w:sz w:val="22"/>
      <w:szCs w:val="22"/>
      <w:lang w:val="en-US"/>
    </w:rPr>
  </w:style>
  <w:style w:type="character" w:customStyle="1" w:styleId="FooterChar">
    <w:name w:val="Footer Char"/>
    <w:basedOn w:val="DefaultParagraphFont"/>
    <w:link w:val="Footer"/>
    <w:uiPriority w:val="99"/>
    <w:rsid w:val="0002342A"/>
    <w:rPr>
      <w:sz w:val="22"/>
      <w:szCs w:val="22"/>
      <w:lang w:val="en-US"/>
    </w:rPr>
  </w:style>
  <w:style w:type="character" w:styleId="FollowedHyperlink">
    <w:name w:val="FollowedHyperlink"/>
    <w:basedOn w:val="DefaultParagraphFont"/>
    <w:uiPriority w:val="99"/>
    <w:semiHidden/>
    <w:unhideWhenUsed/>
    <w:rsid w:val="0002342A"/>
    <w:rPr>
      <w:color w:val="954F72" w:themeColor="followedHyperlink"/>
      <w:u w:val="single"/>
    </w:rPr>
  </w:style>
  <w:style w:type="paragraph" w:styleId="NormalWeb">
    <w:name w:val="Normal (Web)"/>
    <w:basedOn w:val="Normal"/>
    <w:uiPriority w:val="99"/>
    <w:unhideWhenUsed/>
    <w:rsid w:val="00CF7991"/>
    <w:pPr>
      <w:spacing w:before="100" w:beforeAutospacing="1" w:after="100" w:afterAutospacing="1"/>
    </w:pPr>
    <w:rPr>
      <w:rFonts w:ascii="Times New Roman" w:eastAsiaTheme="minorEastAsia" w:hAnsi="Times New Roman" w:cs="Times New Roman"/>
      <w:lang w:eastAsia="en-GB"/>
    </w:rPr>
  </w:style>
  <w:style w:type="paragraph" w:customStyle="1" w:styleId="AuthorList">
    <w:name w:val="Author List"/>
    <w:aliases w:val="Keywords,Abstract"/>
    <w:basedOn w:val="Subtitle"/>
    <w:next w:val="Normal"/>
    <w:uiPriority w:val="1"/>
    <w:qFormat/>
    <w:rsid w:val="00CF7991"/>
    <w:pPr>
      <w:numPr>
        <w:ilvl w:val="0"/>
      </w:numPr>
      <w:spacing w:before="240" w:after="240"/>
    </w:pPr>
    <w:rPr>
      <w:rFonts w:ascii="Times New Roman" w:eastAsiaTheme="minorHAnsi" w:hAnsi="Times New Roman" w:cs="Times New Roman"/>
      <w:b/>
      <w:color w:val="auto"/>
      <w:spacing w:val="0"/>
      <w:sz w:val="24"/>
      <w:szCs w:val="24"/>
    </w:rPr>
  </w:style>
  <w:style w:type="paragraph" w:styleId="Subtitle">
    <w:name w:val="Subtitle"/>
    <w:basedOn w:val="Normal"/>
    <w:next w:val="Normal"/>
    <w:link w:val="SubtitleChar"/>
    <w:uiPriority w:val="99"/>
    <w:qFormat/>
    <w:rsid w:val="00CF7991"/>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99"/>
    <w:rsid w:val="00CF7991"/>
    <w:rPr>
      <w:rFonts w:eastAsiaTheme="minorEastAsia"/>
      <w:color w:val="5A5A5A" w:themeColor="text1" w:themeTint="A5"/>
      <w:spacing w:val="15"/>
      <w:sz w:val="22"/>
      <w:szCs w:val="22"/>
      <w:lang w:val="en-GB"/>
    </w:rPr>
  </w:style>
  <w:style w:type="paragraph" w:styleId="Caption">
    <w:name w:val="caption"/>
    <w:basedOn w:val="Normal"/>
    <w:next w:val="Normal"/>
    <w:uiPriority w:val="35"/>
    <w:unhideWhenUsed/>
    <w:qFormat/>
    <w:rsid w:val="009C75D7"/>
    <w:pPr>
      <w:spacing w:after="200"/>
    </w:pPr>
    <w:rPr>
      <w:b/>
      <w:bCs/>
      <w:color w:val="4472C4" w:themeColor="accent1"/>
      <w:sz w:val="18"/>
      <w:szCs w:val="18"/>
      <w:lang w:val="en-US"/>
    </w:rPr>
  </w:style>
  <w:style w:type="character" w:styleId="LineNumber">
    <w:name w:val="line number"/>
    <w:basedOn w:val="DefaultParagraphFont"/>
    <w:uiPriority w:val="99"/>
    <w:semiHidden/>
    <w:unhideWhenUsed/>
    <w:rsid w:val="009C75D7"/>
  </w:style>
  <w:style w:type="character" w:styleId="UnresolvedMention">
    <w:name w:val="Unresolved Mention"/>
    <w:basedOn w:val="DefaultParagraphFont"/>
    <w:uiPriority w:val="99"/>
    <w:semiHidden/>
    <w:unhideWhenUsed/>
    <w:rsid w:val="009C75D7"/>
    <w:rPr>
      <w:color w:val="605E5C"/>
      <w:shd w:val="clear" w:color="auto" w:fill="E1DFDD"/>
    </w:rPr>
  </w:style>
  <w:style w:type="character" w:customStyle="1" w:styleId="Heading4Char">
    <w:name w:val="Heading 4 Char"/>
    <w:basedOn w:val="DefaultParagraphFont"/>
    <w:link w:val="Heading4"/>
    <w:uiPriority w:val="2"/>
    <w:rsid w:val="00344027"/>
    <w:rPr>
      <w:rFonts w:ascii="Times New Roman" w:eastAsiaTheme="majorEastAsia" w:hAnsi="Times New Roman" w:cstheme="majorBidi"/>
      <w:b/>
      <w:iCs/>
      <w:lang w:val="en-GB"/>
    </w:rPr>
  </w:style>
  <w:style w:type="character" w:customStyle="1" w:styleId="Heading5Char">
    <w:name w:val="Heading 5 Char"/>
    <w:basedOn w:val="DefaultParagraphFont"/>
    <w:link w:val="Heading5"/>
    <w:uiPriority w:val="2"/>
    <w:rsid w:val="00344027"/>
    <w:rPr>
      <w:rFonts w:ascii="Times New Roman" w:eastAsiaTheme="majorEastAsia" w:hAnsi="Times New Roman" w:cstheme="majorBidi"/>
      <w:b/>
      <w:iCs/>
      <w:lang w:val="en-GB"/>
    </w:rPr>
  </w:style>
  <w:style w:type="character" w:styleId="Emphasis">
    <w:name w:val="Emphasis"/>
    <w:basedOn w:val="DefaultParagraphFont"/>
    <w:uiPriority w:val="20"/>
    <w:qFormat/>
    <w:rsid w:val="00344027"/>
    <w:rPr>
      <w:rFonts w:ascii="Times New Roman" w:hAnsi="Times New Roman"/>
      <w:i/>
      <w:iCs/>
    </w:rPr>
  </w:style>
  <w:style w:type="character" w:styleId="Strong">
    <w:name w:val="Strong"/>
    <w:basedOn w:val="DefaultParagraphFont"/>
    <w:uiPriority w:val="22"/>
    <w:qFormat/>
    <w:rsid w:val="00344027"/>
    <w:rPr>
      <w:rFonts w:ascii="Times New Roman" w:hAnsi="Times New Roman"/>
      <w:b/>
      <w:bCs/>
    </w:rPr>
  </w:style>
  <w:style w:type="paragraph" w:styleId="FootnoteText">
    <w:name w:val="footnote text"/>
    <w:basedOn w:val="Normal"/>
    <w:link w:val="FootnoteTextChar"/>
    <w:uiPriority w:val="99"/>
    <w:semiHidden/>
    <w:unhideWhenUsed/>
    <w:rsid w:val="00344027"/>
    <w:pPr>
      <w:spacing w:before="120"/>
    </w:pPr>
    <w:rPr>
      <w:rFonts w:ascii="Times New Roman" w:hAnsi="Times New Roman"/>
      <w:sz w:val="20"/>
      <w:szCs w:val="20"/>
    </w:rPr>
  </w:style>
  <w:style w:type="character" w:customStyle="1" w:styleId="FootnoteTextChar">
    <w:name w:val="Footnote Text Char"/>
    <w:basedOn w:val="DefaultParagraphFont"/>
    <w:link w:val="FootnoteText"/>
    <w:uiPriority w:val="99"/>
    <w:semiHidden/>
    <w:rsid w:val="00344027"/>
    <w:rPr>
      <w:rFonts w:ascii="Times New Roman" w:hAnsi="Times New Roman"/>
      <w:sz w:val="20"/>
      <w:szCs w:val="20"/>
      <w:lang w:val="en-GB"/>
    </w:rPr>
  </w:style>
  <w:style w:type="character" w:styleId="FootnoteReference">
    <w:name w:val="footnote reference"/>
    <w:basedOn w:val="DefaultParagraphFont"/>
    <w:uiPriority w:val="99"/>
    <w:semiHidden/>
    <w:unhideWhenUsed/>
    <w:rsid w:val="00344027"/>
    <w:rPr>
      <w:vertAlign w:val="superscript"/>
    </w:rPr>
  </w:style>
  <w:style w:type="paragraph" w:styleId="EndnoteText">
    <w:name w:val="endnote text"/>
    <w:basedOn w:val="Normal"/>
    <w:link w:val="EndnoteTextChar"/>
    <w:uiPriority w:val="99"/>
    <w:semiHidden/>
    <w:unhideWhenUsed/>
    <w:rsid w:val="00344027"/>
    <w:pPr>
      <w:spacing w:before="120"/>
    </w:pPr>
    <w:rPr>
      <w:rFonts w:ascii="Times New Roman" w:hAnsi="Times New Roman"/>
      <w:sz w:val="20"/>
      <w:szCs w:val="20"/>
    </w:rPr>
  </w:style>
  <w:style w:type="character" w:customStyle="1" w:styleId="EndnoteTextChar">
    <w:name w:val="Endnote Text Char"/>
    <w:basedOn w:val="DefaultParagraphFont"/>
    <w:link w:val="EndnoteText"/>
    <w:uiPriority w:val="99"/>
    <w:semiHidden/>
    <w:rsid w:val="00344027"/>
    <w:rPr>
      <w:rFonts w:ascii="Times New Roman" w:hAnsi="Times New Roman"/>
      <w:sz w:val="20"/>
      <w:szCs w:val="20"/>
      <w:lang w:val="en-GB"/>
    </w:rPr>
  </w:style>
  <w:style w:type="character" w:styleId="EndnoteReference">
    <w:name w:val="endnote reference"/>
    <w:basedOn w:val="DefaultParagraphFont"/>
    <w:uiPriority w:val="99"/>
    <w:semiHidden/>
    <w:unhideWhenUsed/>
    <w:rsid w:val="00344027"/>
    <w:rPr>
      <w:vertAlign w:val="superscript"/>
    </w:rPr>
  </w:style>
  <w:style w:type="paragraph" w:styleId="NoSpacing">
    <w:name w:val="No Spacing"/>
    <w:uiPriority w:val="99"/>
    <w:unhideWhenUsed/>
    <w:qFormat/>
    <w:rsid w:val="00344027"/>
    <w:rPr>
      <w:rFonts w:ascii="Times New Roman" w:hAnsi="Times New Roman"/>
      <w:szCs w:val="22"/>
      <w:lang w:val="en-US"/>
    </w:rPr>
  </w:style>
  <w:style w:type="character" w:styleId="SubtleEmphasis">
    <w:name w:val="Subtle Emphasis"/>
    <w:basedOn w:val="DefaultParagraphFont"/>
    <w:uiPriority w:val="19"/>
    <w:qFormat/>
    <w:rsid w:val="00344027"/>
    <w:rPr>
      <w:rFonts w:ascii="Times New Roman" w:hAnsi="Times New Roman"/>
      <w:i/>
      <w:iCs/>
      <w:color w:val="404040" w:themeColor="text1" w:themeTint="BF"/>
    </w:rPr>
  </w:style>
  <w:style w:type="character" w:styleId="IntenseEmphasis">
    <w:name w:val="Intense Emphasis"/>
    <w:basedOn w:val="DefaultParagraphFont"/>
    <w:uiPriority w:val="21"/>
    <w:unhideWhenUsed/>
    <w:rsid w:val="00344027"/>
    <w:rPr>
      <w:rFonts w:ascii="Times New Roman" w:hAnsi="Times New Roman"/>
      <w:i/>
      <w:iCs/>
      <w:color w:val="auto"/>
    </w:rPr>
  </w:style>
  <w:style w:type="paragraph" w:styleId="Quote">
    <w:name w:val="Quote"/>
    <w:basedOn w:val="Normal"/>
    <w:next w:val="Normal"/>
    <w:link w:val="QuoteChar"/>
    <w:uiPriority w:val="29"/>
    <w:qFormat/>
    <w:rsid w:val="00344027"/>
    <w:pPr>
      <w:spacing w:before="200" w:after="160"/>
      <w:ind w:left="864" w:right="864"/>
      <w:jc w:val="center"/>
    </w:pPr>
    <w:rPr>
      <w:rFonts w:ascii="Times New Roman" w:hAnsi="Times New Roman"/>
      <w:i/>
      <w:iCs/>
      <w:color w:val="404040" w:themeColor="text1" w:themeTint="BF"/>
      <w:szCs w:val="22"/>
    </w:rPr>
  </w:style>
  <w:style w:type="character" w:customStyle="1" w:styleId="QuoteChar">
    <w:name w:val="Quote Char"/>
    <w:basedOn w:val="DefaultParagraphFont"/>
    <w:link w:val="Quote"/>
    <w:uiPriority w:val="29"/>
    <w:rsid w:val="00344027"/>
    <w:rPr>
      <w:rFonts w:ascii="Times New Roman" w:hAnsi="Times New Roman"/>
      <w:i/>
      <w:iCs/>
      <w:color w:val="404040" w:themeColor="text1" w:themeTint="BF"/>
      <w:szCs w:val="22"/>
      <w:lang w:val="en-GB"/>
    </w:rPr>
  </w:style>
  <w:style w:type="character" w:styleId="IntenseReference">
    <w:name w:val="Intense Reference"/>
    <w:basedOn w:val="DefaultParagraphFont"/>
    <w:uiPriority w:val="32"/>
    <w:qFormat/>
    <w:rsid w:val="00344027"/>
    <w:rPr>
      <w:b/>
      <w:bCs/>
      <w:smallCaps/>
      <w:color w:val="auto"/>
      <w:spacing w:val="5"/>
    </w:rPr>
  </w:style>
  <w:style w:type="character" w:styleId="BookTitle">
    <w:name w:val="Book Title"/>
    <w:basedOn w:val="DefaultParagraphFont"/>
    <w:uiPriority w:val="33"/>
    <w:qFormat/>
    <w:rsid w:val="00344027"/>
    <w:rPr>
      <w:rFonts w:ascii="Times New Roman" w:hAnsi="Times New Roman"/>
      <w:b/>
      <w:bCs/>
      <w:i/>
      <w:iCs/>
      <w:spacing w:val="5"/>
    </w:rPr>
  </w:style>
  <w:style w:type="numbering" w:customStyle="1" w:styleId="Headings">
    <w:name w:val="Headings"/>
    <w:uiPriority w:val="99"/>
    <w:rsid w:val="00344027"/>
    <w:pPr>
      <w:numPr>
        <w:numId w:val="40"/>
      </w:numPr>
    </w:pPr>
  </w:style>
  <w:style w:type="character" w:styleId="PlaceholderText">
    <w:name w:val="Placeholder Text"/>
    <w:basedOn w:val="DefaultParagraphFont"/>
    <w:uiPriority w:val="99"/>
    <w:semiHidden/>
    <w:rsid w:val="00344027"/>
    <w:rPr>
      <w:color w:val="808080"/>
    </w:rPr>
  </w:style>
  <w:style w:type="paragraph" w:customStyle="1" w:styleId="mb0">
    <w:name w:val="mb0"/>
    <w:basedOn w:val="Normal"/>
    <w:rsid w:val="00344027"/>
    <w:pPr>
      <w:spacing w:before="100" w:beforeAutospacing="1" w:after="100" w:afterAutospacing="1"/>
    </w:pPr>
    <w:rPr>
      <w:rFonts w:ascii="Times New Roman" w:eastAsia="Times New Roman" w:hAnsi="Times New Roman" w:cs="Times New Roman"/>
      <w:lang w:eastAsia="en-GB"/>
    </w:rPr>
  </w:style>
  <w:style w:type="character" w:styleId="PageNumber">
    <w:name w:val="page number"/>
    <w:basedOn w:val="DefaultParagraphFont"/>
    <w:uiPriority w:val="99"/>
    <w:semiHidden/>
    <w:unhideWhenUsed/>
    <w:rsid w:val="002257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3493729">
      <w:bodyDiv w:val="1"/>
      <w:marLeft w:val="0"/>
      <w:marRight w:val="0"/>
      <w:marTop w:val="0"/>
      <w:marBottom w:val="0"/>
      <w:divBdr>
        <w:top w:val="none" w:sz="0" w:space="0" w:color="auto"/>
        <w:left w:val="none" w:sz="0" w:space="0" w:color="auto"/>
        <w:bottom w:val="none" w:sz="0" w:space="0" w:color="auto"/>
        <w:right w:val="none" w:sz="0" w:space="0" w:color="auto"/>
      </w:divBdr>
    </w:div>
    <w:div w:id="1377850719">
      <w:bodyDiv w:val="1"/>
      <w:marLeft w:val="0"/>
      <w:marRight w:val="0"/>
      <w:marTop w:val="0"/>
      <w:marBottom w:val="0"/>
      <w:divBdr>
        <w:top w:val="none" w:sz="0" w:space="0" w:color="auto"/>
        <w:left w:val="none" w:sz="0" w:space="0" w:color="auto"/>
        <w:bottom w:val="none" w:sz="0" w:space="0" w:color="auto"/>
        <w:right w:val="none" w:sz="0" w:space="0" w:color="auto"/>
      </w:divBdr>
    </w:div>
    <w:div w:id="1611231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9.xml"/><Relationship Id="rId21" Type="http://schemas.openxmlformats.org/officeDocument/2006/relationships/header" Target="header4.xml"/><Relationship Id="rId34" Type="http://schemas.openxmlformats.org/officeDocument/2006/relationships/hyperlink" Target="https://esgf-node.llnl.gov/search/cmip6/" TargetMode="External"/><Relationship Id="rId42" Type="http://schemas.openxmlformats.org/officeDocument/2006/relationships/header" Target="header8.xml"/><Relationship Id="rId47" Type="http://schemas.openxmlformats.org/officeDocument/2006/relationships/image" Target="media/image20.tiff"/><Relationship Id="rId50" Type="http://schemas.openxmlformats.org/officeDocument/2006/relationships/hyperlink" Target="https://doi.org/10.3389/fmars.2022.781876" TargetMode="External"/><Relationship Id="rId55" Type="http://schemas.openxmlformats.org/officeDocument/2006/relationships/image" Target="media/image23.tiff"/><Relationship Id="rId63" Type="http://schemas.openxmlformats.org/officeDocument/2006/relationships/image" Target="media/image31.tif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11.emf"/><Relationship Id="rId11" Type="http://schemas.openxmlformats.org/officeDocument/2006/relationships/image" Target="media/image6.tif"/><Relationship Id="rId24" Type="http://schemas.openxmlformats.org/officeDocument/2006/relationships/footer" Target="footer8.xml"/><Relationship Id="rId32" Type="http://schemas.openxmlformats.org/officeDocument/2006/relationships/image" Target="media/image14.emf"/><Relationship Id="rId37" Type="http://schemas.openxmlformats.org/officeDocument/2006/relationships/image" Target="media/image17.tiff"/><Relationship Id="rId40" Type="http://schemas.openxmlformats.org/officeDocument/2006/relationships/hyperlink" Target="https://doi.org/10.1016/j.ecss.2020.106940" TargetMode="External"/><Relationship Id="rId45" Type="http://schemas.openxmlformats.org/officeDocument/2006/relationships/header" Target="header9.xml"/><Relationship Id="rId53" Type="http://schemas.openxmlformats.org/officeDocument/2006/relationships/hyperlink" Target="http://data.cifororg" TargetMode="External"/><Relationship Id="rId58" Type="http://schemas.openxmlformats.org/officeDocument/2006/relationships/image" Target="media/image26.emf"/><Relationship Id="rId5" Type="http://schemas.openxmlformats.org/officeDocument/2006/relationships/webSettings" Target="webSettings.xml"/><Relationship Id="rId61" Type="http://schemas.openxmlformats.org/officeDocument/2006/relationships/image" Target="media/image29.tiff"/><Relationship Id="rId19" Type="http://schemas.openxmlformats.org/officeDocument/2006/relationships/header" Target="header3.xml"/><Relationship Id="rId14" Type="http://schemas.openxmlformats.org/officeDocument/2006/relationships/image" Target="media/image8.tiff"/><Relationship Id="rId22" Type="http://schemas.openxmlformats.org/officeDocument/2006/relationships/header" Target="header5.xml"/><Relationship Id="rId27" Type="http://schemas.openxmlformats.org/officeDocument/2006/relationships/image" Target="media/image9.tiff"/><Relationship Id="rId30" Type="http://schemas.openxmlformats.org/officeDocument/2006/relationships/image" Target="media/image12.emf"/><Relationship Id="rId35" Type="http://schemas.openxmlformats.org/officeDocument/2006/relationships/image" Target="media/image15.jpeg"/><Relationship Id="rId43" Type="http://schemas.openxmlformats.org/officeDocument/2006/relationships/footer" Target="footer10.xml"/><Relationship Id="rId48" Type="http://schemas.openxmlformats.org/officeDocument/2006/relationships/image" Target="media/image21.tiff"/><Relationship Id="rId56" Type="http://schemas.openxmlformats.org/officeDocument/2006/relationships/image" Target="media/image24.tiff"/><Relationship Id="rId64"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footer" Target="footer13.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footer" Target="footer4.xml"/><Relationship Id="rId25" Type="http://schemas.openxmlformats.org/officeDocument/2006/relationships/header" Target="header6.xml"/><Relationship Id="rId33" Type="http://schemas.openxmlformats.org/officeDocument/2006/relationships/hyperlink" Target="http://scholar.google.com/" TargetMode="External"/><Relationship Id="rId38" Type="http://schemas.openxmlformats.org/officeDocument/2006/relationships/image" Target="media/image18.tiff"/><Relationship Id="rId46" Type="http://schemas.openxmlformats.org/officeDocument/2006/relationships/footer" Target="footer12.xml"/><Relationship Id="rId59" Type="http://schemas.openxmlformats.org/officeDocument/2006/relationships/image" Target="media/image27.tiff"/><Relationship Id="rId20" Type="http://schemas.openxmlformats.org/officeDocument/2006/relationships/footer" Target="footer6.xml"/><Relationship Id="rId41" Type="http://schemas.openxmlformats.org/officeDocument/2006/relationships/header" Target="header7.xml"/><Relationship Id="rId54" Type="http://schemas.openxmlformats.org/officeDocument/2006/relationships/hyperlink" Target="https://esgf-node.llnl.gov/search/cmip6/" TargetMode="External"/><Relationship Id="rId62" Type="http://schemas.openxmlformats.org/officeDocument/2006/relationships/image" Target="media/image30.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footer" Target="footer7.xml"/><Relationship Id="rId28" Type="http://schemas.openxmlformats.org/officeDocument/2006/relationships/image" Target="media/image10.tiff"/><Relationship Id="rId36" Type="http://schemas.openxmlformats.org/officeDocument/2006/relationships/image" Target="media/image16.tif"/><Relationship Id="rId49" Type="http://schemas.openxmlformats.org/officeDocument/2006/relationships/image" Target="media/image22.tiff"/><Relationship Id="rId57" Type="http://schemas.openxmlformats.org/officeDocument/2006/relationships/image" Target="media/image25.emf"/><Relationship Id="rId10" Type="http://schemas.openxmlformats.org/officeDocument/2006/relationships/footer" Target="footer3.xml"/><Relationship Id="rId31" Type="http://schemas.openxmlformats.org/officeDocument/2006/relationships/image" Target="media/image13.emf"/><Relationship Id="rId44" Type="http://schemas.openxmlformats.org/officeDocument/2006/relationships/footer" Target="footer11.xml"/><Relationship Id="rId52" Type="http://schemas.openxmlformats.org/officeDocument/2006/relationships/hyperlink" Target="http://scholar.google.com/" TargetMode="External"/><Relationship Id="rId60" Type="http://schemas.openxmlformats.org/officeDocument/2006/relationships/image" Target="media/image28.tiff"/><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7.tiff"/><Relationship Id="rId18" Type="http://schemas.openxmlformats.org/officeDocument/2006/relationships/footer" Target="footer5.xml"/><Relationship Id="rId39" Type="http://schemas.openxmlformats.org/officeDocument/2006/relationships/image" Target="media/image19.tif"/></Relationships>
</file>

<file path=word/_rels/footer3.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423168557637025"/>
          <c:y val="5.1400554097404488E-2"/>
          <c:w val="0.8407408977662697"/>
          <c:h val="0.8326195683872849"/>
        </c:manualLayout>
      </c:layout>
      <c:barChart>
        <c:barDir val="col"/>
        <c:grouping val="stacked"/>
        <c:varyColors val="0"/>
        <c:ser>
          <c:idx val="0"/>
          <c:order val="0"/>
          <c:tx>
            <c:strRef>
              <c:f>Sheet1!$B$1</c:f>
              <c:strCache>
                <c:ptCount val="1"/>
                <c:pt idx="0">
                  <c:v>Below ground</c:v>
                </c:pt>
              </c:strCache>
            </c:strRef>
          </c:tx>
          <c:spPr>
            <a:solidFill>
              <a:schemeClr val="bg1">
                <a:lumMod val="85000"/>
              </a:schemeClr>
            </a:solidFill>
            <a:ln>
              <a:solidFill>
                <a:sysClr val="windowText" lastClr="000000"/>
              </a:solidFill>
            </a:ln>
          </c:spPr>
          <c:invertIfNegative val="0"/>
          <c:cat>
            <c:strRef>
              <c:f>Sheet1!$A$2:$A$5</c:f>
              <c:strCache>
                <c:ptCount val="4"/>
                <c:pt idx="0">
                  <c:v>Boreal</c:v>
                </c:pt>
                <c:pt idx="1">
                  <c:v>Temperate</c:v>
                </c:pt>
                <c:pt idx="2">
                  <c:v>Tropical</c:v>
                </c:pt>
                <c:pt idx="3">
                  <c:v>Mangrove</c:v>
                </c:pt>
              </c:strCache>
            </c:strRef>
          </c:cat>
          <c:val>
            <c:numRef>
              <c:f>Sheet1!$B$2:$B$5</c:f>
              <c:numCache>
                <c:formatCode>General</c:formatCode>
                <c:ptCount val="4"/>
                <c:pt idx="0">
                  <c:v>163.19989000000001</c:v>
                </c:pt>
                <c:pt idx="1">
                  <c:v>65.119429999999994</c:v>
                </c:pt>
                <c:pt idx="2">
                  <c:v>60.452199999999998</c:v>
                </c:pt>
                <c:pt idx="3">
                  <c:v>856.87149999999997</c:v>
                </c:pt>
              </c:numCache>
            </c:numRef>
          </c:val>
          <c:extLst>
            <c:ext xmlns:c16="http://schemas.microsoft.com/office/drawing/2014/chart" uri="{C3380CC4-5D6E-409C-BE32-E72D297353CC}">
              <c16:uniqueId val="{00000000-6E2B-2946-A364-ED6F49F296B0}"/>
            </c:ext>
          </c:extLst>
        </c:ser>
        <c:ser>
          <c:idx val="1"/>
          <c:order val="1"/>
          <c:tx>
            <c:strRef>
              <c:f>Sheet1!$C$1</c:f>
              <c:strCache>
                <c:ptCount val="1"/>
                <c:pt idx="0">
                  <c:v>Aboveground</c:v>
                </c:pt>
              </c:strCache>
            </c:strRef>
          </c:tx>
          <c:spPr>
            <a:solidFill>
              <a:sysClr val="window" lastClr="FFFFFF"/>
            </a:solidFill>
            <a:ln>
              <a:solidFill>
                <a:sysClr val="windowText" lastClr="000000"/>
              </a:solidFill>
            </a:ln>
          </c:spPr>
          <c:invertIfNegative val="0"/>
          <c:cat>
            <c:strRef>
              <c:f>Sheet1!$A$2:$A$5</c:f>
              <c:strCache>
                <c:ptCount val="4"/>
                <c:pt idx="0">
                  <c:v>Boreal</c:v>
                </c:pt>
                <c:pt idx="1">
                  <c:v>Temperate</c:v>
                </c:pt>
                <c:pt idx="2">
                  <c:v>Tropical</c:v>
                </c:pt>
                <c:pt idx="3">
                  <c:v>Mangrove</c:v>
                </c:pt>
              </c:strCache>
            </c:strRef>
          </c:cat>
          <c:val>
            <c:numRef>
              <c:f>Sheet1!$C$2:$C$5</c:f>
              <c:numCache>
                <c:formatCode>General</c:formatCode>
                <c:ptCount val="4"/>
                <c:pt idx="0">
                  <c:v>170.33068999999998</c:v>
                </c:pt>
                <c:pt idx="1">
                  <c:v>258.25647000000004</c:v>
                </c:pt>
                <c:pt idx="2">
                  <c:v>198.9196</c:v>
                </c:pt>
                <c:pt idx="3">
                  <c:v>93.418540000000007</c:v>
                </c:pt>
              </c:numCache>
            </c:numRef>
          </c:val>
          <c:extLst>
            <c:ext xmlns:c16="http://schemas.microsoft.com/office/drawing/2014/chart" uri="{C3380CC4-5D6E-409C-BE32-E72D297353CC}">
              <c16:uniqueId val="{00000001-6E2B-2946-A364-ED6F49F296B0}"/>
            </c:ext>
          </c:extLst>
        </c:ser>
        <c:dLbls>
          <c:showLegendKey val="0"/>
          <c:showVal val="0"/>
          <c:showCatName val="0"/>
          <c:showSerName val="0"/>
          <c:showPercent val="0"/>
          <c:showBubbleSize val="0"/>
        </c:dLbls>
        <c:gapWidth val="150"/>
        <c:overlap val="100"/>
        <c:axId val="127742336"/>
        <c:axId val="127744256"/>
      </c:barChart>
      <c:catAx>
        <c:axId val="127742336"/>
        <c:scaling>
          <c:orientation val="minMax"/>
        </c:scaling>
        <c:delete val="0"/>
        <c:axPos val="b"/>
        <c:numFmt formatCode="General" sourceLinked="0"/>
        <c:majorTickMark val="out"/>
        <c:minorTickMark val="none"/>
        <c:tickLblPos val="nextTo"/>
        <c:crossAx val="127744256"/>
        <c:crosses val="autoZero"/>
        <c:auto val="1"/>
        <c:lblAlgn val="ctr"/>
        <c:lblOffset val="100"/>
        <c:noMultiLvlLbl val="0"/>
      </c:catAx>
      <c:valAx>
        <c:axId val="127744256"/>
        <c:scaling>
          <c:orientation val="minMax"/>
        </c:scaling>
        <c:delete val="0"/>
        <c:axPos val="l"/>
        <c:title>
          <c:tx>
            <c:rich>
              <a:bodyPr rot="-5400000" vert="horz"/>
              <a:lstStyle/>
              <a:p>
                <a:pPr>
                  <a:defRPr/>
                </a:pPr>
                <a:r>
                  <a:rPr lang="en-GB"/>
                  <a:t>Ecosystem carbon storage (Mg </a:t>
                </a:r>
                <a:r>
                  <a:rPr lang="en-US" sz="1200" b="1" i="0" u="none" strike="noStrike" baseline="0">
                    <a:effectLst/>
                  </a:rPr>
                  <a:t>ha</a:t>
                </a:r>
                <a:r>
                  <a:rPr lang="en-US" sz="1200" b="1" i="0" u="none" strike="noStrike" baseline="30000">
                    <a:effectLst/>
                  </a:rPr>
                  <a:t>-1</a:t>
                </a:r>
                <a:r>
                  <a:rPr lang="en-GB" sz="1200" b="1" i="0" u="none" strike="noStrike" baseline="0">
                    <a:effectLst/>
                  </a:rPr>
                  <a:t>)</a:t>
                </a:r>
                <a:r>
                  <a:rPr lang="en-GB" sz="1200" b="1" i="0" u="none" strike="noStrike" baseline="0"/>
                  <a:t> </a:t>
                </a:r>
                <a:endParaRPr lang="en-GB"/>
              </a:p>
            </c:rich>
          </c:tx>
          <c:overlay val="0"/>
        </c:title>
        <c:numFmt formatCode="General" sourceLinked="1"/>
        <c:majorTickMark val="out"/>
        <c:minorTickMark val="none"/>
        <c:tickLblPos val="nextTo"/>
        <c:crossAx val="127742336"/>
        <c:crosses val="autoZero"/>
        <c:crossBetween val="between"/>
        <c:majorUnit val="200"/>
      </c:valAx>
    </c:plotArea>
    <c:legend>
      <c:legendPos val="r"/>
      <c:layout>
        <c:manualLayout>
          <c:xMode val="edge"/>
          <c:yMode val="edge"/>
          <c:x val="0.17617115384350238"/>
          <c:y val="4.8857538676395348E-2"/>
          <c:w val="0.19073121197205528"/>
          <c:h val="0.14959267671189672"/>
        </c:manualLayout>
      </c:layout>
      <c:overlay val="0"/>
    </c:legend>
    <c:plotVisOnly val="1"/>
    <c:dispBlanksAs val="gap"/>
    <c:showDLblsOverMax val="0"/>
  </c:chart>
  <c:txPr>
    <a:bodyPr/>
    <a:lstStyle/>
    <a:p>
      <a:pPr>
        <a:defRPr sz="1200"/>
      </a:pPr>
      <a:endParaRPr lang="en-QA"/>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443263-C184-074B-B6BC-866D323964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207</Pages>
  <Words>349875</Words>
  <Characters>1994291</Characters>
  <Application>Microsoft Office Word</Application>
  <DocSecurity>0</DocSecurity>
  <Lines>16619</Lines>
  <Paragraphs>4678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2339488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Chatting</dc:creator>
  <cp:keywords/>
  <dc:description/>
  <cp:lastModifiedBy>Mark Chatting</cp:lastModifiedBy>
  <cp:revision>20</cp:revision>
  <cp:lastPrinted>2022-05-31T07:03:00Z</cp:lastPrinted>
  <dcterms:created xsi:type="dcterms:W3CDTF">2022-11-29T13:47:00Z</dcterms:created>
  <dcterms:modified xsi:type="dcterms:W3CDTF">2022-11-29T14:06:00Z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http://www.zotero.org/styles/estuarine-coastal-and-shelf-science</vt:lpwstr>
  </property>
  <property fmtid="{D5CDD505-2E9C-101B-9397-08002B2CF9AE}" pid="4" name="Mendeley Unique User Id_1">
    <vt:lpwstr>8f372923-abf4-3c5c-8e74-1814dda65850</vt:lpwstr>
  </property>
  <property fmtid="{D5CDD505-2E9C-101B-9397-08002B2CF9AE}" pid="5" name="Mendeley Recent Style Id 0_1">
    <vt:lpwstr>http://www.zotero.org/styles/apa</vt:lpwstr>
  </property>
  <property fmtid="{D5CDD505-2E9C-101B-9397-08002B2CF9AE}" pid="6" name="Mendeley Recent Style Name 0_1">
    <vt:lpwstr>American Psychological Association 6th edition</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17th edition (author-date)</vt:lpwstr>
  </property>
  <property fmtid="{D5CDD505-2E9C-101B-9397-08002B2CF9AE}" pid="11" name="Mendeley Recent Style Id 3_1">
    <vt:lpwstr>http://www.zotero.org/styles/harvard-cite-them-right</vt:lpwstr>
  </property>
  <property fmtid="{D5CDD505-2E9C-101B-9397-08002B2CF9AE}" pid="12" name="Mendeley Recent Style Name 3_1">
    <vt:lpwstr>Cite Them Right 10th edition - Harvard</vt:lpwstr>
  </property>
  <property fmtid="{D5CDD505-2E9C-101B-9397-08002B2CF9AE}" pid="13" name="Mendeley Recent Style Id 4_1">
    <vt:lpwstr>http://www.zotero.org/styles/endangered-species-research</vt:lpwstr>
  </property>
  <property fmtid="{D5CDD505-2E9C-101B-9397-08002B2CF9AE}" pid="14" name="Mendeley Recent Style Name 4_1">
    <vt:lpwstr>Endangered Species Research</vt:lpwstr>
  </property>
  <property fmtid="{D5CDD505-2E9C-101B-9397-08002B2CF9AE}" pid="15" name="Mendeley Recent Style Id 5_1">
    <vt:lpwstr>http://www.zotero.org/styles/estuarine-coastal-and-shelf-science</vt:lpwstr>
  </property>
  <property fmtid="{D5CDD505-2E9C-101B-9397-08002B2CF9AE}" pid="16" name="Mendeley Recent Style Name 5_1">
    <vt:lpwstr>Estuarine, Coastal and Shelf Science</vt:lpwstr>
  </property>
  <property fmtid="{D5CDD505-2E9C-101B-9397-08002B2CF9AE}" pid="17" name="Mendeley Recent Style Id 6_1">
    <vt:lpwstr>http://www.zotero.org/styles/global-change-biology</vt:lpwstr>
  </property>
  <property fmtid="{D5CDD505-2E9C-101B-9397-08002B2CF9AE}" pid="18" name="Mendeley Recent Style Name 6_1">
    <vt:lpwstr>Global Change Biology</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http://www.zotero.org/styles/modern-language-association</vt:lpwstr>
  </property>
  <property fmtid="{D5CDD505-2E9C-101B-9397-08002B2CF9AE}" pid="24" name="Mendeley Recent Style Name 9_1">
    <vt:lpwstr>Modern Language Association 8th edition</vt:lpwstr>
  </property>
</Properties>
</file>