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45E2" w14:textId="383B01F7" w:rsidR="00E64CF5" w:rsidRDefault="00C633C1" w:rsidP="007510B2">
      <w:pPr>
        <w:spacing w:after="0" w:line="480" w:lineRule="auto"/>
        <w:rPr>
          <w:b/>
          <w:bCs/>
        </w:rPr>
      </w:pPr>
      <w:bookmarkStart w:id="0" w:name="_Hlk144209219"/>
      <w:r>
        <w:rPr>
          <w:b/>
          <w:bCs/>
        </w:rPr>
        <w:t>A</w:t>
      </w:r>
      <w:r w:rsidRPr="000E196A">
        <w:rPr>
          <w:b/>
          <w:bCs/>
        </w:rPr>
        <w:t>gronomic amendments</w:t>
      </w:r>
      <w:r>
        <w:rPr>
          <w:b/>
          <w:bCs/>
        </w:rPr>
        <w:t xml:space="preserve"> drive a d</w:t>
      </w:r>
      <w:r w:rsidR="000E196A" w:rsidRPr="000E196A">
        <w:rPr>
          <w:b/>
          <w:bCs/>
        </w:rPr>
        <w:t>iversity of real and apparent priming responses within a grassland soil</w:t>
      </w:r>
      <w:r w:rsidR="000E196A" w:rsidRPr="000E196A" w:rsidDel="000E196A">
        <w:rPr>
          <w:b/>
          <w:bCs/>
        </w:rPr>
        <w:t xml:space="preserve"> </w:t>
      </w:r>
    </w:p>
    <w:p w14:paraId="6F32FF46" w14:textId="6C73850B" w:rsidR="00944720" w:rsidRDefault="00944720" w:rsidP="007510B2">
      <w:pPr>
        <w:spacing w:after="0" w:line="480" w:lineRule="auto"/>
      </w:pPr>
      <w:r>
        <w:t xml:space="preserve">Robert W. </w:t>
      </w:r>
      <w:proofErr w:type="spellStart"/>
      <w:proofErr w:type="gramStart"/>
      <w:r>
        <w:t>Brown</w:t>
      </w:r>
      <w:r>
        <w:rPr>
          <w:vertAlign w:val="superscript"/>
        </w:rPr>
        <w:t>a</w:t>
      </w:r>
      <w:proofErr w:type="spellEnd"/>
      <w:r>
        <w:rPr>
          <w:vertAlign w:val="superscript"/>
        </w:rPr>
        <w:t>,*</w:t>
      </w:r>
      <w:proofErr w:type="gramEnd"/>
      <w:r>
        <w:t xml:space="preserve">, Eleanor Y. </w:t>
      </w:r>
      <w:proofErr w:type="spellStart"/>
      <w:r w:rsidR="000801CE">
        <w:t>Reed</w:t>
      </w:r>
      <w:r w:rsidRPr="00944720">
        <w:rPr>
          <w:vertAlign w:val="superscript"/>
        </w:rPr>
        <w:t>a</w:t>
      </w:r>
      <w:r w:rsidR="008709DA">
        <w:rPr>
          <w:vertAlign w:val="superscript"/>
        </w:rPr>
        <w:t>,b</w:t>
      </w:r>
      <w:proofErr w:type="spellEnd"/>
      <w:r>
        <w:t xml:space="preserve">, David </w:t>
      </w:r>
      <w:r w:rsidR="00BA0742">
        <w:t xml:space="preserve">R. </w:t>
      </w:r>
      <w:proofErr w:type="spellStart"/>
      <w:r>
        <w:t>Chadwick</w:t>
      </w:r>
      <w:r w:rsidRPr="00944720">
        <w:rPr>
          <w:vertAlign w:val="superscript"/>
        </w:rPr>
        <w:t>a</w:t>
      </w:r>
      <w:proofErr w:type="spellEnd"/>
      <w:r>
        <w:t xml:space="preserve">, Paul </w:t>
      </w:r>
      <w:r w:rsidR="00BA0742">
        <w:t xml:space="preserve">W. </w:t>
      </w:r>
      <w:r>
        <w:t>Hill</w:t>
      </w:r>
      <w:r w:rsidRPr="00944720">
        <w:rPr>
          <w:vertAlign w:val="superscript"/>
        </w:rPr>
        <w:t>a</w:t>
      </w:r>
      <w:r>
        <w:t xml:space="preserve">, Davey L. </w:t>
      </w:r>
      <w:proofErr w:type="spellStart"/>
      <w:r>
        <w:t>Jones</w:t>
      </w:r>
      <w:r w:rsidRPr="00944720">
        <w:rPr>
          <w:vertAlign w:val="superscript"/>
        </w:rPr>
        <w:t>a</w:t>
      </w:r>
      <w:r>
        <w:rPr>
          <w:vertAlign w:val="superscript"/>
        </w:rPr>
        <w:t>,</w:t>
      </w:r>
      <w:r w:rsidR="008709DA">
        <w:rPr>
          <w:vertAlign w:val="superscript"/>
        </w:rPr>
        <w:t>c</w:t>
      </w:r>
      <w:proofErr w:type="spellEnd"/>
    </w:p>
    <w:p w14:paraId="26C3EE82" w14:textId="77777777" w:rsidR="00E64CF5" w:rsidRDefault="00E64CF5" w:rsidP="007510B2">
      <w:pPr>
        <w:spacing w:after="0" w:line="480" w:lineRule="auto"/>
      </w:pPr>
    </w:p>
    <w:p w14:paraId="28EFED75" w14:textId="448508C5" w:rsidR="00944720" w:rsidRPr="00944720" w:rsidRDefault="00944720" w:rsidP="007510B2">
      <w:pPr>
        <w:spacing w:after="0" w:line="480" w:lineRule="auto"/>
        <w:rPr>
          <w:i/>
          <w:iCs/>
        </w:rPr>
      </w:pPr>
      <w:r w:rsidRPr="00944720">
        <w:rPr>
          <w:vertAlign w:val="superscript"/>
        </w:rPr>
        <w:t>a</w:t>
      </w:r>
      <w:r w:rsidRPr="00944720">
        <w:t xml:space="preserve"> </w:t>
      </w:r>
      <w:r w:rsidRPr="00944720">
        <w:rPr>
          <w:i/>
          <w:iCs/>
        </w:rPr>
        <w:t xml:space="preserve">School of </w:t>
      </w:r>
      <w:r w:rsidR="00732FE4">
        <w:rPr>
          <w:i/>
          <w:iCs/>
        </w:rPr>
        <w:t xml:space="preserve">Environmental and </w:t>
      </w:r>
      <w:r w:rsidRPr="00944720">
        <w:rPr>
          <w:i/>
          <w:iCs/>
        </w:rPr>
        <w:t>Natural Sciences, Bangor University, Gwynedd, LL57 2UW, UK</w:t>
      </w:r>
    </w:p>
    <w:p w14:paraId="56A8AB9F" w14:textId="1DEFA2BC" w:rsidR="008709DA" w:rsidRPr="00E80B31" w:rsidRDefault="008709DA" w:rsidP="007510B2">
      <w:pPr>
        <w:spacing w:after="0" w:line="480" w:lineRule="auto"/>
        <w:rPr>
          <w:i/>
          <w:iCs/>
        </w:rPr>
      </w:pPr>
      <w:r>
        <w:rPr>
          <w:vertAlign w:val="superscript"/>
        </w:rPr>
        <w:t xml:space="preserve">b </w:t>
      </w:r>
      <w:r w:rsidRPr="00E80B31">
        <w:rPr>
          <w:i/>
          <w:iCs/>
        </w:rPr>
        <w:t>Natural England</w:t>
      </w:r>
      <w:bookmarkStart w:id="1" w:name="_Hlk138794741"/>
      <w:r w:rsidRPr="00E80B31">
        <w:rPr>
          <w:i/>
          <w:iCs/>
        </w:rPr>
        <w:t xml:space="preserve">, </w:t>
      </w:r>
      <w:r w:rsidR="00AA22EA" w:rsidRPr="00AA22EA">
        <w:rPr>
          <w:i/>
          <w:iCs/>
        </w:rPr>
        <w:t>Newcastle upon Tyne, NE4 7YH</w:t>
      </w:r>
      <w:r w:rsidR="006D1E64">
        <w:rPr>
          <w:i/>
          <w:iCs/>
        </w:rPr>
        <w:t>, UK</w:t>
      </w:r>
      <w:bookmarkEnd w:id="1"/>
    </w:p>
    <w:p w14:paraId="0B400094" w14:textId="31732CF4" w:rsidR="00944720" w:rsidRPr="00944720" w:rsidRDefault="008709DA" w:rsidP="007510B2">
      <w:pPr>
        <w:spacing w:after="0" w:line="480" w:lineRule="auto"/>
        <w:rPr>
          <w:i/>
          <w:iCs/>
        </w:rPr>
      </w:pPr>
      <w:r>
        <w:rPr>
          <w:vertAlign w:val="superscript"/>
        </w:rPr>
        <w:t>c</w:t>
      </w:r>
      <w:r w:rsidRPr="00944720">
        <w:rPr>
          <w:i/>
          <w:iCs/>
        </w:rPr>
        <w:t xml:space="preserve"> </w:t>
      </w:r>
      <w:r>
        <w:rPr>
          <w:i/>
          <w:iCs/>
        </w:rPr>
        <w:t xml:space="preserve">SoilsWest, </w:t>
      </w:r>
      <w:r w:rsidR="00944720" w:rsidRPr="00944720">
        <w:rPr>
          <w:i/>
          <w:iCs/>
        </w:rPr>
        <w:t>Centre for Sustainable Farming Systems, Food Futures Institute, Murdoch University, Murdoch</w:t>
      </w:r>
      <w:r w:rsidR="00BB7E88">
        <w:rPr>
          <w:i/>
          <w:iCs/>
        </w:rPr>
        <w:t>,</w:t>
      </w:r>
      <w:r w:rsidR="00944720" w:rsidRPr="00944720">
        <w:rPr>
          <w:i/>
          <w:iCs/>
        </w:rPr>
        <w:t xml:space="preserve"> WA 615</w:t>
      </w:r>
      <w:r>
        <w:rPr>
          <w:i/>
          <w:iCs/>
        </w:rPr>
        <w:t>0</w:t>
      </w:r>
      <w:r w:rsidR="00944720" w:rsidRPr="00944720">
        <w:rPr>
          <w:i/>
          <w:iCs/>
        </w:rPr>
        <w:t xml:space="preserve">, Australia </w:t>
      </w:r>
    </w:p>
    <w:bookmarkEnd w:id="0"/>
    <w:p w14:paraId="3162F626" w14:textId="77777777" w:rsidR="00944720" w:rsidRDefault="00944720" w:rsidP="007510B2">
      <w:pPr>
        <w:spacing w:after="0" w:line="480" w:lineRule="auto"/>
      </w:pPr>
    </w:p>
    <w:p w14:paraId="0EC1940D" w14:textId="5C65BB88" w:rsidR="00944720" w:rsidRDefault="00944720" w:rsidP="007510B2">
      <w:pPr>
        <w:spacing w:after="0" w:line="480" w:lineRule="auto"/>
      </w:pPr>
      <w:r>
        <w:t xml:space="preserve">*Corresponding Author: </w:t>
      </w:r>
      <w:r>
        <w:tab/>
      </w:r>
      <w:r>
        <w:tab/>
      </w:r>
      <w:r>
        <w:tab/>
        <w:t>Robert Brown</w:t>
      </w:r>
    </w:p>
    <w:p w14:paraId="33597A62" w14:textId="5650B9E2" w:rsidR="00944720" w:rsidRDefault="00944720" w:rsidP="007510B2">
      <w:pPr>
        <w:spacing w:after="0" w:line="480" w:lineRule="auto"/>
      </w:pPr>
      <w:r>
        <w:t xml:space="preserve">Corresponding Author Address: </w:t>
      </w:r>
      <w:r>
        <w:tab/>
      </w:r>
      <w:r>
        <w:tab/>
      </w:r>
      <w:r>
        <w:tab/>
        <w:t xml:space="preserve">School of </w:t>
      </w:r>
      <w:r w:rsidR="00732FE4">
        <w:t xml:space="preserve">Environmental and </w:t>
      </w:r>
      <w:r>
        <w:t xml:space="preserve">Natural Sciences, </w:t>
      </w:r>
    </w:p>
    <w:p w14:paraId="0AB8DC45" w14:textId="77777777" w:rsidR="00944720" w:rsidRDefault="00944720" w:rsidP="007510B2">
      <w:pPr>
        <w:spacing w:after="0" w:line="480" w:lineRule="auto"/>
        <w:ind w:left="3600" w:firstLine="720"/>
      </w:pPr>
      <w:r>
        <w:t>Bangor University, Gwynedd, LL57 2UW, UK</w:t>
      </w:r>
    </w:p>
    <w:p w14:paraId="20FF8D59" w14:textId="31E45750" w:rsidR="008A3C55" w:rsidRDefault="00944720" w:rsidP="007510B2">
      <w:pPr>
        <w:spacing w:after="0" w:line="480" w:lineRule="auto"/>
      </w:pPr>
      <w:bookmarkStart w:id="2" w:name="_Hlk144209246"/>
      <w:r>
        <w:t>Corresponding Author Email:</w:t>
      </w:r>
      <w:r>
        <w:tab/>
      </w:r>
      <w:r>
        <w:tab/>
      </w:r>
      <w:r>
        <w:tab/>
      </w:r>
      <w:hyperlink r:id="rId8" w:history="1">
        <w:r w:rsidRPr="00232BB7">
          <w:rPr>
            <w:rStyle w:val="Hyperlink"/>
          </w:rPr>
          <w:t>rob.brown@bangor.ac.uk</w:t>
        </w:r>
      </w:hyperlink>
    </w:p>
    <w:bookmarkEnd w:id="2"/>
    <w:p w14:paraId="08C102FE" w14:textId="0E070E29" w:rsidR="00944720" w:rsidRDefault="00944720" w:rsidP="007510B2">
      <w:pPr>
        <w:spacing w:after="0"/>
      </w:pPr>
      <w:r>
        <w:br w:type="page"/>
      </w:r>
    </w:p>
    <w:p w14:paraId="3ED41E92" w14:textId="452B219A" w:rsidR="00944720" w:rsidRDefault="00944720" w:rsidP="007510B2">
      <w:pPr>
        <w:spacing w:after="0" w:line="480" w:lineRule="auto"/>
        <w:jc w:val="both"/>
        <w:rPr>
          <w:b/>
          <w:bCs/>
          <w:sz w:val="24"/>
          <w:szCs w:val="24"/>
        </w:rPr>
      </w:pPr>
      <w:r w:rsidRPr="00911F51">
        <w:rPr>
          <w:b/>
          <w:bCs/>
          <w:sz w:val="24"/>
          <w:szCs w:val="24"/>
        </w:rPr>
        <w:lastRenderedPageBreak/>
        <w:t>Abstract</w:t>
      </w:r>
    </w:p>
    <w:p w14:paraId="03510F63" w14:textId="58D8C585" w:rsidR="00944720" w:rsidRDefault="002B3CAF" w:rsidP="00C633C1">
      <w:pPr>
        <w:spacing w:after="0" w:line="480" w:lineRule="auto"/>
        <w:jc w:val="both"/>
      </w:pPr>
      <w:r>
        <w:t>S</w:t>
      </w:r>
      <w:r w:rsidR="00D414E1" w:rsidRPr="00D414E1">
        <w:t xml:space="preserve">oil carbon </w:t>
      </w:r>
      <w:r w:rsidR="00D414E1">
        <w:t xml:space="preserve">(C) </w:t>
      </w:r>
      <w:r w:rsidR="00D414E1" w:rsidRPr="00D414E1">
        <w:t xml:space="preserve">sequestration is </w:t>
      </w:r>
      <w:r w:rsidR="00D8130A">
        <w:t xml:space="preserve">often viewed as </w:t>
      </w:r>
      <w:r w:rsidR="00D414E1" w:rsidRPr="00D414E1">
        <w:t xml:space="preserve">a </w:t>
      </w:r>
      <w:r w:rsidR="00D8130A">
        <w:t>nature</w:t>
      </w:r>
      <w:r w:rsidR="00D414E1" w:rsidRPr="00D414E1">
        <w:t xml:space="preserve">-based solution to </w:t>
      </w:r>
      <w:r w:rsidR="00AA22EA">
        <w:t xml:space="preserve">help </w:t>
      </w:r>
      <w:r w:rsidR="00D414E1" w:rsidRPr="00D414E1">
        <w:t>mitigate climate change</w:t>
      </w:r>
      <w:r w:rsidR="00D8130A">
        <w:t xml:space="preserve">. Key to realising this potential is a better </w:t>
      </w:r>
      <w:r w:rsidR="00D414E1" w:rsidRPr="00D414E1">
        <w:t>understanding</w:t>
      </w:r>
      <w:r w:rsidR="00D8130A">
        <w:t xml:space="preserve"> of which C</w:t>
      </w:r>
      <w:r w:rsidR="00D414E1" w:rsidRPr="00D414E1">
        <w:t xml:space="preserve"> inputs </w:t>
      </w:r>
      <w:r w:rsidR="00D8130A">
        <w:t>promote greater long-term C storage</w:t>
      </w:r>
      <w:r w:rsidR="00D414E1" w:rsidRPr="00D414E1">
        <w:t>.</w:t>
      </w:r>
      <w:r w:rsidR="009A2B75" w:rsidRPr="009A2B75">
        <w:t xml:space="preserve"> The priming effect (PE) is the change in rates of microbial </w:t>
      </w:r>
      <w:r w:rsidR="008520C2">
        <w:t>soil organic matter (</w:t>
      </w:r>
      <w:r w:rsidR="009A2B75" w:rsidRPr="009A2B75">
        <w:t>SOM</w:t>
      </w:r>
      <w:r w:rsidR="008520C2">
        <w:t>)</w:t>
      </w:r>
      <w:r w:rsidR="009A2B75" w:rsidRPr="009A2B75">
        <w:t xml:space="preserve"> decomposition caused by the addition of organic or mineral </w:t>
      </w:r>
      <w:r w:rsidR="00C03D80">
        <w:t>amendments</w:t>
      </w:r>
      <w:r w:rsidR="00C03D80" w:rsidRPr="009A2B75">
        <w:t xml:space="preserve"> </w:t>
      </w:r>
      <w:r w:rsidR="009A2B75" w:rsidRPr="009A2B75">
        <w:t>to soil</w:t>
      </w:r>
      <w:r w:rsidR="00E31080">
        <w:t xml:space="preserve">. </w:t>
      </w:r>
      <w:r w:rsidR="00442978">
        <w:t>The apparent PE (changes in CO</w:t>
      </w:r>
      <w:r w:rsidR="00442978">
        <w:rPr>
          <w:vertAlign w:val="subscript"/>
        </w:rPr>
        <w:t xml:space="preserve">2 </w:t>
      </w:r>
      <w:r w:rsidR="00442978">
        <w:t>from</w:t>
      </w:r>
      <w:r w:rsidR="00442978" w:rsidRPr="00F80EA9">
        <w:t xml:space="preserve"> </w:t>
      </w:r>
      <w:r w:rsidR="00442978">
        <w:t>microbial biomass turnover) of substrates is often studied</w:t>
      </w:r>
      <w:r w:rsidR="00454562">
        <w:t xml:space="preserve"> as a confounding factor</w:t>
      </w:r>
      <w:r w:rsidR="00442978">
        <w:t>, h</w:t>
      </w:r>
      <w:r w:rsidR="00E31080">
        <w:t xml:space="preserve">owever, the real </w:t>
      </w:r>
      <w:r w:rsidR="00442978">
        <w:t>PE</w:t>
      </w:r>
      <w:r w:rsidR="00E31080">
        <w:t xml:space="preserve"> (decomposition of</w:t>
      </w:r>
      <w:r w:rsidR="00442978">
        <w:t xml:space="preserve"> native</w:t>
      </w:r>
      <w:r w:rsidR="00E31080">
        <w:t xml:space="preserve"> SOM) is rarely </w:t>
      </w:r>
      <w:r w:rsidR="00075C1F">
        <w:t>measured</w:t>
      </w:r>
      <w:r w:rsidR="00442978">
        <w:t xml:space="preserve"> due to </w:t>
      </w:r>
      <w:r w:rsidR="00454562">
        <w:t xml:space="preserve">uncertainties </w:t>
      </w:r>
      <w:r w:rsidR="00442978">
        <w:t>in C pool differentiation</w:t>
      </w:r>
      <w:r w:rsidR="00075C1F">
        <w:t xml:space="preserve">. Here, </w:t>
      </w:r>
      <w:r w:rsidR="006D383D">
        <w:t xml:space="preserve">we used a </w:t>
      </w:r>
      <w:r w:rsidR="000B6B4B">
        <w:t>50</w:t>
      </w:r>
      <w:r w:rsidR="003B779B">
        <w:t>-</w:t>
      </w:r>
      <w:r w:rsidR="000B6B4B">
        <w:t>day</w:t>
      </w:r>
      <w:r w:rsidR="006D383D">
        <w:t xml:space="preserve"> mesocosm study to </w:t>
      </w:r>
      <w:r w:rsidR="00075C1F">
        <w:t xml:space="preserve">compare the effect of various common soil </w:t>
      </w:r>
      <w:r w:rsidR="00C03D80">
        <w:t>amendments</w:t>
      </w:r>
      <w:r w:rsidR="00A15E75">
        <w:t xml:space="preserve"> (wood biochar and ash, </w:t>
      </w:r>
      <w:r w:rsidR="00365797">
        <w:t xml:space="preserve">protein, amino acids, glucose, cellulose, </w:t>
      </w:r>
      <w:r w:rsidR="00C03D80">
        <w:t>cattle farmyard manure</w:t>
      </w:r>
      <w:r w:rsidR="00896EAD">
        <w:t xml:space="preserve"> (FYM)</w:t>
      </w:r>
      <w:r w:rsidR="00365797">
        <w:t xml:space="preserve">, </w:t>
      </w:r>
      <w:r w:rsidR="00C03D80">
        <w:t xml:space="preserve">cattle </w:t>
      </w:r>
      <w:r w:rsidR="00365797">
        <w:t>slurry</w:t>
      </w:r>
      <w:r w:rsidR="00C03D80">
        <w:t>,</w:t>
      </w:r>
      <w:r w:rsidR="00365797">
        <w:t xml:space="preserve"> </w:t>
      </w:r>
      <w:r w:rsidR="00680405">
        <w:t xml:space="preserve">inorganic </w:t>
      </w:r>
      <w:r w:rsidR="00365797">
        <w:t>N fertiliser</w:t>
      </w:r>
      <w:r w:rsidR="00AA744D">
        <w:t xml:space="preserve">, and </w:t>
      </w:r>
      <w:r w:rsidR="00C03D80">
        <w:t xml:space="preserve">different ratios of </w:t>
      </w:r>
      <w:r w:rsidR="00AA744D" w:rsidRPr="00AA744D">
        <w:t xml:space="preserve">wheat </w:t>
      </w:r>
      <w:proofErr w:type="spellStart"/>
      <w:r w:rsidR="00AA744D" w:rsidRPr="00AA744D">
        <w:t>straw:shoot</w:t>
      </w:r>
      <w:proofErr w:type="spellEnd"/>
      <w:r w:rsidR="00AA744D" w:rsidRPr="00AA744D">
        <w:t xml:space="preserve"> mix</w:t>
      </w:r>
      <w:r w:rsidR="00C03D80">
        <w:t>es</w:t>
      </w:r>
      <w:r w:rsidR="00E62CD5">
        <w:t>)</w:t>
      </w:r>
      <w:r w:rsidR="00075C1F">
        <w:t xml:space="preserve"> on the real and apparent PEs of soil</w:t>
      </w:r>
      <w:r w:rsidR="007D4DFD">
        <w:t xml:space="preserve">, using </w:t>
      </w:r>
      <w:r w:rsidR="00B829EF">
        <w:t>5</w:t>
      </w:r>
      <w:r w:rsidR="003B779B">
        <w:t>-</w:t>
      </w:r>
      <w:r w:rsidR="00B829EF">
        <w:t>year</w:t>
      </w:r>
      <w:r w:rsidR="003B779B">
        <w:t xml:space="preserve"> old</w:t>
      </w:r>
      <w:r w:rsidR="00B829EF">
        <w:t xml:space="preserve"> </w:t>
      </w:r>
      <w:r w:rsidR="003315EC">
        <w:t xml:space="preserve">quasi-stable </w:t>
      </w:r>
      <w:r w:rsidR="003315EC">
        <w:rPr>
          <w:vertAlign w:val="superscript"/>
        </w:rPr>
        <w:t>14</w:t>
      </w:r>
      <w:r w:rsidR="003315EC">
        <w:t>C-labelled SOM and</w:t>
      </w:r>
      <w:r w:rsidR="00B829EF">
        <w:t xml:space="preserve"> </w:t>
      </w:r>
      <w:r w:rsidR="00F25C5C">
        <w:rPr>
          <w:vertAlign w:val="superscript"/>
        </w:rPr>
        <w:t>14</w:t>
      </w:r>
      <w:r w:rsidR="00F25C5C">
        <w:t xml:space="preserve">C-labelled </w:t>
      </w:r>
      <w:r w:rsidR="003B779B">
        <w:t xml:space="preserve">active </w:t>
      </w:r>
      <w:r w:rsidR="00F25C5C">
        <w:t>microbial biomass</w:t>
      </w:r>
      <w:r w:rsidR="00B829EF">
        <w:t>,</w:t>
      </w:r>
      <w:r w:rsidR="00F25C5C">
        <w:t xml:space="preserve"> respectively</w:t>
      </w:r>
      <w:r w:rsidR="00075C1F">
        <w:t>.</w:t>
      </w:r>
      <w:r w:rsidR="00291ADC">
        <w:t xml:space="preserve"> </w:t>
      </w:r>
      <w:r w:rsidR="00550AD3">
        <w:t xml:space="preserve">Our </w:t>
      </w:r>
      <w:r w:rsidR="00E6270B">
        <w:t>results</w:t>
      </w:r>
      <w:r w:rsidR="00550AD3">
        <w:t xml:space="preserve"> show</w:t>
      </w:r>
      <w:r w:rsidR="00B93026" w:rsidRPr="00B93026">
        <w:t xml:space="preserve"> that there are often significant differences in </w:t>
      </w:r>
      <w:r w:rsidR="00E6270B">
        <w:t xml:space="preserve">the </w:t>
      </w:r>
      <w:r w:rsidR="00B93026" w:rsidRPr="00B93026">
        <w:t xml:space="preserve">real and apparent </w:t>
      </w:r>
      <w:r w:rsidR="00ED57FD">
        <w:t>PE</w:t>
      </w:r>
      <w:r w:rsidR="00B93026" w:rsidRPr="00B93026">
        <w:t xml:space="preserve">, </w:t>
      </w:r>
      <w:r w:rsidR="00AE4878">
        <w:t xml:space="preserve">for the same </w:t>
      </w:r>
      <w:r w:rsidR="00C03D80">
        <w:t>amendment</w:t>
      </w:r>
      <w:r w:rsidR="00674330">
        <w:t xml:space="preserve">, with </w:t>
      </w:r>
      <w:r w:rsidR="00674330" w:rsidRPr="00674330">
        <w:t>vari</w:t>
      </w:r>
      <w:r w:rsidR="00674330">
        <w:t>ance</w:t>
      </w:r>
      <w:r w:rsidR="00674330" w:rsidRPr="00674330">
        <w:t xml:space="preserve"> in magnitude and, in some case, direction</w:t>
      </w:r>
      <w:r w:rsidR="00674330">
        <w:t>.</w:t>
      </w:r>
      <w:r w:rsidR="007D2CB7">
        <w:t xml:space="preserve"> </w:t>
      </w:r>
      <w:r w:rsidR="007510B2">
        <w:t xml:space="preserve">We identified </w:t>
      </w:r>
      <w:r w:rsidR="00A81EB6">
        <w:t>few consistent drivers of PE across the two assays, however</w:t>
      </w:r>
      <w:r w:rsidR="007510B2">
        <w:t>,</w:t>
      </w:r>
      <w:r w:rsidR="00A81EB6">
        <w:t xml:space="preserve"> there was a </w:t>
      </w:r>
      <w:r w:rsidR="000E5843">
        <w:t xml:space="preserve">negative </w:t>
      </w:r>
      <w:r w:rsidR="00A81EB6">
        <w:t>relationship between the initial C:N ratio of the treatment and PEs</w:t>
      </w:r>
      <w:r w:rsidR="00ED57FD">
        <w:t>, suggesting</w:t>
      </w:r>
      <w:r w:rsidR="00E7383F">
        <w:t xml:space="preserve"> </w:t>
      </w:r>
      <w:r w:rsidR="005B3743">
        <w:t xml:space="preserve">that </w:t>
      </w:r>
      <w:r w:rsidR="00C64E59">
        <w:t>whil</w:t>
      </w:r>
      <w:r w:rsidR="007510B2">
        <w:t xml:space="preserve">e the nutrient </w:t>
      </w:r>
      <w:r w:rsidR="00C64E59">
        <w:t xml:space="preserve">stoichiometry </w:t>
      </w:r>
      <w:r w:rsidR="007510B2">
        <w:t xml:space="preserve">of the C amendment </w:t>
      </w:r>
      <w:r w:rsidR="00C64E59">
        <w:t xml:space="preserve">is important, </w:t>
      </w:r>
      <w:r w:rsidR="00714439" w:rsidRPr="00714439">
        <w:t xml:space="preserve">the usability and quality of the substrate </w:t>
      </w:r>
      <w:r w:rsidR="00454562">
        <w:t>for</w:t>
      </w:r>
      <w:r w:rsidR="00714439" w:rsidRPr="00714439">
        <w:t xml:space="preserve"> the microbial </w:t>
      </w:r>
      <w:r w:rsidR="00B75393">
        <w:t>community</w:t>
      </w:r>
      <w:r w:rsidR="00714439" w:rsidRPr="00714439">
        <w:t xml:space="preserve"> </w:t>
      </w:r>
      <w:r w:rsidR="007510B2">
        <w:t>are</w:t>
      </w:r>
      <w:r w:rsidR="00714439" w:rsidRPr="00714439">
        <w:t xml:space="preserve"> key to determining its </w:t>
      </w:r>
      <w:r w:rsidR="00144D43">
        <w:t>priming response</w:t>
      </w:r>
      <w:r w:rsidR="00B75393">
        <w:t>.</w:t>
      </w:r>
      <w:r w:rsidR="00B75393" w:rsidRPr="00B75393">
        <w:t xml:space="preserve"> Equally,</w:t>
      </w:r>
      <w:r w:rsidR="00862263">
        <w:t xml:space="preserve"> context is important for interpretation</w:t>
      </w:r>
      <w:r w:rsidR="00C03D80">
        <w:t>,</w:t>
      </w:r>
      <w:r w:rsidR="00862263">
        <w:t xml:space="preserve"> as</w:t>
      </w:r>
      <w:r w:rsidR="00B75393" w:rsidRPr="00B75393">
        <w:t xml:space="preserve"> treatments that </w:t>
      </w:r>
      <w:r w:rsidR="00CC5B03">
        <w:t>elicit</w:t>
      </w:r>
      <w:r w:rsidR="00862263">
        <w:t xml:space="preserve"> positive</w:t>
      </w:r>
      <w:r w:rsidR="00B75393" w:rsidRPr="00B75393">
        <w:t xml:space="preserve"> priming may still be replenishing or increasing soil C stocks</w:t>
      </w:r>
      <w:r w:rsidR="00ED57FD">
        <w:t>.</w:t>
      </w:r>
      <w:r w:rsidR="00B75393" w:rsidRPr="00B75393">
        <w:t xml:space="preserve"> </w:t>
      </w:r>
    </w:p>
    <w:p w14:paraId="664D2292" w14:textId="77777777" w:rsidR="005F440A" w:rsidRDefault="005F440A" w:rsidP="007510B2">
      <w:pPr>
        <w:spacing w:after="0" w:line="480" w:lineRule="auto"/>
        <w:rPr>
          <w:b/>
          <w:bCs/>
          <w:u w:val="single"/>
        </w:rPr>
      </w:pPr>
    </w:p>
    <w:p w14:paraId="04703CE3" w14:textId="196FAF11" w:rsidR="00944720" w:rsidRDefault="00944720" w:rsidP="007510B2">
      <w:pPr>
        <w:spacing w:after="0" w:line="480" w:lineRule="auto"/>
      </w:pPr>
      <w:r w:rsidRPr="00C633C1">
        <w:rPr>
          <w:i/>
          <w:iCs/>
        </w:rPr>
        <w:t>Keywords:</w:t>
      </w:r>
      <w:r w:rsidRPr="00944720">
        <w:t xml:space="preserve"> priming effect, soil organic matter, carbon turnover, </w:t>
      </w:r>
      <w:r w:rsidRPr="00944720">
        <w:rPr>
          <w:vertAlign w:val="superscript"/>
        </w:rPr>
        <w:t>14</w:t>
      </w:r>
      <w:r w:rsidRPr="00944720">
        <w:t>C</w:t>
      </w:r>
      <w:r w:rsidR="00C1009A">
        <w:t xml:space="preserve"> isotope dynamics, soil respiration</w:t>
      </w:r>
    </w:p>
    <w:p w14:paraId="351BAA6B" w14:textId="7DA6AE94" w:rsidR="00D76097" w:rsidRDefault="00D76097" w:rsidP="007510B2">
      <w:pPr>
        <w:spacing w:after="0"/>
      </w:pPr>
      <w:r>
        <w:br w:type="page"/>
      </w:r>
    </w:p>
    <w:p w14:paraId="76AE7B86" w14:textId="531D7991" w:rsidR="00D76097" w:rsidRPr="00665FC6" w:rsidRDefault="009E5794" w:rsidP="007510B2">
      <w:pPr>
        <w:spacing w:after="0" w:line="480" w:lineRule="auto"/>
        <w:rPr>
          <w:b/>
          <w:bCs/>
        </w:rPr>
      </w:pPr>
      <w:r>
        <w:rPr>
          <w:b/>
          <w:bCs/>
        </w:rPr>
        <w:lastRenderedPageBreak/>
        <w:t xml:space="preserve">1. </w:t>
      </w:r>
      <w:r w:rsidR="00665FC6" w:rsidRPr="00665FC6">
        <w:rPr>
          <w:b/>
          <w:bCs/>
        </w:rPr>
        <w:t>Introduction</w:t>
      </w:r>
    </w:p>
    <w:p w14:paraId="00E98295" w14:textId="6F15A373" w:rsidR="003D3AF8" w:rsidRPr="00E31890" w:rsidRDefault="00DB174E" w:rsidP="007510B2">
      <w:pPr>
        <w:spacing w:after="0" w:line="480" w:lineRule="auto"/>
        <w:ind w:firstLine="720"/>
        <w:jc w:val="both"/>
      </w:pPr>
      <w:r>
        <w:t>S</w:t>
      </w:r>
      <w:r w:rsidR="0039037B" w:rsidRPr="00E31890">
        <w:t xml:space="preserve">oil </w:t>
      </w:r>
      <w:r>
        <w:t>represents</w:t>
      </w:r>
      <w:r w:rsidR="0039037B" w:rsidRPr="00E31890">
        <w:t xml:space="preserve"> </w:t>
      </w:r>
      <w:r w:rsidR="005464F4" w:rsidRPr="00E31890">
        <w:t xml:space="preserve">a </w:t>
      </w:r>
      <w:r>
        <w:t>major</w:t>
      </w:r>
      <w:r w:rsidR="005464F4" w:rsidRPr="00E31890">
        <w:t xml:space="preserve"> </w:t>
      </w:r>
      <w:r>
        <w:t xml:space="preserve">terrestrial </w:t>
      </w:r>
      <w:r w:rsidR="005464F4" w:rsidRPr="00E31890">
        <w:t>carbon</w:t>
      </w:r>
      <w:r w:rsidR="00571721" w:rsidRPr="00E31890">
        <w:t xml:space="preserve"> (C)</w:t>
      </w:r>
      <w:r>
        <w:t xml:space="preserve"> store</w:t>
      </w:r>
      <w:r w:rsidR="00B92C45" w:rsidRPr="00E31890">
        <w:t xml:space="preserve">, </w:t>
      </w:r>
      <w:r>
        <w:t xml:space="preserve">with </w:t>
      </w:r>
      <w:r w:rsidR="00D922E7" w:rsidRPr="00E31890">
        <w:t xml:space="preserve">topsoil </w:t>
      </w:r>
      <w:r w:rsidR="00B92C45" w:rsidRPr="00E31890">
        <w:t>globally</w:t>
      </w:r>
      <w:r w:rsidR="00D922E7" w:rsidRPr="00E31890">
        <w:t xml:space="preserve"> contain</w:t>
      </w:r>
      <w:r>
        <w:t>ing</w:t>
      </w:r>
      <w:r w:rsidR="001D69D1" w:rsidRPr="00E31890">
        <w:t xml:space="preserve"> more th</w:t>
      </w:r>
      <w:r w:rsidR="00D922E7" w:rsidRPr="00E31890">
        <w:t>a</w:t>
      </w:r>
      <w:r w:rsidR="001D69D1" w:rsidRPr="00E31890">
        <w:t xml:space="preserve">n 2300 Pg C </w:t>
      </w:r>
      <w:r w:rsidR="00D922E7" w:rsidRPr="00E31890">
        <w:t>(</w:t>
      </w:r>
      <w:proofErr w:type="spellStart"/>
      <w:r w:rsidR="006D5ED6" w:rsidRPr="00E31890">
        <w:t>Batjes</w:t>
      </w:r>
      <w:proofErr w:type="spellEnd"/>
      <w:r w:rsidR="006D5ED6" w:rsidRPr="00E31890">
        <w:t xml:space="preserve">, 1996; </w:t>
      </w:r>
      <w:proofErr w:type="spellStart"/>
      <w:r w:rsidR="00CF41D5" w:rsidRPr="00E31890">
        <w:t>Jobbagy</w:t>
      </w:r>
      <w:proofErr w:type="spellEnd"/>
      <w:r w:rsidR="00CF41D5" w:rsidRPr="00E31890">
        <w:t xml:space="preserve"> </w:t>
      </w:r>
      <w:r w:rsidR="0019506E" w:rsidRPr="00E31890">
        <w:t xml:space="preserve">and </w:t>
      </w:r>
      <w:proofErr w:type="spellStart"/>
      <w:r w:rsidR="0019506E" w:rsidRPr="00E31890">
        <w:t>Kackson</w:t>
      </w:r>
      <w:proofErr w:type="spellEnd"/>
      <w:r w:rsidR="0019506E" w:rsidRPr="00E31890">
        <w:t>, 2000)</w:t>
      </w:r>
      <w:r w:rsidR="005464F4" w:rsidRPr="00E31890">
        <w:t xml:space="preserve">, </w:t>
      </w:r>
      <w:r w:rsidR="000B76CD" w:rsidRPr="00E31890">
        <w:t xml:space="preserve">exceeding the size of the </w:t>
      </w:r>
      <w:r w:rsidR="00A05712" w:rsidRPr="00E31890">
        <w:t xml:space="preserve">total mass of </w:t>
      </w:r>
      <w:r w:rsidR="007C1D46" w:rsidRPr="00E31890">
        <w:t>C</w:t>
      </w:r>
      <w:r w:rsidR="00A05712" w:rsidRPr="00E31890">
        <w:t xml:space="preserve"> </w:t>
      </w:r>
      <w:r>
        <w:t xml:space="preserve">contained </w:t>
      </w:r>
      <w:r w:rsidR="00A05712" w:rsidRPr="00E31890">
        <w:t>in vegetation and the atmosphere combined</w:t>
      </w:r>
      <w:r w:rsidR="006F3B23" w:rsidRPr="00E31890">
        <w:t xml:space="preserve"> (</w:t>
      </w:r>
      <w:proofErr w:type="spellStart"/>
      <w:r w:rsidR="006F3B23" w:rsidRPr="00E31890">
        <w:t>Paustian</w:t>
      </w:r>
      <w:proofErr w:type="spellEnd"/>
      <w:r w:rsidR="006F3B23" w:rsidRPr="00E31890">
        <w:t xml:space="preserve"> et al., 2019)</w:t>
      </w:r>
      <w:r w:rsidR="00A05712" w:rsidRPr="00E31890">
        <w:t xml:space="preserve">. </w:t>
      </w:r>
      <w:r>
        <w:t>Soil</w:t>
      </w:r>
      <w:r w:rsidRPr="00E31890">
        <w:t xml:space="preserve"> </w:t>
      </w:r>
      <w:r>
        <w:t xml:space="preserve">is </w:t>
      </w:r>
      <w:r w:rsidR="00A05712" w:rsidRPr="00E31890">
        <w:t>therefore</w:t>
      </w:r>
      <w:r>
        <w:t xml:space="preserve"> a key </w:t>
      </w:r>
      <w:r w:rsidR="005464F4" w:rsidRPr="00E31890">
        <w:t xml:space="preserve">regulator of global </w:t>
      </w:r>
      <w:r w:rsidR="00E80B31" w:rsidRPr="00E31890">
        <w:t>climate</w:t>
      </w:r>
      <w:r w:rsidR="00E80B31">
        <w:t>,</w:t>
      </w:r>
      <w:r w:rsidR="00E80B31" w:rsidRPr="00E31890">
        <w:t xml:space="preserve"> and</w:t>
      </w:r>
      <w:r w:rsidR="0039037B" w:rsidRPr="00E31890">
        <w:t xml:space="preserve"> has increasingly been seen as a major asset to help mitigate the effects of climate change through </w:t>
      </w:r>
      <w:r>
        <w:t xml:space="preserve">C </w:t>
      </w:r>
      <w:r w:rsidR="0039037B" w:rsidRPr="00E31890">
        <w:t xml:space="preserve">sequestration (Xu et al., 2020; </w:t>
      </w:r>
      <w:r w:rsidR="005464F4" w:rsidRPr="00E31890">
        <w:t>Bossio et al., 2020)</w:t>
      </w:r>
      <w:r w:rsidR="0039037B" w:rsidRPr="00E31890">
        <w:t xml:space="preserve">. </w:t>
      </w:r>
      <w:r w:rsidR="005464F4" w:rsidRPr="00E31890">
        <w:t xml:space="preserve">Soil systems can act as a source </w:t>
      </w:r>
      <w:r w:rsidR="00481414" w:rsidRPr="00E31890">
        <w:t>or sink to atmos</w:t>
      </w:r>
      <w:r w:rsidR="005464F4" w:rsidRPr="00E31890">
        <w:t>pheric carbon dioxide (CO</w:t>
      </w:r>
      <w:r w:rsidR="005464F4" w:rsidRPr="00E31890">
        <w:rPr>
          <w:vertAlign w:val="subscript"/>
        </w:rPr>
        <w:t>2</w:t>
      </w:r>
      <w:r w:rsidR="005464F4" w:rsidRPr="00E31890">
        <w:t xml:space="preserve">) depending on the balance between </w:t>
      </w:r>
      <w:r>
        <w:t xml:space="preserve">above- and below-ground </w:t>
      </w:r>
      <w:r w:rsidR="005464F4" w:rsidRPr="00E31890">
        <w:t>input</w:t>
      </w:r>
      <w:r>
        <w:t>s</w:t>
      </w:r>
      <w:r w:rsidR="005464F4" w:rsidRPr="00E31890">
        <w:t xml:space="preserve"> of organic material relative to the rate of decomposition of soil organic matter (SOM</w:t>
      </w:r>
      <w:r w:rsidR="00ED41C1" w:rsidRPr="00E31890">
        <w:t>; i.e.,</w:t>
      </w:r>
      <w:r w:rsidR="005464F4" w:rsidRPr="00E31890">
        <w:t xml:space="preserve"> minerali</w:t>
      </w:r>
      <w:r w:rsidR="00072EB1">
        <w:t>s</w:t>
      </w:r>
      <w:r w:rsidR="005464F4" w:rsidRPr="00E31890">
        <w:t xml:space="preserve">ation) (Lal, 2004). </w:t>
      </w:r>
      <w:r w:rsidR="00636F26" w:rsidRPr="00E31890">
        <w:t>Most agricultural soils, particularly cropland mineral soils</w:t>
      </w:r>
      <w:r w:rsidR="00C34057" w:rsidRPr="00E31890">
        <w:t xml:space="preserve"> have suffered a reduction in soil C relative to native ecosystems</w:t>
      </w:r>
      <w:r w:rsidR="007708CD" w:rsidRPr="00E31890">
        <w:t xml:space="preserve"> through reduced net primary production and export of harvested biomass</w:t>
      </w:r>
      <w:r w:rsidR="0029505B" w:rsidRPr="00E31890">
        <w:t xml:space="preserve">, as well as soil erosion, nutrient depletion and </w:t>
      </w:r>
      <w:r w:rsidR="00A539FE" w:rsidRPr="00E31890">
        <w:t xml:space="preserve">intensive soil disturbance </w:t>
      </w:r>
      <w:r w:rsidR="007965B0" w:rsidRPr="00E31890">
        <w:t>(</w:t>
      </w:r>
      <w:proofErr w:type="spellStart"/>
      <w:r w:rsidR="007965B0" w:rsidRPr="00E31890">
        <w:t>Pa</w:t>
      </w:r>
      <w:r w:rsidR="004B3C71" w:rsidRPr="00E31890">
        <w:t>ustian</w:t>
      </w:r>
      <w:proofErr w:type="spellEnd"/>
      <w:r w:rsidR="004B3C71" w:rsidRPr="00E31890">
        <w:t xml:space="preserve"> et al., 2019)</w:t>
      </w:r>
      <w:r w:rsidR="00A539FE" w:rsidRPr="00E31890">
        <w:t>.</w:t>
      </w:r>
      <w:r w:rsidR="005A2082" w:rsidRPr="00E31890">
        <w:t xml:space="preserve"> </w:t>
      </w:r>
      <w:r>
        <w:t>Consequently,</w:t>
      </w:r>
      <w:r w:rsidRPr="00E31890">
        <w:t xml:space="preserve"> </w:t>
      </w:r>
      <w:r w:rsidR="00E337E1" w:rsidRPr="00E31890">
        <w:t>s</w:t>
      </w:r>
      <w:r w:rsidR="006B709E" w:rsidRPr="00E31890">
        <w:t xml:space="preserve">oil </w:t>
      </w:r>
      <w:r>
        <w:t>C</w:t>
      </w:r>
      <w:r w:rsidRPr="00E31890">
        <w:t xml:space="preserve"> </w:t>
      </w:r>
      <w:r w:rsidR="006B709E" w:rsidRPr="00E31890">
        <w:t>sequestration</w:t>
      </w:r>
      <w:r w:rsidR="00ED57FD">
        <w:t>, through increasing soil C stocks,</w:t>
      </w:r>
      <w:r w:rsidR="006B709E" w:rsidRPr="00E31890">
        <w:t xml:space="preserve"> </w:t>
      </w:r>
      <w:r w:rsidR="009C4200" w:rsidRPr="00E31890">
        <w:t xml:space="preserve">is becoming increasingly </w:t>
      </w:r>
      <w:r>
        <w:t>viewed</w:t>
      </w:r>
      <w:r w:rsidR="00267113" w:rsidRPr="00E31890">
        <w:t xml:space="preserve"> </w:t>
      </w:r>
      <w:r w:rsidR="006B709E" w:rsidRPr="00E31890">
        <w:t xml:space="preserve">as a </w:t>
      </w:r>
      <w:r w:rsidR="00622117">
        <w:t>nature</w:t>
      </w:r>
      <w:r w:rsidR="00226AEE" w:rsidRPr="00E31890">
        <w:t>-based</w:t>
      </w:r>
      <w:r w:rsidR="006B709E" w:rsidRPr="00E31890">
        <w:t xml:space="preserve"> solution to mitigate climate change</w:t>
      </w:r>
      <w:r>
        <w:t xml:space="preserve">. Typically, </w:t>
      </w:r>
      <w:r w:rsidR="00622117">
        <w:t xml:space="preserve">this is associated with </w:t>
      </w:r>
      <w:r>
        <w:t xml:space="preserve">changes in </w:t>
      </w:r>
      <w:r w:rsidR="00622117">
        <w:t xml:space="preserve">land </w:t>
      </w:r>
      <w:r>
        <w:t>management</w:t>
      </w:r>
      <w:r w:rsidR="00622117">
        <w:t xml:space="preserve"> such as </w:t>
      </w:r>
      <w:r>
        <w:t>the addition of organic amendments or nutrients to promote primary productivity and thus C inputs</w:t>
      </w:r>
      <w:r w:rsidR="00622117">
        <w:t xml:space="preserve"> (</w:t>
      </w:r>
      <w:proofErr w:type="spellStart"/>
      <w:r w:rsidR="00BB43AD">
        <w:t>Mrunalini</w:t>
      </w:r>
      <w:proofErr w:type="spellEnd"/>
      <w:r w:rsidR="00BB43AD">
        <w:t xml:space="preserve"> et al., 2022</w:t>
      </w:r>
      <w:r w:rsidR="00622117">
        <w:t>)</w:t>
      </w:r>
      <w:r>
        <w:t>.</w:t>
      </w:r>
      <w:r w:rsidR="008F75A4" w:rsidRPr="00E31890">
        <w:t xml:space="preserve"> </w:t>
      </w:r>
      <w:r>
        <w:t>U</w:t>
      </w:r>
      <w:r w:rsidRPr="00E31890">
        <w:t>nderstanding</w:t>
      </w:r>
      <w:r>
        <w:t xml:space="preserve"> the</w:t>
      </w:r>
      <w:r w:rsidRPr="00E31890">
        <w:t xml:space="preserve"> </w:t>
      </w:r>
      <w:r w:rsidR="006A752A" w:rsidRPr="00E31890">
        <w:t xml:space="preserve">impact of </w:t>
      </w:r>
      <w:r>
        <w:t xml:space="preserve">these </w:t>
      </w:r>
      <w:r w:rsidR="006A752A" w:rsidRPr="00E31890">
        <w:t xml:space="preserve">inputs </w:t>
      </w:r>
      <w:r>
        <w:t xml:space="preserve">on </w:t>
      </w:r>
      <w:r w:rsidR="00487E8A">
        <w:t>soil functionality, and</w:t>
      </w:r>
      <w:r>
        <w:t xml:space="preserve"> the net C</w:t>
      </w:r>
      <w:r w:rsidR="00267113" w:rsidRPr="00E31890">
        <w:t xml:space="preserve"> balance </w:t>
      </w:r>
      <w:r>
        <w:t xml:space="preserve">of the soil </w:t>
      </w:r>
      <w:r w:rsidR="00344CCA" w:rsidRPr="00E31890">
        <w:t xml:space="preserve">is </w:t>
      </w:r>
      <w:r>
        <w:t>therefore vital.</w:t>
      </w:r>
      <w:r w:rsidR="008D0809" w:rsidRPr="00E31890">
        <w:t xml:space="preserve"> </w:t>
      </w:r>
    </w:p>
    <w:p w14:paraId="32B0FF05" w14:textId="26A06C17" w:rsidR="00B6472E" w:rsidRPr="00E31890" w:rsidRDefault="00344CCA" w:rsidP="007510B2">
      <w:pPr>
        <w:spacing w:after="0" w:line="480" w:lineRule="auto"/>
        <w:ind w:firstLine="720"/>
        <w:jc w:val="both"/>
      </w:pPr>
      <w:r w:rsidRPr="00E31890">
        <w:t>T</w:t>
      </w:r>
      <w:r w:rsidR="005464F4" w:rsidRPr="00E31890">
        <w:t xml:space="preserve">he </w:t>
      </w:r>
      <w:r w:rsidR="00571721" w:rsidRPr="00E31890">
        <w:t>priming effect</w:t>
      </w:r>
      <w:r w:rsidR="00B218CE" w:rsidRPr="00E31890">
        <w:t xml:space="preserve"> (PE)</w:t>
      </w:r>
      <w:r w:rsidR="009F3A28" w:rsidRPr="00E31890">
        <w:t xml:space="preserve"> is</w:t>
      </w:r>
      <w:r w:rsidR="00571721" w:rsidRPr="00E31890">
        <w:t xml:space="preserve"> the change in </w:t>
      </w:r>
      <w:r w:rsidR="00C63670" w:rsidRPr="00E31890">
        <w:t xml:space="preserve">rates of </w:t>
      </w:r>
      <w:r w:rsidR="00D37F2C" w:rsidRPr="00E31890">
        <w:t xml:space="preserve">microbial </w:t>
      </w:r>
      <w:r w:rsidR="00571721" w:rsidRPr="00E31890">
        <w:t xml:space="preserve">SOM decomposition </w:t>
      </w:r>
      <w:r w:rsidR="00DF050F" w:rsidRPr="00E31890">
        <w:t>caused</w:t>
      </w:r>
      <w:r w:rsidR="00571721" w:rsidRPr="00E31890">
        <w:t xml:space="preserve"> by the addition of organic or mineral </w:t>
      </w:r>
      <w:r w:rsidR="00246343">
        <w:t>amendments</w:t>
      </w:r>
      <w:r w:rsidR="00246343" w:rsidRPr="00E31890">
        <w:t xml:space="preserve"> </w:t>
      </w:r>
      <w:r w:rsidR="009F3A28" w:rsidRPr="00E31890">
        <w:t>to soil</w:t>
      </w:r>
      <w:r w:rsidR="00571721" w:rsidRPr="00E31890">
        <w:t xml:space="preserve"> (Kuzyakov et al., 2000)</w:t>
      </w:r>
      <w:r w:rsidR="00182F64">
        <w:t xml:space="preserve">. This can </w:t>
      </w:r>
      <w:r w:rsidR="000A2938" w:rsidRPr="00E31890">
        <w:t xml:space="preserve">result in either positive (mineralisation of </w:t>
      </w:r>
      <w:r w:rsidR="002F42EE" w:rsidRPr="00E31890">
        <w:t>C that was already present in the soil that would otherwise have remained as SOM)</w:t>
      </w:r>
      <w:r w:rsidR="000A2938" w:rsidRPr="00E31890">
        <w:t xml:space="preserve"> or negative priming</w:t>
      </w:r>
      <w:r w:rsidR="008C5A53" w:rsidRPr="00E31890">
        <w:t xml:space="preserve"> (</w:t>
      </w:r>
      <w:r w:rsidR="00DA7DD4" w:rsidRPr="00E31890">
        <w:t>reduced degradation of SOM</w:t>
      </w:r>
      <w:r w:rsidR="00D93F50" w:rsidRPr="00E31890">
        <w:t>)</w:t>
      </w:r>
      <w:r w:rsidR="00182F64">
        <w:t>, with the net</w:t>
      </w:r>
      <w:r w:rsidR="00471794">
        <w:t xml:space="preserve"> C</w:t>
      </w:r>
      <w:r w:rsidR="00182F64">
        <w:t xml:space="preserve"> balance </w:t>
      </w:r>
      <w:r w:rsidR="00471794">
        <w:t>being determined by the magnitude of loss by priming versus the retention of the substrate</w:t>
      </w:r>
      <w:r w:rsidR="00C91AA1">
        <w:t>-C</w:t>
      </w:r>
      <w:r w:rsidR="00471794">
        <w:t xml:space="preserve"> added</w:t>
      </w:r>
      <w:r w:rsidR="00571721" w:rsidRPr="00E31890">
        <w:t>.</w:t>
      </w:r>
      <w:r w:rsidR="00A81014" w:rsidRPr="00E31890">
        <w:t xml:space="preserve"> </w:t>
      </w:r>
      <w:r w:rsidR="0078097D" w:rsidRPr="00E31890">
        <w:t xml:space="preserve">Positive priming may take place directly, through </w:t>
      </w:r>
      <w:r w:rsidR="00D428DF" w:rsidRPr="00E31890">
        <w:t>co-metabolism of the native SOM with the</w:t>
      </w:r>
      <w:r w:rsidR="008520A4" w:rsidRPr="00E31890">
        <w:t xml:space="preserve"> increased production of extracellular enzymes stimulated by the addition</w:t>
      </w:r>
      <w:r w:rsidR="00D428DF" w:rsidRPr="00E31890">
        <w:t xml:space="preserve"> fresh substrate</w:t>
      </w:r>
      <w:r w:rsidR="00433DB3" w:rsidRPr="00E31890">
        <w:t>, or indirectly though</w:t>
      </w:r>
      <w:r w:rsidR="00717FA5" w:rsidRPr="00E31890">
        <w:t xml:space="preserve"> stimulation of microbial activity though </w:t>
      </w:r>
      <w:r w:rsidR="004A0039" w:rsidRPr="00E31890">
        <w:t>changes in soil</w:t>
      </w:r>
      <w:r w:rsidR="003136C6" w:rsidRPr="00E31890">
        <w:t xml:space="preserve"> nutrient status,</w:t>
      </w:r>
      <w:r w:rsidR="004A0039" w:rsidRPr="00E31890">
        <w:t xml:space="preserve"> aeration, moisture or structure</w:t>
      </w:r>
      <w:r w:rsidR="002829BC" w:rsidRPr="00E31890">
        <w:t xml:space="preserve"> (Kuzyakov et al., 2000)</w:t>
      </w:r>
      <w:r w:rsidR="003136C6" w:rsidRPr="00E31890">
        <w:t>.</w:t>
      </w:r>
      <w:r w:rsidR="00D428DF" w:rsidRPr="00E31890">
        <w:t xml:space="preserve"> </w:t>
      </w:r>
      <w:r w:rsidR="004D233F" w:rsidRPr="00E31890">
        <w:t>Conversely</w:t>
      </w:r>
      <w:r w:rsidR="002C752C" w:rsidRPr="00E31890">
        <w:t>,</w:t>
      </w:r>
      <w:r w:rsidR="004D233F" w:rsidRPr="00E31890">
        <w:t xml:space="preserve"> negative priming</w:t>
      </w:r>
      <w:r w:rsidR="002C752C" w:rsidRPr="00E31890">
        <w:t xml:space="preserve"> may occur through </w:t>
      </w:r>
      <w:r w:rsidR="005D4EC3" w:rsidRPr="00E31890">
        <w:t xml:space="preserve">the </w:t>
      </w:r>
      <w:r w:rsidR="006D68C2" w:rsidRPr="00E31890">
        <w:t xml:space="preserve">diversion </w:t>
      </w:r>
      <w:r w:rsidR="00144DF3" w:rsidRPr="00144DF3">
        <w:t xml:space="preserve">of microbial utilisation of SOM to </w:t>
      </w:r>
      <w:r w:rsidR="00144DF3">
        <w:t xml:space="preserve">the </w:t>
      </w:r>
      <w:r w:rsidR="00144DF3" w:rsidRPr="00144DF3">
        <w:t>use of more easily available</w:t>
      </w:r>
      <w:r w:rsidR="00144DF3">
        <w:t xml:space="preserve"> </w:t>
      </w:r>
      <w:r w:rsidR="00F80EA9">
        <w:t>labile</w:t>
      </w:r>
      <w:r w:rsidR="00F80EA9" w:rsidRPr="00144DF3" w:rsidDel="00144DF3">
        <w:t xml:space="preserve"> </w:t>
      </w:r>
      <w:r w:rsidR="00F80EA9" w:rsidRPr="00E31890">
        <w:t>substrates</w:t>
      </w:r>
      <w:r w:rsidR="00E923B3" w:rsidRPr="00E31890">
        <w:t xml:space="preserve"> or inhibition of microbial activity </w:t>
      </w:r>
      <w:r w:rsidR="002A770F" w:rsidRPr="00E31890">
        <w:t>due to changes in the soil environment</w:t>
      </w:r>
      <w:r w:rsidR="002829BC" w:rsidRPr="00E31890">
        <w:t xml:space="preserve"> (Kuzyakov et al., 2000)</w:t>
      </w:r>
      <w:r w:rsidR="002A770F" w:rsidRPr="00E31890">
        <w:t xml:space="preserve">. </w:t>
      </w:r>
      <w:r w:rsidR="00DD6D9C">
        <w:t xml:space="preserve">The </w:t>
      </w:r>
      <w:r w:rsidR="007A3A47">
        <w:t>PE</w:t>
      </w:r>
      <w:r w:rsidR="00DD6D9C">
        <w:t xml:space="preserve"> may be further </w:t>
      </w:r>
      <w:r w:rsidR="00A14D7E">
        <w:t xml:space="preserve">characterised as real </w:t>
      </w:r>
      <w:r w:rsidR="00D624A7">
        <w:t>(</w:t>
      </w:r>
      <w:r w:rsidR="00A14D7E">
        <w:t xml:space="preserve">i.e., </w:t>
      </w:r>
      <w:r w:rsidR="00E257CF" w:rsidRPr="00FA1C4D">
        <w:t>change</w:t>
      </w:r>
      <w:r w:rsidR="00E257CF">
        <w:t xml:space="preserve"> in the SOM turnover</w:t>
      </w:r>
      <w:r w:rsidR="00D624A7">
        <w:t>) or apparent (</w:t>
      </w:r>
      <w:r w:rsidR="00182F64">
        <w:t xml:space="preserve">i.e., </w:t>
      </w:r>
      <w:r w:rsidR="00E732D2">
        <w:t xml:space="preserve">change in the C turnover in soil not associated with </w:t>
      </w:r>
      <w:r w:rsidR="00E732D2">
        <w:lastRenderedPageBreak/>
        <w:t>SOM</w:t>
      </w:r>
      <w:r w:rsidR="00625C40">
        <w:t>,</w:t>
      </w:r>
      <w:r w:rsidR="00E732D2">
        <w:t xml:space="preserve"> </w:t>
      </w:r>
      <w:r w:rsidR="00E10981">
        <w:t>through microbial activation and turnover</w:t>
      </w:r>
      <w:r w:rsidR="000954CE">
        <w:t>)</w:t>
      </w:r>
      <w:r w:rsidR="00DE2148">
        <w:t xml:space="preserve"> </w:t>
      </w:r>
      <w:r w:rsidR="000954CE">
        <w:t>(</w:t>
      </w:r>
      <w:r w:rsidR="00E10981" w:rsidRPr="00E10981">
        <w:t>Blagodatskaya and Kuzyakov, 2008</w:t>
      </w:r>
      <w:r w:rsidR="00E10981">
        <w:t>).</w:t>
      </w:r>
      <w:r w:rsidR="004D233F" w:rsidRPr="00E31890">
        <w:t xml:space="preserve"> </w:t>
      </w:r>
      <w:r w:rsidR="00C63670" w:rsidRPr="00E31890">
        <w:t xml:space="preserve">Previously, </w:t>
      </w:r>
      <w:r w:rsidR="00B6472E" w:rsidRPr="00E31890">
        <w:t>i</w:t>
      </w:r>
      <w:r w:rsidR="00B218CE" w:rsidRPr="00E31890">
        <w:t>t has been shown that the availability, composition and amount of substrate</w:t>
      </w:r>
      <w:r w:rsidR="007538E2" w:rsidRPr="00E31890">
        <w:t>,</w:t>
      </w:r>
      <w:r w:rsidR="00B218CE" w:rsidRPr="00E31890">
        <w:t xml:space="preserve"> </w:t>
      </w:r>
      <w:r w:rsidR="007538E2" w:rsidRPr="00E31890">
        <w:t xml:space="preserve">as well as the soil microbial community’s biomass and structure, </w:t>
      </w:r>
      <w:r w:rsidR="00B218CE" w:rsidRPr="00E31890">
        <w:t>determines the magnitude and type of PE (Blagodatskaya and Kuzyakov, 2008</w:t>
      </w:r>
      <w:r w:rsidR="007538E2" w:rsidRPr="00E31890">
        <w:t xml:space="preserve">; </w:t>
      </w:r>
      <w:r w:rsidR="003368EE" w:rsidRPr="00E31890">
        <w:t>Liu et al., 2017</w:t>
      </w:r>
      <w:r w:rsidR="00B218CE" w:rsidRPr="00E31890">
        <w:t xml:space="preserve">). </w:t>
      </w:r>
      <w:r w:rsidR="009F7BC2" w:rsidRPr="00E31890">
        <w:t>The PE</w:t>
      </w:r>
      <w:r w:rsidR="00EB37C3" w:rsidRPr="00E31890">
        <w:t xml:space="preserve"> is</w:t>
      </w:r>
      <w:r w:rsidR="00637922" w:rsidRPr="00E31890">
        <w:t xml:space="preserve"> complex</w:t>
      </w:r>
      <w:r w:rsidR="00587EBE" w:rsidRPr="00E31890">
        <w:t>,</w:t>
      </w:r>
      <w:r w:rsidR="00637922" w:rsidRPr="00E31890">
        <w:t xml:space="preserve"> with studies </w:t>
      </w:r>
      <w:r w:rsidR="00866EE9" w:rsidRPr="00E31890">
        <w:t>often concluding</w:t>
      </w:r>
      <w:r w:rsidR="00246343">
        <w:t xml:space="preserve"> </w:t>
      </w:r>
      <w:r w:rsidR="00866EE9" w:rsidRPr="00E31890">
        <w:t xml:space="preserve">contradictory </w:t>
      </w:r>
      <w:r w:rsidR="000B2B1B" w:rsidRPr="00E31890">
        <w:t>findings on the consistency of priming across ecosystems</w:t>
      </w:r>
      <w:r w:rsidR="00866EE9" w:rsidRPr="00E31890">
        <w:t xml:space="preserve"> </w:t>
      </w:r>
      <w:r w:rsidR="000B2B1B" w:rsidRPr="00E31890">
        <w:t>(</w:t>
      </w:r>
      <w:r w:rsidR="00A17110" w:rsidRPr="00E31890">
        <w:t>e.g.,</w:t>
      </w:r>
      <w:r w:rsidR="00A604B1" w:rsidRPr="00E31890">
        <w:t xml:space="preserve"> consistent; Liu et al. (2020), and inconsistent</w:t>
      </w:r>
      <w:r w:rsidR="006D526B" w:rsidRPr="00E31890">
        <w:t xml:space="preserve">; </w:t>
      </w:r>
      <w:proofErr w:type="spellStart"/>
      <w:r w:rsidR="00A17110" w:rsidRPr="00E31890">
        <w:t>Bastida</w:t>
      </w:r>
      <w:proofErr w:type="spellEnd"/>
      <w:r w:rsidR="00A17110" w:rsidRPr="00E31890">
        <w:t xml:space="preserve"> et al.</w:t>
      </w:r>
      <w:r w:rsidR="00622117">
        <w:t xml:space="preserve"> (</w:t>
      </w:r>
      <w:r w:rsidR="00A17110" w:rsidRPr="00E31890">
        <w:t>2019</w:t>
      </w:r>
      <w:r w:rsidR="006D526B" w:rsidRPr="00E31890">
        <w:t>)</w:t>
      </w:r>
      <w:r w:rsidR="00622117">
        <w:t>)</w:t>
      </w:r>
      <w:r w:rsidR="00182F64">
        <w:t>. I</w:t>
      </w:r>
      <w:r w:rsidR="00831EC4" w:rsidRPr="00E31890">
        <w:t xml:space="preserve">t has </w:t>
      </w:r>
      <w:r w:rsidR="00182F64">
        <w:t xml:space="preserve">also </w:t>
      </w:r>
      <w:r w:rsidR="00175252" w:rsidRPr="00E31890">
        <w:t>been suggested that</w:t>
      </w:r>
      <w:r w:rsidR="00831EC4" w:rsidRPr="00E31890">
        <w:t>,</w:t>
      </w:r>
      <w:r w:rsidR="00175252" w:rsidRPr="00E31890">
        <w:t xml:space="preserve"> </w:t>
      </w:r>
      <w:r w:rsidR="00BE2A0B" w:rsidRPr="00E31890">
        <w:t xml:space="preserve">due to priming involving a diverse range of soil </w:t>
      </w:r>
      <w:r w:rsidR="00182F64">
        <w:t>C</w:t>
      </w:r>
      <w:r w:rsidR="00182F64" w:rsidRPr="00E31890">
        <w:t xml:space="preserve"> </w:t>
      </w:r>
      <w:r w:rsidR="00BE2A0B" w:rsidRPr="00E31890">
        <w:t>substrates, general mechanisms may not exist</w:t>
      </w:r>
      <w:r w:rsidR="002E5334" w:rsidRPr="00E31890">
        <w:t xml:space="preserve"> (Liu et al., 2020)</w:t>
      </w:r>
      <w:r w:rsidR="00BE2A0B" w:rsidRPr="00E31890">
        <w:t>.</w:t>
      </w:r>
      <w:r w:rsidR="00182F64">
        <w:t xml:space="preserve"> Further, a recent </w:t>
      </w:r>
      <w:r w:rsidR="00E6270B">
        <w:t xml:space="preserve">analysis </w:t>
      </w:r>
      <w:r w:rsidR="00182F64">
        <w:t>has also suggested that some previous studies may not be valid due to the introduction of experimental artefacts</w:t>
      </w:r>
      <w:r w:rsidR="00812E98">
        <w:t xml:space="preserve">, </w:t>
      </w:r>
      <w:r w:rsidR="00E6270B">
        <w:t xml:space="preserve">specifically, the inaccurate measurement </w:t>
      </w:r>
      <w:r w:rsidR="00812E98">
        <w:t xml:space="preserve">of </w:t>
      </w:r>
      <w:r w:rsidR="00812E98">
        <w:rPr>
          <w:vertAlign w:val="superscript"/>
        </w:rPr>
        <w:t>14</w:t>
      </w:r>
      <w:r w:rsidR="00812E98">
        <w:t xml:space="preserve">C </w:t>
      </w:r>
      <w:r w:rsidR="00954822">
        <w:t xml:space="preserve">isotopic abundance with some liquid scintillation fluids </w:t>
      </w:r>
      <w:r w:rsidR="00182F64">
        <w:t>(</w:t>
      </w:r>
      <w:r w:rsidR="00182F64" w:rsidRPr="00DC0019">
        <w:t>Boos</w:t>
      </w:r>
      <w:r w:rsidR="00182F64">
        <w:t xml:space="preserve"> et al.,</w:t>
      </w:r>
      <w:r w:rsidR="00F52088">
        <w:t xml:space="preserve"> 2022</w:t>
      </w:r>
      <w:r w:rsidR="00C1009A">
        <w:t>, 2023</w:t>
      </w:r>
      <w:r w:rsidR="00182F64">
        <w:t>).</w:t>
      </w:r>
    </w:p>
    <w:p w14:paraId="543D2DA0" w14:textId="7EFEC556" w:rsidR="00B6472E" w:rsidRPr="00E31890" w:rsidRDefault="003B0F17" w:rsidP="007510B2">
      <w:pPr>
        <w:spacing w:after="0" w:line="480" w:lineRule="auto"/>
        <w:ind w:firstLine="720"/>
        <w:jc w:val="both"/>
      </w:pPr>
      <w:r w:rsidRPr="00E31890">
        <w:t xml:space="preserve">Soil nutrient stoichiometry has also been suggested to be a </w:t>
      </w:r>
      <w:r w:rsidR="00684AA5" w:rsidRPr="00E31890">
        <w:t xml:space="preserve">driver of priming of native SOM, particularly the ratio </w:t>
      </w:r>
      <w:r w:rsidR="00D31906" w:rsidRPr="00E31890">
        <w:t xml:space="preserve">of nutrients in </w:t>
      </w:r>
      <w:r w:rsidR="0081065B">
        <w:t>high</w:t>
      </w:r>
      <w:r w:rsidR="00D31906" w:rsidRPr="00E31890">
        <w:t xml:space="preserve"> demand</w:t>
      </w:r>
      <w:r w:rsidR="00732EB1" w:rsidRPr="00E31890">
        <w:t xml:space="preserve"> (C and N)</w:t>
      </w:r>
      <w:r w:rsidR="0081065B">
        <w:t>,</w:t>
      </w:r>
      <w:r w:rsidR="00732EB1" w:rsidRPr="00E31890">
        <w:t xml:space="preserve"> and their</w:t>
      </w:r>
      <w:r w:rsidR="00C467AC" w:rsidRPr="00E31890">
        <w:t xml:space="preserve"> availability</w:t>
      </w:r>
      <w:r w:rsidR="00732EB1" w:rsidRPr="00E31890">
        <w:t xml:space="preserve"> </w:t>
      </w:r>
      <w:r w:rsidR="0081065B">
        <w:t>is</w:t>
      </w:r>
      <w:r w:rsidR="00732EB1" w:rsidRPr="00E31890">
        <w:t xml:space="preserve"> likely to affect the ability of</w:t>
      </w:r>
      <w:r w:rsidR="00B265EC" w:rsidRPr="00E31890">
        <w:t xml:space="preserve"> microorganisms to grow</w:t>
      </w:r>
      <w:r w:rsidR="0094413A" w:rsidRPr="00E31890">
        <w:t xml:space="preserve"> and function (</w:t>
      </w:r>
      <w:r w:rsidR="0042420B" w:rsidRPr="00E31890">
        <w:t xml:space="preserve">including </w:t>
      </w:r>
      <w:r w:rsidR="0094413A" w:rsidRPr="00E31890">
        <w:t>access</w:t>
      </w:r>
      <w:r w:rsidR="00F579C6" w:rsidRPr="00E31890">
        <w:t>ing</w:t>
      </w:r>
      <w:r w:rsidR="0094413A" w:rsidRPr="00E31890">
        <w:t xml:space="preserve"> other nutrients in the SOM)</w:t>
      </w:r>
      <w:r w:rsidR="00E40042" w:rsidRPr="00E31890">
        <w:t xml:space="preserve"> (Brown et al., 2022</w:t>
      </w:r>
      <w:r w:rsidR="00A2752D">
        <w:t>a</w:t>
      </w:r>
      <w:r w:rsidR="00E40042" w:rsidRPr="00E31890">
        <w:t xml:space="preserve">; </w:t>
      </w:r>
      <w:r w:rsidR="00716CB1" w:rsidRPr="00E31890">
        <w:t>Zhu et al., 2022</w:t>
      </w:r>
      <w:r w:rsidR="000A6DD4" w:rsidRPr="00E31890">
        <w:t>)</w:t>
      </w:r>
      <w:r w:rsidR="0094413A" w:rsidRPr="00E31890">
        <w:t xml:space="preserve">. </w:t>
      </w:r>
      <w:r w:rsidR="000979CC" w:rsidRPr="00E31890">
        <w:t xml:space="preserve">The soil microbial community generally </w:t>
      </w:r>
      <w:r w:rsidR="0081065B">
        <w:t>breaks down</w:t>
      </w:r>
      <w:r w:rsidR="0081065B" w:rsidRPr="00E31890">
        <w:t xml:space="preserve"> </w:t>
      </w:r>
      <w:r w:rsidR="00CF5D06" w:rsidRPr="00E31890">
        <w:t xml:space="preserve">large organic </w:t>
      </w:r>
      <w:r w:rsidR="009B7118" w:rsidRPr="00E31890">
        <w:t>molecules (</w:t>
      </w:r>
      <w:r w:rsidR="00F31540" w:rsidRPr="00E31890">
        <w:t>e.g., cellulose, lignin, proteins)</w:t>
      </w:r>
      <w:r w:rsidR="00CF5D06" w:rsidRPr="00E31890">
        <w:t xml:space="preserve"> to </w:t>
      </w:r>
      <w:r w:rsidR="0081065B">
        <w:t>monomer/oligomer units via</w:t>
      </w:r>
      <w:r w:rsidR="009B7118" w:rsidRPr="00E31890">
        <w:t xml:space="preserve"> extracellular enzymes</w:t>
      </w:r>
      <w:r w:rsidR="0081065B">
        <w:t xml:space="preserve"> prior to uptake, a process that can be metabolically costly</w:t>
      </w:r>
      <w:r w:rsidR="00246343">
        <w:t xml:space="preserve"> (</w:t>
      </w:r>
      <w:proofErr w:type="spellStart"/>
      <w:r w:rsidR="009F54FC">
        <w:t>Wortel</w:t>
      </w:r>
      <w:proofErr w:type="spellEnd"/>
      <w:r w:rsidR="009F54FC">
        <w:t xml:space="preserve"> et al., 2018</w:t>
      </w:r>
      <w:r w:rsidR="00246343">
        <w:t>)</w:t>
      </w:r>
      <w:r w:rsidR="009B7118" w:rsidRPr="00E31890">
        <w:t>.</w:t>
      </w:r>
      <w:r w:rsidR="00CF5D06" w:rsidRPr="00E31890">
        <w:t xml:space="preserve"> </w:t>
      </w:r>
      <w:r w:rsidR="00F31540" w:rsidRPr="00E31890">
        <w:t>A</w:t>
      </w:r>
      <w:r w:rsidR="00A43267" w:rsidRPr="00E31890">
        <w:t xml:space="preserve">ddition of </w:t>
      </w:r>
      <w:r w:rsidR="00F31540" w:rsidRPr="00E31890">
        <w:t xml:space="preserve">more energetically favourable </w:t>
      </w:r>
      <w:r w:rsidR="00A43267" w:rsidRPr="00E31890">
        <w:t>labile C substrates</w:t>
      </w:r>
      <w:r w:rsidR="00111208" w:rsidRPr="00E31890">
        <w:t xml:space="preserve">, which are simpler to utilise are likely to be </w:t>
      </w:r>
      <w:r w:rsidR="00441006" w:rsidRPr="00E31890">
        <w:t>preferentially targeted</w:t>
      </w:r>
      <w:r w:rsidR="00583339" w:rsidRPr="00E31890">
        <w:t xml:space="preserve"> (Hamer and </w:t>
      </w:r>
      <w:proofErr w:type="spellStart"/>
      <w:r w:rsidR="00583339" w:rsidRPr="00E31890">
        <w:t>Marschner</w:t>
      </w:r>
      <w:proofErr w:type="spellEnd"/>
      <w:r w:rsidR="00583339" w:rsidRPr="00E31890">
        <w:t>, 2005</w:t>
      </w:r>
      <w:r w:rsidR="003B7DFD" w:rsidRPr="00E31890">
        <w:t>; De Vries et al., 2016</w:t>
      </w:r>
      <w:r w:rsidR="00583339" w:rsidRPr="00E31890">
        <w:t>)</w:t>
      </w:r>
      <w:r w:rsidR="006E3F69" w:rsidRPr="00E31890">
        <w:t>, which may induce negative</w:t>
      </w:r>
      <w:r w:rsidR="00D63E88" w:rsidRPr="00E31890">
        <w:t xml:space="preserve"> C</w:t>
      </w:r>
      <w:r w:rsidR="006E3F69" w:rsidRPr="00E31890">
        <w:t xml:space="preserve"> priming</w:t>
      </w:r>
      <w:r w:rsidR="00920B77" w:rsidRPr="00E31890">
        <w:t>.</w:t>
      </w:r>
      <w:r w:rsidR="00111208" w:rsidRPr="00E31890">
        <w:t xml:space="preserve"> </w:t>
      </w:r>
      <w:r w:rsidR="008734B6" w:rsidRPr="00E31890">
        <w:t xml:space="preserve">However, if the soil </w:t>
      </w:r>
      <w:r w:rsidR="00496E21" w:rsidRPr="00E31890">
        <w:t xml:space="preserve">microbial </w:t>
      </w:r>
      <w:r w:rsidR="003C09FE" w:rsidRPr="00E31890">
        <w:t>community,</w:t>
      </w:r>
      <w:r w:rsidR="008734B6" w:rsidRPr="00E31890">
        <w:t xml:space="preserve"> then becomes limited by the </w:t>
      </w:r>
      <w:r w:rsidR="001C6DD5" w:rsidRPr="00E31890">
        <w:t>availability</w:t>
      </w:r>
      <w:r w:rsidR="008734B6" w:rsidRPr="00E31890">
        <w:t xml:space="preserve"> of N</w:t>
      </w:r>
      <w:r w:rsidR="001C6DD5" w:rsidRPr="00E31890">
        <w:t xml:space="preserve">, </w:t>
      </w:r>
      <w:r w:rsidR="000E03A1" w:rsidRPr="00E31890">
        <w:t xml:space="preserve">this may lead to microorganisms </w:t>
      </w:r>
      <w:r w:rsidR="00954822">
        <w:t>accelerating the</w:t>
      </w:r>
      <w:r w:rsidR="00954822" w:rsidRPr="00E31890">
        <w:t xml:space="preserve"> </w:t>
      </w:r>
      <w:r w:rsidR="004F41F6" w:rsidRPr="00E31890">
        <w:t xml:space="preserve">decomposition of recalcitrant </w:t>
      </w:r>
      <w:r w:rsidR="00954822">
        <w:t xml:space="preserve">native </w:t>
      </w:r>
      <w:r w:rsidR="004F41F6" w:rsidRPr="00E31890">
        <w:t xml:space="preserve">SOM to </w:t>
      </w:r>
      <w:r w:rsidR="00767EF2" w:rsidRPr="00E31890">
        <w:t>acquire</w:t>
      </w:r>
      <w:r w:rsidR="000B192D" w:rsidRPr="00E31890">
        <w:t xml:space="preserve"> N</w:t>
      </w:r>
      <w:r w:rsidR="00767EF2" w:rsidRPr="00E31890">
        <w:t xml:space="preserve"> </w:t>
      </w:r>
      <w:r w:rsidR="000B192D" w:rsidRPr="00E31890">
        <w:t>(Chen et al., 201</w:t>
      </w:r>
      <w:r w:rsidR="00201823" w:rsidRPr="00E31890">
        <w:t>4</w:t>
      </w:r>
      <w:r w:rsidR="000B192D" w:rsidRPr="00E31890">
        <w:t xml:space="preserve">), potentially leading to </w:t>
      </w:r>
      <w:r w:rsidR="006A7A04" w:rsidRPr="00E31890">
        <w:t>positive priming</w:t>
      </w:r>
      <w:r w:rsidR="00767EF2" w:rsidRPr="00E31890">
        <w:t>.</w:t>
      </w:r>
      <w:r w:rsidR="00B77ABA" w:rsidRPr="00E31890">
        <w:t xml:space="preserve"> </w:t>
      </w:r>
      <w:r w:rsidR="0081065B">
        <w:t>This negative priming may also be accelerated in the presence of plant</w:t>
      </w:r>
      <w:r w:rsidR="00FA55AB">
        <w:t xml:space="preserve"> root</w:t>
      </w:r>
      <w:r w:rsidR="0081065B">
        <w:t>s (</w:t>
      </w:r>
      <w:proofErr w:type="spellStart"/>
      <w:r w:rsidR="009C5FA8">
        <w:t>Boilard</w:t>
      </w:r>
      <w:proofErr w:type="spellEnd"/>
      <w:r w:rsidR="009C5FA8">
        <w:t xml:space="preserve"> et al., 2019; </w:t>
      </w:r>
      <w:r w:rsidR="00FA55AB">
        <w:t>Murphy et al., 2015</w:t>
      </w:r>
      <w:r w:rsidR="0081065B">
        <w:t xml:space="preserve">). </w:t>
      </w:r>
      <w:r w:rsidR="00FA55AB">
        <w:t>In summary, t</w:t>
      </w:r>
      <w:r w:rsidR="00B77ABA" w:rsidRPr="00E31890">
        <w:t xml:space="preserve">he diverse range of inputs to soil </w:t>
      </w:r>
      <w:r w:rsidR="005F51CB" w:rsidRPr="00E31890">
        <w:t xml:space="preserve">from the molecular to </w:t>
      </w:r>
      <w:r w:rsidR="0013099C" w:rsidRPr="00E31890">
        <w:t>ecosystem</w:t>
      </w:r>
      <w:r w:rsidR="00B77ABA" w:rsidRPr="00E31890">
        <w:t xml:space="preserve"> scales </w:t>
      </w:r>
      <w:r w:rsidR="00FA55AB">
        <w:t>can be expected to have</w:t>
      </w:r>
      <w:r w:rsidR="00FA55AB" w:rsidRPr="00E31890">
        <w:t xml:space="preserve"> </w:t>
      </w:r>
      <w:r w:rsidR="00120970" w:rsidRPr="00E31890">
        <w:t xml:space="preserve">substantially differing </w:t>
      </w:r>
      <w:r w:rsidR="00FA55AB">
        <w:t>nutrient contents (e.g.</w:t>
      </w:r>
      <w:r w:rsidR="00954822">
        <w:t>,</w:t>
      </w:r>
      <w:r w:rsidR="00FA55AB">
        <w:t xml:space="preserve"> </w:t>
      </w:r>
      <w:proofErr w:type="gramStart"/>
      <w:r w:rsidR="00FA55AB">
        <w:t>C:N</w:t>
      </w:r>
      <w:proofErr w:type="gramEnd"/>
      <w:r w:rsidR="00FA55AB">
        <w:t>:P</w:t>
      </w:r>
      <w:r w:rsidR="0042029B" w:rsidRPr="00E31890">
        <w:t xml:space="preserve"> ratios</w:t>
      </w:r>
      <w:r w:rsidR="00FA55AB">
        <w:t xml:space="preserve">), chemical compositions </w:t>
      </w:r>
      <w:r w:rsidR="0042029B" w:rsidRPr="00E31890">
        <w:t>and</w:t>
      </w:r>
      <w:r w:rsidR="0013099C" w:rsidRPr="00E31890">
        <w:t xml:space="preserve"> </w:t>
      </w:r>
      <w:r w:rsidR="00FA55AB">
        <w:t xml:space="preserve">therefore </w:t>
      </w:r>
      <w:r w:rsidR="00930FF6" w:rsidRPr="00E31890">
        <w:t>recalcitrance</w:t>
      </w:r>
      <w:r w:rsidR="00FA55AB">
        <w:t xml:space="preserve"> which may influence the direction and magnitude of the priming response</w:t>
      </w:r>
      <w:r w:rsidR="00930FF6" w:rsidRPr="00E31890">
        <w:t>.</w:t>
      </w:r>
    </w:p>
    <w:p w14:paraId="7E8464CA" w14:textId="0B23F89F" w:rsidR="00D76097" w:rsidRDefault="003A57C9" w:rsidP="007510B2">
      <w:pPr>
        <w:spacing w:after="0" w:line="480" w:lineRule="auto"/>
        <w:ind w:firstLine="720"/>
        <w:jc w:val="both"/>
      </w:pPr>
      <w:r w:rsidRPr="003A57C9">
        <w:t>The real priming effect of substrates remains a key uncertainty within the soil C cycle, and crucial to understanding the true C storage potential of the soil, particularly, when considering potential greenhouse gas removal or sequestration techniques in an agroecosystem context</w:t>
      </w:r>
      <w:r>
        <w:t>.</w:t>
      </w:r>
      <w:r w:rsidRPr="003A57C9">
        <w:t xml:space="preserve"> </w:t>
      </w:r>
      <w:r w:rsidR="00344CCA" w:rsidRPr="00E31890">
        <w:t>However, t</w:t>
      </w:r>
      <w:r w:rsidR="00571721" w:rsidRPr="00E31890">
        <w:t xml:space="preserve">he </w:t>
      </w:r>
      <w:r w:rsidR="00571721" w:rsidRPr="00E31890">
        <w:lastRenderedPageBreak/>
        <w:t xml:space="preserve">comparative impact of </w:t>
      </w:r>
      <w:r w:rsidR="0089588D" w:rsidRPr="00E31890">
        <w:t xml:space="preserve">diverse </w:t>
      </w:r>
      <w:r w:rsidR="00571721" w:rsidRPr="00E31890">
        <w:t>substrates on real (decomposition of recalcitrant SOM) and apparent (the increase in microbial C turnover, but not SOM decomposition) priming has been little considered.</w:t>
      </w:r>
      <w:r w:rsidR="00651DFD" w:rsidRPr="00E31890">
        <w:t xml:space="preserve"> </w:t>
      </w:r>
      <w:r w:rsidR="00B218CE" w:rsidRPr="00E31890">
        <w:t xml:space="preserve">Here, we use two parallel </w:t>
      </w:r>
      <w:r w:rsidR="00B218CE" w:rsidRPr="00E31890">
        <w:rPr>
          <w:vertAlign w:val="superscript"/>
        </w:rPr>
        <w:t>14</w:t>
      </w:r>
      <w:r w:rsidR="00B218CE" w:rsidRPr="00E31890">
        <w:t>C-labelled assays</w:t>
      </w:r>
      <w:r w:rsidR="006510C5" w:rsidRPr="00E31890">
        <w:t>,</w:t>
      </w:r>
      <w:r w:rsidR="00B218CE" w:rsidRPr="00E31890">
        <w:t xml:space="preserve"> to determine the real and apparent PEs of a range of commonly applied organic and inorganic </w:t>
      </w:r>
      <w:r w:rsidR="00246343">
        <w:t xml:space="preserve">amendments and </w:t>
      </w:r>
      <w:r w:rsidR="00B218CE" w:rsidRPr="00E31890">
        <w:t>substrates</w:t>
      </w:r>
      <w:r w:rsidR="00DE11BE">
        <w:t>, at realistic loading rates</w:t>
      </w:r>
      <w:r w:rsidR="00B218CE" w:rsidRPr="00E31890">
        <w:t xml:space="preserve">. The overall aim </w:t>
      </w:r>
      <w:r w:rsidR="00622117">
        <w:t>was</w:t>
      </w:r>
      <w:r w:rsidR="00622117" w:rsidRPr="00E31890">
        <w:t xml:space="preserve"> </w:t>
      </w:r>
      <w:r w:rsidR="00B218CE" w:rsidRPr="00E31890">
        <w:t>to determine the extent of SOC mineralisation priming and reveal possible mechanisms leading to the priming actions as a function of the added substrate</w:t>
      </w:r>
      <w:r w:rsidR="00246343">
        <w:t>s</w:t>
      </w:r>
      <w:r w:rsidR="00B218CE" w:rsidRPr="00E31890">
        <w:t>.</w:t>
      </w:r>
    </w:p>
    <w:p w14:paraId="0CE64F82" w14:textId="77777777" w:rsidR="00622117" w:rsidRPr="00E31890" w:rsidRDefault="00622117" w:rsidP="007510B2">
      <w:pPr>
        <w:spacing w:after="0" w:line="480" w:lineRule="auto"/>
        <w:ind w:firstLine="720"/>
        <w:jc w:val="both"/>
      </w:pPr>
    </w:p>
    <w:p w14:paraId="32DA3D14" w14:textId="0EB59CBA" w:rsidR="00F67CF8" w:rsidRPr="00E31890" w:rsidRDefault="009E5794" w:rsidP="007510B2">
      <w:pPr>
        <w:spacing w:after="0" w:line="480" w:lineRule="auto"/>
        <w:jc w:val="both"/>
        <w:rPr>
          <w:b/>
          <w:bCs/>
        </w:rPr>
      </w:pPr>
      <w:r w:rsidRPr="00E31890">
        <w:rPr>
          <w:b/>
          <w:bCs/>
        </w:rPr>
        <w:t xml:space="preserve">2. </w:t>
      </w:r>
      <w:r w:rsidR="00F67CF8" w:rsidRPr="00E31890">
        <w:rPr>
          <w:b/>
          <w:bCs/>
        </w:rPr>
        <w:t>M</w:t>
      </w:r>
      <w:r w:rsidR="001E6640">
        <w:rPr>
          <w:b/>
          <w:bCs/>
        </w:rPr>
        <w:t>aterial and m</w:t>
      </w:r>
      <w:r w:rsidR="00F67CF8" w:rsidRPr="00E31890">
        <w:rPr>
          <w:b/>
          <w:bCs/>
        </w:rPr>
        <w:t>ethods</w:t>
      </w:r>
    </w:p>
    <w:p w14:paraId="5FDCDBE6" w14:textId="4DCA47E8" w:rsidR="00F27BE8" w:rsidRPr="00E31890" w:rsidRDefault="00F27BE8" w:rsidP="007510B2">
      <w:pPr>
        <w:spacing w:after="0" w:line="480" w:lineRule="auto"/>
        <w:jc w:val="both"/>
        <w:rPr>
          <w:i/>
          <w:iCs/>
        </w:rPr>
      </w:pPr>
      <w:r w:rsidRPr="00E31890">
        <w:rPr>
          <w:i/>
          <w:iCs/>
        </w:rPr>
        <w:t xml:space="preserve">2.1. Experimental setup </w:t>
      </w:r>
    </w:p>
    <w:p w14:paraId="64357EEC" w14:textId="5C6279CA" w:rsidR="00F27BE8" w:rsidRPr="00CE7ADC" w:rsidRDefault="00A864B5" w:rsidP="007510B2">
      <w:pPr>
        <w:spacing w:after="0" w:line="480" w:lineRule="auto"/>
        <w:jc w:val="both"/>
      </w:pPr>
      <w:r w:rsidRPr="00E31890">
        <w:tab/>
        <w:t xml:space="preserve">This </w:t>
      </w:r>
      <w:r w:rsidR="002F5CB2" w:rsidRPr="00E31890">
        <w:t>study</w:t>
      </w:r>
      <w:r w:rsidRPr="00E31890">
        <w:t xml:space="preserve"> consisted of two assays, </w:t>
      </w:r>
      <w:r w:rsidR="00392B1D" w:rsidRPr="00E31890">
        <w:t xml:space="preserve">to examine both the real and apparent PEs of soil. Real PEs (assay 1) of substrates were determined using soil that had been labelled </w:t>
      </w:r>
      <w:r w:rsidR="001E6640">
        <w:t xml:space="preserve">in the field </w:t>
      </w:r>
      <w:r w:rsidR="00392B1D" w:rsidRPr="00E31890">
        <w:t xml:space="preserve">with </w:t>
      </w:r>
      <w:r w:rsidR="00392B1D" w:rsidRPr="00E31890">
        <w:rPr>
          <w:vertAlign w:val="superscript"/>
        </w:rPr>
        <w:t>14</w:t>
      </w:r>
      <w:r w:rsidR="00392B1D" w:rsidRPr="00E31890">
        <w:t xml:space="preserve">C-labelled glucose five years previously (as </w:t>
      </w:r>
      <w:r w:rsidR="0058114C" w:rsidRPr="00E31890">
        <w:t xml:space="preserve">previously </w:t>
      </w:r>
      <w:r w:rsidR="00392B1D" w:rsidRPr="00E31890">
        <w:t>described in</w:t>
      </w:r>
      <w:r w:rsidR="003D67C4">
        <w:t xml:space="preserve"> Rousk et al. (2015) and</w:t>
      </w:r>
      <w:r w:rsidR="00392B1D" w:rsidRPr="00E31890">
        <w:t xml:space="preserve"> Farrar et al. </w:t>
      </w:r>
      <w:r w:rsidR="00AF569B">
        <w:t>(</w:t>
      </w:r>
      <w:r w:rsidR="00392B1D" w:rsidRPr="00E31890">
        <w:t>2012</w:t>
      </w:r>
      <w:r w:rsidR="00AF569B">
        <w:t>)</w:t>
      </w:r>
      <w:r w:rsidR="00392B1D" w:rsidRPr="00E31890">
        <w:t xml:space="preserve">), and was therefore considered to contain quasi-stable </w:t>
      </w:r>
      <w:r w:rsidR="00392B1D" w:rsidRPr="00E31890">
        <w:rPr>
          <w:vertAlign w:val="superscript"/>
        </w:rPr>
        <w:t>14</w:t>
      </w:r>
      <w:r w:rsidR="00392B1D" w:rsidRPr="00E31890">
        <w:t>C-labelled SOM.</w:t>
      </w:r>
      <w:r w:rsidR="004F66EA">
        <w:t xml:space="preserve"> </w:t>
      </w:r>
      <w:r w:rsidR="000F14DE">
        <w:t xml:space="preserve">Due to the timescale and likely formation pathways involved in </w:t>
      </w:r>
      <w:r w:rsidR="000F14DE" w:rsidRPr="000F14DE">
        <w:rPr>
          <w:vertAlign w:val="superscript"/>
        </w:rPr>
        <w:t>14</w:t>
      </w:r>
      <w:r w:rsidR="000F14DE">
        <w:t>C incorporation,</w:t>
      </w:r>
      <w:r w:rsidR="000F14DE">
        <w:rPr>
          <w:vertAlign w:val="superscript"/>
        </w:rPr>
        <w:t xml:space="preserve"> </w:t>
      </w:r>
      <w:r w:rsidR="000F14DE" w:rsidRPr="000F14DE">
        <w:t>it</w:t>
      </w:r>
      <w:r w:rsidR="000F14DE">
        <w:t xml:space="preserve"> was assumed that the </w:t>
      </w:r>
      <w:r w:rsidR="000F14DE" w:rsidRPr="001923C7">
        <w:rPr>
          <w:vertAlign w:val="superscript"/>
        </w:rPr>
        <w:t>14</w:t>
      </w:r>
      <w:r w:rsidR="000F14DE">
        <w:t xml:space="preserve">C-labelled compounds were distributed </w:t>
      </w:r>
      <w:r w:rsidR="00444F32">
        <w:t>primarily in the</w:t>
      </w:r>
      <w:r w:rsidR="000F14DE">
        <w:t xml:space="preserve"> </w:t>
      </w:r>
      <w:r w:rsidR="00444F32">
        <w:t>non-humic</w:t>
      </w:r>
      <w:r w:rsidR="000F14DE">
        <w:t xml:space="preserve"> fraction</w:t>
      </w:r>
      <w:r w:rsidR="00444F32">
        <w:t xml:space="preserve"> of the SOM, with a small amount in the humic fraction</w:t>
      </w:r>
      <w:r w:rsidR="000F14DE">
        <w:t xml:space="preserve">. </w:t>
      </w:r>
      <w:r w:rsidR="001923C7">
        <w:t>In terms of spatial distribution, i</w:t>
      </w:r>
      <w:r w:rsidR="004F66EA">
        <w:t xml:space="preserve">t was assumed </w:t>
      </w:r>
      <w:r w:rsidR="00954822">
        <w:t xml:space="preserve">that the </w:t>
      </w:r>
      <w:r w:rsidR="004F66EA">
        <w:rPr>
          <w:vertAlign w:val="superscript"/>
        </w:rPr>
        <w:t>14</w:t>
      </w:r>
      <w:r w:rsidR="004F66EA">
        <w:t xml:space="preserve">C was homogenously distributed throughout the topsoil through the biological </w:t>
      </w:r>
      <w:r w:rsidR="007A7FA1">
        <w:t>perturbation</w:t>
      </w:r>
      <w:r w:rsidR="004F66EA">
        <w:t xml:space="preserve"> of earthworms (estimated to be ca. 6</w:t>
      </w:r>
      <w:r w:rsidR="007A7FA1">
        <w:t>6 kg soil m</w:t>
      </w:r>
      <w:r w:rsidR="007A7FA1" w:rsidRPr="00F80EA9">
        <w:rPr>
          <w:vertAlign w:val="superscript"/>
        </w:rPr>
        <w:t>-2</w:t>
      </w:r>
      <w:r w:rsidR="007A7FA1">
        <w:rPr>
          <w:vertAlign w:val="superscript"/>
        </w:rPr>
        <w:t xml:space="preserve"> </w:t>
      </w:r>
      <w:r w:rsidR="007A7FA1">
        <w:t>y</w:t>
      </w:r>
      <w:r w:rsidR="007A7FA1" w:rsidRPr="00F80EA9">
        <w:rPr>
          <w:vertAlign w:val="superscript"/>
        </w:rPr>
        <w:t>-1</w:t>
      </w:r>
      <w:r w:rsidR="007A7FA1">
        <w:rPr>
          <w:vertAlign w:val="superscript"/>
        </w:rPr>
        <w:t xml:space="preserve"> </w:t>
      </w:r>
      <w:r w:rsidR="007A7FA1">
        <w:t xml:space="preserve">(data in supplementary information) </w:t>
      </w:r>
      <w:r w:rsidR="004F66EA">
        <w:t xml:space="preserve">and </w:t>
      </w:r>
      <w:r w:rsidR="00954822">
        <w:t>the mass flow of water</w:t>
      </w:r>
      <w:r w:rsidR="004F66EA">
        <w:t>.</w:t>
      </w:r>
      <w:r w:rsidR="001923C7">
        <w:t xml:space="preserve"> </w:t>
      </w:r>
      <w:r w:rsidR="008E4C66" w:rsidRPr="001923C7">
        <w:t>The</w:t>
      </w:r>
      <w:r w:rsidR="008E4C66" w:rsidRPr="00E31890">
        <w:t xml:space="preserve"> </w:t>
      </w:r>
      <w:r w:rsidR="008E4C66" w:rsidRPr="00E31890">
        <w:rPr>
          <w:vertAlign w:val="superscript"/>
        </w:rPr>
        <w:t>14</w:t>
      </w:r>
      <w:r w:rsidR="008E4C66" w:rsidRPr="00E31890">
        <w:t>C content of the bulk soil</w:t>
      </w:r>
      <w:r w:rsidR="00A9632E" w:rsidRPr="00E31890">
        <w:t xml:space="preserve"> </w:t>
      </w:r>
      <w:r w:rsidR="003F121E" w:rsidRPr="00E31890">
        <w:t xml:space="preserve">(103.0 ± 4.12 </w:t>
      </w:r>
      <w:proofErr w:type="spellStart"/>
      <w:r w:rsidR="003F121E" w:rsidRPr="00E31890">
        <w:t>Bq</w:t>
      </w:r>
      <w:proofErr w:type="spellEnd"/>
      <w:r w:rsidR="003F121E" w:rsidRPr="00E31890">
        <w:t xml:space="preserve"> g</w:t>
      </w:r>
      <w:r w:rsidR="003F121E" w:rsidRPr="00E31890">
        <w:rPr>
          <w:vertAlign w:val="superscript"/>
        </w:rPr>
        <w:t>-1</w:t>
      </w:r>
      <w:r w:rsidR="003F121E" w:rsidRPr="00E31890">
        <w:t xml:space="preserve"> DW</w:t>
      </w:r>
      <w:r w:rsidR="000672C4" w:rsidRPr="00E31890">
        <w:t xml:space="preserve">; </w:t>
      </w:r>
      <w:r w:rsidR="000672C4" w:rsidRPr="00E31890">
        <w:rPr>
          <w:i/>
          <w:iCs/>
        </w:rPr>
        <w:t>n</w:t>
      </w:r>
      <w:r w:rsidR="000672C4" w:rsidRPr="00E31890">
        <w:t xml:space="preserve"> = 8</w:t>
      </w:r>
      <w:r w:rsidR="003F121E" w:rsidRPr="00E31890">
        <w:t xml:space="preserve">) </w:t>
      </w:r>
      <w:r w:rsidR="00A9632E" w:rsidRPr="00E31890">
        <w:t xml:space="preserve">was quantified using </w:t>
      </w:r>
      <w:r w:rsidR="001E6640">
        <w:t xml:space="preserve">a </w:t>
      </w:r>
      <w:r w:rsidR="003341F9" w:rsidRPr="00E31890">
        <w:t>biological oxid</w:t>
      </w:r>
      <w:r w:rsidR="001E6640">
        <w:t>iser</w:t>
      </w:r>
      <w:r w:rsidR="003341F9" w:rsidRPr="00E31890">
        <w:t xml:space="preserve"> </w:t>
      </w:r>
      <w:r w:rsidR="004110FA" w:rsidRPr="00E31890">
        <w:t>(</w:t>
      </w:r>
      <w:r w:rsidR="003341F9" w:rsidRPr="00E31890">
        <w:t xml:space="preserve">OX400, </w:t>
      </w:r>
      <w:r w:rsidR="004110FA" w:rsidRPr="00E31890">
        <w:t xml:space="preserve">RJ Harvey Instrument Corp., Hillsdale, NJ), with the </w:t>
      </w:r>
      <w:r w:rsidR="004110FA" w:rsidRPr="00E31890">
        <w:rPr>
          <w:vertAlign w:val="superscript"/>
        </w:rPr>
        <w:t>14</w:t>
      </w:r>
      <w:r w:rsidR="004110FA" w:rsidRPr="00E31890">
        <w:t>CO</w:t>
      </w:r>
      <w:r w:rsidR="004110FA" w:rsidRPr="00E31890">
        <w:rPr>
          <w:vertAlign w:val="subscript"/>
        </w:rPr>
        <w:t>2</w:t>
      </w:r>
      <w:r w:rsidR="004110FA" w:rsidRPr="00E31890">
        <w:t xml:space="preserve"> evolved collected in </w:t>
      </w:r>
      <w:proofErr w:type="spellStart"/>
      <w:r w:rsidR="004110FA" w:rsidRPr="00E31890">
        <w:t>Oxosol</w:t>
      </w:r>
      <w:proofErr w:type="spellEnd"/>
      <w:r w:rsidR="004110FA" w:rsidRPr="00E31890">
        <w:t xml:space="preserve"> scintillation fluid (National Diagnostics Ltd, Hessle, UK) </w:t>
      </w:r>
      <w:r w:rsidR="001E6640">
        <w:t>and</w:t>
      </w:r>
      <w:r w:rsidR="004110FA" w:rsidRPr="00E31890">
        <w:t xml:space="preserve"> </w:t>
      </w:r>
      <w:r w:rsidR="001E6640">
        <w:t>counted</w:t>
      </w:r>
      <w:r w:rsidR="004110FA" w:rsidRPr="00E31890">
        <w:t xml:space="preserve"> </w:t>
      </w:r>
      <w:r w:rsidR="00A37EFE" w:rsidRPr="00E31890">
        <w:t xml:space="preserve">using </w:t>
      </w:r>
      <w:r w:rsidR="000D5F6A" w:rsidRPr="00E31890">
        <w:t xml:space="preserve">a </w:t>
      </w:r>
      <w:r w:rsidR="00A37EFE" w:rsidRPr="00E31890">
        <w:t xml:space="preserve">Wallac 1404 scintillation counter </w:t>
      </w:r>
      <w:r w:rsidR="001E6640">
        <w:t xml:space="preserve">with automated quench correction </w:t>
      </w:r>
      <w:r w:rsidR="00A37EFE" w:rsidRPr="00E31890">
        <w:t>(PerkinElmer Life Sciences, Boston, MA)</w:t>
      </w:r>
      <w:r w:rsidR="00DF0199" w:rsidRPr="00E31890">
        <w:t>.</w:t>
      </w:r>
      <w:r w:rsidR="008E4C66" w:rsidRPr="00E31890">
        <w:t xml:space="preserve"> </w:t>
      </w:r>
      <w:r w:rsidR="001E6640">
        <w:t>To evaluate a</w:t>
      </w:r>
      <w:r w:rsidR="00392B1D" w:rsidRPr="00E31890">
        <w:t>pparent PEs (assay 2)</w:t>
      </w:r>
      <w:r w:rsidR="001E6640">
        <w:t>,</w:t>
      </w:r>
      <w:r w:rsidR="00392B1D" w:rsidRPr="00E31890">
        <w:t xml:space="preserve"> soil </w:t>
      </w:r>
      <w:r w:rsidR="004772A5">
        <w:t>was</w:t>
      </w:r>
      <w:r w:rsidR="001E6640">
        <w:t xml:space="preserve"> labelled with</w:t>
      </w:r>
      <w:r w:rsidR="007A7FA1">
        <w:t xml:space="preserve"> a </w:t>
      </w:r>
      <w:r w:rsidR="007A7FA1" w:rsidRPr="007A7FA1">
        <w:t>100 μM</w:t>
      </w:r>
      <w:r w:rsidR="00392B1D" w:rsidRPr="00E31890">
        <w:t xml:space="preserve"> </w:t>
      </w:r>
      <w:r w:rsidR="007A7FA1">
        <w:t>solution of glucose</w:t>
      </w:r>
      <w:r w:rsidR="00A2752D">
        <w:t xml:space="preserve"> to promote microbial metabolism but not growth (Brown et al., 2022b)</w:t>
      </w:r>
      <w:r w:rsidR="007A7FA1">
        <w:t xml:space="preserve">, spiked with </w:t>
      </w:r>
      <w:r w:rsidR="004A4EAA" w:rsidRPr="00E31890">
        <w:rPr>
          <w:vertAlign w:val="superscript"/>
        </w:rPr>
        <w:t>14</w:t>
      </w:r>
      <w:r w:rsidR="004A4EAA" w:rsidRPr="00E31890">
        <w:t xml:space="preserve">C-[U]-glucose (Lot 3,632,475; PerkinElmer Inc., Waltham, MA) </w:t>
      </w:r>
      <w:r w:rsidR="008B5F7D" w:rsidRPr="00E31890">
        <w:t xml:space="preserve">to give a final activity equivalent to the </w:t>
      </w:r>
      <w:r w:rsidR="005E08A0" w:rsidRPr="00E31890">
        <w:rPr>
          <w:vertAlign w:val="superscript"/>
        </w:rPr>
        <w:t>14</w:t>
      </w:r>
      <w:r w:rsidR="005E08A0" w:rsidRPr="00E31890">
        <w:t>C-labelled SOM</w:t>
      </w:r>
      <w:r w:rsidR="00063691" w:rsidRPr="00E31890">
        <w:t xml:space="preserve"> in assay 1</w:t>
      </w:r>
      <w:r w:rsidR="001E6640">
        <w:t xml:space="preserve">. The soil was labelled </w:t>
      </w:r>
      <w:r w:rsidR="007A7FA1">
        <w:t xml:space="preserve">by adding 0.5 ml of the </w:t>
      </w:r>
      <w:r w:rsidR="007A7FA1" w:rsidRPr="00F80EA9">
        <w:rPr>
          <w:vertAlign w:val="superscript"/>
        </w:rPr>
        <w:t>14</w:t>
      </w:r>
      <w:r w:rsidR="007A7FA1">
        <w:t>C-labelled glucose solution to 5 g of soil</w:t>
      </w:r>
      <w:r w:rsidR="007A7FA1" w:rsidRPr="00E31890">
        <w:t xml:space="preserve"> </w:t>
      </w:r>
      <w:r w:rsidR="00392B1D" w:rsidRPr="00E31890">
        <w:t>24 h prior</w:t>
      </w:r>
      <w:r w:rsidR="007A7FA1">
        <w:t xml:space="preserve"> </w:t>
      </w:r>
      <w:r w:rsidR="00392B1D" w:rsidRPr="00E31890">
        <w:t>to</w:t>
      </w:r>
      <w:r w:rsidR="00C73112" w:rsidRPr="00E31890">
        <w:t xml:space="preserve"> </w:t>
      </w:r>
      <w:r w:rsidR="001E6640">
        <w:t xml:space="preserve">subsequent </w:t>
      </w:r>
      <w:r w:rsidR="00C73112" w:rsidRPr="00E31890">
        <w:t>treatment addition</w:t>
      </w:r>
      <w:r w:rsidR="002A689B" w:rsidRPr="002A689B">
        <w:t xml:space="preserve"> </w:t>
      </w:r>
      <w:r w:rsidR="002A689B">
        <w:t xml:space="preserve">to ensure that the </w:t>
      </w:r>
      <w:r w:rsidR="002A689B" w:rsidRPr="001E6640">
        <w:rPr>
          <w:vertAlign w:val="superscript"/>
        </w:rPr>
        <w:t>14</w:t>
      </w:r>
      <w:r w:rsidR="002A689B">
        <w:t>C was predominantly in the active microbial pool</w:t>
      </w:r>
      <w:r w:rsidR="00101774">
        <w:t xml:space="preserve"> (Hill et al., 2008)</w:t>
      </w:r>
      <w:r w:rsidR="00392B1D" w:rsidRPr="00E31890">
        <w:t>.</w:t>
      </w:r>
      <w:r w:rsidR="00CE7ADC">
        <w:t xml:space="preserve"> It is acknowledged that the addition of </w:t>
      </w:r>
      <w:r w:rsidR="00954822">
        <w:t>a small amount of</w:t>
      </w:r>
      <w:r w:rsidR="00CE7ADC">
        <w:t xml:space="preserve"> </w:t>
      </w:r>
      <w:r w:rsidR="00CE7ADC">
        <w:rPr>
          <w:vertAlign w:val="superscript"/>
        </w:rPr>
        <w:t>14</w:t>
      </w:r>
      <w:r w:rsidR="00CE7ADC">
        <w:t xml:space="preserve">C-labelled glucose solution </w:t>
      </w:r>
      <w:r w:rsidR="00954822">
        <w:t>may</w:t>
      </w:r>
      <w:r w:rsidR="00CE7ADC">
        <w:t xml:space="preserve"> have resulted in </w:t>
      </w:r>
      <w:r w:rsidR="00EE2078">
        <w:t>its</w:t>
      </w:r>
      <w:r w:rsidR="00CE7ADC">
        <w:t xml:space="preserve"> own PE, </w:t>
      </w:r>
      <w:r w:rsidR="00550AD3">
        <w:t xml:space="preserve">but </w:t>
      </w:r>
      <w:r w:rsidR="00CE7ADC">
        <w:t xml:space="preserve">as subsequent </w:t>
      </w:r>
      <w:r w:rsidR="00CE7ADC">
        <w:lastRenderedPageBreak/>
        <w:t xml:space="preserve">treatments are measured relative to the control (which also have </w:t>
      </w:r>
      <w:r w:rsidR="00CE7ADC">
        <w:rPr>
          <w:vertAlign w:val="superscript"/>
        </w:rPr>
        <w:t>14</w:t>
      </w:r>
      <w:r w:rsidR="00CE7ADC">
        <w:t>C-labelled glucose solution) this effect was accounted for.</w:t>
      </w:r>
      <w:r w:rsidR="00954822">
        <w:t xml:space="preserve"> In addition, the amount of </w:t>
      </w:r>
      <w:r w:rsidR="00954822" w:rsidRPr="00F80EA9">
        <w:rPr>
          <w:vertAlign w:val="superscript"/>
        </w:rPr>
        <w:t>14</w:t>
      </w:r>
      <w:r w:rsidR="00954822">
        <w:t>C-glucose added was similar to</w:t>
      </w:r>
      <w:r w:rsidR="005377A6">
        <w:t xml:space="preserve"> the</w:t>
      </w:r>
      <w:r w:rsidR="00954822">
        <w:t xml:space="preserve"> intrinsic levels</w:t>
      </w:r>
      <w:r w:rsidR="005377A6">
        <w:t xml:space="preserve"> of glucose turnover</w:t>
      </w:r>
      <w:r w:rsidR="00954822">
        <w:t xml:space="preserve"> </w:t>
      </w:r>
      <w:r w:rsidR="009A4C71">
        <w:t xml:space="preserve">previously measured </w:t>
      </w:r>
      <w:r w:rsidR="00954822">
        <w:t>in th</w:t>
      </w:r>
      <w:r w:rsidR="009A4C71">
        <w:t>is</w:t>
      </w:r>
      <w:r w:rsidR="00954822">
        <w:t xml:space="preserve"> soil</w:t>
      </w:r>
      <w:r w:rsidR="009A4C71">
        <w:t xml:space="preserve"> (Boddy et al., 2007)</w:t>
      </w:r>
      <w:r w:rsidR="00954822">
        <w:t>.</w:t>
      </w:r>
      <w:r w:rsidR="0094472B">
        <w:t xml:space="preserve"> </w:t>
      </w:r>
      <w:r w:rsidR="0094472B" w:rsidRPr="0094472B">
        <w:t>A significant advantage of this study is that labelling soil and microbial biomass carbon (MBC) allowed unlabelled substrates to be used, when in most cases it would be very difficult to produce labelled forms.</w:t>
      </w:r>
    </w:p>
    <w:p w14:paraId="11A5030B" w14:textId="77777777" w:rsidR="00622117" w:rsidRPr="00E31890" w:rsidRDefault="00622117" w:rsidP="007510B2">
      <w:pPr>
        <w:spacing w:after="0" w:line="480" w:lineRule="auto"/>
        <w:jc w:val="both"/>
      </w:pPr>
    </w:p>
    <w:p w14:paraId="4FB6148C" w14:textId="33E04DB5" w:rsidR="00B81CE8" w:rsidRPr="00E31890" w:rsidRDefault="00B81CE8" w:rsidP="007510B2">
      <w:pPr>
        <w:spacing w:after="0" w:line="480" w:lineRule="auto"/>
        <w:jc w:val="both"/>
        <w:rPr>
          <w:i/>
          <w:iCs/>
        </w:rPr>
      </w:pPr>
      <w:r w:rsidRPr="00E31890">
        <w:rPr>
          <w:i/>
          <w:iCs/>
        </w:rPr>
        <w:t>2.</w:t>
      </w:r>
      <w:r w:rsidR="00394FF1" w:rsidRPr="00E31890">
        <w:rPr>
          <w:i/>
          <w:iCs/>
        </w:rPr>
        <w:t>2</w:t>
      </w:r>
      <w:r w:rsidRPr="00E31890">
        <w:rPr>
          <w:i/>
          <w:iCs/>
        </w:rPr>
        <w:t>. Soil treatment</w:t>
      </w:r>
      <w:r w:rsidR="00246343">
        <w:rPr>
          <w:i/>
          <w:iCs/>
        </w:rPr>
        <w:t>s</w:t>
      </w:r>
    </w:p>
    <w:p w14:paraId="56B0B65B" w14:textId="57023DDC" w:rsidR="00394FF1" w:rsidRPr="00E31890" w:rsidRDefault="00394FF1" w:rsidP="007510B2">
      <w:pPr>
        <w:spacing w:after="0" w:line="480" w:lineRule="auto"/>
        <w:ind w:firstLine="720"/>
        <w:jc w:val="both"/>
      </w:pPr>
      <w:r w:rsidRPr="00E31890">
        <w:t xml:space="preserve">For both </w:t>
      </w:r>
      <w:r w:rsidR="001E6640">
        <w:t xml:space="preserve">real and apparent priming </w:t>
      </w:r>
      <w:r w:rsidRPr="00E31890">
        <w:t xml:space="preserve">assays, soil was sampled from 0-15 cm depth (Ah horizon) </w:t>
      </w:r>
      <w:r w:rsidR="001141D3">
        <w:t xml:space="preserve">of a Eutric </w:t>
      </w:r>
      <w:r w:rsidR="00807551">
        <w:t>C</w:t>
      </w:r>
      <w:r w:rsidR="001141D3">
        <w:t xml:space="preserve">ambisol with a sandy clay loam texture </w:t>
      </w:r>
      <w:r w:rsidRPr="00E31890">
        <w:t xml:space="preserve">in </w:t>
      </w:r>
      <w:r w:rsidR="001141D3">
        <w:t xml:space="preserve">a </w:t>
      </w:r>
      <w:r w:rsidRPr="00E31890">
        <w:t>temperate oceanic agricultural grassland at Abergwyngregyn, North Wales (53°14’N, 4°01’W)</w:t>
      </w:r>
      <w:r w:rsidR="001141D3">
        <w:t>. Soil was</w:t>
      </w:r>
      <w:r w:rsidRPr="00E31890">
        <w:t xml:space="preserve"> passed through a 10 mm sieve (to minimize disruption of soil biological activity; Jones </w:t>
      </w:r>
      <w:r w:rsidR="001E6640">
        <w:t>and</w:t>
      </w:r>
      <w:r w:rsidRPr="00E31890">
        <w:t xml:space="preserve"> Willett, 2006), roots removed, </w:t>
      </w:r>
      <w:r w:rsidR="001E6640">
        <w:t xml:space="preserve">and the soil </w:t>
      </w:r>
      <w:r w:rsidRPr="00E31890">
        <w:t>homogenised. Unless otherwise stated, the water content was adjusted to 50% moisture content</w:t>
      </w:r>
      <w:r w:rsidR="00EA34AB">
        <w:t xml:space="preserve"> by volume,</w:t>
      </w:r>
      <w:r w:rsidRPr="00E31890">
        <w:t xml:space="preserve"> with DI H</w:t>
      </w:r>
      <w:r w:rsidRPr="00E31890">
        <w:rPr>
          <w:vertAlign w:val="subscript"/>
        </w:rPr>
        <w:t>2</w:t>
      </w:r>
      <w:r w:rsidRPr="00E31890">
        <w:t>O. Subsequently</w:t>
      </w:r>
      <w:r w:rsidR="001E6640">
        <w:t>, the</w:t>
      </w:r>
      <w:r w:rsidRPr="00E31890">
        <w:t xml:space="preserve"> soil </w:t>
      </w:r>
      <w:r w:rsidR="001E6640">
        <w:t xml:space="preserve">was </w:t>
      </w:r>
      <w:r w:rsidRPr="00E31890">
        <w:t>left for 17 d at 20 °C to allow any early sampling and sieving effects to subside (</w:t>
      </w:r>
      <w:proofErr w:type="spellStart"/>
      <w:r w:rsidRPr="00E31890">
        <w:t>Kemmitt</w:t>
      </w:r>
      <w:proofErr w:type="spellEnd"/>
      <w:r w:rsidRPr="00E31890">
        <w:t xml:space="preserve"> et al., 2008; Jones et al., 2011).</w:t>
      </w:r>
    </w:p>
    <w:p w14:paraId="173F166A" w14:textId="0C0C0A0D" w:rsidR="00B81CE8" w:rsidRPr="00E31890" w:rsidRDefault="00B81CE8" w:rsidP="007510B2">
      <w:pPr>
        <w:spacing w:after="0" w:line="480" w:lineRule="auto"/>
        <w:ind w:firstLine="720"/>
        <w:jc w:val="both"/>
      </w:pPr>
      <w:r w:rsidRPr="00E31890">
        <w:t>For each assay, 1</w:t>
      </w:r>
      <w:r w:rsidR="00205F44">
        <w:t>4</w:t>
      </w:r>
      <w:r w:rsidRPr="00E31890">
        <w:t xml:space="preserve"> treatments </w:t>
      </w:r>
      <w:r w:rsidR="001E6640">
        <w:t xml:space="preserve">representing </w:t>
      </w:r>
      <w:r w:rsidRPr="00E31890">
        <w:t>commonly used soil amendments were applied (</w:t>
      </w:r>
      <w:r w:rsidRPr="00E31890">
        <w:rPr>
          <w:i/>
          <w:iCs/>
        </w:rPr>
        <w:t>n</w:t>
      </w:r>
      <w:r w:rsidRPr="00E31890">
        <w:t xml:space="preserve"> = 4)</w:t>
      </w:r>
      <w:r w:rsidR="001E6640">
        <w:t>. These were all compared to an unamended</w:t>
      </w:r>
      <w:r w:rsidRPr="00E31890">
        <w:t xml:space="preserve"> contro</w:t>
      </w:r>
      <w:r w:rsidR="001C04DD">
        <w:t>l (for the apparent priming assay the</w:t>
      </w:r>
      <w:r w:rsidR="001C04DD" w:rsidRPr="001C04DD">
        <w:t xml:space="preserve"> unamended control </w:t>
      </w:r>
      <w:r w:rsidR="001C04DD">
        <w:t>was</w:t>
      </w:r>
      <w:r w:rsidR="001C04DD" w:rsidRPr="001C04DD">
        <w:t xml:space="preserve"> the </w:t>
      </w:r>
      <w:r w:rsidR="001C04DD" w:rsidRPr="00F80EA9">
        <w:rPr>
          <w:vertAlign w:val="superscript"/>
        </w:rPr>
        <w:t>14</w:t>
      </w:r>
      <w:r w:rsidR="001C04DD" w:rsidRPr="001C04DD">
        <w:t>C</w:t>
      </w:r>
      <w:r w:rsidR="001C04DD">
        <w:t xml:space="preserve">-labelled </w:t>
      </w:r>
      <w:r w:rsidR="001C04DD" w:rsidRPr="001C04DD">
        <w:t>glucose, without additional amendment</w:t>
      </w:r>
      <w:r w:rsidR="001C04DD">
        <w:t>)</w:t>
      </w:r>
      <w:r w:rsidRPr="00E31890">
        <w:t>. Microbial biomass carbon (MBC) was determined on the unlabelled samples using the chloroform fumigation-extraction method of Vance et al. (1987) using the Multi N/C 2100S Analyzer, prior to treatments being applied to determine the amount of C added as a percentage of the MBC (0.465 ± 0.012 mg C g</w:t>
      </w:r>
      <w:r w:rsidRPr="00E31890">
        <w:rPr>
          <w:vertAlign w:val="superscript"/>
        </w:rPr>
        <w:t>-1</w:t>
      </w:r>
      <w:r w:rsidRPr="00E31890">
        <w:t xml:space="preserve">; </w:t>
      </w:r>
      <w:r w:rsidRPr="00E31890">
        <w:rPr>
          <w:i/>
          <w:iCs/>
        </w:rPr>
        <w:t>n</w:t>
      </w:r>
      <w:r w:rsidRPr="00E31890">
        <w:t xml:space="preserve"> = 8). Treatments were </w:t>
      </w:r>
      <w:r w:rsidR="00E3762F">
        <w:t>incorporated in</w:t>
      </w:r>
      <w:r w:rsidRPr="00E31890">
        <w:t xml:space="preserve"> 100 g DW equivalent of soil contained within 400 ml airtight plastic vessels.</w:t>
      </w:r>
    </w:p>
    <w:p w14:paraId="16ABFEFD" w14:textId="01C8565C" w:rsidR="000B4333" w:rsidRDefault="00B81CE8" w:rsidP="007A1C6F">
      <w:pPr>
        <w:spacing w:after="0" w:line="480" w:lineRule="auto"/>
        <w:ind w:firstLine="720"/>
        <w:jc w:val="both"/>
      </w:pPr>
      <w:r w:rsidRPr="00E31890">
        <w:t>Soil treatments consisted of</w:t>
      </w:r>
      <w:r w:rsidR="00A94796">
        <w:t xml:space="preserve"> four assays;</w:t>
      </w:r>
      <w:r w:rsidR="00D83E5F">
        <w:t xml:space="preserve"> </w:t>
      </w:r>
      <w:r w:rsidRPr="00E31890">
        <w:t>i)</w:t>
      </w:r>
      <w:r w:rsidR="001E6640">
        <w:t xml:space="preserve"> wood-derived</w:t>
      </w:r>
      <w:r w:rsidRPr="00E31890">
        <w:t xml:space="preserve"> biochar (10 t ha</w:t>
      </w:r>
      <w:r w:rsidRPr="00E31890">
        <w:rPr>
          <w:vertAlign w:val="superscript"/>
        </w:rPr>
        <w:t>-1</w:t>
      </w:r>
      <w:r w:rsidRPr="00E31890">
        <w:t xml:space="preserve"> equivalent</w:t>
      </w:r>
      <w:r w:rsidR="00A465D8">
        <w:t>; 1.8% (w/w</w:t>
      </w:r>
      <w:r w:rsidRPr="00E31890">
        <w:t>)</w:t>
      </w:r>
      <w:r w:rsidR="00A465D8">
        <w:t>)</w:t>
      </w:r>
      <w:r w:rsidRPr="00E31890">
        <w:t xml:space="preserve"> and </w:t>
      </w:r>
      <w:r w:rsidR="001E6640">
        <w:t xml:space="preserve">its wood </w:t>
      </w:r>
      <w:r w:rsidRPr="00E31890">
        <w:t>ash equivalent (0.57 t ha</w:t>
      </w:r>
      <w:r w:rsidRPr="00E31890">
        <w:rPr>
          <w:vertAlign w:val="superscript"/>
        </w:rPr>
        <w:t>-1</w:t>
      </w:r>
      <w:r w:rsidRPr="00E31890">
        <w:t xml:space="preserve"> equivalent</w:t>
      </w:r>
      <w:r w:rsidR="00A465D8">
        <w:t xml:space="preserve"> (0.1 % (w/w)</w:t>
      </w:r>
      <w:r w:rsidRPr="00E31890">
        <w:t>) (Reed et al., 2017), ii) complex (</w:t>
      </w:r>
      <w:r w:rsidR="00B92644" w:rsidRPr="00E31890">
        <w:t xml:space="preserve">Bovine serum </w:t>
      </w:r>
      <w:r w:rsidR="00C91AA1" w:rsidRPr="00E31890">
        <w:t>album</w:t>
      </w:r>
      <w:r w:rsidR="00C91AA1">
        <w:t>i</w:t>
      </w:r>
      <w:r w:rsidR="00C91AA1" w:rsidRPr="00E31890">
        <w:t xml:space="preserve">n </w:t>
      </w:r>
      <w:r w:rsidR="00B92644" w:rsidRPr="00E31890">
        <w:t>(</w:t>
      </w:r>
      <w:r w:rsidRPr="00E31890">
        <w:t>BSA</w:t>
      </w:r>
      <w:r w:rsidR="00B92644" w:rsidRPr="00E31890">
        <w:t>)</w:t>
      </w:r>
      <w:r w:rsidRPr="00E31890">
        <w:t xml:space="preserve"> protein and cellulose) and simple (amino acid mixture to match the amino acid composition of BSA (described in supplementary information), and glucose) </w:t>
      </w:r>
      <w:r w:rsidR="001141D3">
        <w:t xml:space="preserve">C substrates </w:t>
      </w:r>
      <w:r w:rsidRPr="00E31890">
        <w:t xml:space="preserve">at </w:t>
      </w:r>
      <w:bookmarkStart w:id="3" w:name="_Hlk143857920"/>
      <w:r w:rsidRPr="00E31890">
        <w:t>1 mg C g</w:t>
      </w:r>
      <w:r w:rsidRPr="00E31890">
        <w:rPr>
          <w:vertAlign w:val="superscript"/>
        </w:rPr>
        <w:t>-1</w:t>
      </w:r>
      <w:bookmarkEnd w:id="3"/>
      <w:r w:rsidRPr="00E31890">
        <w:t xml:space="preserve"> soil</w:t>
      </w:r>
      <w:r w:rsidR="00A465D8">
        <w:t xml:space="preserve"> </w:t>
      </w:r>
      <w:r w:rsidR="00A465D8" w:rsidRPr="000B4333">
        <w:t xml:space="preserve">(equivalent </w:t>
      </w:r>
      <w:r w:rsidR="00A465D8">
        <w:t>to</w:t>
      </w:r>
      <w:r w:rsidR="00A465D8" w:rsidRPr="000B4333">
        <w:t xml:space="preserve"> 218.7% of the microbial biomass C)</w:t>
      </w:r>
      <w:r w:rsidRPr="00E31890">
        <w:t xml:space="preserve">, iii) two organic </w:t>
      </w:r>
      <w:r w:rsidR="001141D3">
        <w:t xml:space="preserve">amendments </w:t>
      </w:r>
      <w:r w:rsidRPr="00E31890">
        <w:t>(</w:t>
      </w:r>
      <w:r w:rsidR="001141D3">
        <w:t xml:space="preserve">cattle </w:t>
      </w:r>
      <w:r w:rsidR="00896EAD">
        <w:t>FYM</w:t>
      </w:r>
      <w:r w:rsidRPr="00E31890">
        <w:t xml:space="preserve"> and </w:t>
      </w:r>
      <w:r w:rsidR="001141D3">
        <w:t xml:space="preserve">cattle </w:t>
      </w:r>
      <w:r w:rsidRPr="00E31890">
        <w:t>slurry) and one inorganic (</w:t>
      </w:r>
      <w:r w:rsidR="004772A5">
        <w:t>ammonium nitrate</w:t>
      </w:r>
      <w:r w:rsidRPr="00E31890">
        <w:t xml:space="preserve">) fertiliser </w:t>
      </w:r>
      <w:r w:rsidR="004772A5">
        <w:t xml:space="preserve">applied </w:t>
      </w:r>
      <w:r w:rsidR="00E3762F">
        <w:t xml:space="preserve">at </w:t>
      </w:r>
      <w:r w:rsidRPr="00E31890">
        <w:t xml:space="preserve">120 kg </w:t>
      </w:r>
      <w:r w:rsidR="004772A5">
        <w:t xml:space="preserve">total </w:t>
      </w:r>
      <w:r w:rsidRPr="00E31890">
        <w:t>N ha</w:t>
      </w:r>
      <w:r w:rsidRPr="00E31890">
        <w:rPr>
          <w:vertAlign w:val="superscript"/>
        </w:rPr>
        <w:t xml:space="preserve">-1 </w:t>
      </w:r>
      <w:r w:rsidRPr="00E31890">
        <w:t>equivalent</w:t>
      </w:r>
      <w:r w:rsidR="00A465D8">
        <w:t xml:space="preserve"> (th</w:t>
      </w:r>
      <w:r w:rsidR="00A465D8" w:rsidRPr="00A465D8">
        <w:t>e maximum recommended single application dos</w:t>
      </w:r>
      <w:r w:rsidR="00690868">
        <w:t>e</w:t>
      </w:r>
      <w:r w:rsidR="00A465D8" w:rsidRPr="00A465D8">
        <w:t xml:space="preserve"> in a grassland (AHDB, 2023)</w:t>
      </w:r>
      <w:r w:rsidR="00A465D8">
        <w:t>)</w:t>
      </w:r>
      <w:r w:rsidRPr="00E31890">
        <w:t xml:space="preserve">, </w:t>
      </w:r>
      <w:r w:rsidR="001A39A2" w:rsidRPr="00E31890">
        <w:lastRenderedPageBreak/>
        <w:t xml:space="preserve">and </w:t>
      </w:r>
      <w:r w:rsidRPr="00E31890">
        <w:t>iv) 5 t ha</w:t>
      </w:r>
      <w:r w:rsidRPr="00E31890">
        <w:rPr>
          <w:vertAlign w:val="superscript"/>
        </w:rPr>
        <w:t>-1</w:t>
      </w:r>
      <w:r w:rsidRPr="00E31890">
        <w:t xml:space="preserve"> equivalent</w:t>
      </w:r>
      <w:r w:rsidR="00337867" w:rsidRPr="00E31890">
        <w:t xml:space="preserve"> </w:t>
      </w:r>
      <w:r w:rsidRPr="00E31890">
        <w:t xml:space="preserve">of wheat </w:t>
      </w:r>
      <w:proofErr w:type="spellStart"/>
      <w:r w:rsidRPr="00E31890">
        <w:t>straw:shoot</w:t>
      </w:r>
      <w:proofErr w:type="spellEnd"/>
      <w:r w:rsidRPr="00E31890">
        <w:t xml:space="preserve"> mix at each of the ratios (100:0, 75:25, 50:50, 25:75 </w:t>
      </w:r>
      <w:r w:rsidRPr="00DF2B17">
        <w:t>0:100).</w:t>
      </w:r>
      <w:r w:rsidR="00E3762F">
        <w:t xml:space="preserve"> Treatments were designed to reflect realistic agronomic loading rates for the biochar, wood ash, </w:t>
      </w:r>
      <w:r w:rsidR="00896EAD">
        <w:t>FYM</w:t>
      </w:r>
      <w:r w:rsidR="00E3762F">
        <w:t xml:space="preserve">, slurry and </w:t>
      </w:r>
      <w:r w:rsidR="001A3A68">
        <w:t xml:space="preserve">inorganic N fertiliser and </w:t>
      </w:r>
      <w:proofErr w:type="spellStart"/>
      <w:proofErr w:type="gramStart"/>
      <w:r w:rsidR="001A3A68">
        <w:t>straw:shoot</w:t>
      </w:r>
      <w:proofErr w:type="spellEnd"/>
      <w:proofErr w:type="gramEnd"/>
      <w:r w:rsidR="001A3A68">
        <w:t xml:space="preserve"> mixes</w:t>
      </w:r>
      <w:r w:rsidR="001A3A68" w:rsidRPr="00D83E5F">
        <w:t>.</w:t>
      </w:r>
      <w:r w:rsidRPr="00D83E5F">
        <w:t xml:space="preserve"> </w:t>
      </w:r>
      <w:r w:rsidR="00924626">
        <w:t>All treatments were applied to the surface of the soil</w:t>
      </w:r>
      <w:r w:rsidR="00924626" w:rsidRPr="00924626">
        <w:t xml:space="preserve"> and then gently incorporated</w:t>
      </w:r>
      <w:r w:rsidR="00924626">
        <w:t xml:space="preserve"> by hand</w:t>
      </w:r>
      <w:r w:rsidR="00924626" w:rsidRPr="00924626">
        <w:t xml:space="preserve"> to avoid disturbance </w:t>
      </w:r>
      <w:r w:rsidR="000B5695" w:rsidRPr="00924626">
        <w:t>effects</w:t>
      </w:r>
      <w:r w:rsidR="000B5695">
        <w:t>;</w:t>
      </w:r>
      <w:r w:rsidR="00690868">
        <w:t xml:space="preserve"> the control samples received the same perturbation</w:t>
      </w:r>
      <w:r w:rsidR="00924626">
        <w:t xml:space="preserve">. </w:t>
      </w:r>
      <w:r w:rsidR="00A465D8" w:rsidRPr="000B4333">
        <w:t>Due to the addition of added water associated with some of the treatments (including the slurry and the amino acid solution), pots</w:t>
      </w:r>
      <w:r w:rsidR="00A465D8">
        <w:t xml:space="preserve"> with dry treatments</w:t>
      </w:r>
      <w:r w:rsidR="00A465D8" w:rsidRPr="000B4333">
        <w:t xml:space="preserve"> were amended with DI H</w:t>
      </w:r>
      <w:r w:rsidR="00A465D8" w:rsidRPr="009B6136">
        <w:rPr>
          <w:vertAlign w:val="subscript"/>
        </w:rPr>
        <w:t>2</w:t>
      </w:r>
      <w:r w:rsidR="00A465D8" w:rsidRPr="000B4333">
        <w:t xml:space="preserve">O, so that each pot </w:t>
      </w:r>
      <w:r w:rsidR="00A465D8">
        <w:t>equal amounts</w:t>
      </w:r>
      <w:r w:rsidR="00A465D8" w:rsidRPr="000B4333">
        <w:t xml:space="preserve"> of water. </w:t>
      </w:r>
      <w:r w:rsidR="00A465D8" w:rsidRPr="00D83E5F">
        <w:t xml:space="preserve">Full </w:t>
      </w:r>
      <w:r w:rsidR="00A465D8">
        <w:t>carbon and nitrogen loading rates are</w:t>
      </w:r>
      <w:r w:rsidR="00A465D8" w:rsidRPr="00D83E5F">
        <w:t xml:space="preserve"> contained in Table S1.</w:t>
      </w:r>
    </w:p>
    <w:p w14:paraId="5488A057" w14:textId="77777777" w:rsidR="00807551" w:rsidRPr="00D83E5F" w:rsidRDefault="00807551" w:rsidP="007510B2">
      <w:pPr>
        <w:spacing w:after="0" w:line="480" w:lineRule="auto"/>
        <w:ind w:firstLine="720"/>
        <w:jc w:val="both"/>
      </w:pPr>
    </w:p>
    <w:p w14:paraId="06E48294" w14:textId="3677048A" w:rsidR="00C10164" w:rsidRPr="00E31890" w:rsidRDefault="00C10164" w:rsidP="007510B2">
      <w:pPr>
        <w:spacing w:after="0" w:line="480" w:lineRule="auto"/>
        <w:jc w:val="both"/>
        <w:rPr>
          <w:i/>
          <w:iCs/>
        </w:rPr>
      </w:pPr>
      <w:r w:rsidRPr="00E31890">
        <w:rPr>
          <w:i/>
          <w:iCs/>
        </w:rPr>
        <w:t>2.</w:t>
      </w:r>
      <w:r w:rsidR="00394FF1" w:rsidRPr="00E31890">
        <w:rPr>
          <w:i/>
          <w:iCs/>
        </w:rPr>
        <w:t>3</w:t>
      </w:r>
      <w:r w:rsidRPr="00E31890">
        <w:rPr>
          <w:i/>
          <w:iCs/>
        </w:rPr>
        <w:t xml:space="preserve">. </w:t>
      </w:r>
      <w:r w:rsidRPr="00E31890">
        <w:rPr>
          <w:i/>
          <w:iCs/>
          <w:vertAlign w:val="superscript"/>
        </w:rPr>
        <w:t>14</w:t>
      </w:r>
      <w:r w:rsidRPr="00E31890">
        <w:rPr>
          <w:i/>
          <w:iCs/>
        </w:rPr>
        <w:t xml:space="preserve">C </w:t>
      </w:r>
      <w:r w:rsidR="00752CE1" w:rsidRPr="00E31890">
        <w:rPr>
          <w:i/>
          <w:iCs/>
        </w:rPr>
        <w:t xml:space="preserve">mineralisation </w:t>
      </w:r>
    </w:p>
    <w:p w14:paraId="615B1326" w14:textId="7DA5B5B9" w:rsidR="00752CE1" w:rsidRPr="003E3E3C" w:rsidRDefault="00252659" w:rsidP="007510B2">
      <w:pPr>
        <w:spacing w:after="0" w:line="480" w:lineRule="auto"/>
        <w:ind w:firstLine="720"/>
        <w:jc w:val="both"/>
      </w:pPr>
      <w:r w:rsidRPr="00E31890">
        <w:t>After treatment addition</w:t>
      </w:r>
      <w:r w:rsidR="006A5F77">
        <w:t>,</w:t>
      </w:r>
      <w:r w:rsidR="005A4AD5" w:rsidRPr="00E31890">
        <w:t xml:space="preserve"> a 1 M NaOH trap (4 ml) was inserted above the soil to </w:t>
      </w:r>
      <w:r w:rsidR="001141D3">
        <w:t>trap</w:t>
      </w:r>
      <w:r w:rsidR="005A4AD5" w:rsidRPr="00E31890">
        <w:t xml:space="preserve"> any </w:t>
      </w:r>
      <w:r w:rsidR="005A4AD5" w:rsidRPr="00E31890">
        <w:rPr>
          <w:vertAlign w:val="superscript"/>
        </w:rPr>
        <w:t>14</w:t>
      </w:r>
      <w:r w:rsidR="005A4AD5" w:rsidRPr="00E31890">
        <w:t>CO</w:t>
      </w:r>
      <w:r w:rsidR="005A4AD5" w:rsidRPr="006A5F77">
        <w:rPr>
          <w:vertAlign w:val="subscript"/>
        </w:rPr>
        <w:t>2</w:t>
      </w:r>
      <w:r w:rsidR="005A4AD5" w:rsidRPr="006A5F77">
        <w:t xml:space="preserve"> </w:t>
      </w:r>
      <w:r w:rsidR="005A4AD5" w:rsidRPr="00E31890">
        <w:t xml:space="preserve">produced from the breakdown of </w:t>
      </w:r>
      <w:r w:rsidR="00FD3CDE" w:rsidRPr="00E31890">
        <w:t xml:space="preserve">either the </w:t>
      </w:r>
      <w:r w:rsidR="00FD3CDE" w:rsidRPr="00E31890">
        <w:rPr>
          <w:vertAlign w:val="superscript"/>
        </w:rPr>
        <w:t>14</w:t>
      </w:r>
      <w:r w:rsidR="00FD3CDE" w:rsidRPr="00E31890">
        <w:t xml:space="preserve">C-labelled SOM (assay 1) or </w:t>
      </w:r>
      <w:r w:rsidR="0097107C" w:rsidRPr="00E31890">
        <w:t xml:space="preserve">the </w:t>
      </w:r>
      <w:r w:rsidR="00FD3CDE" w:rsidRPr="00E31890">
        <w:rPr>
          <w:vertAlign w:val="superscript"/>
        </w:rPr>
        <w:t>14</w:t>
      </w:r>
      <w:r w:rsidR="00FD3CDE" w:rsidRPr="00E31890">
        <w:t xml:space="preserve">C-labelled </w:t>
      </w:r>
      <w:r w:rsidR="0041335B">
        <w:t>microbial biomass</w:t>
      </w:r>
      <w:r w:rsidR="0041335B" w:rsidRPr="00E31890">
        <w:t xml:space="preserve"> </w:t>
      </w:r>
      <w:r w:rsidR="00FD3CDE" w:rsidRPr="00E31890">
        <w:t>(assay 2)</w:t>
      </w:r>
      <w:r w:rsidR="005A4AD5" w:rsidRPr="00E31890">
        <w:t xml:space="preserve">. </w:t>
      </w:r>
      <w:r w:rsidR="00891C32" w:rsidRPr="00E31890">
        <w:t>The sample containers were then hermetically sealed and incubated at room temperature (2</w:t>
      </w:r>
      <w:r w:rsidR="00E3762F">
        <w:t>0</w:t>
      </w:r>
      <w:r w:rsidR="00891C32" w:rsidRPr="00E31890">
        <w:t xml:space="preserve"> ± 1 °C) in the dark. </w:t>
      </w:r>
      <w:r w:rsidR="00F82BB9" w:rsidRPr="00E31890">
        <w:t>The NaOH trap</w:t>
      </w:r>
      <w:r w:rsidR="000C7091" w:rsidRPr="00E31890">
        <w:t>s</w:t>
      </w:r>
      <w:r w:rsidR="00F82BB9" w:rsidRPr="00E31890">
        <w:t xml:space="preserve"> w</w:t>
      </w:r>
      <w:r w:rsidR="000C7091" w:rsidRPr="00E31890">
        <w:t>ere</w:t>
      </w:r>
      <w:r w:rsidR="00F82BB9" w:rsidRPr="00E31890">
        <w:t xml:space="preserve"> replaced 14 times at increasing intervals over the </w:t>
      </w:r>
      <w:r w:rsidR="00D30FFA" w:rsidRPr="00E31890">
        <w:t>50-day</w:t>
      </w:r>
      <w:r w:rsidR="00F82BB9" w:rsidRPr="00E31890">
        <w:t xml:space="preserve"> incubation period</w:t>
      </w:r>
      <w:r w:rsidR="006A5F77">
        <w:t xml:space="preserve"> to ensure that the traps were &lt;</w:t>
      </w:r>
      <w:r w:rsidR="005D4192">
        <w:t>25</w:t>
      </w:r>
      <w:r w:rsidR="006A5F77">
        <w:t>% saturated</w:t>
      </w:r>
      <w:r w:rsidR="00F82BB9" w:rsidRPr="00E31890">
        <w:t xml:space="preserve">. </w:t>
      </w:r>
      <w:r w:rsidR="00101217" w:rsidRPr="00E31890">
        <w:t>T</w:t>
      </w:r>
      <w:r w:rsidR="009F0754" w:rsidRPr="00E31890">
        <w:t xml:space="preserve">he amount of </w:t>
      </w:r>
      <w:r w:rsidR="009F0754" w:rsidRPr="00E31890">
        <w:rPr>
          <w:vertAlign w:val="superscript"/>
        </w:rPr>
        <w:t>14</w:t>
      </w:r>
      <w:r w:rsidR="009F0754" w:rsidRPr="00E31890">
        <w:t xml:space="preserve">C in the NaOH traps was measured by mixing with </w:t>
      </w:r>
      <w:proofErr w:type="spellStart"/>
      <w:r w:rsidR="009F0754" w:rsidRPr="00E31890">
        <w:t>Optiphase</w:t>
      </w:r>
      <w:proofErr w:type="spellEnd"/>
      <w:r w:rsidR="009F0754" w:rsidRPr="00E31890">
        <w:t xml:space="preserve"> </w:t>
      </w:r>
      <w:proofErr w:type="spellStart"/>
      <w:r w:rsidR="009F0754" w:rsidRPr="00E31890">
        <w:t>HiSafe</w:t>
      </w:r>
      <w:proofErr w:type="spellEnd"/>
      <w:r w:rsidR="009F0754" w:rsidRPr="00E31890">
        <w:t xml:space="preserve"> 3 liquid scintillation cocktail (PerkinElmer Inc., Waltham, MA, USA) and placing on a Wallac 1404 scintillation counter (Wallac EG&amp;G, Milton Keynes, UK) with automated quench correction.</w:t>
      </w:r>
      <w:r w:rsidR="00101217" w:rsidRPr="00E31890">
        <w:t xml:space="preserve"> </w:t>
      </w:r>
      <w:r w:rsidR="006A5F77">
        <w:t xml:space="preserve">The overall </w:t>
      </w:r>
      <w:r w:rsidR="009800C8" w:rsidRPr="00E31890">
        <w:t>PE was calculated</w:t>
      </w:r>
      <w:r w:rsidR="00734AF7" w:rsidRPr="00E31890">
        <w:t xml:space="preserve"> </w:t>
      </w:r>
      <w:r w:rsidR="009B3B12" w:rsidRPr="00E31890">
        <w:t>as the</w:t>
      </w:r>
      <w:r w:rsidR="004642A7">
        <w:t xml:space="preserve"> activity of</w:t>
      </w:r>
      <w:r w:rsidR="009B3B12" w:rsidRPr="00E31890">
        <w:t xml:space="preserve"> </w:t>
      </w:r>
      <w:r w:rsidR="009B3B12" w:rsidRPr="00E31890">
        <w:rPr>
          <w:vertAlign w:val="superscript"/>
        </w:rPr>
        <w:t>14</w:t>
      </w:r>
      <w:r w:rsidR="009B3B12" w:rsidRPr="00E31890">
        <w:t>CO</w:t>
      </w:r>
      <w:r w:rsidR="009B3B12" w:rsidRPr="00E31890">
        <w:rPr>
          <w:vertAlign w:val="subscript"/>
        </w:rPr>
        <w:t>2</w:t>
      </w:r>
      <w:r w:rsidR="009B3B12" w:rsidRPr="00E31890">
        <w:t xml:space="preserve"> emission </w:t>
      </w:r>
      <w:r w:rsidR="006A5F77">
        <w:t xml:space="preserve">from each treatment </w:t>
      </w:r>
      <w:r w:rsidR="00734AF7" w:rsidRPr="00E31890">
        <w:t>relative to the control</w:t>
      </w:r>
      <w:r w:rsidR="00F305CE" w:rsidRPr="00E31890">
        <w:t xml:space="preserve"> at </w:t>
      </w:r>
      <w:r w:rsidR="00A650A2" w:rsidRPr="00E31890">
        <w:t>50 d</w:t>
      </w:r>
      <w:r w:rsidR="003C5DEA">
        <w:t xml:space="preserve"> (Fig. S1 + S2)</w:t>
      </w:r>
      <w:r w:rsidR="009800C8" w:rsidRPr="00E31890">
        <w:t>.</w:t>
      </w:r>
      <w:r w:rsidR="00734AF7" w:rsidRPr="00E31890">
        <w:t xml:space="preserve"> </w:t>
      </w:r>
      <w:r w:rsidR="000F1C92" w:rsidRPr="000F1C92">
        <w:t xml:space="preserve">Measurements of </w:t>
      </w:r>
      <w:r w:rsidR="000F1C92" w:rsidRPr="00F80EA9">
        <w:rPr>
          <w:vertAlign w:val="superscript"/>
        </w:rPr>
        <w:t>14</w:t>
      </w:r>
      <w:r w:rsidR="000F1C92" w:rsidRPr="000F1C92">
        <w:t>C contained in the microbial biomass were not undertaken as current methods (e.g., chloroform fumigation-extraction) are prone to serious difficulties in interpretation when used in conjunction with isotopes (Glanville et al., 2016</w:t>
      </w:r>
      <w:r w:rsidR="000F1C92">
        <w:t xml:space="preserve">). </w:t>
      </w:r>
      <w:r w:rsidR="003E3E3C" w:rsidRPr="003E3E3C">
        <w:t>We note that the combination of base molarity and volume, and scintillation cocktail used in this experiment was not</w:t>
      </w:r>
      <w:r w:rsidR="003E3E3C">
        <w:t xml:space="preserve"> shown to be</w:t>
      </w:r>
      <w:r w:rsidR="003E3E3C" w:rsidRPr="003E3E3C">
        <w:t xml:space="preserve"> affected by </w:t>
      </w:r>
      <w:r w:rsidR="003E3E3C">
        <w:t xml:space="preserve">the loss of </w:t>
      </w:r>
      <w:r w:rsidR="003E3E3C">
        <w:rPr>
          <w:vertAlign w:val="superscript"/>
        </w:rPr>
        <w:t>14</w:t>
      </w:r>
      <w:r w:rsidR="003E3E3C">
        <w:t>C isotopic abundance described by Boos et al. (2022; 2023).</w:t>
      </w:r>
    </w:p>
    <w:p w14:paraId="30C11050" w14:textId="77777777" w:rsidR="00807551" w:rsidRPr="00E31890" w:rsidRDefault="00807551" w:rsidP="007510B2">
      <w:pPr>
        <w:spacing w:after="0" w:line="480" w:lineRule="auto"/>
        <w:ind w:firstLine="720"/>
        <w:jc w:val="both"/>
      </w:pPr>
    </w:p>
    <w:p w14:paraId="4DB106A5" w14:textId="72E4D8FB" w:rsidR="00394FF1" w:rsidRPr="00E31890" w:rsidRDefault="00394FF1" w:rsidP="007510B2">
      <w:pPr>
        <w:spacing w:after="0" w:line="480" w:lineRule="auto"/>
        <w:jc w:val="both"/>
        <w:rPr>
          <w:i/>
          <w:iCs/>
        </w:rPr>
      </w:pPr>
      <w:r w:rsidRPr="00E31890">
        <w:rPr>
          <w:i/>
          <w:iCs/>
        </w:rPr>
        <w:t>2.4. Soil characteristics and analysis</w:t>
      </w:r>
    </w:p>
    <w:p w14:paraId="5A99C71D" w14:textId="455530AD" w:rsidR="00394FF1" w:rsidRDefault="00394FF1" w:rsidP="007510B2">
      <w:pPr>
        <w:spacing w:after="0" w:line="480" w:lineRule="auto"/>
        <w:jc w:val="both"/>
      </w:pPr>
      <w:r w:rsidRPr="00E31890">
        <w:tab/>
        <w:t xml:space="preserve">Soil physicochemical characteristics were measured on both </w:t>
      </w:r>
      <w:r w:rsidR="00585A30">
        <w:t xml:space="preserve">soils from </w:t>
      </w:r>
      <w:r w:rsidR="00BC008E">
        <w:t>assay 1</w:t>
      </w:r>
      <w:r w:rsidR="00585A30">
        <w:t xml:space="preserve"> and</w:t>
      </w:r>
      <w:r w:rsidR="00BC008E">
        <w:t xml:space="preserve"> 2</w:t>
      </w:r>
      <w:r w:rsidRPr="00E31890">
        <w:t xml:space="preserve"> on the final day of the incubation and summarised in Table </w:t>
      </w:r>
      <w:r w:rsidR="00165CA7" w:rsidRPr="00E31890">
        <w:t>1</w:t>
      </w:r>
      <w:r w:rsidRPr="00E31890">
        <w:t xml:space="preserve">. Briefly, pH and electrical conductivity were </w:t>
      </w:r>
      <w:r w:rsidRPr="00E31890">
        <w:lastRenderedPageBreak/>
        <w:t>determined on 1:5 (w/v) soil-to-DI H</w:t>
      </w:r>
      <w:r w:rsidRPr="00E31890">
        <w:rPr>
          <w:vertAlign w:val="subscript"/>
        </w:rPr>
        <w:t>2</w:t>
      </w:r>
      <w:r w:rsidRPr="00E31890">
        <w:t xml:space="preserve">O suspensions using standard electrodes. Gravimetric soil moisture was determined by oven drying (105 °C, &gt; 24 h) and organic matter was quantified by loss-on-ignition in a muffle furnace (450 °C, 16 h) (Ball, 1964). Soil C:N ratio was determined on oven-dried, ground soil using a </w:t>
      </w:r>
      <w:proofErr w:type="spellStart"/>
      <w:r w:rsidRPr="00E31890">
        <w:t>TruSpec</w:t>
      </w:r>
      <w:proofErr w:type="spellEnd"/>
      <w:r w:rsidRPr="00E31890">
        <w:t>® Analyzer (</w:t>
      </w:r>
      <w:proofErr w:type="spellStart"/>
      <w:r w:rsidRPr="00E31890">
        <w:t>Leco</w:t>
      </w:r>
      <w:proofErr w:type="spellEnd"/>
      <w:r w:rsidRPr="00E31890">
        <w:t xml:space="preserve"> Corp., St. Joseph, MI, USA). Bioavailable N and P levels in soil were determined using 1:5 (w/v) soil-to-</w:t>
      </w:r>
      <w:r w:rsidR="00273E40">
        <w:t>1</w:t>
      </w:r>
      <w:r w:rsidRPr="00E31890">
        <w:t xml:space="preserve"> M </w:t>
      </w:r>
      <w:proofErr w:type="spellStart"/>
      <w:r w:rsidRPr="00E31890">
        <w:t>K</w:t>
      </w:r>
      <w:r w:rsidR="00273E40">
        <w:t>Cl</w:t>
      </w:r>
      <w:proofErr w:type="spellEnd"/>
      <w:r w:rsidRPr="00E31890">
        <w:t xml:space="preserve"> and 1:5 (w/v) soil-to-0.5 M </w:t>
      </w:r>
      <w:proofErr w:type="spellStart"/>
      <w:r w:rsidRPr="00E31890">
        <w:t>AcOH</w:t>
      </w:r>
      <w:proofErr w:type="spellEnd"/>
      <w:r w:rsidRPr="00E31890">
        <w:t xml:space="preserve"> (acetic acid) extracts, respectively. Soil nitrate (NO</w:t>
      </w:r>
      <w:r w:rsidRPr="00E31890">
        <w:rPr>
          <w:vertAlign w:val="subscript"/>
        </w:rPr>
        <w:t>3</w:t>
      </w:r>
      <w:r w:rsidR="00807551" w:rsidRPr="00807551">
        <w:rPr>
          <w:vertAlign w:val="superscript"/>
        </w:rPr>
        <w:t>-</w:t>
      </w:r>
      <w:r w:rsidRPr="00E31890">
        <w:t>) and ammonium (NH</w:t>
      </w:r>
      <w:r w:rsidRPr="00E31890">
        <w:rPr>
          <w:vertAlign w:val="subscript"/>
        </w:rPr>
        <w:t>4</w:t>
      </w:r>
      <w:r w:rsidR="00807551" w:rsidRPr="00807551">
        <w:rPr>
          <w:vertAlign w:val="superscript"/>
        </w:rPr>
        <w:t>+</w:t>
      </w:r>
      <w:r w:rsidRPr="00E31890">
        <w:t>) in the K</w:t>
      </w:r>
      <w:r w:rsidRPr="00E31890">
        <w:rPr>
          <w:vertAlign w:val="subscript"/>
        </w:rPr>
        <w:t>2</w:t>
      </w:r>
      <w:r w:rsidRPr="00E31890">
        <w:t>SO</w:t>
      </w:r>
      <w:r w:rsidRPr="00E31890">
        <w:rPr>
          <w:vertAlign w:val="subscript"/>
        </w:rPr>
        <w:t>4</w:t>
      </w:r>
      <w:r w:rsidRPr="00E31890">
        <w:t xml:space="preserve"> extracts were measured by the colorimetric methods of Miranda et al. (2001) and Mulvaney (1996), respectively. Phosphate (PO</w:t>
      </w:r>
      <w:r w:rsidRPr="00E31890">
        <w:rPr>
          <w:vertAlign w:val="subscript"/>
        </w:rPr>
        <w:t>4</w:t>
      </w:r>
      <w:r w:rsidRPr="00E31890">
        <w:t xml:space="preserve">–P) was measured in the </w:t>
      </w:r>
      <w:proofErr w:type="spellStart"/>
      <w:r w:rsidRPr="00E31890">
        <w:t>AcOH</w:t>
      </w:r>
      <w:proofErr w:type="spellEnd"/>
      <w:r w:rsidRPr="00E31890">
        <w:t xml:space="preserve"> extracts using the colorimetric </w:t>
      </w:r>
      <w:r w:rsidR="006A5F77">
        <w:t xml:space="preserve">molybdate blue </w:t>
      </w:r>
      <w:r w:rsidRPr="00E31890">
        <w:t>method of Murphy and Riley (1962). Total dissolved organic carbon (TOC) was determined in the K</w:t>
      </w:r>
      <w:r w:rsidRPr="00E31890">
        <w:rPr>
          <w:vertAlign w:val="subscript"/>
        </w:rPr>
        <w:t>2</w:t>
      </w:r>
      <w:r w:rsidRPr="00E31890">
        <w:t>SO</w:t>
      </w:r>
      <w:r w:rsidRPr="00E31890">
        <w:rPr>
          <w:vertAlign w:val="subscript"/>
        </w:rPr>
        <w:t>4</w:t>
      </w:r>
      <w:r w:rsidRPr="00E31890">
        <w:t xml:space="preserve"> extracts using a Multi N/C 2100S Analyzer (</w:t>
      </w:r>
      <w:proofErr w:type="spellStart"/>
      <w:r w:rsidRPr="00E31890">
        <w:t>AnalytikJena</w:t>
      </w:r>
      <w:proofErr w:type="spellEnd"/>
      <w:r w:rsidRPr="00E31890">
        <w:t xml:space="preserve">, Jena, Germany). </w:t>
      </w:r>
      <w:r w:rsidR="00807551">
        <w:t>Phospholipid fatty acid (</w:t>
      </w:r>
      <w:r w:rsidRPr="00E31890">
        <w:t>PLFA</w:t>
      </w:r>
      <w:r w:rsidR="00807551">
        <w:t>)</w:t>
      </w:r>
      <w:r w:rsidRPr="00E31890">
        <w:t xml:space="preserve"> analysis was performed on an unlabelled parallel set of samples for the apparent priming assay, as previously described by Brown et al. (2021).</w:t>
      </w:r>
      <w:r w:rsidR="00092AEB" w:rsidRPr="00E31890">
        <w:t xml:space="preserve"> </w:t>
      </w:r>
      <w:r w:rsidR="00D700E8" w:rsidRPr="00D700E8">
        <w:t xml:space="preserve">Prior to incubation, </w:t>
      </w:r>
      <w:r w:rsidR="00D700E8">
        <w:t>the soil</w:t>
      </w:r>
      <w:r w:rsidR="00EE2078">
        <w:t xml:space="preserve"> used in assay 1 (</w:t>
      </w:r>
      <w:r w:rsidR="00EE2078">
        <w:rPr>
          <w:vertAlign w:val="superscript"/>
        </w:rPr>
        <w:t>14</w:t>
      </w:r>
      <w:r w:rsidR="00EE2078">
        <w:t>C-labelled SOM)</w:t>
      </w:r>
      <w:r w:rsidR="00D700E8" w:rsidRPr="00D700E8">
        <w:t xml:space="preserve"> was assessed for aggregate fractionation using the method </w:t>
      </w:r>
      <w:r w:rsidR="00D700E8">
        <w:t>of</w:t>
      </w:r>
      <w:r w:rsidR="00D700E8" w:rsidRPr="00D700E8">
        <w:t xml:space="preserve"> Gunina et al. </w:t>
      </w:r>
      <w:r w:rsidR="00D700E8">
        <w:t>(</w:t>
      </w:r>
      <w:r w:rsidR="00D700E8" w:rsidRPr="00D700E8">
        <w:t>2014</w:t>
      </w:r>
      <w:r w:rsidR="00D700E8">
        <w:t>)</w:t>
      </w:r>
      <w:r w:rsidR="00D700E8" w:rsidRPr="00D700E8">
        <w:t>. Three aggregate size-classes were isolated; large macroaggregates (&gt;2 mm), small macroaggregates (2-0.25 mm), and microaggregates (&lt;0.25 mm). Briefly, a bulk soil sample (250 g) was air-dried at room temperature and sieved through the 2000 and 250 μm meshes on a shaker for 5 min, at 225</w:t>
      </w:r>
      <w:r w:rsidR="007A1C6F">
        <w:t xml:space="preserve"> rev min</w:t>
      </w:r>
      <w:r w:rsidR="007A1C6F" w:rsidRPr="00F80EA9">
        <w:rPr>
          <w:vertAlign w:val="superscript"/>
        </w:rPr>
        <w:t>-1</w:t>
      </w:r>
      <w:r w:rsidR="00D700E8" w:rsidRPr="00D700E8">
        <w:t xml:space="preserve">. </w:t>
      </w:r>
      <w:r w:rsidR="005627F2" w:rsidRPr="005627F2">
        <w:rPr>
          <w:vertAlign w:val="superscript"/>
        </w:rPr>
        <w:t>14</w:t>
      </w:r>
      <w:r w:rsidR="005627F2">
        <w:t xml:space="preserve">C </w:t>
      </w:r>
      <w:r w:rsidR="00D700E8" w:rsidRPr="005627F2">
        <w:t>activity</w:t>
      </w:r>
      <w:r w:rsidR="005627F2">
        <w:t xml:space="preserve"> of the different soil aggregate sizes was determined using the biological oxidation method described above.</w:t>
      </w:r>
    </w:p>
    <w:p w14:paraId="5A165551" w14:textId="77777777" w:rsidR="00807551" w:rsidRPr="00E31890" w:rsidRDefault="00807551" w:rsidP="007510B2">
      <w:pPr>
        <w:spacing w:after="0" w:line="480" w:lineRule="auto"/>
        <w:jc w:val="both"/>
      </w:pPr>
    </w:p>
    <w:p w14:paraId="1FCBFB2C" w14:textId="4B753BD7" w:rsidR="00752CE1" w:rsidRPr="00E31890" w:rsidRDefault="00752CE1" w:rsidP="007510B2">
      <w:pPr>
        <w:spacing w:after="0" w:line="480" w:lineRule="auto"/>
        <w:jc w:val="both"/>
        <w:rPr>
          <w:i/>
          <w:iCs/>
        </w:rPr>
      </w:pPr>
      <w:r w:rsidRPr="00E31890">
        <w:rPr>
          <w:i/>
          <w:iCs/>
        </w:rPr>
        <w:t>2.5. Stati</w:t>
      </w:r>
      <w:r w:rsidR="00AC315D" w:rsidRPr="00E31890">
        <w:rPr>
          <w:i/>
          <w:iCs/>
        </w:rPr>
        <w:t>stical analysis</w:t>
      </w:r>
    </w:p>
    <w:p w14:paraId="3FD24EAA" w14:textId="59398427" w:rsidR="00714FD3" w:rsidRDefault="00AC315D" w:rsidP="007510B2">
      <w:pPr>
        <w:spacing w:after="0" w:line="480" w:lineRule="auto"/>
        <w:ind w:firstLine="720"/>
        <w:jc w:val="both"/>
      </w:pPr>
      <w:r w:rsidRPr="00E31890">
        <w:t xml:space="preserve">All graphical and statistical analysis was performed in R (v 4.2.1; R Core team 2022). </w:t>
      </w:r>
      <w:r w:rsidR="00FD3D23" w:rsidRPr="00E31890">
        <w:t>Graphical analysis was constructed using the ‘</w:t>
      </w:r>
      <w:r w:rsidR="00FD3D23" w:rsidRPr="00E31890">
        <w:rPr>
          <w:i/>
          <w:iCs/>
        </w:rPr>
        <w:t>ggplot2</w:t>
      </w:r>
      <w:r w:rsidR="00FD3D23" w:rsidRPr="00E31890">
        <w:t>’ package (Wickham, 2016)</w:t>
      </w:r>
      <w:r w:rsidR="001D5E58" w:rsidRPr="00E31890">
        <w:t>.</w:t>
      </w:r>
      <w:r w:rsidR="00FD3D23" w:rsidRPr="00E31890">
        <w:t xml:space="preserve"> </w:t>
      </w:r>
      <w:r w:rsidR="009000CE" w:rsidRPr="00E31890">
        <w:t>All statistics</w:t>
      </w:r>
      <w:r w:rsidR="00245E99" w:rsidRPr="00E31890">
        <w:t xml:space="preserve"> </w:t>
      </w:r>
      <w:r w:rsidR="007C4BF3" w:rsidRPr="00E31890">
        <w:t>w</w:t>
      </w:r>
      <w:r w:rsidR="00E15988" w:rsidRPr="00E31890">
        <w:t>ere</w:t>
      </w:r>
      <w:r w:rsidR="007C4BF3" w:rsidRPr="00E31890">
        <w:t xml:space="preserve"> performed using </w:t>
      </w:r>
      <w:r w:rsidR="00C437AD" w:rsidRPr="00E31890">
        <w:t>the ‘</w:t>
      </w:r>
      <w:r w:rsidR="00C437AD" w:rsidRPr="00E31890">
        <w:rPr>
          <w:i/>
          <w:iCs/>
        </w:rPr>
        <w:t>stats</w:t>
      </w:r>
      <w:r w:rsidR="00C437AD" w:rsidRPr="00E31890">
        <w:t>’ package (R Core team 2022)</w:t>
      </w:r>
      <w:r w:rsidR="003B550B" w:rsidRPr="00E31890">
        <w:t xml:space="preserve">. </w:t>
      </w:r>
      <w:r w:rsidR="00C91AA1" w:rsidRPr="00E31890">
        <w:t>Kruskal</w:t>
      </w:r>
      <w:r w:rsidR="00ED7CD2" w:rsidRPr="00E31890">
        <w:t>-Wallis one-way analysis of variance tests were</w:t>
      </w:r>
      <w:r w:rsidR="00CC006D" w:rsidRPr="00E31890">
        <w:t xml:space="preserve"> </w:t>
      </w:r>
      <w:r w:rsidR="00ED7CD2" w:rsidRPr="00E31890">
        <w:t>used to</w:t>
      </w:r>
      <w:r w:rsidR="00CC006D" w:rsidRPr="00E31890">
        <w:t xml:space="preserve"> determine </w:t>
      </w:r>
      <w:r w:rsidR="00BE1A46" w:rsidRPr="00E31890">
        <w:t xml:space="preserve">the significant differences in PE </w:t>
      </w:r>
      <w:r w:rsidR="00D4228B" w:rsidRPr="00E31890">
        <w:t xml:space="preserve">and </w:t>
      </w:r>
      <w:r w:rsidR="00202695" w:rsidRPr="00E31890">
        <w:t>soil physi</w:t>
      </w:r>
      <w:r w:rsidR="00807551">
        <w:t xml:space="preserve">cal and chemical parameters </w:t>
      </w:r>
      <w:r w:rsidR="00BE1A46" w:rsidRPr="00E31890">
        <w:t>between treatments.</w:t>
      </w:r>
      <w:r w:rsidR="00ED7CD2" w:rsidRPr="00E31890">
        <w:t xml:space="preserve"> </w:t>
      </w:r>
      <w:r w:rsidR="00C21731" w:rsidRPr="00E31890">
        <w:t xml:space="preserve">Kendall </w:t>
      </w:r>
      <w:r w:rsidR="006D68B5" w:rsidRPr="00E31890">
        <w:t xml:space="preserve">correlation analysis was used to determine the relationship between soil properties and priming effects. </w:t>
      </w:r>
      <w:r w:rsidR="00714FD3" w:rsidRPr="00E31890">
        <w:t xml:space="preserve">For all analyses the significance threshold was set at </w:t>
      </w:r>
      <w:r w:rsidR="00714FD3" w:rsidRPr="00E31890">
        <w:rPr>
          <w:i/>
          <w:iCs/>
        </w:rPr>
        <w:t>p</w:t>
      </w:r>
      <w:r w:rsidR="00714FD3" w:rsidRPr="00E31890">
        <w:t xml:space="preserve"> ≤ 0.05.</w:t>
      </w:r>
    </w:p>
    <w:p w14:paraId="053314A5" w14:textId="77777777" w:rsidR="00807551" w:rsidRDefault="00807551" w:rsidP="00807551">
      <w:pPr>
        <w:spacing w:after="0" w:line="480" w:lineRule="auto"/>
        <w:jc w:val="both"/>
      </w:pPr>
    </w:p>
    <w:p w14:paraId="365E365F" w14:textId="77474BC7" w:rsidR="000A0664" w:rsidRPr="00E31890" w:rsidRDefault="000A0664" w:rsidP="00807551">
      <w:pPr>
        <w:spacing w:after="0" w:line="480" w:lineRule="auto"/>
        <w:jc w:val="both"/>
        <w:rPr>
          <w:b/>
          <w:bCs/>
        </w:rPr>
      </w:pPr>
      <w:r w:rsidRPr="00E31890">
        <w:rPr>
          <w:b/>
          <w:bCs/>
        </w:rPr>
        <w:t>3. Results</w:t>
      </w:r>
    </w:p>
    <w:p w14:paraId="05806FEC" w14:textId="385F8162" w:rsidR="001276F3" w:rsidRPr="00E31890" w:rsidRDefault="00BF6A66" w:rsidP="007510B2">
      <w:pPr>
        <w:spacing w:after="0" w:line="480" w:lineRule="auto"/>
        <w:jc w:val="both"/>
        <w:rPr>
          <w:i/>
          <w:iCs/>
        </w:rPr>
      </w:pPr>
      <w:r w:rsidRPr="00E31890">
        <w:rPr>
          <w:i/>
          <w:iCs/>
        </w:rPr>
        <w:lastRenderedPageBreak/>
        <w:t>3.1</w:t>
      </w:r>
      <w:r w:rsidR="000E01EC" w:rsidRPr="00E31890">
        <w:rPr>
          <w:i/>
          <w:iCs/>
        </w:rPr>
        <w:t xml:space="preserve">. </w:t>
      </w:r>
      <w:r w:rsidR="00551588" w:rsidRPr="00E31890">
        <w:rPr>
          <w:i/>
          <w:iCs/>
        </w:rPr>
        <w:t xml:space="preserve">Effect of treatment on </w:t>
      </w:r>
      <w:r w:rsidR="00FA6552" w:rsidRPr="00E31890">
        <w:rPr>
          <w:i/>
          <w:iCs/>
        </w:rPr>
        <w:t>PE</w:t>
      </w:r>
      <w:r w:rsidR="000E01EC" w:rsidRPr="00E31890">
        <w:rPr>
          <w:i/>
          <w:iCs/>
        </w:rPr>
        <w:t xml:space="preserve"> </w:t>
      </w:r>
    </w:p>
    <w:p w14:paraId="0402F641" w14:textId="4F955B7E" w:rsidR="00AD1CE1" w:rsidRPr="00E31890" w:rsidRDefault="00A62BE6" w:rsidP="007510B2">
      <w:pPr>
        <w:spacing w:after="0" w:line="480" w:lineRule="auto"/>
        <w:ind w:firstLine="720"/>
        <w:jc w:val="both"/>
      </w:pPr>
      <w:r w:rsidRPr="00E31890">
        <w:t>All of the treatments elicited positive apparent priming</w:t>
      </w:r>
      <w:r w:rsidR="00741DFB" w:rsidRPr="00E31890">
        <w:t xml:space="preserve"> (</w:t>
      </w:r>
      <w:r w:rsidR="00C50C9D" w:rsidRPr="00E31890">
        <w:t>i.e.,</w:t>
      </w:r>
      <w:r w:rsidR="00741DFB" w:rsidRPr="00E31890">
        <w:t xml:space="preserve"> induced microbial </w:t>
      </w:r>
      <w:r w:rsidR="007805C5">
        <w:t>C</w:t>
      </w:r>
      <w:r w:rsidR="007805C5" w:rsidRPr="00E31890">
        <w:t xml:space="preserve"> </w:t>
      </w:r>
      <w:r w:rsidR="00C50C9D" w:rsidRPr="00E31890">
        <w:t>metabolism)</w:t>
      </w:r>
      <w:r w:rsidRPr="00E31890">
        <w:t>,</w:t>
      </w:r>
      <w:r w:rsidR="008B5D2E" w:rsidRPr="00E31890">
        <w:t xml:space="preserve"> o</w:t>
      </w:r>
      <w:r w:rsidR="002101B8" w:rsidRPr="00E31890">
        <w:t>f</w:t>
      </w:r>
      <w:r w:rsidR="008B5D2E" w:rsidRPr="00E31890">
        <w:t xml:space="preserve"> which </w:t>
      </w:r>
      <w:r w:rsidR="00E70837" w:rsidRPr="00E31890">
        <w:t xml:space="preserve">amino acid, </w:t>
      </w:r>
      <w:r w:rsidR="007805C5">
        <w:t>protein</w:t>
      </w:r>
      <w:r w:rsidR="00E70837" w:rsidRPr="00E31890">
        <w:t xml:space="preserve">, glucose, inorganic N, </w:t>
      </w:r>
      <w:r w:rsidR="0020233E" w:rsidRPr="00E31890">
        <w:t xml:space="preserve">and wheat </w:t>
      </w:r>
      <w:proofErr w:type="spellStart"/>
      <w:proofErr w:type="gramStart"/>
      <w:r w:rsidR="0020233E" w:rsidRPr="00E31890">
        <w:t>straw:</w:t>
      </w:r>
      <w:r w:rsidR="002101B8" w:rsidRPr="00E31890">
        <w:t>shoot</w:t>
      </w:r>
      <w:proofErr w:type="spellEnd"/>
      <w:proofErr w:type="gramEnd"/>
      <w:r w:rsidR="002101B8" w:rsidRPr="00E31890">
        <w:t>, 75:25, 50:50, 25:75</w:t>
      </w:r>
      <w:r w:rsidR="00AB316D" w:rsidRPr="00E31890">
        <w:t>, 0:100,</w:t>
      </w:r>
      <w:r w:rsidR="00F4525A" w:rsidRPr="00E31890">
        <w:t xml:space="preserve"> mixes</w:t>
      </w:r>
      <w:r w:rsidR="002101B8" w:rsidRPr="00E31890">
        <w:t xml:space="preserve"> addition</w:t>
      </w:r>
      <w:r w:rsidRPr="00E31890">
        <w:t xml:space="preserve"> </w:t>
      </w:r>
      <w:r w:rsidR="00AB316D" w:rsidRPr="00E31890">
        <w:t>were significantly</w:t>
      </w:r>
      <w:r w:rsidR="00FE08E8" w:rsidRPr="00E31890">
        <w:t xml:space="preserve"> (</w:t>
      </w:r>
      <w:r w:rsidR="00FE08E8" w:rsidRPr="00E31890">
        <w:rPr>
          <w:i/>
          <w:iCs/>
        </w:rPr>
        <w:t>p</w:t>
      </w:r>
      <w:r w:rsidR="00FE08E8" w:rsidRPr="00E31890">
        <w:t xml:space="preserve"> &lt; 0.05)</w:t>
      </w:r>
      <w:r w:rsidR="00AB316D" w:rsidRPr="00E31890">
        <w:t xml:space="preserve"> higher than the control.</w:t>
      </w:r>
      <w:r w:rsidR="007143E8" w:rsidRPr="00E31890">
        <w:t xml:space="preserve"> Addition of the amino acid mix </w:t>
      </w:r>
      <w:r w:rsidR="00F43A91" w:rsidRPr="00E31890">
        <w:t xml:space="preserve">induced the most significant positive </w:t>
      </w:r>
      <w:r w:rsidR="002A689B">
        <w:t>apparent PE</w:t>
      </w:r>
      <w:r w:rsidR="00F43A91" w:rsidRPr="00E31890">
        <w:t>.</w:t>
      </w:r>
      <w:r w:rsidR="00AB316D" w:rsidRPr="00E31890">
        <w:t xml:space="preserve"> </w:t>
      </w:r>
      <w:r w:rsidR="00F43A91" w:rsidRPr="00E31890">
        <w:t>The only t</w:t>
      </w:r>
      <w:r w:rsidR="00A02573" w:rsidRPr="00E31890">
        <w:t xml:space="preserve">reatment to induce a </w:t>
      </w:r>
      <w:r w:rsidR="00491166" w:rsidRPr="00E31890">
        <w:t xml:space="preserve">negative </w:t>
      </w:r>
      <w:r w:rsidR="002A689B">
        <w:t xml:space="preserve">apparent </w:t>
      </w:r>
      <w:r w:rsidR="00A02573" w:rsidRPr="00E31890">
        <w:t xml:space="preserve">PE was wood ash, </w:t>
      </w:r>
      <w:r w:rsidR="007805C5">
        <w:t>however,</w:t>
      </w:r>
      <w:r w:rsidR="007805C5" w:rsidRPr="00E31890">
        <w:t xml:space="preserve"> </w:t>
      </w:r>
      <w:r w:rsidR="00A02573" w:rsidRPr="00E31890">
        <w:t>this</w:t>
      </w:r>
      <w:r w:rsidR="007805C5">
        <w:t xml:space="preserve"> was</w:t>
      </w:r>
      <w:r w:rsidR="00491166" w:rsidRPr="00E31890">
        <w:t xml:space="preserve"> not significantly</w:t>
      </w:r>
      <w:r w:rsidR="00A02573" w:rsidRPr="00E31890">
        <w:t xml:space="preserve"> different</w:t>
      </w:r>
      <w:r w:rsidR="00491166" w:rsidRPr="00E31890">
        <w:t xml:space="preserve"> from the control</w:t>
      </w:r>
      <w:r w:rsidR="00FE08E8" w:rsidRPr="00E31890">
        <w:t xml:space="preserve"> (</w:t>
      </w:r>
      <w:r w:rsidR="00FE08E8" w:rsidRPr="00E31890">
        <w:rPr>
          <w:i/>
          <w:iCs/>
        </w:rPr>
        <w:t>p</w:t>
      </w:r>
      <w:r w:rsidR="00FE08E8" w:rsidRPr="00E31890">
        <w:t xml:space="preserve"> </w:t>
      </w:r>
      <w:r w:rsidR="00924626">
        <w:t>&gt;</w:t>
      </w:r>
      <w:r w:rsidR="00FE08E8" w:rsidRPr="00E31890">
        <w:t>0.05)</w:t>
      </w:r>
      <w:r w:rsidRPr="00E31890">
        <w:t xml:space="preserve">. </w:t>
      </w:r>
    </w:p>
    <w:p w14:paraId="64AE2CBA" w14:textId="36A16E77" w:rsidR="009F22B1" w:rsidRPr="00E31890" w:rsidRDefault="009B5166" w:rsidP="007510B2">
      <w:pPr>
        <w:spacing w:after="0" w:line="480" w:lineRule="auto"/>
        <w:ind w:firstLine="720"/>
        <w:jc w:val="both"/>
      </w:pPr>
      <w:r w:rsidRPr="00E31890">
        <w:t>The real PE varied between treatments</w:t>
      </w:r>
      <w:r w:rsidR="007805C5">
        <w:t>. A</w:t>
      </w:r>
      <w:r w:rsidRPr="00E31890">
        <w:t>dditions of amino acids, glucose</w:t>
      </w:r>
      <w:r w:rsidR="003925CB" w:rsidRPr="00E31890">
        <w:t>,</w:t>
      </w:r>
      <w:r w:rsidR="005D2265" w:rsidRPr="00E31890">
        <w:t xml:space="preserve"> </w:t>
      </w:r>
      <w:r w:rsidRPr="00E31890">
        <w:t>slurry, and all wheat straw/shoot mixes induce</w:t>
      </w:r>
      <w:r w:rsidR="00F179B5" w:rsidRPr="00E31890">
        <w:t>d</w:t>
      </w:r>
      <w:r w:rsidRPr="00E31890">
        <w:t xml:space="preserve"> positive priming</w:t>
      </w:r>
      <w:r w:rsidR="00D34730" w:rsidRPr="00E31890">
        <w:t>, of which, all but the</w:t>
      </w:r>
      <w:r w:rsidR="00F564B4" w:rsidRPr="00E31890">
        <w:t xml:space="preserve"> wheat </w:t>
      </w:r>
      <w:proofErr w:type="spellStart"/>
      <w:r w:rsidR="00F564B4" w:rsidRPr="00E31890">
        <w:t>straw:shoot</w:t>
      </w:r>
      <w:proofErr w:type="spellEnd"/>
      <w:r w:rsidR="00F564B4" w:rsidRPr="00E31890">
        <w:t xml:space="preserve"> ratio of</w:t>
      </w:r>
      <w:r w:rsidR="00D34730" w:rsidRPr="00E31890">
        <w:t xml:space="preserve"> </w:t>
      </w:r>
      <w:r w:rsidR="00F564B4" w:rsidRPr="00E31890">
        <w:t xml:space="preserve">100:0 </w:t>
      </w:r>
      <w:r w:rsidR="001335BA">
        <w:t>being</w:t>
      </w:r>
      <w:r w:rsidR="00F564B4" w:rsidRPr="00E31890">
        <w:t xml:space="preserve"> significantly higher</w:t>
      </w:r>
      <w:r w:rsidR="002A689B">
        <w:t xml:space="preserve"> than the control</w:t>
      </w:r>
      <w:r w:rsidRPr="00E31890">
        <w:t xml:space="preserve"> </w:t>
      </w:r>
      <w:r w:rsidR="003925CB" w:rsidRPr="00E31890">
        <w:t>(</w:t>
      </w:r>
      <w:r w:rsidR="00F564B4" w:rsidRPr="00E31890">
        <w:rPr>
          <w:i/>
          <w:iCs/>
        </w:rPr>
        <w:t>p</w:t>
      </w:r>
      <w:r w:rsidR="00F564B4" w:rsidRPr="00E31890">
        <w:t xml:space="preserve"> &lt; 0.05; </w:t>
      </w:r>
      <w:r w:rsidR="003925CB" w:rsidRPr="00E31890">
        <w:t>Fig. 1B</w:t>
      </w:r>
      <w:r w:rsidRPr="00E31890">
        <w:t>).</w:t>
      </w:r>
      <w:r w:rsidR="009F22B1" w:rsidRPr="00E31890">
        <w:t xml:space="preserve"> </w:t>
      </w:r>
      <w:r w:rsidR="009064D4" w:rsidRPr="00E31890">
        <w:t xml:space="preserve">Treatments that induced a negative </w:t>
      </w:r>
      <w:r w:rsidR="002A689B">
        <w:t xml:space="preserve">real </w:t>
      </w:r>
      <w:r w:rsidR="000C5C69" w:rsidRPr="00E31890">
        <w:t xml:space="preserve">PE </w:t>
      </w:r>
      <w:r w:rsidR="009064D4" w:rsidRPr="00E31890">
        <w:t xml:space="preserve">(relative to the control) </w:t>
      </w:r>
      <w:r w:rsidR="007805C5">
        <w:t>included</w:t>
      </w:r>
      <w:r w:rsidR="007805C5" w:rsidRPr="00E31890">
        <w:t xml:space="preserve"> </w:t>
      </w:r>
      <w:r w:rsidR="009064D4" w:rsidRPr="00E31890">
        <w:t xml:space="preserve">biochar, wood ash, </w:t>
      </w:r>
      <w:r w:rsidR="007805C5">
        <w:t>protein</w:t>
      </w:r>
      <w:r w:rsidR="009064D4" w:rsidRPr="00E31890">
        <w:t>, cellulose, manure and inorganic N fertiliser,</w:t>
      </w:r>
      <w:r w:rsidR="00E95AE6" w:rsidRPr="00E31890">
        <w:t xml:space="preserve"> of which wood ash, </w:t>
      </w:r>
      <w:r w:rsidR="007805C5">
        <w:t>protein</w:t>
      </w:r>
      <w:r w:rsidR="00E95AE6" w:rsidRPr="00E31890">
        <w:t xml:space="preserve">, cellulose, manure and inorganic N addition </w:t>
      </w:r>
      <w:r w:rsidR="0008456C" w:rsidRPr="00E31890">
        <w:t>were significantly lower than the control (</w:t>
      </w:r>
      <w:r w:rsidR="0008456C" w:rsidRPr="00E31890">
        <w:rPr>
          <w:i/>
          <w:iCs/>
        </w:rPr>
        <w:t>p</w:t>
      </w:r>
      <w:r w:rsidR="0008456C" w:rsidRPr="00E31890">
        <w:t xml:space="preserve"> &lt; 0.05; Fig. 1B).</w:t>
      </w:r>
      <w:r w:rsidR="009064D4" w:rsidRPr="00E31890">
        <w:t xml:space="preserve"> </w:t>
      </w:r>
      <w:r w:rsidR="00F6369D" w:rsidRPr="00E31890">
        <w:t xml:space="preserve">There was also a near linear </w:t>
      </w:r>
      <w:r w:rsidR="00D83E5F">
        <w:t>negative</w:t>
      </w:r>
      <w:r w:rsidR="004D2B85">
        <w:t xml:space="preserve"> </w:t>
      </w:r>
      <w:r w:rsidR="00F6369D" w:rsidRPr="00E31890">
        <w:t xml:space="preserve">relationship between the real PE and the proportion of wheat straw to shoots, with shoots only, producing on average 4.6 times larger </w:t>
      </w:r>
      <w:r w:rsidR="002A689B">
        <w:t xml:space="preserve">real </w:t>
      </w:r>
      <w:r w:rsidR="00F6369D" w:rsidRPr="00E31890">
        <w:t>PE than straw only</w:t>
      </w:r>
      <w:r w:rsidR="00D81325" w:rsidRPr="00E31890">
        <w:t>,</w:t>
      </w:r>
      <w:r w:rsidR="0080290C" w:rsidRPr="00E31890">
        <w:t xml:space="preserve"> and the </w:t>
      </w:r>
      <w:r w:rsidR="00D81325" w:rsidRPr="00E31890">
        <w:t>largest positive</w:t>
      </w:r>
      <w:r w:rsidR="0080290C" w:rsidRPr="00E31890">
        <w:t xml:space="preserve"> PE</w:t>
      </w:r>
      <w:r w:rsidR="00D81325" w:rsidRPr="00E31890">
        <w:t xml:space="preserve"> measured</w:t>
      </w:r>
      <w:r w:rsidR="00F6369D" w:rsidRPr="00E31890">
        <w:t>.</w:t>
      </w:r>
      <w:r w:rsidR="00434AF7" w:rsidRPr="00E31890">
        <w:t xml:space="preserve"> </w:t>
      </w:r>
      <w:r w:rsidR="00C27FDD" w:rsidRPr="00E31890">
        <w:t xml:space="preserve">Wood ash produced the most negative </w:t>
      </w:r>
      <w:r w:rsidR="002A689B">
        <w:t xml:space="preserve">real </w:t>
      </w:r>
      <w:r w:rsidR="00C27FDD" w:rsidRPr="00E31890">
        <w:t>PE.</w:t>
      </w:r>
    </w:p>
    <w:p w14:paraId="782685C7" w14:textId="77777777" w:rsidR="001335BA" w:rsidRPr="00E31890" w:rsidRDefault="001335BA" w:rsidP="007510B2">
      <w:pPr>
        <w:spacing w:after="0" w:line="480" w:lineRule="auto"/>
        <w:ind w:firstLine="720"/>
        <w:jc w:val="both"/>
      </w:pPr>
    </w:p>
    <w:p w14:paraId="6F4C61DE" w14:textId="207327A4" w:rsidR="00FA5C2F" w:rsidRPr="00E31890" w:rsidRDefault="00FA5C2F" w:rsidP="007510B2">
      <w:pPr>
        <w:spacing w:after="0" w:line="480" w:lineRule="auto"/>
        <w:jc w:val="both"/>
        <w:rPr>
          <w:i/>
          <w:iCs/>
        </w:rPr>
      </w:pPr>
      <w:r w:rsidRPr="00E31890">
        <w:rPr>
          <w:i/>
          <w:iCs/>
        </w:rPr>
        <w:t>3.</w:t>
      </w:r>
      <w:r w:rsidR="00D83E5F">
        <w:rPr>
          <w:i/>
          <w:iCs/>
        </w:rPr>
        <w:t>2.</w:t>
      </w:r>
      <w:r w:rsidRPr="00E31890">
        <w:rPr>
          <w:i/>
          <w:iCs/>
        </w:rPr>
        <w:t xml:space="preserve"> Soil characteristics</w:t>
      </w:r>
    </w:p>
    <w:p w14:paraId="0AE116F7" w14:textId="074D90E2" w:rsidR="00D83E5F" w:rsidRPr="00F80EA9" w:rsidRDefault="00573E37" w:rsidP="001335BA">
      <w:pPr>
        <w:spacing w:after="0" w:line="480" w:lineRule="auto"/>
        <w:ind w:firstLine="720"/>
        <w:jc w:val="both"/>
      </w:pPr>
      <w:r w:rsidRPr="00E31890">
        <w:t xml:space="preserve">Differences in soil characteristics were assessed between </w:t>
      </w:r>
      <w:r w:rsidR="00942A8D" w:rsidRPr="00E31890">
        <w:t>treatments</w:t>
      </w:r>
      <w:r w:rsidRPr="00E31890">
        <w:t>. There were statistical differences (</w:t>
      </w:r>
      <w:r w:rsidRPr="00E31890">
        <w:rPr>
          <w:i/>
          <w:iCs/>
        </w:rPr>
        <w:t>p</w:t>
      </w:r>
      <w:r w:rsidRPr="00E31890">
        <w:t xml:space="preserve"> &lt; 0.001) between </w:t>
      </w:r>
      <w:r w:rsidR="006C6EB3" w:rsidRPr="00E31890">
        <w:t xml:space="preserve">all </w:t>
      </w:r>
      <w:r w:rsidR="007805C5" w:rsidRPr="00E31890">
        <w:t xml:space="preserve">soil </w:t>
      </w:r>
      <w:r w:rsidR="006C6EB3" w:rsidRPr="00E31890">
        <w:t>treatments</w:t>
      </w:r>
      <w:r w:rsidR="008E256C" w:rsidRPr="00E31890">
        <w:t xml:space="preserve"> in both the apparent and real priming samples</w:t>
      </w:r>
      <w:r w:rsidR="004904AE" w:rsidRPr="00E31890">
        <w:t xml:space="preserve">, except SOM in the real priming </w:t>
      </w:r>
      <w:r w:rsidR="00B9013F" w:rsidRPr="00E31890">
        <w:t>soil samples</w:t>
      </w:r>
      <w:r w:rsidRPr="00E31890">
        <w:t xml:space="preserve"> (Table 1).</w:t>
      </w:r>
      <w:r w:rsidR="00C36E01" w:rsidRPr="00E31890">
        <w:t xml:space="preserve"> Soil ammonium</w:t>
      </w:r>
      <w:r w:rsidR="00D45FA4" w:rsidRPr="00E31890">
        <w:t xml:space="preserve"> was </w:t>
      </w:r>
      <w:r w:rsidR="00812CC7" w:rsidRPr="00E31890">
        <w:t>significantly higher in the inorganic N</w:t>
      </w:r>
      <w:r w:rsidR="00C45B99" w:rsidRPr="00E31890">
        <w:t>,</w:t>
      </w:r>
      <w:r w:rsidR="00812CC7" w:rsidRPr="00E31890">
        <w:t xml:space="preserve"> </w:t>
      </w:r>
      <w:r w:rsidR="00F02B02" w:rsidRPr="00E31890">
        <w:t xml:space="preserve">amino acids and </w:t>
      </w:r>
      <w:r w:rsidR="007805C5">
        <w:t>protein</w:t>
      </w:r>
      <w:r w:rsidR="007805C5" w:rsidRPr="00E31890">
        <w:t xml:space="preserve"> </w:t>
      </w:r>
      <w:r w:rsidR="002D0593" w:rsidRPr="00E31890">
        <w:t>treatments</w:t>
      </w:r>
      <w:r w:rsidR="00DE5421" w:rsidRPr="00E31890">
        <w:t xml:space="preserve"> </w:t>
      </w:r>
      <w:r w:rsidR="00CE2D8C" w:rsidRPr="00E31890">
        <w:t xml:space="preserve">than the control samples </w:t>
      </w:r>
      <w:r w:rsidR="00DE5421" w:rsidRPr="00E31890">
        <w:t>and soil nitrate</w:t>
      </w:r>
      <w:r w:rsidR="00E152B8" w:rsidRPr="00E31890">
        <w:t xml:space="preserve">, </w:t>
      </w:r>
      <w:r w:rsidR="0093103C" w:rsidRPr="00E31890">
        <w:t xml:space="preserve">was significantly </w:t>
      </w:r>
      <w:r w:rsidR="00744D86" w:rsidRPr="00E31890">
        <w:t xml:space="preserve">lower than </w:t>
      </w:r>
      <w:r w:rsidR="00A03283" w:rsidRPr="00E31890">
        <w:t xml:space="preserve">then control in </w:t>
      </w:r>
      <w:r w:rsidR="002F5B5C" w:rsidRPr="00E31890">
        <w:t>all</w:t>
      </w:r>
      <w:r w:rsidR="00377051" w:rsidRPr="00E31890">
        <w:t xml:space="preserve"> the</w:t>
      </w:r>
      <w:r w:rsidR="002F5B5C" w:rsidRPr="00E31890">
        <w:t xml:space="preserve"> plant ratios</w:t>
      </w:r>
      <w:r w:rsidR="006C7A2A" w:rsidRPr="00E31890">
        <w:t>,</w:t>
      </w:r>
      <w:r w:rsidR="00377051" w:rsidRPr="00E31890">
        <w:t xml:space="preserve"> as well as the</w:t>
      </w:r>
      <w:r w:rsidR="002F5B5C" w:rsidRPr="00E31890">
        <w:t xml:space="preserve"> amino acid</w:t>
      </w:r>
      <w:r w:rsidR="00602916" w:rsidRPr="00E31890">
        <w:t>, slurry, manure</w:t>
      </w:r>
      <w:r w:rsidR="00B22F6F" w:rsidRPr="00E31890">
        <w:t>, cellulose and glucose treatments</w:t>
      </w:r>
      <w:r w:rsidR="00E43FA2" w:rsidRPr="00E31890">
        <w:t xml:space="preserve"> </w:t>
      </w:r>
      <w:r w:rsidR="00D040CD" w:rsidRPr="00E31890">
        <w:t xml:space="preserve">in the real </w:t>
      </w:r>
      <w:r w:rsidR="00E1044B" w:rsidRPr="00E31890">
        <w:t>priming soil</w:t>
      </w:r>
      <w:r w:rsidR="00196C0B" w:rsidRPr="00E31890">
        <w:t xml:space="preserve"> (</w:t>
      </w:r>
      <w:r w:rsidR="00196C0B" w:rsidRPr="00E31890">
        <w:rPr>
          <w:i/>
          <w:iCs/>
        </w:rPr>
        <w:t>p</w:t>
      </w:r>
      <w:r w:rsidR="00196C0B" w:rsidRPr="00E31890">
        <w:t xml:space="preserve"> &lt; 0.05)</w:t>
      </w:r>
      <w:r w:rsidR="00E1044B" w:rsidRPr="00E31890">
        <w:t xml:space="preserve">. </w:t>
      </w:r>
      <w:r w:rsidR="00AC74AB" w:rsidRPr="00E31890">
        <w:t xml:space="preserve">In the apparent priming soil, soil ammonium was significantly higher </w:t>
      </w:r>
      <w:r w:rsidR="00242A0E" w:rsidRPr="00E31890">
        <w:t xml:space="preserve">in all treatments </w:t>
      </w:r>
      <w:r w:rsidR="00742B5B" w:rsidRPr="00E31890">
        <w:t xml:space="preserve">except the 100:0 and 25:75 plant ratios, the </w:t>
      </w:r>
      <w:r w:rsidR="00B00A8F" w:rsidRPr="00E31890">
        <w:t>wood ash and biochar</w:t>
      </w:r>
      <w:r w:rsidR="00CC7056" w:rsidRPr="00E31890">
        <w:t xml:space="preserve"> (</w:t>
      </w:r>
      <w:r w:rsidR="00CC7056" w:rsidRPr="00E31890">
        <w:rPr>
          <w:i/>
          <w:iCs/>
        </w:rPr>
        <w:t>p</w:t>
      </w:r>
      <w:r w:rsidR="00CC7056" w:rsidRPr="00E31890">
        <w:t xml:space="preserve"> </w:t>
      </w:r>
      <w:r w:rsidR="003E3E3C">
        <w:t>&gt;</w:t>
      </w:r>
      <w:r w:rsidR="003E3E3C" w:rsidRPr="00E31890">
        <w:t xml:space="preserve"> </w:t>
      </w:r>
      <w:r w:rsidR="00CC7056" w:rsidRPr="00E31890">
        <w:t>0.05)</w:t>
      </w:r>
      <w:r w:rsidR="00B00A8F" w:rsidRPr="00E31890">
        <w:t xml:space="preserve">, with the inorganic N, </w:t>
      </w:r>
      <w:r w:rsidR="007805C5">
        <w:t>protein</w:t>
      </w:r>
      <w:r w:rsidR="007805C5" w:rsidRPr="00E31890">
        <w:t xml:space="preserve"> </w:t>
      </w:r>
      <w:r w:rsidR="00B00A8F" w:rsidRPr="00E31890">
        <w:t xml:space="preserve">and </w:t>
      </w:r>
      <w:r w:rsidR="00CC7056" w:rsidRPr="00E31890">
        <w:t xml:space="preserve">amino acids having the highest concentrations. </w:t>
      </w:r>
      <w:r w:rsidR="00710C58" w:rsidRPr="00E31890">
        <w:t xml:space="preserve">Soil nitrate was </w:t>
      </w:r>
      <w:r w:rsidR="0075669C" w:rsidRPr="00E31890">
        <w:t xml:space="preserve">significantly higher than the control in </w:t>
      </w:r>
      <w:r w:rsidR="008F4851" w:rsidRPr="00E31890">
        <w:t xml:space="preserve">the inorganic N and </w:t>
      </w:r>
      <w:r w:rsidR="007805C5">
        <w:t xml:space="preserve">protein </w:t>
      </w:r>
      <w:r w:rsidR="008F4851" w:rsidRPr="00E31890">
        <w:t>treatment</w:t>
      </w:r>
      <w:r w:rsidR="00B8474A" w:rsidRPr="00E31890">
        <w:t>s (</w:t>
      </w:r>
      <w:r w:rsidR="00B8474A" w:rsidRPr="00E31890">
        <w:rPr>
          <w:i/>
          <w:iCs/>
        </w:rPr>
        <w:t>p</w:t>
      </w:r>
      <w:r w:rsidR="00B8474A" w:rsidRPr="00E31890">
        <w:t xml:space="preserve"> &lt; 0.05)</w:t>
      </w:r>
      <w:r w:rsidR="008F4851" w:rsidRPr="00E31890">
        <w:t xml:space="preserve">. </w:t>
      </w:r>
      <w:r w:rsidR="00F4211F" w:rsidRPr="00E31890">
        <w:t xml:space="preserve">In the real priming </w:t>
      </w:r>
      <w:r w:rsidR="00EE1416">
        <w:t xml:space="preserve">soil </w:t>
      </w:r>
      <w:r w:rsidR="007805C5">
        <w:t>available P</w:t>
      </w:r>
      <w:r w:rsidR="007805C5" w:rsidRPr="00E31890">
        <w:t xml:space="preserve"> </w:t>
      </w:r>
      <w:r w:rsidR="003B060A" w:rsidRPr="00E31890">
        <w:t xml:space="preserve">concentrations were generally lower than the </w:t>
      </w:r>
      <w:r w:rsidR="00AC21D5" w:rsidRPr="00E31890">
        <w:lastRenderedPageBreak/>
        <w:t>apparent priming soil.</w:t>
      </w:r>
      <w:r w:rsidR="00D83E5F" w:rsidRPr="00D83E5F">
        <w:rPr>
          <w:i/>
          <w:iCs/>
        </w:rPr>
        <w:t xml:space="preserve"> </w:t>
      </w:r>
      <w:r w:rsidR="009C56D9">
        <w:t xml:space="preserve">Distribution of </w:t>
      </w:r>
      <w:r w:rsidR="009C56D9">
        <w:rPr>
          <w:vertAlign w:val="superscript"/>
        </w:rPr>
        <w:t>14</w:t>
      </w:r>
      <w:r w:rsidR="009C56D9">
        <w:t>C activity in</w:t>
      </w:r>
      <w:r w:rsidR="00FB2CEB">
        <w:t xml:space="preserve"> aggregates </w:t>
      </w:r>
      <w:r w:rsidR="009B7163">
        <w:t xml:space="preserve">of the labelled soil </w:t>
      </w:r>
      <w:r w:rsidR="00FB2CEB">
        <w:t xml:space="preserve">was significantly higher in </w:t>
      </w:r>
      <w:r w:rsidR="009B7163">
        <w:t>large macro-aggregates than micro-aggregates (</w:t>
      </w:r>
      <w:r w:rsidR="009B7163">
        <w:rPr>
          <w:i/>
          <w:iCs/>
        </w:rPr>
        <w:t>p</w:t>
      </w:r>
      <w:r w:rsidR="009B7163">
        <w:t xml:space="preserve"> &lt; 0.05)</w:t>
      </w:r>
      <w:r w:rsidR="00E24F3E">
        <w:t>.</w:t>
      </w:r>
    </w:p>
    <w:p w14:paraId="75852BD9" w14:textId="77777777" w:rsidR="001335BA" w:rsidRDefault="001335BA" w:rsidP="001335BA">
      <w:pPr>
        <w:spacing w:after="0" w:line="480" w:lineRule="auto"/>
        <w:ind w:firstLine="720"/>
        <w:jc w:val="both"/>
        <w:rPr>
          <w:i/>
          <w:iCs/>
        </w:rPr>
      </w:pPr>
    </w:p>
    <w:p w14:paraId="71B2AF4C" w14:textId="3CAD88B6" w:rsidR="00D83E5F" w:rsidRPr="00E31890" w:rsidRDefault="00D83E5F" w:rsidP="007510B2">
      <w:pPr>
        <w:spacing w:after="0" w:line="480" w:lineRule="auto"/>
        <w:jc w:val="both"/>
        <w:rPr>
          <w:i/>
          <w:iCs/>
        </w:rPr>
      </w:pPr>
      <w:r w:rsidRPr="00E31890">
        <w:rPr>
          <w:i/>
          <w:iCs/>
        </w:rPr>
        <w:t>3.</w:t>
      </w:r>
      <w:r>
        <w:rPr>
          <w:i/>
          <w:iCs/>
        </w:rPr>
        <w:t>3</w:t>
      </w:r>
      <w:r w:rsidRPr="00E31890">
        <w:rPr>
          <w:i/>
          <w:iCs/>
        </w:rPr>
        <w:t>. Soil factors affecting C priming</w:t>
      </w:r>
    </w:p>
    <w:p w14:paraId="6EFBEB7F" w14:textId="13A360CA" w:rsidR="00D83E5F" w:rsidRPr="00E31890" w:rsidRDefault="00D83E5F" w:rsidP="007510B2">
      <w:pPr>
        <w:spacing w:after="0" w:line="480" w:lineRule="auto"/>
        <w:jc w:val="both"/>
      </w:pPr>
      <w:r w:rsidRPr="00E31890">
        <w:tab/>
        <w:t xml:space="preserve">Kendall correlation analysis was used to assess the relationship between key soil </w:t>
      </w:r>
      <w:r>
        <w:t>chemi</w:t>
      </w:r>
      <w:r w:rsidR="001335BA">
        <w:t>cal quality in indicators</w:t>
      </w:r>
      <w:r w:rsidRPr="00E31890">
        <w:t xml:space="preserve"> and the priming effect of </w:t>
      </w:r>
      <w:r w:rsidR="001335BA">
        <w:t xml:space="preserve">the different </w:t>
      </w:r>
      <w:r w:rsidRPr="00E31890">
        <w:t xml:space="preserve">substrates (Table </w:t>
      </w:r>
      <w:r w:rsidR="00E400B6">
        <w:t>3</w:t>
      </w:r>
      <w:r w:rsidRPr="00E31890">
        <w:t xml:space="preserve">). </w:t>
      </w:r>
      <w:r>
        <w:t>Overall, t</w:t>
      </w:r>
      <w:r w:rsidRPr="00E31890">
        <w:t xml:space="preserve">here were no strong relationships for either the apparent or real PE, and little consistency of relationship across the two assays. The strongest was between the initial C:N ratio of the treatment for both real and apparent PE, implying higher C:N ratios relate to lower PEs. </w:t>
      </w:r>
    </w:p>
    <w:p w14:paraId="0D82CEE4" w14:textId="51864EC3" w:rsidR="00FA5C2F" w:rsidRPr="00E31890" w:rsidRDefault="00FA5C2F" w:rsidP="007510B2">
      <w:pPr>
        <w:spacing w:after="0" w:line="480" w:lineRule="auto"/>
        <w:ind w:firstLine="720"/>
        <w:jc w:val="both"/>
      </w:pPr>
    </w:p>
    <w:p w14:paraId="0324E636" w14:textId="12D83950" w:rsidR="008F559A" w:rsidRPr="00E31890" w:rsidRDefault="000A0664" w:rsidP="007510B2">
      <w:pPr>
        <w:spacing w:after="0" w:line="480" w:lineRule="auto"/>
        <w:jc w:val="both"/>
        <w:rPr>
          <w:b/>
          <w:bCs/>
        </w:rPr>
      </w:pPr>
      <w:r w:rsidRPr="00E31890">
        <w:rPr>
          <w:b/>
          <w:bCs/>
        </w:rPr>
        <w:t>4</w:t>
      </w:r>
      <w:r w:rsidR="008F559A" w:rsidRPr="00E31890">
        <w:rPr>
          <w:b/>
          <w:bCs/>
        </w:rPr>
        <w:t>. Discussion</w:t>
      </w:r>
    </w:p>
    <w:p w14:paraId="0C1B707B" w14:textId="28CD3EB7" w:rsidR="009A366E" w:rsidRPr="00E31890" w:rsidRDefault="009A366E" w:rsidP="007510B2">
      <w:pPr>
        <w:spacing w:after="0" w:line="480" w:lineRule="auto"/>
        <w:jc w:val="both"/>
        <w:rPr>
          <w:i/>
          <w:iCs/>
        </w:rPr>
      </w:pPr>
      <w:r w:rsidRPr="00E31890">
        <w:rPr>
          <w:i/>
          <w:iCs/>
        </w:rPr>
        <w:t xml:space="preserve">4.1. </w:t>
      </w:r>
      <w:r w:rsidR="0001380E" w:rsidRPr="00E31890">
        <w:rPr>
          <w:i/>
          <w:iCs/>
        </w:rPr>
        <w:t>Priming effect by substrate</w:t>
      </w:r>
      <w:r w:rsidR="00560653" w:rsidRPr="00E31890">
        <w:rPr>
          <w:i/>
          <w:iCs/>
        </w:rPr>
        <w:t xml:space="preserve"> </w:t>
      </w:r>
    </w:p>
    <w:p w14:paraId="5218A7EF" w14:textId="33EF2A4D" w:rsidR="00560653" w:rsidRPr="00E31890" w:rsidRDefault="00560653" w:rsidP="007510B2">
      <w:pPr>
        <w:spacing w:after="0" w:line="480" w:lineRule="auto"/>
        <w:jc w:val="both"/>
        <w:rPr>
          <w:i/>
          <w:iCs/>
        </w:rPr>
      </w:pPr>
      <w:r w:rsidRPr="00E31890">
        <w:rPr>
          <w:i/>
          <w:iCs/>
        </w:rPr>
        <w:t>4.1.1 Biochar</w:t>
      </w:r>
      <w:r w:rsidR="00BE410C" w:rsidRPr="00E31890">
        <w:rPr>
          <w:i/>
          <w:iCs/>
        </w:rPr>
        <w:t xml:space="preserve"> and wood ash</w:t>
      </w:r>
    </w:p>
    <w:p w14:paraId="20CCA748" w14:textId="45BBDE6E" w:rsidR="00C8207C" w:rsidRPr="00E31890" w:rsidRDefault="00560653" w:rsidP="007510B2">
      <w:pPr>
        <w:spacing w:after="0" w:line="480" w:lineRule="auto"/>
        <w:jc w:val="both"/>
      </w:pPr>
      <w:r w:rsidRPr="00E31890">
        <w:rPr>
          <w:i/>
          <w:iCs/>
        </w:rPr>
        <w:tab/>
      </w:r>
      <w:r w:rsidR="00EE4E6D" w:rsidRPr="00E31890">
        <w:t xml:space="preserve">Biochar is a </w:t>
      </w:r>
      <w:r w:rsidR="00D83AB1" w:rsidRPr="00E31890">
        <w:t xml:space="preserve">recalcitrant, organic </w:t>
      </w:r>
      <w:r w:rsidR="00E505E7">
        <w:t>C-</w:t>
      </w:r>
      <w:r w:rsidR="00D83AB1" w:rsidRPr="00E31890">
        <w:t>rich material</w:t>
      </w:r>
      <w:r w:rsidR="00E505E7">
        <w:t xml:space="preserve"> and</w:t>
      </w:r>
      <w:r w:rsidR="001C6D04" w:rsidRPr="00E31890">
        <w:t xml:space="preserve"> its production and use</w:t>
      </w:r>
      <w:r w:rsidR="00F47A93" w:rsidRPr="00E31890">
        <w:t xml:space="preserve"> as a </w:t>
      </w:r>
      <w:r w:rsidR="009B6409" w:rsidRPr="00E31890">
        <w:t>soil amendment</w:t>
      </w:r>
      <w:r w:rsidR="00F47A93" w:rsidRPr="00E31890">
        <w:t xml:space="preserve"> has been proposed as a </w:t>
      </w:r>
      <w:r w:rsidR="001D50B0">
        <w:t>nature</w:t>
      </w:r>
      <w:r w:rsidR="009B6409" w:rsidRPr="00E31890">
        <w:t>-based</w:t>
      </w:r>
      <w:r w:rsidR="00F47A93" w:rsidRPr="00E31890">
        <w:t xml:space="preserve"> solution to mitigate climate change</w:t>
      </w:r>
      <w:r w:rsidR="00575140" w:rsidRPr="00E31890">
        <w:t xml:space="preserve"> (Lehmann et al., 2021)</w:t>
      </w:r>
      <w:r w:rsidR="00D83AB1" w:rsidRPr="00E31890">
        <w:t>.</w:t>
      </w:r>
      <w:r w:rsidR="0015183E" w:rsidRPr="00E31890">
        <w:t xml:space="preserve"> </w:t>
      </w:r>
      <w:r w:rsidR="00D02AA0" w:rsidRPr="00E31890">
        <w:t>U</w:t>
      </w:r>
      <w:r w:rsidR="0096106E" w:rsidRPr="00E31890">
        <w:t>nderstanding its</w:t>
      </w:r>
      <w:r w:rsidR="00BB2824" w:rsidRPr="00E31890">
        <w:t xml:space="preserve"> </w:t>
      </w:r>
      <w:r w:rsidR="009B6409" w:rsidRPr="00E31890">
        <w:t xml:space="preserve">impact </w:t>
      </w:r>
      <w:r w:rsidR="00BB2824" w:rsidRPr="00E31890">
        <w:t xml:space="preserve">on soil </w:t>
      </w:r>
      <w:r w:rsidR="00E505E7">
        <w:t>C</w:t>
      </w:r>
      <w:r w:rsidR="00E505E7" w:rsidRPr="00E31890">
        <w:t xml:space="preserve"> </w:t>
      </w:r>
      <w:r w:rsidR="00BB2824" w:rsidRPr="00E31890">
        <w:t xml:space="preserve">cycling </w:t>
      </w:r>
      <w:r w:rsidR="009E0B53" w:rsidRPr="00E31890">
        <w:t xml:space="preserve">and the </w:t>
      </w:r>
      <w:r w:rsidR="00E505E7">
        <w:t>SOC priming</w:t>
      </w:r>
      <w:r w:rsidR="009E0B53" w:rsidRPr="00E31890">
        <w:t xml:space="preserve"> is key</w:t>
      </w:r>
      <w:r w:rsidR="00D02AA0" w:rsidRPr="00E31890">
        <w:t xml:space="preserve"> to widescale deployment</w:t>
      </w:r>
      <w:r w:rsidR="009E0B53" w:rsidRPr="00E31890">
        <w:t>. Here,</w:t>
      </w:r>
      <w:r w:rsidR="00BB2824" w:rsidRPr="00E31890">
        <w:t xml:space="preserve"> </w:t>
      </w:r>
      <w:r w:rsidR="00E92C70" w:rsidRPr="00E31890">
        <w:t xml:space="preserve">we showed that the effect of biochar addition </w:t>
      </w:r>
      <w:r w:rsidR="004D2B85">
        <w:t xml:space="preserve">applied at an equivalent rate of </w:t>
      </w:r>
      <w:r w:rsidR="00135C7E">
        <w:t xml:space="preserve">10 </w:t>
      </w:r>
      <w:r w:rsidR="004D2B85">
        <w:t>t ha</w:t>
      </w:r>
      <w:r w:rsidR="004D2B85" w:rsidRPr="00135C7E">
        <w:rPr>
          <w:vertAlign w:val="superscript"/>
        </w:rPr>
        <w:t>-1</w:t>
      </w:r>
      <w:r w:rsidR="004D2B85">
        <w:t xml:space="preserve"> </w:t>
      </w:r>
      <w:r w:rsidR="003D57C1" w:rsidRPr="00E31890">
        <w:t xml:space="preserve">causes a </w:t>
      </w:r>
      <w:r w:rsidR="005A2E8D" w:rsidRPr="00E31890">
        <w:t>small positive apparent PE</w:t>
      </w:r>
      <w:r w:rsidR="00EA7840" w:rsidRPr="00E31890">
        <w:t xml:space="preserve">, possibly </w:t>
      </w:r>
      <w:r w:rsidR="00E505E7">
        <w:t>due to the introduction of a</w:t>
      </w:r>
      <w:r w:rsidR="006D2571" w:rsidRPr="00E31890">
        <w:t xml:space="preserve"> small amount of</w:t>
      </w:r>
      <w:r w:rsidR="00C72F5C" w:rsidRPr="00E31890">
        <w:t xml:space="preserve"> lab</w:t>
      </w:r>
      <w:r w:rsidR="00E505E7">
        <w:t>i</w:t>
      </w:r>
      <w:r w:rsidR="00C72F5C" w:rsidRPr="00E31890">
        <w:t xml:space="preserve">le C </w:t>
      </w:r>
      <w:r w:rsidR="00E505E7">
        <w:t>which</w:t>
      </w:r>
      <w:r w:rsidR="00E505E7" w:rsidRPr="00E31890">
        <w:t xml:space="preserve"> </w:t>
      </w:r>
      <w:r w:rsidR="00E505E7">
        <w:t>was</w:t>
      </w:r>
      <w:r w:rsidR="00E505E7" w:rsidRPr="00E31890">
        <w:t xml:space="preserve"> </w:t>
      </w:r>
      <w:r w:rsidR="00E505E7">
        <w:t xml:space="preserve">subsequently </w:t>
      </w:r>
      <w:r w:rsidR="006D2571" w:rsidRPr="00E31890">
        <w:t>catabolised by the microbial community</w:t>
      </w:r>
      <w:r w:rsidR="00E505E7">
        <w:t xml:space="preserve"> (Jones et al., 2011). In addition, it caused </w:t>
      </w:r>
      <w:r w:rsidR="005A2E8D" w:rsidRPr="00E31890">
        <w:t>a negative real PE</w:t>
      </w:r>
      <w:r w:rsidR="0096448F">
        <w:t xml:space="preserve"> </w:t>
      </w:r>
      <w:r w:rsidR="0096448F" w:rsidRPr="00E31890">
        <w:t>(Fig</w:t>
      </w:r>
      <w:r w:rsidR="0096448F">
        <w:t>.</w:t>
      </w:r>
      <w:r w:rsidR="0096448F" w:rsidRPr="00E31890">
        <w:t xml:space="preserve"> </w:t>
      </w:r>
      <w:r w:rsidR="00495309">
        <w:t>1</w:t>
      </w:r>
      <w:r w:rsidR="0096448F" w:rsidRPr="00E31890">
        <w:t>A)</w:t>
      </w:r>
      <w:r w:rsidR="001D50B0">
        <w:t>;</w:t>
      </w:r>
      <w:r w:rsidR="004133D0">
        <w:t xml:space="preserve"> this is likely due to the surface charges on the char </w:t>
      </w:r>
      <w:r w:rsidR="0096448F">
        <w:t>creating a sorption effect</w:t>
      </w:r>
      <w:r w:rsidR="00B56F51">
        <w:t>, immobilising</w:t>
      </w:r>
      <w:r w:rsidR="0096448F">
        <w:t xml:space="preserve"> </w:t>
      </w:r>
      <w:r w:rsidR="00027ECB">
        <w:t>nutrients</w:t>
      </w:r>
      <w:r w:rsidR="001D50B0">
        <w:t xml:space="preserve">, </w:t>
      </w:r>
      <w:r w:rsidR="00360FC4">
        <w:t>exo</w:t>
      </w:r>
      <w:r w:rsidR="00027ECB">
        <w:t xml:space="preserve">enzymes </w:t>
      </w:r>
      <w:r w:rsidR="001D50B0">
        <w:t xml:space="preserve">and signalling molecules </w:t>
      </w:r>
      <w:r w:rsidR="00360FC4">
        <w:t xml:space="preserve">which play key roles in SOM turnover </w:t>
      </w:r>
      <w:r w:rsidR="00027ECB">
        <w:t>(</w:t>
      </w:r>
      <w:r w:rsidR="009F50E5">
        <w:t>Fid</w:t>
      </w:r>
      <w:r w:rsidR="002E4660">
        <w:t xml:space="preserve">el et al., 2018; </w:t>
      </w:r>
      <w:r w:rsidR="00027ECB">
        <w:t>Foster et al., 2018</w:t>
      </w:r>
      <w:r w:rsidR="004041B6">
        <w:t>; Ibrahim et al., 2020</w:t>
      </w:r>
      <w:r w:rsidR="00027ECB">
        <w:t>)</w:t>
      </w:r>
      <w:r w:rsidR="005A2E8D" w:rsidRPr="00E31890">
        <w:t>.</w:t>
      </w:r>
      <w:r w:rsidR="0004464A" w:rsidRPr="00E31890">
        <w:t xml:space="preserve"> </w:t>
      </w:r>
      <w:r w:rsidR="00050807" w:rsidRPr="00E31890">
        <w:t>Biochar has previously</w:t>
      </w:r>
      <w:r w:rsidR="0079232B" w:rsidRPr="00E31890">
        <w:t xml:space="preserve"> be</w:t>
      </w:r>
      <w:r w:rsidR="009B2F71" w:rsidRPr="00E31890">
        <w:t>e</w:t>
      </w:r>
      <w:r w:rsidR="0079232B" w:rsidRPr="00E31890">
        <w:t>n show</w:t>
      </w:r>
      <w:r w:rsidR="009B2F71" w:rsidRPr="00E31890">
        <w:t>n</w:t>
      </w:r>
      <w:r w:rsidR="0079232B" w:rsidRPr="00E31890">
        <w:t xml:space="preserve"> to </w:t>
      </w:r>
      <w:r w:rsidR="002B2843" w:rsidRPr="00E31890">
        <w:t xml:space="preserve">have a </w:t>
      </w:r>
      <w:r w:rsidR="001641C9" w:rsidRPr="00E31890">
        <w:t>variable</w:t>
      </w:r>
      <w:r w:rsidR="002B2843" w:rsidRPr="00E31890">
        <w:t xml:space="preserve"> effect on </w:t>
      </w:r>
      <w:r w:rsidR="001641C9" w:rsidRPr="00E31890">
        <w:t>native SOC, with some studies showing</w:t>
      </w:r>
      <w:r w:rsidR="00136F1C" w:rsidRPr="00E31890">
        <w:t xml:space="preserve"> a</w:t>
      </w:r>
      <w:r w:rsidR="001641C9" w:rsidRPr="00E31890">
        <w:t xml:space="preserve"> positive </w:t>
      </w:r>
      <w:r w:rsidR="00136F1C" w:rsidRPr="00E31890">
        <w:t>PE</w:t>
      </w:r>
      <w:r w:rsidR="001641C9" w:rsidRPr="00E31890">
        <w:t xml:space="preserve"> </w:t>
      </w:r>
      <w:r w:rsidR="00091486" w:rsidRPr="00E31890">
        <w:t>(Singh et al., 2014;</w:t>
      </w:r>
      <w:r w:rsidR="00310CCA" w:rsidRPr="00E31890">
        <w:t xml:space="preserve"> Fang et al., 201</w:t>
      </w:r>
      <w:r w:rsidR="00994041" w:rsidRPr="00E31890">
        <w:t>9)</w:t>
      </w:r>
      <w:r w:rsidR="001641C9" w:rsidRPr="00E31890">
        <w:t>, while others show</w:t>
      </w:r>
      <w:r w:rsidR="004B651A" w:rsidRPr="00E31890">
        <w:t>ing</w:t>
      </w:r>
      <w:r w:rsidR="001641C9" w:rsidRPr="00E31890">
        <w:t xml:space="preserve"> </w:t>
      </w:r>
      <w:r w:rsidR="004B651A" w:rsidRPr="00E31890">
        <w:t xml:space="preserve">a </w:t>
      </w:r>
      <w:r w:rsidR="001641C9" w:rsidRPr="00E31890">
        <w:t xml:space="preserve">negative </w:t>
      </w:r>
      <w:r w:rsidR="00136F1C" w:rsidRPr="00E31890">
        <w:t>PE</w:t>
      </w:r>
      <w:r w:rsidR="001641C9" w:rsidRPr="00E31890">
        <w:t xml:space="preserve"> </w:t>
      </w:r>
      <w:r w:rsidR="001A5F8C" w:rsidRPr="00E31890">
        <w:t>(</w:t>
      </w:r>
      <w:r w:rsidR="00AA7452" w:rsidRPr="00E31890">
        <w:t xml:space="preserve">Liu et al., 2018; </w:t>
      </w:r>
      <w:r w:rsidR="003B09D9" w:rsidRPr="00E31890">
        <w:t>Wang et al., 2020</w:t>
      </w:r>
      <w:r w:rsidR="00065AAD" w:rsidRPr="00E31890">
        <w:t>)</w:t>
      </w:r>
      <w:r w:rsidR="009068F8" w:rsidRPr="00E31890">
        <w:t xml:space="preserve">. </w:t>
      </w:r>
      <w:r w:rsidR="00307FAB" w:rsidRPr="00E31890">
        <w:t xml:space="preserve">Due to </w:t>
      </w:r>
      <w:r w:rsidR="00C7366B" w:rsidRPr="00E31890">
        <w:t xml:space="preserve">the </w:t>
      </w:r>
      <w:r w:rsidR="002D7105" w:rsidRPr="00E31890">
        <w:t>low utili</w:t>
      </w:r>
      <w:r w:rsidR="00E505E7">
        <w:t>s</w:t>
      </w:r>
      <w:r w:rsidR="002D7105" w:rsidRPr="00E31890">
        <w:t>a</w:t>
      </w:r>
      <w:r w:rsidR="00381C13">
        <w:t xml:space="preserve">tion </w:t>
      </w:r>
      <w:r w:rsidR="00C7366B" w:rsidRPr="00E31890">
        <w:t xml:space="preserve">of </w:t>
      </w:r>
      <w:r w:rsidR="00E505E7">
        <w:t>C</w:t>
      </w:r>
      <w:r w:rsidR="00E505E7" w:rsidRPr="00E31890">
        <w:t xml:space="preserve"> </w:t>
      </w:r>
      <w:r w:rsidR="00C7366B" w:rsidRPr="00E31890">
        <w:t xml:space="preserve">within biochar and the fact that </w:t>
      </w:r>
      <w:r w:rsidR="00E505E7">
        <w:t>the biochar particles are</w:t>
      </w:r>
      <w:r w:rsidR="00C7366B" w:rsidRPr="00E31890">
        <w:t xml:space="preserve"> relatively </w:t>
      </w:r>
      <w:r w:rsidR="00C8207C" w:rsidRPr="00E31890">
        <w:t>inhospitable</w:t>
      </w:r>
      <w:r w:rsidR="0077736A" w:rsidRPr="00E31890">
        <w:t xml:space="preserve"> for the soil microbial community</w:t>
      </w:r>
      <w:r w:rsidR="000E4205" w:rsidRPr="00E31890">
        <w:t>, there is</w:t>
      </w:r>
      <w:r w:rsidR="00065AAD" w:rsidRPr="00E31890">
        <w:t>, in theory</w:t>
      </w:r>
      <w:r w:rsidR="0055659F" w:rsidRPr="00E31890">
        <w:t>,</w:t>
      </w:r>
      <w:r w:rsidR="00065AAD" w:rsidRPr="00E31890">
        <w:t xml:space="preserve"> little </w:t>
      </w:r>
      <w:r w:rsidR="0055659F" w:rsidRPr="00E31890">
        <w:t>biological mineralisation</w:t>
      </w:r>
      <w:r w:rsidR="000C2351" w:rsidRPr="00E31890">
        <w:t>, particularly in the short to medium term</w:t>
      </w:r>
      <w:r w:rsidR="001D1E52" w:rsidRPr="00E31890">
        <w:t xml:space="preserve"> (Quilliam et al., 2013)</w:t>
      </w:r>
      <w:r w:rsidR="0055659F" w:rsidRPr="00E31890">
        <w:t>. However,</w:t>
      </w:r>
      <w:r w:rsidR="00135C7E">
        <w:t xml:space="preserve"> application rate,</w:t>
      </w:r>
      <w:r w:rsidR="0055659F" w:rsidRPr="00E31890">
        <w:t xml:space="preserve"> partic</w:t>
      </w:r>
      <w:r w:rsidR="001D1E52" w:rsidRPr="00E31890">
        <w:t xml:space="preserve">le size and </w:t>
      </w:r>
      <w:r w:rsidR="00BE4F9A" w:rsidRPr="00E31890">
        <w:t>pyrolysis conditions</w:t>
      </w:r>
      <w:r w:rsidR="004B379B" w:rsidRPr="00E31890">
        <w:t xml:space="preserve"> </w:t>
      </w:r>
      <w:r w:rsidR="004B379B" w:rsidRPr="00E31890">
        <w:lastRenderedPageBreak/>
        <w:t>(</w:t>
      </w:r>
      <w:r w:rsidR="00835FEC" w:rsidRPr="00E31890">
        <w:t>lower temperature, reduces stability)</w:t>
      </w:r>
      <w:r w:rsidR="00BE4F9A" w:rsidRPr="00E31890">
        <w:t xml:space="preserve"> are likely to have a significant </w:t>
      </w:r>
      <w:r w:rsidR="008D4905" w:rsidRPr="00E31890">
        <w:t xml:space="preserve">impact on </w:t>
      </w:r>
      <w:r w:rsidR="004B379B" w:rsidRPr="00E31890">
        <w:t>the availability and stability of the C</w:t>
      </w:r>
      <w:r w:rsidR="00835FEC" w:rsidRPr="00E31890">
        <w:t xml:space="preserve"> </w:t>
      </w:r>
      <w:r w:rsidR="00795035" w:rsidRPr="00E31890">
        <w:t>(Wang et al., 2022)</w:t>
      </w:r>
      <w:r w:rsidR="004B379B" w:rsidRPr="00E31890">
        <w:t>.</w:t>
      </w:r>
    </w:p>
    <w:p w14:paraId="6B10DC8C" w14:textId="65C18EAB" w:rsidR="001F43DB" w:rsidRDefault="001F43DB" w:rsidP="007510B2">
      <w:pPr>
        <w:spacing w:after="0" w:line="480" w:lineRule="auto"/>
        <w:jc w:val="both"/>
      </w:pPr>
      <w:r w:rsidRPr="00E31890">
        <w:tab/>
        <w:t xml:space="preserve">Wood ash is </w:t>
      </w:r>
      <w:r w:rsidR="001D512E" w:rsidRPr="00E31890">
        <w:t>commonly utilised as a</w:t>
      </w:r>
      <w:r w:rsidRPr="00E31890">
        <w:t xml:space="preserve"> </w:t>
      </w:r>
      <w:r w:rsidR="00EB737D" w:rsidRPr="00E31890">
        <w:t xml:space="preserve">soil improver, </w:t>
      </w:r>
      <w:r w:rsidR="00C42314" w:rsidRPr="00E31890">
        <w:t xml:space="preserve">providing </w:t>
      </w:r>
      <w:r w:rsidR="00BE3A2F" w:rsidRPr="00E31890">
        <w:t>nutrients (Ca, Mg, P and K</w:t>
      </w:r>
      <w:r w:rsidR="00B81E92" w:rsidRPr="00E31890">
        <w:t xml:space="preserve"> as well as trace elements</w:t>
      </w:r>
      <w:r w:rsidR="00BE3A2F" w:rsidRPr="00E31890">
        <w:t>) and increasing pH</w:t>
      </w:r>
      <w:r w:rsidR="0011181F" w:rsidRPr="00E31890">
        <w:t xml:space="preserve"> (</w:t>
      </w:r>
      <w:proofErr w:type="spellStart"/>
      <w:r w:rsidR="000C2351" w:rsidRPr="00E31890">
        <w:t>De</w:t>
      </w:r>
      <w:r w:rsidR="00807041" w:rsidRPr="00E31890">
        <w:t>meyer</w:t>
      </w:r>
      <w:proofErr w:type="spellEnd"/>
      <w:r w:rsidR="00807041" w:rsidRPr="00E31890">
        <w:t xml:space="preserve"> et al., 2001)</w:t>
      </w:r>
      <w:r w:rsidR="00BE3A2F" w:rsidRPr="00E31890">
        <w:t xml:space="preserve">. </w:t>
      </w:r>
      <w:r w:rsidR="002A4CB1" w:rsidRPr="00E31890">
        <w:t>Consistent with the results of this study</w:t>
      </w:r>
      <w:r w:rsidR="00D62FF9" w:rsidRPr="00E31890">
        <w:t>, w</w:t>
      </w:r>
      <w:r w:rsidR="004471E7" w:rsidRPr="00E31890">
        <w:t xml:space="preserve">ood ash has been shown to </w:t>
      </w:r>
      <w:r w:rsidR="00DB38A6" w:rsidRPr="00E31890">
        <w:t>elicit a negative priming effect</w:t>
      </w:r>
      <w:r w:rsidR="002C3B64" w:rsidRPr="00E31890">
        <w:t xml:space="preserve"> (</w:t>
      </w:r>
      <w:r w:rsidR="00DF6994" w:rsidRPr="00E31890">
        <w:t>Fig</w:t>
      </w:r>
      <w:r w:rsidR="00381C13">
        <w:t>.</w:t>
      </w:r>
      <w:r w:rsidR="00DF6994" w:rsidRPr="00E31890">
        <w:t xml:space="preserve"> 1</w:t>
      </w:r>
      <w:r w:rsidR="003A2630" w:rsidRPr="00E31890">
        <w:t xml:space="preserve">A and B; </w:t>
      </w:r>
      <w:r w:rsidR="007A7619" w:rsidRPr="00E31890">
        <w:t>Reed</w:t>
      </w:r>
      <w:r w:rsidR="00234DF5" w:rsidRPr="00E31890">
        <w:t xml:space="preserve"> et al., 201</w:t>
      </w:r>
      <w:r w:rsidR="007A7619" w:rsidRPr="00E31890">
        <w:t>7). A</w:t>
      </w:r>
      <w:r w:rsidR="00D62FF9" w:rsidRPr="00E31890">
        <w:t xml:space="preserve">lthough there is little mechanistic understanding, </w:t>
      </w:r>
      <w:r w:rsidR="00480B34" w:rsidRPr="00E31890">
        <w:t xml:space="preserve">wood ash only contains </w:t>
      </w:r>
      <w:r w:rsidR="0070461E" w:rsidRPr="00E31890">
        <w:t xml:space="preserve">negligible amounts of </w:t>
      </w:r>
      <w:r w:rsidR="00200AD7" w:rsidRPr="00E31890">
        <w:t>utilizable</w:t>
      </w:r>
      <w:r w:rsidR="00211CCB" w:rsidRPr="00E31890">
        <w:t xml:space="preserve"> </w:t>
      </w:r>
      <w:r w:rsidR="0070461E" w:rsidRPr="00E31890">
        <w:t>C</w:t>
      </w:r>
      <w:r w:rsidR="00320CE3" w:rsidRPr="00E31890">
        <w:t xml:space="preserve"> </w:t>
      </w:r>
      <w:r w:rsidR="00381C13">
        <w:t>so</w:t>
      </w:r>
      <w:r w:rsidR="00381C13" w:rsidRPr="00E31890">
        <w:t xml:space="preserve"> </w:t>
      </w:r>
      <w:r w:rsidR="00320CE3" w:rsidRPr="00E31890">
        <w:t>is unlikely to stimulate microbial catabolism</w:t>
      </w:r>
      <w:r w:rsidR="00DF6994" w:rsidRPr="00E31890">
        <w:t xml:space="preserve"> (</w:t>
      </w:r>
      <w:r w:rsidR="00620896">
        <w:t>and therefore a PE</w:t>
      </w:r>
      <w:r w:rsidR="00DF6994" w:rsidRPr="00E31890">
        <w:t>)</w:t>
      </w:r>
      <w:r w:rsidR="00381C13">
        <w:t>. Further,</w:t>
      </w:r>
      <w:r w:rsidR="0070461E" w:rsidRPr="00E31890">
        <w:t xml:space="preserve"> </w:t>
      </w:r>
      <w:r w:rsidR="007A7619" w:rsidRPr="00E31890">
        <w:t xml:space="preserve">it has been posited that that </w:t>
      </w:r>
      <w:r w:rsidR="008507A1" w:rsidRPr="00E31890">
        <w:t xml:space="preserve">the act of recrystallisation </w:t>
      </w:r>
      <w:r w:rsidR="003E4598" w:rsidRPr="00E31890">
        <w:t xml:space="preserve">may chemically or physically stabilise </w:t>
      </w:r>
      <w:r w:rsidR="008A5C9E">
        <w:t>(</w:t>
      </w:r>
      <w:proofErr w:type="spellStart"/>
      <w:r w:rsidR="008A5C9E" w:rsidRPr="00E31890">
        <w:t>Illikainen</w:t>
      </w:r>
      <w:proofErr w:type="spellEnd"/>
      <w:r w:rsidR="008A5C9E" w:rsidRPr="00E31890">
        <w:t xml:space="preserve"> et al., 2014</w:t>
      </w:r>
      <w:r w:rsidR="008A5C9E">
        <w:t xml:space="preserve">) </w:t>
      </w:r>
      <w:r w:rsidR="00381C13">
        <w:t xml:space="preserve">and protect </w:t>
      </w:r>
      <w:r w:rsidR="003E4598" w:rsidRPr="00E31890">
        <w:t>SOM</w:t>
      </w:r>
      <w:r w:rsidR="008A5C9E">
        <w:t xml:space="preserve"> (</w:t>
      </w:r>
      <w:r w:rsidR="008A5C9E" w:rsidRPr="00E31890">
        <w:t>Reed et al., 2017</w:t>
      </w:r>
      <w:r w:rsidR="008A5C9E">
        <w:t xml:space="preserve">). </w:t>
      </w:r>
      <w:r w:rsidR="0008027E" w:rsidRPr="00E31890">
        <w:t xml:space="preserve">Further work should be </w:t>
      </w:r>
      <w:r w:rsidR="00E85A0B" w:rsidRPr="00E31890">
        <w:t xml:space="preserve">performed to assess the longevity of this </w:t>
      </w:r>
      <w:r w:rsidR="00381C13">
        <w:t>e</w:t>
      </w:r>
      <w:r w:rsidR="00381C13" w:rsidRPr="00E31890">
        <w:t>ffect</w:t>
      </w:r>
      <w:r w:rsidR="00E85A0B" w:rsidRPr="00E31890">
        <w:t>, as i</w:t>
      </w:r>
      <w:r w:rsidR="009955E7" w:rsidRPr="00E31890">
        <w:t>f</w:t>
      </w:r>
      <w:r w:rsidR="00C32450" w:rsidRPr="00E31890">
        <w:t xml:space="preserve"> prolonged</w:t>
      </w:r>
      <w:r w:rsidR="009955E7" w:rsidRPr="00E31890">
        <w:t>,</w:t>
      </w:r>
      <w:r w:rsidR="00E85A0B" w:rsidRPr="00E31890">
        <w:t xml:space="preserve"> </w:t>
      </w:r>
      <w:r w:rsidR="008A5C9E">
        <w:t xml:space="preserve">it </w:t>
      </w:r>
      <w:r w:rsidR="00E85A0B" w:rsidRPr="00E31890">
        <w:t>may provide a potential</w:t>
      </w:r>
      <w:r w:rsidR="00CB5D35" w:rsidRPr="00E31890">
        <w:t>, novel</w:t>
      </w:r>
      <w:r w:rsidR="00E85A0B" w:rsidRPr="00E31890">
        <w:t xml:space="preserve"> </w:t>
      </w:r>
      <w:r w:rsidR="009955E7" w:rsidRPr="00E31890">
        <w:t>C sequestration</w:t>
      </w:r>
      <w:r w:rsidR="00CB5D35" w:rsidRPr="00E31890">
        <w:t xml:space="preserve"> method.</w:t>
      </w:r>
      <w:r w:rsidR="009955E7" w:rsidRPr="00E31890">
        <w:t xml:space="preserve"> </w:t>
      </w:r>
    </w:p>
    <w:p w14:paraId="68D603F8" w14:textId="77777777" w:rsidR="00360FC4" w:rsidRPr="00E31890" w:rsidRDefault="00360FC4" w:rsidP="007510B2">
      <w:pPr>
        <w:spacing w:after="0" w:line="480" w:lineRule="auto"/>
        <w:jc w:val="both"/>
      </w:pPr>
    </w:p>
    <w:p w14:paraId="08466B14" w14:textId="2CB5AF1D" w:rsidR="00173C00" w:rsidRPr="00E31890" w:rsidRDefault="00267A87" w:rsidP="007510B2">
      <w:pPr>
        <w:spacing w:after="0" w:line="480" w:lineRule="auto"/>
        <w:jc w:val="both"/>
        <w:rPr>
          <w:i/>
          <w:iCs/>
        </w:rPr>
      </w:pPr>
      <w:r w:rsidRPr="00E31890">
        <w:rPr>
          <w:i/>
          <w:iCs/>
        </w:rPr>
        <w:t xml:space="preserve">4.1.2 </w:t>
      </w:r>
      <w:r w:rsidR="00DA6F5F" w:rsidRPr="00E31890">
        <w:rPr>
          <w:i/>
          <w:iCs/>
        </w:rPr>
        <w:t xml:space="preserve">Simple and complex molecular substrates </w:t>
      </w:r>
    </w:p>
    <w:p w14:paraId="510BBC88" w14:textId="320100F2" w:rsidR="00DA6F5F" w:rsidRPr="00E31890" w:rsidRDefault="00DA6F5F" w:rsidP="007510B2">
      <w:pPr>
        <w:spacing w:after="0" w:line="480" w:lineRule="auto"/>
        <w:jc w:val="both"/>
      </w:pPr>
      <w:r w:rsidRPr="00E31890">
        <w:tab/>
      </w:r>
      <w:r w:rsidR="000F542A" w:rsidRPr="00E31890">
        <w:t xml:space="preserve">Glucose, cellulose, </w:t>
      </w:r>
      <w:r w:rsidR="00E314D2" w:rsidRPr="00E31890">
        <w:t>amino acids and proteins are all ubiquitous substrates in soil</w:t>
      </w:r>
      <w:r w:rsidR="00293BAE" w:rsidRPr="00E31890">
        <w:t xml:space="preserve">, </w:t>
      </w:r>
      <w:r w:rsidR="00525791">
        <w:t xml:space="preserve">routinely </w:t>
      </w:r>
      <w:r w:rsidR="00293BAE" w:rsidRPr="00E31890">
        <w:t xml:space="preserve">produced and released through </w:t>
      </w:r>
      <w:r w:rsidR="00EA2861" w:rsidRPr="00E31890">
        <w:t>breakdown and metabolism of more complex substrates</w:t>
      </w:r>
      <w:r w:rsidR="00525791">
        <w:t xml:space="preserve"> (Gunina and Kuzyakov, 2015). A</w:t>
      </w:r>
      <w:r w:rsidR="00EA2861" w:rsidRPr="00E31890">
        <w:t>s such</w:t>
      </w:r>
      <w:r w:rsidR="00525791">
        <w:t>,</w:t>
      </w:r>
      <w:r w:rsidR="00EA2861" w:rsidRPr="00E31890">
        <w:t xml:space="preserve"> their availability in most soils is widespread</w:t>
      </w:r>
      <w:r w:rsidR="00956D20" w:rsidRPr="00E31890">
        <w:t xml:space="preserve"> (Brown et al., 2022</w:t>
      </w:r>
      <w:r w:rsidR="00526FD5">
        <w:t>a</w:t>
      </w:r>
      <w:r w:rsidR="00956D20" w:rsidRPr="00E31890">
        <w:t>)</w:t>
      </w:r>
      <w:r w:rsidR="00EA2861" w:rsidRPr="00E31890">
        <w:t>.</w:t>
      </w:r>
      <w:r w:rsidR="001824B2" w:rsidRPr="00E31890">
        <w:t xml:space="preserve"> Glucose, being a simple sugar, </w:t>
      </w:r>
      <w:r w:rsidR="00181BB2" w:rsidRPr="00E31890">
        <w:t>is a common</w:t>
      </w:r>
      <w:r w:rsidR="001824B2" w:rsidRPr="00E31890">
        <w:t xml:space="preserve"> C substrate and is key in glycolysis, the major energy production pathway in most microorganisms (Sanchez and </w:t>
      </w:r>
      <w:proofErr w:type="spellStart"/>
      <w:r w:rsidR="001824B2" w:rsidRPr="00E31890">
        <w:t>Demain</w:t>
      </w:r>
      <w:proofErr w:type="spellEnd"/>
      <w:r w:rsidR="001824B2" w:rsidRPr="00E31890">
        <w:t>, 2008).</w:t>
      </w:r>
      <w:r w:rsidR="00E64725" w:rsidRPr="00E31890">
        <w:t xml:space="preserve"> </w:t>
      </w:r>
      <w:r w:rsidR="00525791">
        <w:t>As observed here, i</w:t>
      </w:r>
      <w:r w:rsidR="00525791" w:rsidRPr="00E31890">
        <w:t xml:space="preserve">t </w:t>
      </w:r>
      <w:r w:rsidR="00E64725" w:rsidRPr="00E31890">
        <w:t xml:space="preserve">is therefore considered </w:t>
      </w:r>
      <w:r w:rsidR="00A411F0" w:rsidRPr="00E31890">
        <w:t>one of the most prevalent molecules to cause a positive PE</w:t>
      </w:r>
      <w:r w:rsidR="009F169B" w:rsidRPr="00E31890">
        <w:t xml:space="preserve">, </w:t>
      </w:r>
      <w:r w:rsidR="00D6590D" w:rsidRPr="00E31890">
        <w:t xml:space="preserve">due to </w:t>
      </w:r>
      <w:r w:rsidR="00963873" w:rsidRPr="00E31890">
        <w:t>its</w:t>
      </w:r>
      <w:r w:rsidR="00D6590D" w:rsidRPr="00E31890">
        <w:t xml:space="preserve"> labile </w:t>
      </w:r>
      <w:r w:rsidR="00181BB2" w:rsidRPr="00E31890">
        <w:t xml:space="preserve">nature, </w:t>
      </w:r>
      <w:r w:rsidR="00246AEC" w:rsidRPr="00E31890">
        <w:t>with addition leading</w:t>
      </w:r>
      <w:r w:rsidR="00234CB0" w:rsidRPr="00E31890">
        <w:t xml:space="preserve"> </w:t>
      </w:r>
      <w:r w:rsidR="00077347" w:rsidRPr="00E31890">
        <w:t>to</w:t>
      </w:r>
      <w:r w:rsidR="0069456C" w:rsidRPr="00E31890">
        <w:t xml:space="preserve"> preferential</w:t>
      </w:r>
      <w:r w:rsidR="00077347" w:rsidRPr="00E31890">
        <w:t xml:space="preserve"> rapid uptake, and potentially</w:t>
      </w:r>
      <w:r w:rsidR="00246AEC" w:rsidRPr="00E31890">
        <w:t xml:space="preserve"> </w:t>
      </w:r>
      <w:r w:rsidR="006C216E" w:rsidRPr="00E31890">
        <w:t>alleviation of microbial dormancy</w:t>
      </w:r>
      <w:r w:rsidR="00E110AD" w:rsidRPr="00E31890">
        <w:t xml:space="preserve"> which may also lead to </w:t>
      </w:r>
      <w:r w:rsidR="00A73DD5" w:rsidRPr="00E31890">
        <w:t>microbial N mining</w:t>
      </w:r>
      <w:r w:rsidR="007E5E1B" w:rsidRPr="00E31890">
        <w:t xml:space="preserve"> from native SOM</w:t>
      </w:r>
      <w:r w:rsidR="00B61FC9" w:rsidRPr="00E31890">
        <w:t xml:space="preserve"> (Fig</w:t>
      </w:r>
      <w:r w:rsidR="008520C2">
        <w:t>.</w:t>
      </w:r>
      <w:r w:rsidR="00B61FC9" w:rsidRPr="00E31890">
        <w:t xml:space="preserve"> 1A and B; </w:t>
      </w:r>
      <w:r w:rsidR="00963873" w:rsidRPr="00E31890">
        <w:t xml:space="preserve">Gunina et al., 2015; </w:t>
      </w:r>
      <w:r w:rsidR="00FF35D4" w:rsidRPr="00E31890">
        <w:t>Chen et al., 2019</w:t>
      </w:r>
      <w:r w:rsidR="00525791">
        <w:t xml:space="preserve">; di </w:t>
      </w:r>
      <w:proofErr w:type="spellStart"/>
      <w:r w:rsidR="00525791">
        <w:t>Lonardo</w:t>
      </w:r>
      <w:proofErr w:type="spellEnd"/>
      <w:r w:rsidR="00525791">
        <w:t xml:space="preserve"> et al., 2019</w:t>
      </w:r>
      <w:r w:rsidR="00E00DB2" w:rsidRPr="00E31890">
        <w:t>)</w:t>
      </w:r>
      <w:r w:rsidR="00FF35D4" w:rsidRPr="00E31890">
        <w:t>.</w:t>
      </w:r>
      <w:r w:rsidR="00D13B24" w:rsidRPr="00E31890">
        <w:t xml:space="preserve"> </w:t>
      </w:r>
      <w:r w:rsidR="00FF35D4" w:rsidRPr="00E31890">
        <w:t xml:space="preserve"> </w:t>
      </w:r>
      <w:r w:rsidR="00A411F0" w:rsidRPr="00E31890">
        <w:t xml:space="preserve">  </w:t>
      </w:r>
    </w:p>
    <w:p w14:paraId="2D4BBCBB" w14:textId="6C96AF07" w:rsidR="004E5E09" w:rsidRPr="00E31890" w:rsidRDefault="00BD63B4" w:rsidP="007510B2">
      <w:pPr>
        <w:spacing w:after="0" w:line="480" w:lineRule="auto"/>
        <w:jc w:val="both"/>
      </w:pPr>
      <w:r w:rsidRPr="00E31890">
        <w:tab/>
      </w:r>
      <w:r w:rsidR="004E5E09" w:rsidRPr="00E31890">
        <w:t>Cellulose is the most abundant organic polymer on earth, and represents a</w:t>
      </w:r>
      <w:r w:rsidR="009646E9">
        <w:t xml:space="preserve"> m</w:t>
      </w:r>
      <w:r w:rsidR="004E5E09" w:rsidRPr="00E31890">
        <w:t xml:space="preserve">ore </w:t>
      </w:r>
      <w:r w:rsidR="006F332B">
        <w:t xml:space="preserve">energetically </w:t>
      </w:r>
      <w:r w:rsidR="004E5E09" w:rsidRPr="00E31890">
        <w:t>challenging substrate for microorganisms</w:t>
      </w:r>
      <w:r w:rsidR="009646E9">
        <w:t xml:space="preserve"> to utilise </w:t>
      </w:r>
      <w:r w:rsidR="006F332B">
        <w:t xml:space="preserve">in comparison to </w:t>
      </w:r>
      <w:r w:rsidR="009646E9">
        <w:t>glucose</w:t>
      </w:r>
      <w:r w:rsidR="004E5E09" w:rsidRPr="00E31890">
        <w:t xml:space="preserve">. </w:t>
      </w:r>
      <w:r w:rsidR="009646E9">
        <w:t>Typically, m</w:t>
      </w:r>
      <w:r w:rsidR="004E5E09" w:rsidRPr="00E31890">
        <w:t xml:space="preserve">icrobial (enzymatic) breakdown of cellulose occurs over weeks to months </w:t>
      </w:r>
      <w:r w:rsidR="009646E9">
        <w:t>due to the low</w:t>
      </w:r>
      <w:r w:rsidR="004E5E09" w:rsidRPr="00E31890">
        <w:t xml:space="preserve"> </w:t>
      </w:r>
      <w:r w:rsidR="00130104">
        <w:t>concentration</w:t>
      </w:r>
      <w:r w:rsidR="009646E9">
        <w:t>s</w:t>
      </w:r>
      <w:r w:rsidR="004E5E09" w:rsidRPr="00E31890">
        <w:t xml:space="preserve"> of </w:t>
      </w:r>
      <w:r w:rsidR="009646E9">
        <w:t xml:space="preserve">active </w:t>
      </w:r>
      <w:r w:rsidR="004E5E09" w:rsidRPr="00E31890">
        <w:t>cellulase</w:t>
      </w:r>
      <w:r w:rsidR="009646E9">
        <w:t>s</w:t>
      </w:r>
      <w:r w:rsidR="004E5E09" w:rsidRPr="00E31890">
        <w:t xml:space="preserve"> present in soil</w:t>
      </w:r>
      <w:r w:rsidR="00777F1E">
        <w:t xml:space="preserve"> (Deng and </w:t>
      </w:r>
      <w:proofErr w:type="spellStart"/>
      <w:r w:rsidR="00777F1E">
        <w:t>Tabatabai</w:t>
      </w:r>
      <w:proofErr w:type="spellEnd"/>
      <w:r w:rsidR="00777F1E">
        <w:t>, 1994)</w:t>
      </w:r>
      <w:r w:rsidR="009646E9">
        <w:t xml:space="preserve">. </w:t>
      </w:r>
      <w:r w:rsidR="00777F1E">
        <w:t>Further,</w:t>
      </w:r>
      <w:r w:rsidR="00777F1E" w:rsidRPr="00E31890">
        <w:t xml:space="preserve"> </w:t>
      </w:r>
      <w:r w:rsidR="004E5E09" w:rsidRPr="00E31890">
        <w:t>the hydrolysis products (cellobiose</w:t>
      </w:r>
      <w:r w:rsidR="00777F1E">
        <w:t>, glucose</w:t>
      </w:r>
      <w:r w:rsidR="004E5E09" w:rsidRPr="00E31890">
        <w:t xml:space="preserve">) </w:t>
      </w:r>
      <w:r w:rsidR="00777F1E">
        <w:t xml:space="preserve">may </w:t>
      </w:r>
      <w:r w:rsidR="00777F1E" w:rsidRPr="00E31890">
        <w:t>stimulat</w:t>
      </w:r>
      <w:r w:rsidR="00777F1E">
        <w:t>e</w:t>
      </w:r>
      <w:r w:rsidR="00777F1E" w:rsidRPr="00E31890">
        <w:t xml:space="preserve"> </w:t>
      </w:r>
      <w:r w:rsidR="004E5E09" w:rsidRPr="00E31890">
        <w:t xml:space="preserve">further </w:t>
      </w:r>
      <w:r w:rsidR="006F332B">
        <w:t xml:space="preserve">cellulose </w:t>
      </w:r>
      <w:r w:rsidR="004E5E09" w:rsidRPr="00E31890">
        <w:t xml:space="preserve">degradation </w:t>
      </w:r>
      <w:r w:rsidR="00777F1E">
        <w:t xml:space="preserve">by fuelling </w:t>
      </w:r>
      <w:r w:rsidR="00777F1E" w:rsidRPr="003A57C9">
        <w:rPr>
          <w:i/>
          <w:iCs/>
        </w:rPr>
        <w:t>de novo</w:t>
      </w:r>
      <w:r w:rsidR="00777F1E">
        <w:t xml:space="preserve"> </w:t>
      </w:r>
      <w:r w:rsidR="004E5E09" w:rsidRPr="00E31890">
        <w:t xml:space="preserve">synthesis </w:t>
      </w:r>
      <w:r w:rsidR="00777F1E">
        <w:t xml:space="preserve">of more cellulases </w:t>
      </w:r>
      <w:r w:rsidR="004E5E09" w:rsidRPr="00E31890">
        <w:t>(</w:t>
      </w:r>
      <w:proofErr w:type="spellStart"/>
      <w:r w:rsidR="004E5E09" w:rsidRPr="00E31890">
        <w:t>Chmolowska</w:t>
      </w:r>
      <w:proofErr w:type="spellEnd"/>
      <w:r w:rsidR="004E5E09" w:rsidRPr="00E31890">
        <w:t xml:space="preserve"> et al., 2017</w:t>
      </w:r>
      <w:r w:rsidR="00777F1E" w:rsidRPr="00E31890">
        <w:t>)</w:t>
      </w:r>
      <w:r w:rsidR="00777F1E">
        <w:t>. In this study, cellulose addition</w:t>
      </w:r>
      <w:r w:rsidR="00777F1E" w:rsidRPr="00E31890">
        <w:t xml:space="preserve"> </w:t>
      </w:r>
      <w:r w:rsidR="00A46B1D" w:rsidRPr="00E31890">
        <w:t>result</w:t>
      </w:r>
      <w:r w:rsidR="00777F1E">
        <w:t>ed</w:t>
      </w:r>
      <w:r w:rsidR="00A46B1D" w:rsidRPr="00E31890">
        <w:t xml:space="preserve"> in littl</w:t>
      </w:r>
      <w:r w:rsidR="00ED2B6E" w:rsidRPr="00E31890">
        <w:t>e change compared to the control regarding microbial utilisation (apparent priming</w:t>
      </w:r>
      <w:r w:rsidR="00A84563" w:rsidRPr="00E31890">
        <w:t>; Fig</w:t>
      </w:r>
      <w:r w:rsidR="008520C2">
        <w:t>.</w:t>
      </w:r>
      <w:r w:rsidR="00A84563" w:rsidRPr="00E31890">
        <w:t xml:space="preserve"> 1A)</w:t>
      </w:r>
      <w:r w:rsidR="004E5E09" w:rsidRPr="00E31890">
        <w:t xml:space="preserve">. Cellulose has previously been </w:t>
      </w:r>
      <w:r w:rsidR="004E5E09" w:rsidRPr="00E31890">
        <w:lastRenderedPageBreak/>
        <w:t xml:space="preserve">shown to cause a positive real PE (Blagodatskaya et al., 2014), contrary to the results presented in this study (Fig. 1B), </w:t>
      </w:r>
      <w:r w:rsidR="00996D6D">
        <w:t>which showed</w:t>
      </w:r>
      <w:r w:rsidR="004E5E09" w:rsidRPr="00E31890">
        <w:t xml:space="preserve"> </w:t>
      </w:r>
      <w:r w:rsidR="00F3511A">
        <w:t xml:space="preserve">that </w:t>
      </w:r>
      <w:r w:rsidR="004E5E09" w:rsidRPr="00E31890">
        <w:t xml:space="preserve">very little cellulose degradation </w:t>
      </w:r>
      <w:r w:rsidR="007E25A2">
        <w:t xml:space="preserve">(and associated priming) </w:t>
      </w:r>
      <w:r w:rsidR="004E5E09" w:rsidRPr="00E31890">
        <w:t>occurr</w:t>
      </w:r>
      <w:r w:rsidR="00F3511A">
        <w:t>ed</w:t>
      </w:r>
      <w:r w:rsidR="004E5E09" w:rsidRPr="00E31890">
        <w:t xml:space="preserve"> compared to the control. This may have been due to the microbial community preferentially using more lab</w:t>
      </w:r>
      <w:r w:rsidR="001827F9">
        <w:t>i</w:t>
      </w:r>
      <w:r w:rsidR="004E5E09" w:rsidRPr="00E31890">
        <w:t>le substrates compared to the cellulose or due to a lag time that has previously been associated with grassland soils (</w:t>
      </w:r>
      <w:proofErr w:type="spellStart"/>
      <w:r w:rsidR="004E5E09" w:rsidRPr="00E31890">
        <w:t>Chmolowska</w:t>
      </w:r>
      <w:proofErr w:type="spellEnd"/>
      <w:r w:rsidR="004E5E09" w:rsidRPr="00E31890">
        <w:t xml:space="preserve"> et al., 2017). </w:t>
      </w:r>
    </w:p>
    <w:p w14:paraId="178E5AEF" w14:textId="3EDA1FBA" w:rsidR="00BD63B4" w:rsidRPr="00E31890" w:rsidRDefault="004E5E09" w:rsidP="007510B2">
      <w:pPr>
        <w:spacing w:after="0" w:line="480" w:lineRule="auto"/>
        <w:ind w:firstLine="720"/>
        <w:jc w:val="both"/>
      </w:pPr>
      <w:r w:rsidRPr="00E31890">
        <w:t xml:space="preserve"> </w:t>
      </w:r>
      <w:r w:rsidR="00950A96" w:rsidRPr="00E31890">
        <w:t>Free a</w:t>
      </w:r>
      <w:r w:rsidR="00BD63B4" w:rsidRPr="00E31890">
        <w:t>mino acids</w:t>
      </w:r>
      <w:r w:rsidR="00BC123B" w:rsidRPr="00E31890">
        <w:t xml:space="preserve"> </w:t>
      </w:r>
      <w:r w:rsidR="00463D0F" w:rsidRPr="00E31890">
        <w:t>are</w:t>
      </w:r>
      <w:r w:rsidR="00950A96" w:rsidRPr="00E31890">
        <w:t xml:space="preserve"> </w:t>
      </w:r>
      <w:r w:rsidR="00C35B29" w:rsidRPr="00E31890">
        <w:t xml:space="preserve">important </w:t>
      </w:r>
      <w:r w:rsidR="00607DF0" w:rsidRPr="00E31890">
        <w:t xml:space="preserve">nitrogenous </w:t>
      </w:r>
      <w:r w:rsidR="00C35B29" w:rsidRPr="00E31890">
        <w:t>substrates in soil</w:t>
      </w:r>
      <w:r w:rsidR="001827F9">
        <w:t xml:space="preserve"> and tend to be characterised by a very rapid turnover in soil</w:t>
      </w:r>
      <w:r w:rsidR="00474240" w:rsidRPr="00E31890">
        <w:t xml:space="preserve"> (</w:t>
      </w:r>
      <w:r w:rsidR="001827F9">
        <w:t xml:space="preserve">half-life </w:t>
      </w:r>
      <w:r w:rsidR="003B740D" w:rsidRPr="00E31890">
        <w:t>~1.8 h</w:t>
      </w:r>
      <w:r w:rsidR="001A3413" w:rsidRPr="00E31890">
        <w:t>;</w:t>
      </w:r>
      <w:r w:rsidR="003B740D" w:rsidRPr="00E31890">
        <w:t xml:space="preserve"> Jones et al., </w:t>
      </w:r>
      <w:r w:rsidR="001A3413" w:rsidRPr="00E31890">
        <w:t>2009</w:t>
      </w:r>
      <w:r w:rsidR="003B740D" w:rsidRPr="00E31890">
        <w:t>)</w:t>
      </w:r>
      <w:r w:rsidR="001A3413" w:rsidRPr="00E31890">
        <w:t xml:space="preserve">. </w:t>
      </w:r>
      <w:r w:rsidR="008A5C9E">
        <w:t>This is l</w:t>
      </w:r>
      <w:r w:rsidR="00EE5277" w:rsidRPr="00E31890">
        <w:t>ikely due to the</w:t>
      </w:r>
      <w:r w:rsidR="00FE5257" w:rsidRPr="00E31890">
        <w:t>ir</w:t>
      </w:r>
      <w:r w:rsidR="00EE5277" w:rsidRPr="00E31890">
        <w:t xml:space="preserve"> </w:t>
      </w:r>
      <w:r w:rsidR="001C5D02">
        <w:t xml:space="preserve">ease of incorporation into common metabolic pathways </w:t>
      </w:r>
      <w:r w:rsidR="00FE5257" w:rsidRPr="00E31890">
        <w:t xml:space="preserve">and </w:t>
      </w:r>
      <w:r w:rsidR="001C5D02">
        <w:t xml:space="preserve">their </w:t>
      </w:r>
      <w:r w:rsidR="00FE5257" w:rsidRPr="00E31890">
        <w:t>low C:N ratios</w:t>
      </w:r>
      <w:r w:rsidR="001C5D02">
        <w:t>. In this study,</w:t>
      </w:r>
      <w:r w:rsidR="001827F9">
        <w:t xml:space="preserve"> both</w:t>
      </w:r>
      <w:r w:rsidR="00FE5257" w:rsidRPr="00E31890">
        <w:t xml:space="preserve"> </w:t>
      </w:r>
      <w:r w:rsidR="00731A6D" w:rsidRPr="00E31890">
        <w:t>positive real and apparent PE w</w:t>
      </w:r>
      <w:r w:rsidR="00A528C4" w:rsidRPr="00E31890">
        <w:t>ere</w:t>
      </w:r>
      <w:r w:rsidR="00731A6D" w:rsidRPr="00E31890">
        <w:t xml:space="preserve"> observed</w:t>
      </w:r>
      <w:r w:rsidR="00073D03" w:rsidRPr="00E31890">
        <w:t>, however</w:t>
      </w:r>
      <w:r w:rsidR="00790E37" w:rsidRPr="00E31890">
        <w:t>,</w:t>
      </w:r>
      <w:r w:rsidR="00073D03" w:rsidRPr="00E31890">
        <w:t xml:space="preserve"> neither </w:t>
      </w:r>
      <w:r w:rsidR="00D24B91" w:rsidRPr="00E31890">
        <w:t xml:space="preserve">the real or </w:t>
      </w:r>
      <w:r w:rsidR="00F2463A" w:rsidRPr="00E31890">
        <w:t>apparent PE</w:t>
      </w:r>
      <w:r w:rsidR="00073D03" w:rsidRPr="00E31890">
        <w:t xml:space="preserve"> was higher than</w:t>
      </w:r>
      <w:r w:rsidR="001827F9">
        <w:t xml:space="preserve"> observed for</w:t>
      </w:r>
      <w:r w:rsidR="00073D03" w:rsidRPr="00E31890">
        <w:t xml:space="preserve"> glucose</w:t>
      </w:r>
      <w:r w:rsidR="007A5016" w:rsidRPr="00E31890">
        <w:t xml:space="preserve"> (Fig</w:t>
      </w:r>
      <w:r w:rsidR="001827F9">
        <w:t>.</w:t>
      </w:r>
      <w:r w:rsidR="007A5016" w:rsidRPr="00E31890">
        <w:t xml:space="preserve"> 1A and B</w:t>
      </w:r>
      <w:r w:rsidR="001827F9">
        <w:t>)</w:t>
      </w:r>
      <w:r w:rsidR="009A5828" w:rsidRPr="00E31890">
        <w:t xml:space="preserve">. </w:t>
      </w:r>
      <w:r w:rsidR="00897C57" w:rsidRPr="00E31890">
        <w:t>Mason-Jones et al. (2018)</w:t>
      </w:r>
      <w:r w:rsidR="00622306" w:rsidRPr="00E31890">
        <w:t xml:space="preserve">, previously </w:t>
      </w:r>
      <w:r w:rsidR="00F2463A" w:rsidRPr="00E31890">
        <w:t>proposed</w:t>
      </w:r>
      <w:r w:rsidR="00622306" w:rsidRPr="00E31890">
        <w:t xml:space="preserve"> that </w:t>
      </w:r>
      <w:r w:rsidR="009C2AA3" w:rsidRPr="00E31890">
        <w:t xml:space="preserve">the N mining hypothesis </w:t>
      </w:r>
      <w:r w:rsidR="00F31BFB" w:rsidRPr="00E31890">
        <w:t>is</w:t>
      </w:r>
      <w:r w:rsidR="009C2AA3" w:rsidRPr="00E31890">
        <w:t xml:space="preserve"> not universal</w:t>
      </w:r>
      <w:r w:rsidR="00326F73" w:rsidRPr="00E31890">
        <w:t xml:space="preserve"> as their data suggested that</w:t>
      </w:r>
      <w:r w:rsidR="001B2573" w:rsidRPr="00E31890">
        <w:t xml:space="preserve"> the </w:t>
      </w:r>
      <w:r w:rsidR="00635271" w:rsidRPr="00E31890">
        <w:t>assumptions of the N mining hypothesis;</w:t>
      </w:r>
      <w:r w:rsidR="00326F73" w:rsidRPr="00E31890">
        <w:t xml:space="preserve"> (i) amino acids should stimulate much less priming than glucose, and (ii) priming should be reduced by higher N availability, whether in organic or mineral form</w:t>
      </w:r>
      <w:r w:rsidR="00C316BE" w:rsidRPr="00E31890">
        <w:t>,</w:t>
      </w:r>
      <w:r w:rsidR="00326F73" w:rsidRPr="00E31890">
        <w:t xml:space="preserve"> were violated.</w:t>
      </w:r>
      <w:r w:rsidR="009C2AA3" w:rsidRPr="00E31890">
        <w:t xml:space="preserve"> </w:t>
      </w:r>
      <w:r w:rsidR="008A5C9E">
        <w:t>W</w:t>
      </w:r>
      <w:r w:rsidR="009C2AA3" w:rsidRPr="00E31890">
        <w:t>hile we cannot refute that statement completely,</w:t>
      </w:r>
      <w:r w:rsidR="005756A0" w:rsidRPr="00E31890">
        <w:t xml:space="preserve"> </w:t>
      </w:r>
      <w:r w:rsidR="00DD4F03" w:rsidRPr="00E31890">
        <w:t>we suggest that the inherent soil and microbial stoichiometry</w:t>
      </w:r>
      <w:r w:rsidR="005756A0" w:rsidRPr="00E31890">
        <w:t>, and microbial community composition</w:t>
      </w:r>
      <w:r w:rsidR="00DD4F03" w:rsidRPr="00E31890">
        <w:t xml:space="preserve"> may be driving factors of the P</w:t>
      </w:r>
      <w:r w:rsidR="00E91F6E" w:rsidRPr="00E31890">
        <w:t>E</w:t>
      </w:r>
      <w:r w:rsidR="00731A6D" w:rsidRPr="00E31890">
        <w:t xml:space="preserve">. </w:t>
      </w:r>
    </w:p>
    <w:p w14:paraId="1E51459E" w14:textId="37E06C66" w:rsidR="00B302BF" w:rsidRDefault="004E5E09" w:rsidP="007510B2">
      <w:pPr>
        <w:spacing w:after="0" w:line="480" w:lineRule="auto"/>
        <w:ind w:firstLine="720"/>
        <w:jc w:val="both"/>
      </w:pPr>
      <w:r w:rsidRPr="00E31890">
        <w:t>Soil proteins</w:t>
      </w:r>
      <w:r w:rsidR="004D2DF0" w:rsidRPr="00E31890">
        <w:t xml:space="preserve"> are too large to be </w:t>
      </w:r>
      <w:r w:rsidR="00666A36" w:rsidRPr="00E31890">
        <w:t xml:space="preserve">directly taken up </w:t>
      </w:r>
      <w:r w:rsidR="00896EAD">
        <w:t>b</w:t>
      </w:r>
      <w:r w:rsidR="00666A36" w:rsidRPr="00E31890">
        <w:t>y soil microorganism, an</w:t>
      </w:r>
      <w:r w:rsidR="00EC584B" w:rsidRPr="00E31890">
        <w:t>d</w:t>
      </w:r>
      <w:r w:rsidR="00666A36" w:rsidRPr="00E31890">
        <w:t xml:space="preserve"> therefore</w:t>
      </w:r>
      <w:r w:rsidR="001E6C67" w:rsidRPr="00E31890">
        <w:t>,</w:t>
      </w:r>
      <w:r w:rsidRPr="00E31890">
        <w:t xml:space="preserve"> </w:t>
      </w:r>
      <w:r w:rsidR="00623158" w:rsidRPr="00E31890">
        <w:t xml:space="preserve">have been thought to </w:t>
      </w:r>
      <w:r w:rsidR="00C53B72">
        <w:t>play a</w:t>
      </w:r>
      <w:r w:rsidR="00A57598" w:rsidRPr="00E31890">
        <w:t xml:space="preserve"> </w:t>
      </w:r>
      <w:r w:rsidR="00EC584B" w:rsidRPr="00E31890">
        <w:t>lesser role</w:t>
      </w:r>
      <w:r w:rsidR="00A57598" w:rsidRPr="00E31890">
        <w:t xml:space="preserve"> in priming</w:t>
      </w:r>
      <w:r w:rsidR="00AE318E" w:rsidRPr="00E31890">
        <w:t>. Due to their size and relative recalcitrance</w:t>
      </w:r>
      <w:r w:rsidR="00B302BF" w:rsidRPr="00E31890">
        <w:t xml:space="preserve"> (low </w:t>
      </w:r>
      <w:r w:rsidR="00EA4BC9" w:rsidRPr="00E31890">
        <w:t>utilizablity</w:t>
      </w:r>
      <w:r w:rsidR="00B302BF" w:rsidRPr="00E31890">
        <w:t>)</w:t>
      </w:r>
      <w:r w:rsidR="00AE318E" w:rsidRPr="00E31890">
        <w:t xml:space="preserve"> they</w:t>
      </w:r>
      <w:r w:rsidR="00EC584B" w:rsidRPr="00E31890">
        <w:t xml:space="preserve"> serv</w:t>
      </w:r>
      <w:r w:rsidR="00AE318E" w:rsidRPr="00E31890">
        <w:t>e</w:t>
      </w:r>
      <w:r w:rsidR="00EC584B" w:rsidRPr="00E31890">
        <w:t xml:space="preserve"> as a source </w:t>
      </w:r>
      <w:r w:rsidR="005F4EFC" w:rsidRPr="00E31890">
        <w:t xml:space="preserve">of </w:t>
      </w:r>
      <w:r w:rsidR="008122DB" w:rsidRPr="00E31890">
        <w:t>N only when the soil</w:t>
      </w:r>
      <w:r w:rsidR="00D05C83" w:rsidRPr="00E31890">
        <w:t xml:space="preserve"> </w:t>
      </w:r>
      <w:r w:rsidR="008122DB" w:rsidRPr="00E31890">
        <w:t>C:N ratio needs redressing</w:t>
      </w:r>
      <w:r w:rsidR="001753A1" w:rsidRPr="00E31890">
        <w:t xml:space="preserve"> </w:t>
      </w:r>
      <w:r w:rsidR="00AE318E" w:rsidRPr="00E31890">
        <w:t>(Wild et al., 2019)</w:t>
      </w:r>
      <w:r w:rsidR="008122DB" w:rsidRPr="00E31890">
        <w:t>.</w:t>
      </w:r>
      <w:r w:rsidR="000842C4" w:rsidRPr="00E31890">
        <w:t xml:space="preserve"> Our data shows, </w:t>
      </w:r>
      <w:r w:rsidR="000B5695">
        <w:t>in contrast</w:t>
      </w:r>
      <w:r w:rsidR="00003908" w:rsidRPr="00E31890">
        <w:t xml:space="preserve"> to the </w:t>
      </w:r>
      <w:r w:rsidR="00E03124" w:rsidRPr="00E31890">
        <w:t>equivalent</w:t>
      </w:r>
      <w:r w:rsidR="00003908" w:rsidRPr="00E31890">
        <w:t xml:space="preserve"> free amino acid composition</w:t>
      </w:r>
      <w:r w:rsidR="002647F5" w:rsidRPr="00E31890">
        <w:t>,</w:t>
      </w:r>
      <w:r w:rsidR="00E03124" w:rsidRPr="00E31890">
        <w:t xml:space="preserve"> </w:t>
      </w:r>
      <w:r w:rsidR="0066347E" w:rsidRPr="00E31890">
        <w:t xml:space="preserve">the real </w:t>
      </w:r>
      <w:r w:rsidR="00896EAD">
        <w:t>PE</w:t>
      </w:r>
      <w:r w:rsidR="0066347E" w:rsidRPr="00E31890">
        <w:t xml:space="preserve"> of </w:t>
      </w:r>
      <w:r w:rsidR="00C53B72">
        <w:t>protein</w:t>
      </w:r>
      <w:r w:rsidR="00C53B72" w:rsidRPr="00E31890">
        <w:t xml:space="preserve"> </w:t>
      </w:r>
      <w:r w:rsidR="0066347E" w:rsidRPr="00E31890">
        <w:t>w</w:t>
      </w:r>
      <w:r w:rsidR="006B395A" w:rsidRPr="00E31890">
        <w:t>as negative (Fig. 1B</w:t>
      </w:r>
      <w:r w:rsidR="00995E13" w:rsidRPr="00E31890">
        <w:t>)</w:t>
      </w:r>
      <w:r w:rsidR="00BA04BD" w:rsidRPr="00E31890">
        <w:t xml:space="preserve">, </w:t>
      </w:r>
      <w:r w:rsidR="000F41DE" w:rsidRPr="00E31890">
        <w:t xml:space="preserve">suggesting that the recalcitrance of the protein </w:t>
      </w:r>
      <w:r w:rsidR="00FD3D1D" w:rsidRPr="00E31890">
        <w:t xml:space="preserve">led to little </w:t>
      </w:r>
      <w:r w:rsidR="00157939" w:rsidRPr="00E31890">
        <w:t xml:space="preserve">native </w:t>
      </w:r>
      <w:r w:rsidR="008E4FF1" w:rsidRPr="00E31890">
        <w:t xml:space="preserve">organic </w:t>
      </w:r>
      <w:r w:rsidR="00C53B72">
        <w:t>C</w:t>
      </w:r>
      <w:r w:rsidR="00C53B72" w:rsidRPr="00E31890">
        <w:t xml:space="preserve"> </w:t>
      </w:r>
      <w:r w:rsidR="008E4FF1" w:rsidRPr="00E31890">
        <w:t>breakdown</w:t>
      </w:r>
      <w:r w:rsidR="006B395A" w:rsidRPr="00E31890">
        <w:t>.</w:t>
      </w:r>
      <w:r w:rsidR="00BE11E3">
        <w:t xml:space="preserve"> </w:t>
      </w:r>
      <w:r w:rsidR="001C5D02">
        <w:t>However,</w:t>
      </w:r>
      <w:r w:rsidR="00BE11E3">
        <w:t xml:space="preserve"> </w:t>
      </w:r>
      <w:r w:rsidR="001C5D02">
        <w:t xml:space="preserve">our data suggested that </w:t>
      </w:r>
      <w:r w:rsidR="00BE11E3">
        <w:t xml:space="preserve">protein depolymerisation </w:t>
      </w:r>
      <w:r w:rsidR="001C5D02">
        <w:t xml:space="preserve">was </w:t>
      </w:r>
      <w:r w:rsidR="00BE11E3">
        <w:t>beginning to occur</w:t>
      </w:r>
      <w:r w:rsidR="006C0470">
        <w:t xml:space="preserve"> (increasing soil NH</w:t>
      </w:r>
      <w:r w:rsidR="006C0470">
        <w:rPr>
          <w:vertAlign w:val="subscript"/>
        </w:rPr>
        <w:t>4</w:t>
      </w:r>
      <w:r w:rsidR="006C0470">
        <w:rPr>
          <w:vertAlign w:val="superscript"/>
        </w:rPr>
        <w:t>+</w:t>
      </w:r>
      <w:r w:rsidR="006C0470">
        <w:t>)</w:t>
      </w:r>
      <w:r w:rsidR="00C72715">
        <w:t xml:space="preserve"> at day 50</w:t>
      </w:r>
      <w:r w:rsidR="005F65AF">
        <w:t xml:space="preserve"> (Table 1)</w:t>
      </w:r>
      <w:r w:rsidR="00C72715">
        <w:t xml:space="preserve">, suggesting the </w:t>
      </w:r>
      <w:r w:rsidR="005F65AF">
        <w:t xml:space="preserve">full extent of </w:t>
      </w:r>
      <w:r w:rsidR="00C72715">
        <w:t xml:space="preserve">real </w:t>
      </w:r>
      <w:r w:rsidR="00896EAD">
        <w:t>PE</w:t>
      </w:r>
      <w:r w:rsidR="00C72715">
        <w:t xml:space="preserve"> may </w:t>
      </w:r>
      <w:r w:rsidR="005F65AF">
        <w:t>occur over longer time periods</w:t>
      </w:r>
      <w:r w:rsidR="00C72715">
        <w:t>.</w:t>
      </w:r>
      <w:r w:rsidR="006B395A" w:rsidRPr="00E31890">
        <w:t xml:space="preserve"> </w:t>
      </w:r>
      <w:r w:rsidR="00E07A1D" w:rsidRPr="00E31890">
        <w:t xml:space="preserve">However, </w:t>
      </w:r>
      <w:r w:rsidR="00C53B72">
        <w:t>protein</w:t>
      </w:r>
      <w:r w:rsidR="005657C9" w:rsidRPr="00E31890">
        <w:t xml:space="preserve"> addition</w:t>
      </w:r>
      <w:r w:rsidR="005563D2" w:rsidRPr="00E31890">
        <w:t xml:space="preserve"> </w:t>
      </w:r>
      <w:r w:rsidR="005657C9" w:rsidRPr="00E31890">
        <w:t xml:space="preserve">did stimulate microbial metabolism </w:t>
      </w:r>
      <w:r w:rsidR="00BD43B8" w:rsidRPr="00E31890">
        <w:t>and associated positive</w:t>
      </w:r>
      <w:r w:rsidR="008E0540">
        <w:t xml:space="preserve"> (apparent)</w:t>
      </w:r>
      <w:r w:rsidR="00BD43B8" w:rsidRPr="00E31890">
        <w:t xml:space="preserve"> priming potentially </w:t>
      </w:r>
      <w:r w:rsidR="00765E2C" w:rsidRPr="00E31890">
        <w:t>representing some breakdown to</w:t>
      </w:r>
      <w:r w:rsidR="00B15E6E" w:rsidRPr="00E31890">
        <w:t>, and utilisation of</w:t>
      </w:r>
      <w:r w:rsidR="00765E2C" w:rsidRPr="00E31890">
        <w:t xml:space="preserve"> </w:t>
      </w:r>
      <w:r w:rsidR="00752908" w:rsidRPr="00E31890">
        <w:t>oligopeptides and amino acids.</w:t>
      </w:r>
    </w:p>
    <w:p w14:paraId="52980A5D" w14:textId="77777777" w:rsidR="001C5D02" w:rsidRPr="00E31890" w:rsidRDefault="001C5D02" w:rsidP="007510B2">
      <w:pPr>
        <w:spacing w:after="0" w:line="480" w:lineRule="auto"/>
        <w:ind w:firstLine="720"/>
        <w:jc w:val="both"/>
      </w:pPr>
    </w:p>
    <w:p w14:paraId="6E651E5C" w14:textId="068204FC" w:rsidR="00FF35D4" w:rsidRPr="00E31890" w:rsidRDefault="00385649" w:rsidP="007510B2">
      <w:pPr>
        <w:spacing w:after="0" w:line="480" w:lineRule="auto"/>
        <w:jc w:val="both"/>
        <w:rPr>
          <w:i/>
          <w:iCs/>
        </w:rPr>
      </w:pPr>
      <w:r w:rsidRPr="00E31890">
        <w:rPr>
          <w:i/>
          <w:iCs/>
        </w:rPr>
        <w:t xml:space="preserve">4.1.3. Fertilisers </w:t>
      </w:r>
    </w:p>
    <w:p w14:paraId="53CC2F23" w14:textId="1482AD19" w:rsidR="00D5710C" w:rsidRPr="00E31890" w:rsidRDefault="00BB6F77" w:rsidP="007510B2">
      <w:pPr>
        <w:spacing w:after="0" w:line="480" w:lineRule="auto"/>
        <w:jc w:val="both"/>
      </w:pPr>
      <w:r w:rsidRPr="00E31890">
        <w:tab/>
      </w:r>
      <w:r w:rsidR="00186133" w:rsidRPr="00E31890">
        <w:t>I</w:t>
      </w:r>
      <w:r w:rsidRPr="00E31890">
        <w:t xml:space="preserve">norganic N addition </w:t>
      </w:r>
      <w:r w:rsidR="00C24A1D" w:rsidRPr="00E31890">
        <w:t xml:space="preserve">alone </w:t>
      </w:r>
      <w:r w:rsidR="009133DF" w:rsidRPr="00E31890">
        <w:t xml:space="preserve">does not </w:t>
      </w:r>
      <w:r w:rsidR="00186133" w:rsidRPr="00E31890">
        <w:t>stimulate</w:t>
      </w:r>
      <w:r w:rsidR="00135C7E">
        <w:t xml:space="preserve"> a</w:t>
      </w:r>
      <w:r w:rsidR="00186133" w:rsidRPr="00E31890">
        <w:t xml:space="preserve"> </w:t>
      </w:r>
      <w:r w:rsidR="000253D8" w:rsidRPr="00E31890">
        <w:t>soil</w:t>
      </w:r>
      <w:r w:rsidR="00CD1721" w:rsidRPr="00E31890">
        <w:t xml:space="preserve"> C</w:t>
      </w:r>
      <w:r w:rsidR="008A5C9E">
        <w:t xml:space="preserve"> </w:t>
      </w:r>
      <w:proofErr w:type="gramStart"/>
      <w:r w:rsidR="00CD1721" w:rsidRPr="00E31890">
        <w:t>PE</w:t>
      </w:r>
      <w:r w:rsidR="001A1A97" w:rsidRPr="00E31890">
        <w:t>,</w:t>
      </w:r>
      <w:proofErr w:type="gramEnd"/>
      <w:r w:rsidR="001A1A97" w:rsidRPr="00E31890">
        <w:t xml:space="preserve"> h</w:t>
      </w:r>
      <w:r w:rsidR="00CD1721" w:rsidRPr="00E31890">
        <w:t xml:space="preserve">owever, </w:t>
      </w:r>
      <w:r w:rsidR="003468C3" w:rsidRPr="00E31890">
        <w:t>it</w:t>
      </w:r>
      <w:r w:rsidR="00C53B72">
        <w:t xml:space="preserve"> can be expected to</w:t>
      </w:r>
      <w:r w:rsidR="003468C3" w:rsidRPr="00E31890">
        <w:t xml:space="preserve"> change the </w:t>
      </w:r>
      <w:r w:rsidR="001F33E4" w:rsidRPr="00E31890">
        <w:t>soil stoichiometry and th</w:t>
      </w:r>
      <w:r w:rsidR="009D7371" w:rsidRPr="00E31890">
        <w:t xml:space="preserve">us stimulate microbial biomass growth in the short term, leading to </w:t>
      </w:r>
      <w:r w:rsidR="008D31CB" w:rsidRPr="00E31890">
        <w:t xml:space="preserve">apparent </w:t>
      </w:r>
      <w:r w:rsidR="008D31CB" w:rsidRPr="00E31890">
        <w:lastRenderedPageBreak/>
        <w:t>priming (Fig. 1</w:t>
      </w:r>
      <w:r w:rsidR="001A1A97" w:rsidRPr="00E31890">
        <w:t>A</w:t>
      </w:r>
      <w:r w:rsidR="008D31CB" w:rsidRPr="00E31890">
        <w:t xml:space="preserve">). </w:t>
      </w:r>
      <w:r w:rsidR="006E7A5B" w:rsidRPr="00E31890">
        <w:t>Balanced C and N addition has been shown to increase</w:t>
      </w:r>
      <w:r w:rsidR="00A93FDA" w:rsidRPr="00E31890">
        <w:t xml:space="preserve"> carbohydrates and peptides</w:t>
      </w:r>
      <w:r w:rsidR="00B12CC4" w:rsidRPr="00E31890">
        <w:t xml:space="preserve"> production</w:t>
      </w:r>
      <w:r w:rsidR="00A93FDA" w:rsidRPr="00E31890">
        <w:t xml:space="preserve"> and substrate usage (Brown et al., 2022</w:t>
      </w:r>
      <w:r w:rsidR="00526FD5">
        <w:t>a</w:t>
      </w:r>
      <w:r w:rsidR="00A93FDA" w:rsidRPr="00E31890">
        <w:t xml:space="preserve">). </w:t>
      </w:r>
      <w:r w:rsidR="00F36922" w:rsidRPr="00E31890">
        <w:t>However,</w:t>
      </w:r>
      <w:r w:rsidR="00C9295B" w:rsidRPr="00E31890">
        <w:t xml:space="preserve"> </w:t>
      </w:r>
      <w:r w:rsidR="00DB6DFE" w:rsidRPr="00E31890">
        <w:t>the increase in available N also alleviate</w:t>
      </w:r>
      <w:r w:rsidR="00B12CC4" w:rsidRPr="00E31890">
        <w:t>s</w:t>
      </w:r>
      <w:r w:rsidR="00DB6DFE" w:rsidRPr="00E31890">
        <w:t xml:space="preserve"> microbial </w:t>
      </w:r>
      <w:r w:rsidR="00D46DAB" w:rsidRPr="00E31890">
        <w:t>demand for N and therefore reduce</w:t>
      </w:r>
      <w:r w:rsidR="00B12CC4" w:rsidRPr="00E31890">
        <w:t>s</w:t>
      </w:r>
      <w:r w:rsidR="00D46DAB" w:rsidRPr="00E31890">
        <w:t xml:space="preserve"> microbial N mining</w:t>
      </w:r>
      <w:r w:rsidR="00604285" w:rsidRPr="00E31890">
        <w:t xml:space="preserve"> from SOM</w:t>
      </w:r>
      <w:r w:rsidR="00B16979" w:rsidRPr="00E31890">
        <w:t>, and thus mineralisation</w:t>
      </w:r>
      <w:r w:rsidR="00D46DAB" w:rsidRPr="00E31890">
        <w:t xml:space="preserve">, leading to </w:t>
      </w:r>
      <w:r w:rsidR="00311CB3" w:rsidRPr="00E31890">
        <w:t xml:space="preserve">real </w:t>
      </w:r>
      <w:r w:rsidR="00D46DAB" w:rsidRPr="00E31890">
        <w:t>negative priming</w:t>
      </w:r>
      <w:r w:rsidR="00604285" w:rsidRPr="00E31890">
        <w:t xml:space="preserve"> </w:t>
      </w:r>
      <w:r w:rsidR="00D46DAB" w:rsidRPr="00E31890">
        <w:t>(</w:t>
      </w:r>
      <w:r w:rsidR="006C540F" w:rsidRPr="00E31890">
        <w:t>Hicks et al., 2019)</w:t>
      </w:r>
      <w:r w:rsidR="007D460F" w:rsidRPr="00E31890">
        <w:t>.</w:t>
      </w:r>
      <w:r w:rsidR="00395F61" w:rsidRPr="00E31890">
        <w:t xml:space="preserve"> </w:t>
      </w:r>
    </w:p>
    <w:p w14:paraId="4505E9F9" w14:textId="0D5A7283" w:rsidR="00385649" w:rsidRPr="00E31890" w:rsidRDefault="00D5710C" w:rsidP="007510B2">
      <w:pPr>
        <w:spacing w:after="0" w:line="480" w:lineRule="auto"/>
        <w:ind w:firstLine="720"/>
        <w:jc w:val="both"/>
      </w:pPr>
      <w:r w:rsidRPr="00E31890">
        <w:t xml:space="preserve">Kuzyakov </w:t>
      </w:r>
      <w:r w:rsidR="0006187C" w:rsidRPr="00E31890">
        <w:t xml:space="preserve">and Bol (2006) suggested that </w:t>
      </w:r>
      <w:r w:rsidR="008A5C9E">
        <w:t xml:space="preserve">livestock </w:t>
      </w:r>
      <w:r w:rsidR="007D6F0B" w:rsidRPr="00E31890">
        <w:t>slurry is a ‘medium utilisable substrate’</w:t>
      </w:r>
      <w:r w:rsidR="009A3310" w:rsidRPr="00E31890">
        <w:t xml:space="preserve">, </w:t>
      </w:r>
      <w:r w:rsidR="00E026FC" w:rsidRPr="00E31890">
        <w:t>as</w:t>
      </w:r>
      <w:r w:rsidR="00311CB3" w:rsidRPr="00E31890">
        <w:t>,</w:t>
      </w:r>
      <w:r w:rsidR="00E026FC" w:rsidRPr="00E31890">
        <w:t xml:space="preserve"> while</w:t>
      </w:r>
      <w:r w:rsidR="00592CF1" w:rsidRPr="00E31890">
        <w:t xml:space="preserve"> </w:t>
      </w:r>
      <w:r w:rsidR="008A5C9E">
        <w:t>it</w:t>
      </w:r>
      <w:r w:rsidR="00592CF1" w:rsidRPr="00E31890">
        <w:t xml:space="preserve"> </w:t>
      </w:r>
      <w:r w:rsidR="004222B5" w:rsidRPr="00E31890">
        <w:t>does not represent a</w:t>
      </w:r>
      <w:r w:rsidR="00E026FC" w:rsidRPr="00E31890">
        <w:t xml:space="preserve"> preferential</w:t>
      </w:r>
      <w:r w:rsidR="004222B5" w:rsidRPr="00E31890">
        <w:t>,</w:t>
      </w:r>
      <w:r w:rsidR="00E026FC" w:rsidRPr="00E31890">
        <w:t xml:space="preserve"> available substrate</w:t>
      </w:r>
      <w:r w:rsidR="00592CF1" w:rsidRPr="00E31890">
        <w:t>,</w:t>
      </w:r>
      <w:r w:rsidR="004222B5" w:rsidRPr="00E31890">
        <w:t xml:space="preserve"> </w:t>
      </w:r>
      <w:r w:rsidR="00C902EE" w:rsidRPr="00E31890">
        <w:t xml:space="preserve">it </w:t>
      </w:r>
      <w:r w:rsidR="00592CF1" w:rsidRPr="00E31890">
        <w:t>may be</w:t>
      </w:r>
      <w:r w:rsidR="00C902EE" w:rsidRPr="00E31890">
        <w:t xml:space="preserve"> utilised once other preferential substrates are depleted.</w:t>
      </w:r>
      <w:r w:rsidR="004A7CE5" w:rsidRPr="00E31890">
        <w:t xml:space="preserve"> </w:t>
      </w:r>
      <w:r w:rsidR="00135C7E">
        <w:t>Livestock excreta</w:t>
      </w:r>
      <w:r w:rsidR="00B536AB" w:rsidRPr="00E31890">
        <w:t xml:space="preserve"> </w:t>
      </w:r>
      <w:r w:rsidR="00135C7E" w:rsidRPr="00E31890">
        <w:t>are</w:t>
      </w:r>
      <w:r w:rsidR="00B536AB" w:rsidRPr="00E31890">
        <w:t xml:space="preserve"> </w:t>
      </w:r>
      <w:r w:rsidR="00135C7E" w:rsidRPr="00E31890">
        <w:t>complex substrate</w:t>
      </w:r>
      <w:r w:rsidR="00135C7E">
        <w:t>s</w:t>
      </w:r>
      <w:r w:rsidR="00B536AB" w:rsidRPr="00E31890">
        <w:t xml:space="preserve"> </w:t>
      </w:r>
      <w:r w:rsidR="00A1002A" w:rsidRPr="00E31890">
        <w:t>containing both labile</w:t>
      </w:r>
      <w:r w:rsidR="008332B6" w:rsidRPr="00E31890">
        <w:t xml:space="preserve"> (</w:t>
      </w:r>
      <w:r w:rsidR="008814A0" w:rsidRPr="00E31890">
        <w:t>e.g.,</w:t>
      </w:r>
      <w:r w:rsidR="008332B6" w:rsidRPr="00E31890">
        <w:t xml:space="preserve"> urea)</w:t>
      </w:r>
      <w:r w:rsidR="00A1002A" w:rsidRPr="00E31890">
        <w:t xml:space="preserve"> and recalcitrant</w:t>
      </w:r>
      <w:r w:rsidR="008332B6" w:rsidRPr="00E31890">
        <w:t xml:space="preserve"> </w:t>
      </w:r>
      <w:r w:rsidR="003063AC" w:rsidRPr="00E31890">
        <w:t>(</w:t>
      </w:r>
      <w:r w:rsidR="00B36ABF" w:rsidRPr="00E31890">
        <w:t>e.g.,</w:t>
      </w:r>
      <w:r w:rsidR="008814A0" w:rsidRPr="00E31890">
        <w:t xml:space="preserve"> </w:t>
      </w:r>
      <w:r w:rsidR="003B3595" w:rsidRPr="00E31890">
        <w:t>lignocellulosic)</w:t>
      </w:r>
      <w:r w:rsidR="00A1002A" w:rsidRPr="00E31890">
        <w:t xml:space="preserve"> factions</w:t>
      </w:r>
      <w:r w:rsidR="003B3595" w:rsidRPr="00E31890">
        <w:t xml:space="preserve"> </w:t>
      </w:r>
      <w:r w:rsidR="008814A0" w:rsidRPr="00E31890">
        <w:t>(Puri et al., 2020</w:t>
      </w:r>
      <w:r w:rsidR="00575F5A" w:rsidRPr="00E31890">
        <w:t>; Marsden et al., 2020</w:t>
      </w:r>
      <w:r w:rsidR="008814A0" w:rsidRPr="00E31890">
        <w:t>)</w:t>
      </w:r>
      <w:r w:rsidR="00A1002A" w:rsidRPr="00E31890">
        <w:t xml:space="preserve">. </w:t>
      </w:r>
      <w:r w:rsidR="004A7CE5" w:rsidRPr="00E31890">
        <w:t xml:space="preserve">Here, </w:t>
      </w:r>
      <w:r w:rsidR="003D05D2" w:rsidRPr="00E31890">
        <w:t>a small amount of positive</w:t>
      </w:r>
      <w:r w:rsidR="009527CB" w:rsidRPr="00E31890">
        <w:t xml:space="preserve"> apparent</w:t>
      </w:r>
      <w:r w:rsidR="00356A8F" w:rsidRPr="00E31890">
        <w:t xml:space="preserve"> priming </w:t>
      </w:r>
      <w:r w:rsidR="009527CB" w:rsidRPr="00E31890">
        <w:t>occurred</w:t>
      </w:r>
      <w:r w:rsidR="003D05D2" w:rsidRPr="00E31890">
        <w:t xml:space="preserve"> </w:t>
      </w:r>
      <w:r w:rsidR="00D50749" w:rsidRPr="00E31890">
        <w:t>(Fig</w:t>
      </w:r>
      <w:r w:rsidR="00C53B72">
        <w:t>.</w:t>
      </w:r>
      <w:r w:rsidR="00D50749" w:rsidRPr="00E31890">
        <w:t xml:space="preserve"> 1)</w:t>
      </w:r>
      <w:r w:rsidR="001C5D02">
        <w:t>,</w:t>
      </w:r>
      <w:r w:rsidR="00D50749" w:rsidRPr="00E31890">
        <w:t xml:space="preserve"> </w:t>
      </w:r>
      <w:r w:rsidR="004A7CE5" w:rsidRPr="00E31890">
        <w:t>suggesting</w:t>
      </w:r>
      <w:r w:rsidR="009527CB" w:rsidRPr="00E31890">
        <w:t>,</w:t>
      </w:r>
      <w:r w:rsidR="00A1002A" w:rsidRPr="00E31890">
        <w:t xml:space="preserve"> </w:t>
      </w:r>
      <w:r w:rsidR="009527CB" w:rsidRPr="00E31890">
        <w:t>some</w:t>
      </w:r>
      <w:r w:rsidR="004A62F8" w:rsidRPr="00E31890">
        <w:t xml:space="preserve"> microbial</w:t>
      </w:r>
      <w:r w:rsidR="009527CB" w:rsidRPr="00E31890">
        <w:t xml:space="preserve"> </w:t>
      </w:r>
      <w:r w:rsidR="00B536AB" w:rsidRPr="00E31890">
        <w:t>utilisation</w:t>
      </w:r>
      <w:r w:rsidR="009527CB" w:rsidRPr="00E31890">
        <w:t xml:space="preserve"> of</w:t>
      </w:r>
      <w:r w:rsidR="00B536AB" w:rsidRPr="00E31890">
        <w:t xml:space="preserve"> </w:t>
      </w:r>
      <w:r w:rsidR="00A1002A" w:rsidRPr="00E31890">
        <w:t>the more labile</w:t>
      </w:r>
      <w:r w:rsidR="00A4414A" w:rsidRPr="00E31890">
        <w:t xml:space="preserve"> (likely nitrogenous)</w:t>
      </w:r>
      <w:r w:rsidR="00A1002A" w:rsidRPr="00E31890">
        <w:t xml:space="preserve"> </w:t>
      </w:r>
      <w:r w:rsidR="008332B6" w:rsidRPr="00E31890">
        <w:t>compounds</w:t>
      </w:r>
      <w:r w:rsidR="00A4414A" w:rsidRPr="00E31890">
        <w:t xml:space="preserve">. </w:t>
      </w:r>
      <w:r w:rsidR="00FA2091" w:rsidRPr="00E31890">
        <w:t xml:space="preserve">However, co-metabolism of the SOM was low </w:t>
      </w:r>
      <w:r w:rsidR="00277A60" w:rsidRPr="00E31890">
        <w:t xml:space="preserve">leading </w:t>
      </w:r>
      <w:r w:rsidR="00CF2E09" w:rsidRPr="00E31890">
        <w:t xml:space="preserve">to </w:t>
      </w:r>
      <w:r w:rsidR="00024823" w:rsidRPr="00E31890">
        <w:t xml:space="preserve">a </w:t>
      </w:r>
      <w:r w:rsidR="00CF2E09" w:rsidRPr="00E31890">
        <w:t xml:space="preserve">negligible </w:t>
      </w:r>
      <w:r w:rsidR="00024823" w:rsidRPr="00E31890">
        <w:t>PE</w:t>
      </w:r>
      <w:r w:rsidR="004267D9" w:rsidRPr="00E31890">
        <w:t xml:space="preserve"> relative to the control</w:t>
      </w:r>
      <w:r w:rsidR="00141890" w:rsidRPr="00E31890">
        <w:t>.</w:t>
      </w:r>
      <w:r w:rsidR="002543C1" w:rsidRPr="00E31890">
        <w:t xml:space="preserve"> </w:t>
      </w:r>
      <w:r w:rsidR="002A649A" w:rsidRPr="00E31890">
        <w:t xml:space="preserve">This may have been related to the </w:t>
      </w:r>
      <w:r w:rsidR="00884395" w:rsidRPr="00E31890">
        <w:t>unbalanced</w:t>
      </w:r>
      <w:r w:rsidR="002A649A" w:rsidRPr="00E31890">
        <w:t xml:space="preserve"> </w:t>
      </w:r>
      <w:r w:rsidR="00884395" w:rsidRPr="00E31890">
        <w:t xml:space="preserve">nutrient stoichiometry of the slurry, </w:t>
      </w:r>
      <w:r w:rsidR="00E83D2E" w:rsidRPr="00E31890">
        <w:t>particularly</w:t>
      </w:r>
      <w:r w:rsidR="00884395" w:rsidRPr="00E31890">
        <w:t xml:space="preserve"> the N:P ratio</w:t>
      </w:r>
      <w:r w:rsidR="00E83D2E" w:rsidRPr="00E31890">
        <w:t xml:space="preserve">, which </w:t>
      </w:r>
      <w:r w:rsidR="0016427C" w:rsidRPr="00E31890">
        <w:t>may be</w:t>
      </w:r>
      <w:r w:rsidR="00E83022" w:rsidRPr="00E31890">
        <w:t xml:space="preserve"> </w:t>
      </w:r>
      <w:r w:rsidR="00D91C59" w:rsidRPr="00E31890">
        <w:t>unmatched to biological requirements</w:t>
      </w:r>
      <w:r w:rsidR="00F62F5D" w:rsidRPr="00E31890">
        <w:t xml:space="preserve">, which has been shown to affect </w:t>
      </w:r>
      <w:r w:rsidR="00C53B72">
        <w:t xml:space="preserve">C </w:t>
      </w:r>
      <w:r w:rsidR="00F62F5D" w:rsidRPr="00E31890">
        <w:t>partitioning</w:t>
      </w:r>
      <w:r w:rsidR="005E5482">
        <w:t xml:space="preserve"> (the balance between growth and respiration)</w:t>
      </w:r>
      <w:r w:rsidR="00D91C59" w:rsidRPr="00E31890">
        <w:t xml:space="preserve"> (</w:t>
      </w:r>
      <w:r w:rsidR="00F62F5D" w:rsidRPr="00E31890">
        <w:t>Brown et al., 2022</w:t>
      </w:r>
      <w:r w:rsidR="00526FD5">
        <w:t>a</w:t>
      </w:r>
      <w:r w:rsidR="00F62F5D" w:rsidRPr="00E31890">
        <w:t>; Prado et al., 2022).</w:t>
      </w:r>
      <w:r w:rsidR="002A649A" w:rsidRPr="00E31890">
        <w:t xml:space="preserve"> </w:t>
      </w:r>
    </w:p>
    <w:p w14:paraId="4062D970" w14:textId="74EBF9FA" w:rsidR="00EA2861" w:rsidRDefault="00D7401D" w:rsidP="007510B2">
      <w:pPr>
        <w:spacing w:after="0" w:line="480" w:lineRule="auto"/>
        <w:ind w:firstLine="720"/>
        <w:jc w:val="both"/>
      </w:pPr>
      <w:r>
        <w:t xml:space="preserve">FYM </w:t>
      </w:r>
      <w:r w:rsidR="00355497" w:rsidRPr="00E31890">
        <w:t>is generally considered a more recalcitrant substrate than</w:t>
      </w:r>
      <w:r w:rsidR="009A631B" w:rsidRPr="00E31890">
        <w:t xml:space="preserve"> slurry, due to </w:t>
      </w:r>
      <w:r w:rsidR="00E20C8A" w:rsidRPr="00E31890">
        <w:t>its</w:t>
      </w:r>
      <w:r w:rsidR="009A631B" w:rsidRPr="00E31890">
        <w:t xml:space="preserve"> higher concentration of lignocellulosic material</w:t>
      </w:r>
      <w:r w:rsidR="008B6361" w:rsidRPr="00E31890">
        <w:t xml:space="preserve"> and </w:t>
      </w:r>
      <w:r w:rsidR="00AD3F9D" w:rsidRPr="00E31890">
        <w:t>C:N ratio</w:t>
      </w:r>
      <w:r>
        <w:t xml:space="preserve"> (</w:t>
      </w:r>
      <w:r w:rsidR="001C5D02">
        <w:t>Chadwick et al., 2000</w:t>
      </w:r>
      <w:r>
        <w:t>)</w:t>
      </w:r>
      <w:r w:rsidR="009A631B" w:rsidRPr="00E31890">
        <w:t>.</w:t>
      </w:r>
      <w:r w:rsidR="0055457E" w:rsidRPr="00E31890">
        <w:t xml:space="preserve"> </w:t>
      </w:r>
      <w:r w:rsidR="00EC3D55" w:rsidRPr="00E31890">
        <w:t xml:space="preserve">The apparent </w:t>
      </w:r>
      <w:r w:rsidR="00896EAD">
        <w:t>PE</w:t>
      </w:r>
      <w:r w:rsidR="00EC3D55" w:rsidRPr="00E31890">
        <w:t xml:space="preserve"> of </w:t>
      </w:r>
      <w:r w:rsidR="00FA2933" w:rsidRPr="00E31890">
        <w:t>manure</w:t>
      </w:r>
      <w:r w:rsidR="001837DC" w:rsidRPr="00E31890">
        <w:t>,</w:t>
      </w:r>
      <w:r w:rsidR="00FA2933" w:rsidRPr="00E31890">
        <w:t xml:space="preserve"> </w:t>
      </w:r>
      <w:r w:rsidR="00942AFA" w:rsidRPr="00E31890">
        <w:t xml:space="preserve">and turnover through microbial </w:t>
      </w:r>
      <w:r w:rsidR="001837DC" w:rsidRPr="00E31890">
        <w:t xml:space="preserve">activity was shown to be negligible compared to the control, suggesting </w:t>
      </w:r>
      <w:r w:rsidR="00751A32" w:rsidRPr="00E31890">
        <w:t xml:space="preserve">it was not a preferential substrate for </w:t>
      </w:r>
      <w:r w:rsidR="00B4385D" w:rsidRPr="00E31890">
        <w:t>microbial utili</w:t>
      </w:r>
      <w:r w:rsidR="00072EB1">
        <w:t>s</w:t>
      </w:r>
      <w:r w:rsidR="00B4385D" w:rsidRPr="00E31890">
        <w:t>ation</w:t>
      </w:r>
      <w:r w:rsidR="008B73DB" w:rsidRPr="00E31890">
        <w:t xml:space="preserve"> (Fig</w:t>
      </w:r>
      <w:r w:rsidR="00D7562E" w:rsidRPr="00E31890">
        <w:t>. 1A</w:t>
      </w:r>
      <w:r w:rsidR="008B73DB" w:rsidRPr="00E31890">
        <w:t>)</w:t>
      </w:r>
      <w:r w:rsidR="00B4385D" w:rsidRPr="00E31890">
        <w:t xml:space="preserve">. </w:t>
      </w:r>
      <w:r w:rsidR="00DD12DA" w:rsidRPr="00E31890">
        <w:t xml:space="preserve">While the negative real </w:t>
      </w:r>
      <w:r w:rsidR="005363A9" w:rsidRPr="00E31890">
        <w:t xml:space="preserve">PE suggested that </w:t>
      </w:r>
      <w:r>
        <w:t>FYM</w:t>
      </w:r>
      <w:r w:rsidR="008B73DB" w:rsidRPr="00E31890">
        <w:t xml:space="preserve"> did not enhance the degradation of native </w:t>
      </w:r>
      <w:r w:rsidR="00896EAD">
        <w:t>SOM</w:t>
      </w:r>
      <w:r w:rsidR="002752DB">
        <w:t xml:space="preserve">, despite the input of exoenzymes from the FYM itself </w:t>
      </w:r>
      <w:r w:rsidR="008B73DB" w:rsidRPr="00E31890">
        <w:t>(Fig</w:t>
      </w:r>
      <w:r w:rsidR="00D7562E" w:rsidRPr="00E31890">
        <w:t>. 1B</w:t>
      </w:r>
      <w:r w:rsidR="008B73DB" w:rsidRPr="00E31890">
        <w:t>).</w:t>
      </w:r>
      <w:r w:rsidR="001837DC" w:rsidRPr="00E31890">
        <w:t xml:space="preserve"> </w:t>
      </w:r>
      <w:r w:rsidR="0055457E" w:rsidRPr="00E31890">
        <w:t xml:space="preserve">While little research has focused on the PE of </w:t>
      </w:r>
      <w:r>
        <w:t>FYM</w:t>
      </w:r>
      <w:r w:rsidR="0055457E" w:rsidRPr="00E31890">
        <w:t xml:space="preserve"> specifically, </w:t>
      </w:r>
      <w:r w:rsidR="0023020D" w:rsidRPr="00E31890">
        <w:t xml:space="preserve">studies have shown that </w:t>
      </w:r>
      <w:r>
        <w:t>FYM</w:t>
      </w:r>
      <w:r w:rsidRPr="00E31890">
        <w:t xml:space="preserve"> </w:t>
      </w:r>
      <w:r w:rsidR="0023020D" w:rsidRPr="00E31890">
        <w:t xml:space="preserve">addition generally leads to higher </w:t>
      </w:r>
      <w:r w:rsidR="00EC3D55" w:rsidRPr="00E31890">
        <w:t xml:space="preserve">soil organic </w:t>
      </w:r>
      <w:r w:rsidR="00C53B72">
        <w:t>C</w:t>
      </w:r>
      <w:r w:rsidR="00C53B72" w:rsidRPr="00E31890">
        <w:t xml:space="preserve"> </w:t>
      </w:r>
      <w:r w:rsidR="00EC3D55" w:rsidRPr="00E31890">
        <w:t>stocks</w:t>
      </w:r>
      <w:r w:rsidR="0075551A" w:rsidRPr="00E31890">
        <w:t xml:space="preserve"> </w:t>
      </w:r>
      <w:r w:rsidR="002752DB">
        <w:t xml:space="preserve">supporting the evidence presented here </w:t>
      </w:r>
      <w:r w:rsidR="000D6C6C" w:rsidRPr="00E31890">
        <w:t>(</w:t>
      </w:r>
      <w:r w:rsidR="00B12D35" w:rsidRPr="00E31890">
        <w:t xml:space="preserve">Abdalla et al., 2022; </w:t>
      </w:r>
      <w:r w:rsidR="007C771C" w:rsidRPr="00E31890">
        <w:t xml:space="preserve">Bei et al., </w:t>
      </w:r>
      <w:r w:rsidR="00184A7F" w:rsidRPr="00E31890">
        <w:t xml:space="preserve">2022; </w:t>
      </w:r>
      <w:r w:rsidR="000D6C6C" w:rsidRPr="00E31890">
        <w:t xml:space="preserve">Gross </w:t>
      </w:r>
      <w:r w:rsidR="00CF27A5" w:rsidRPr="00E31890">
        <w:t>and Glaser,</w:t>
      </w:r>
      <w:r w:rsidR="000D6C6C" w:rsidRPr="00E31890">
        <w:t xml:space="preserve"> 2021</w:t>
      </w:r>
      <w:r w:rsidR="00184A7F" w:rsidRPr="00E31890">
        <w:t>).</w:t>
      </w:r>
      <w:r w:rsidR="00AA238D" w:rsidRPr="00E31890">
        <w:t xml:space="preserve"> </w:t>
      </w:r>
    </w:p>
    <w:p w14:paraId="09EFCC68" w14:textId="77777777" w:rsidR="002752DB" w:rsidRPr="00E31890" w:rsidRDefault="002752DB" w:rsidP="007510B2">
      <w:pPr>
        <w:spacing w:after="0" w:line="480" w:lineRule="auto"/>
        <w:ind w:firstLine="720"/>
        <w:jc w:val="both"/>
      </w:pPr>
    </w:p>
    <w:p w14:paraId="449F515B" w14:textId="65BD5A9B" w:rsidR="00EA2861" w:rsidRPr="00E31890" w:rsidRDefault="009D4BE2" w:rsidP="007510B2">
      <w:pPr>
        <w:spacing w:after="0" w:line="480" w:lineRule="auto"/>
        <w:jc w:val="both"/>
        <w:rPr>
          <w:i/>
          <w:iCs/>
        </w:rPr>
      </w:pPr>
      <w:r w:rsidRPr="00E31890">
        <w:rPr>
          <w:i/>
          <w:iCs/>
        </w:rPr>
        <w:t>4.1.4. Wheat straw a</w:t>
      </w:r>
      <w:r w:rsidR="00606690" w:rsidRPr="00E31890">
        <w:rPr>
          <w:i/>
          <w:iCs/>
        </w:rPr>
        <w:t>nd shoots</w:t>
      </w:r>
    </w:p>
    <w:p w14:paraId="57D1806F" w14:textId="0F9693D8" w:rsidR="0088708E" w:rsidRDefault="008A65DB" w:rsidP="007510B2">
      <w:pPr>
        <w:spacing w:after="0" w:line="480" w:lineRule="auto"/>
        <w:ind w:firstLine="720"/>
        <w:jc w:val="both"/>
      </w:pPr>
      <w:r w:rsidRPr="00E31890">
        <w:t>Straw</w:t>
      </w:r>
      <w:r w:rsidR="009D489E" w:rsidRPr="00E31890">
        <w:t xml:space="preserve"> and shoots</w:t>
      </w:r>
      <w:r w:rsidR="00327658" w:rsidRPr="00E31890">
        <w:t xml:space="preserve"> are </w:t>
      </w:r>
      <w:r w:rsidR="00F77A00" w:rsidRPr="00E31890">
        <w:t xml:space="preserve">substrates </w:t>
      </w:r>
      <w:r w:rsidR="00B10813">
        <w:t xml:space="preserve">with </w:t>
      </w:r>
      <w:r w:rsidR="00F77A00" w:rsidRPr="00E31890">
        <w:t xml:space="preserve">contrasting </w:t>
      </w:r>
      <w:r w:rsidR="00B10813">
        <w:t>C:N ratios and nutrient content</w:t>
      </w:r>
      <w:r w:rsidR="00B10813" w:rsidRPr="00E31890">
        <w:t xml:space="preserve"> </w:t>
      </w:r>
      <w:r w:rsidR="00F60C88" w:rsidRPr="00E31890">
        <w:t>and</w:t>
      </w:r>
      <w:r w:rsidR="001A5177" w:rsidRPr="00E31890">
        <w:t xml:space="preserve"> represen</w:t>
      </w:r>
      <w:r w:rsidR="009D489E" w:rsidRPr="00E31890">
        <w:t>t</w:t>
      </w:r>
      <w:r w:rsidRPr="00E31890">
        <w:t xml:space="preserve"> common input</w:t>
      </w:r>
      <w:r w:rsidR="00F77A00" w:rsidRPr="00E31890">
        <w:t>s</w:t>
      </w:r>
      <w:r w:rsidRPr="00E31890">
        <w:t xml:space="preserve"> to </w:t>
      </w:r>
      <w:r w:rsidR="00932308" w:rsidRPr="00E31890">
        <w:t>agricultural soils</w:t>
      </w:r>
      <w:r w:rsidR="009D489E" w:rsidRPr="00E31890">
        <w:t xml:space="preserve"> during </w:t>
      </w:r>
      <w:r w:rsidR="00C24F21" w:rsidRPr="00E31890">
        <w:t>tillage.</w:t>
      </w:r>
      <w:r w:rsidR="00614CB7" w:rsidRPr="00E31890">
        <w:t xml:space="preserve"> </w:t>
      </w:r>
      <w:r w:rsidR="00851683" w:rsidRPr="00E31890">
        <w:t xml:space="preserve">Straw, in particular, </w:t>
      </w:r>
      <w:r w:rsidR="00E156C1" w:rsidRPr="00E31890">
        <w:t xml:space="preserve">is often used as a ‘classical’ substrate for soil priming experiments </w:t>
      </w:r>
      <w:r w:rsidR="008E717B" w:rsidRPr="00E31890">
        <w:t>(Chen et al., 2021</w:t>
      </w:r>
      <w:r w:rsidR="00076450" w:rsidRPr="00E31890">
        <w:t xml:space="preserve">; </w:t>
      </w:r>
      <w:r w:rsidR="008E717B" w:rsidRPr="00E31890">
        <w:t xml:space="preserve">Mo et al., 2021; </w:t>
      </w:r>
      <w:r w:rsidR="00076450" w:rsidRPr="00E31890">
        <w:t>Ye et al., 2015)</w:t>
      </w:r>
      <w:r w:rsidR="00F8531C" w:rsidRPr="00E31890">
        <w:t xml:space="preserve">. Here, </w:t>
      </w:r>
      <w:r w:rsidR="002522B7" w:rsidRPr="00E31890">
        <w:t>we showed there was a relationship between the</w:t>
      </w:r>
      <w:r w:rsidR="00195DAF" w:rsidRPr="00E31890">
        <w:t xml:space="preserve"> proportion of straw </w:t>
      </w:r>
      <w:r w:rsidR="007256C8" w:rsidRPr="00E31890">
        <w:t>(</w:t>
      </w:r>
      <w:r w:rsidR="00A9199D" w:rsidRPr="00E31890">
        <w:t>relatively low u</w:t>
      </w:r>
      <w:r w:rsidR="002F542C" w:rsidRPr="00E31890">
        <w:t>tilizablity</w:t>
      </w:r>
      <w:r w:rsidR="00E340CE" w:rsidRPr="00E31890">
        <w:t>)</w:t>
      </w:r>
      <w:r w:rsidR="00A9199D" w:rsidRPr="00E31890">
        <w:t xml:space="preserve"> </w:t>
      </w:r>
      <w:r w:rsidR="002F542C" w:rsidRPr="00E31890">
        <w:t xml:space="preserve">to </w:t>
      </w:r>
      <w:r w:rsidR="00C33959" w:rsidRPr="00E31890">
        <w:t xml:space="preserve">shoots </w:t>
      </w:r>
      <w:r w:rsidR="00C33959" w:rsidRPr="00E31890">
        <w:lastRenderedPageBreak/>
        <w:t xml:space="preserve">(relatively higher </w:t>
      </w:r>
      <w:r w:rsidR="00DC1973" w:rsidRPr="00E31890">
        <w:t xml:space="preserve">utilizablity), </w:t>
      </w:r>
      <w:r w:rsidR="005A13AE" w:rsidRPr="00E31890">
        <w:t>with higher proportions of shoots</w:t>
      </w:r>
      <w:r w:rsidR="00CC1EA9" w:rsidRPr="00E31890">
        <w:t xml:space="preserve"> to straw</w:t>
      </w:r>
      <w:r w:rsidR="005A13AE" w:rsidRPr="00E31890">
        <w:t xml:space="preserve"> increasing the </w:t>
      </w:r>
      <w:r w:rsidR="00477473" w:rsidRPr="00E31890">
        <w:t>real and apparent PE</w:t>
      </w:r>
      <w:r w:rsidR="00455F05" w:rsidRPr="00E31890">
        <w:t xml:space="preserve"> (Fig</w:t>
      </w:r>
      <w:r w:rsidR="00B10813">
        <w:t>.</w:t>
      </w:r>
      <w:r w:rsidR="00455F05" w:rsidRPr="00E31890">
        <w:t xml:space="preserve"> 1A and B)</w:t>
      </w:r>
      <w:r w:rsidR="00477473" w:rsidRPr="00E31890">
        <w:t xml:space="preserve">. </w:t>
      </w:r>
      <w:r w:rsidR="00B00FDC" w:rsidRPr="00E31890">
        <w:t>Fresh plant biomass input</w:t>
      </w:r>
      <w:r w:rsidR="00C705EC" w:rsidRPr="00E31890">
        <w:t>,</w:t>
      </w:r>
      <w:r w:rsidR="00B00FDC" w:rsidRPr="00E31890">
        <w:t xml:space="preserve"> </w:t>
      </w:r>
      <w:r w:rsidR="00332734" w:rsidRPr="00E31890">
        <w:t>and its associated input of labile nutrients</w:t>
      </w:r>
      <w:r w:rsidR="00C705EC" w:rsidRPr="00E31890">
        <w:t>,</w:t>
      </w:r>
      <w:r w:rsidR="00332734" w:rsidRPr="00E31890">
        <w:t xml:space="preserve"> </w:t>
      </w:r>
      <w:r w:rsidR="00747EFE" w:rsidRPr="00E31890">
        <w:t xml:space="preserve">has been shown to increase microbial biomass turnover inducing positive apparent priming </w:t>
      </w:r>
      <w:r w:rsidR="00DA66C7" w:rsidRPr="00E31890">
        <w:t>in the short term</w:t>
      </w:r>
      <w:r w:rsidR="00CC1EA9" w:rsidRPr="00E31890">
        <w:t xml:space="preserve"> </w:t>
      </w:r>
      <w:r w:rsidR="004B1C84" w:rsidRPr="00E31890">
        <w:t>(B</w:t>
      </w:r>
      <w:r w:rsidR="00A124CD" w:rsidRPr="00E31890">
        <w:t>ernard et al., 2022</w:t>
      </w:r>
      <w:r w:rsidR="004060AC" w:rsidRPr="00E31890">
        <w:t>; Chen et al., 2019</w:t>
      </w:r>
      <w:r w:rsidR="00A124CD" w:rsidRPr="00E31890">
        <w:t>)</w:t>
      </w:r>
      <w:r w:rsidR="00CC1EA9" w:rsidRPr="00E31890">
        <w:t xml:space="preserve">. </w:t>
      </w:r>
      <w:r w:rsidR="00DF7D2D" w:rsidRPr="00E31890">
        <w:t>Significant r</w:t>
      </w:r>
      <w:r w:rsidR="00590047" w:rsidRPr="00E31890">
        <w:t xml:space="preserve">eal priming </w:t>
      </w:r>
      <w:r w:rsidR="00DF7D2D" w:rsidRPr="00E31890">
        <w:t>is also likely to have been driven by</w:t>
      </w:r>
      <w:r w:rsidR="00C10129" w:rsidRPr="00E31890">
        <w:t xml:space="preserve"> the fact that many of th</w:t>
      </w:r>
      <w:r w:rsidR="004760B7" w:rsidRPr="00E31890">
        <w:t xml:space="preserve">e extracellular enzymes required to break down the plant matter </w:t>
      </w:r>
      <w:r w:rsidR="006D701D" w:rsidRPr="00E31890">
        <w:t xml:space="preserve">are </w:t>
      </w:r>
      <w:r w:rsidR="008D7916" w:rsidRPr="00E31890">
        <w:t>also able to mineralise</w:t>
      </w:r>
      <w:r w:rsidR="006D0EB1" w:rsidRPr="00E31890">
        <w:t xml:space="preserve">, particularly the labile </w:t>
      </w:r>
      <w:r w:rsidR="00A77EEE" w:rsidRPr="00E31890">
        <w:t xml:space="preserve">(particulate) </w:t>
      </w:r>
      <w:r w:rsidR="006D0EB1" w:rsidRPr="00E31890">
        <w:t>fraction, of</w:t>
      </w:r>
      <w:r w:rsidR="008D7916" w:rsidRPr="00E31890">
        <w:t xml:space="preserve"> SOM</w:t>
      </w:r>
      <w:r w:rsidR="00A77EEE" w:rsidRPr="00E31890">
        <w:t xml:space="preserve"> (</w:t>
      </w:r>
      <w:proofErr w:type="spellStart"/>
      <w:r w:rsidR="00A77EEE" w:rsidRPr="00E31890">
        <w:t>Witzgall</w:t>
      </w:r>
      <w:proofErr w:type="spellEnd"/>
      <w:r w:rsidR="00A77EEE" w:rsidRPr="00E31890">
        <w:t xml:space="preserve"> et al</w:t>
      </w:r>
      <w:r w:rsidR="005744D9">
        <w:t>.,</w:t>
      </w:r>
      <w:r w:rsidR="00A77EEE" w:rsidRPr="00E31890">
        <w:t xml:space="preserve"> 2021)</w:t>
      </w:r>
      <w:r w:rsidR="006D0EB1" w:rsidRPr="00E31890">
        <w:t>.</w:t>
      </w:r>
      <w:r w:rsidR="00371F48" w:rsidRPr="00E31890">
        <w:t xml:space="preserve"> </w:t>
      </w:r>
      <w:r w:rsidR="00457C3A" w:rsidRPr="00E31890">
        <w:t>Once th</w:t>
      </w:r>
      <w:r w:rsidR="005672DB" w:rsidRPr="00E31890">
        <w:t>e</w:t>
      </w:r>
      <w:r w:rsidR="00457C3A" w:rsidRPr="00E31890">
        <w:t xml:space="preserve"> production of these enzymes ha</w:t>
      </w:r>
      <w:r w:rsidR="005672DB" w:rsidRPr="00E31890">
        <w:t>s</w:t>
      </w:r>
      <w:r w:rsidR="00457C3A" w:rsidRPr="00E31890">
        <w:t xml:space="preserve"> been stimulated by the additions of fresh organic matter, the</w:t>
      </w:r>
      <w:r w:rsidR="0059738B" w:rsidRPr="00E31890">
        <w:t xml:space="preserve">ir presence continues to </w:t>
      </w:r>
      <w:r w:rsidR="00A700C0" w:rsidRPr="00E31890">
        <w:t>mineralise</w:t>
      </w:r>
      <w:r w:rsidR="0059738B" w:rsidRPr="00E31890">
        <w:t xml:space="preserve"> the native </w:t>
      </w:r>
      <w:r w:rsidR="005744D9">
        <w:t>S</w:t>
      </w:r>
      <w:r w:rsidR="00FA769F" w:rsidRPr="00E31890">
        <w:t>OM.</w:t>
      </w:r>
    </w:p>
    <w:p w14:paraId="44288F6C" w14:textId="5193D77B" w:rsidR="00BE739E" w:rsidRDefault="00186DEE" w:rsidP="00F80EA9">
      <w:pPr>
        <w:spacing w:after="0" w:line="480" w:lineRule="auto"/>
        <w:jc w:val="both"/>
      </w:pPr>
      <w:r>
        <w:t xml:space="preserve"> </w:t>
      </w:r>
    </w:p>
    <w:p w14:paraId="7565A490" w14:textId="4AC66BA8" w:rsidR="003E21BA" w:rsidRPr="00E31890" w:rsidRDefault="0088708E" w:rsidP="007510B2">
      <w:pPr>
        <w:spacing w:after="0" w:line="480" w:lineRule="auto"/>
        <w:jc w:val="both"/>
        <w:rPr>
          <w:i/>
          <w:iCs/>
        </w:rPr>
      </w:pPr>
      <w:r w:rsidRPr="00E31890">
        <w:rPr>
          <w:i/>
          <w:iCs/>
        </w:rPr>
        <w:t>4.</w:t>
      </w:r>
      <w:r w:rsidR="00E7383F">
        <w:rPr>
          <w:i/>
          <w:iCs/>
        </w:rPr>
        <w:t>2</w:t>
      </w:r>
      <w:r w:rsidRPr="00E31890">
        <w:rPr>
          <w:i/>
          <w:iCs/>
        </w:rPr>
        <w:t xml:space="preserve">. </w:t>
      </w:r>
      <w:r w:rsidR="00F7618B" w:rsidRPr="00E31890">
        <w:rPr>
          <w:i/>
          <w:iCs/>
        </w:rPr>
        <w:t>Drivers of the PE</w:t>
      </w:r>
    </w:p>
    <w:p w14:paraId="44199492" w14:textId="445309A4" w:rsidR="00B66A27" w:rsidRDefault="00AA4514" w:rsidP="007510B2">
      <w:pPr>
        <w:spacing w:after="0" w:line="480" w:lineRule="auto"/>
        <w:ind w:firstLine="720"/>
        <w:jc w:val="both"/>
      </w:pPr>
      <w:r w:rsidRPr="00E31890">
        <w:t>The results</w:t>
      </w:r>
      <w:r w:rsidR="009639A3" w:rsidRPr="00E31890">
        <w:t xml:space="preserve"> of this study, </w:t>
      </w:r>
      <w:r w:rsidR="00DC6152" w:rsidRPr="00E31890">
        <w:t xml:space="preserve">comparing real and apparent priming effects of a </w:t>
      </w:r>
      <w:r w:rsidR="00BE02BD" w:rsidRPr="00E31890">
        <w:t xml:space="preserve">diverse </w:t>
      </w:r>
      <w:r w:rsidR="00DC6152" w:rsidRPr="00E31890">
        <w:t xml:space="preserve">range of common soil </w:t>
      </w:r>
      <w:r w:rsidR="00737EE0">
        <w:t>amendments</w:t>
      </w:r>
      <w:r w:rsidR="00DC6152" w:rsidRPr="00E31890">
        <w:t xml:space="preserve"> as substrates,</w:t>
      </w:r>
      <w:r w:rsidRPr="00E31890">
        <w:t xml:space="preserve"> suggest that </w:t>
      </w:r>
      <w:r w:rsidR="00C1009A">
        <w:t xml:space="preserve">no one </w:t>
      </w:r>
      <w:r w:rsidRPr="00E31890">
        <w:t xml:space="preserve">single </w:t>
      </w:r>
      <w:r w:rsidR="00EC2E19">
        <w:t>soil or substrate quality indicator</w:t>
      </w:r>
      <w:r w:rsidR="00EC2E19" w:rsidRPr="00E31890">
        <w:t xml:space="preserve"> </w:t>
      </w:r>
      <w:r w:rsidRPr="00E31890">
        <w:t xml:space="preserve">could </w:t>
      </w:r>
      <w:r w:rsidR="00C1009A">
        <w:t xml:space="preserve">adequately </w:t>
      </w:r>
      <w:r w:rsidRPr="00E31890">
        <w:t xml:space="preserve">explain the observed </w:t>
      </w:r>
      <w:r w:rsidR="00480A1C" w:rsidRPr="00E31890">
        <w:t xml:space="preserve">real or apparent </w:t>
      </w:r>
      <w:r w:rsidRPr="00E31890">
        <w:t>priming effects observed</w:t>
      </w:r>
      <w:r w:rsidR="00480A1C" w:rsidRPr="00E31890">
        <w:t xml:space="preserve"> across </w:t>
      </w:r>
      <w:r w:rsidR="00C1009A">
        <w:t xml:space="preserve">the </w:t>
      </w:r>
      <w:r w:rsidR="00480A1C" w:rsidRPr="00E31890">
        <w:t>substrates</w:t>
      </w:r>
      <w:r w:rsidRPr="00E31890">
        <w:t>.</w:t>
      </w:r>
      <w:r w:rsidR="00F7618B" w:rsidRPr="00E31890">
        <w:t xml:space="preserve"> </w:t>
      </w:r>
      <w:r w:rsidR="00D05694" w:rsidRPr="00E31890">
        <w:t xml:space="preserve">Previously, </w:t>
      </w:r>
      <w:r w:rsidR="00BF116F" w:rsidRPr="00E31890">
        <w:t xml:space="preserve">C:N ratios of substrates have been suggested as a predictor of </w:t>
      </w:r>
      <w:r w:rsidR="00BE02BD" w:rsidRPr="00E31890">
        <w:t xml:space="preserve">priming </w:t>
      </w:r>
      <w:r w:rsidR="003D2895" w:rsidRPr="00E31890">
        <w:t>(</w:t>
      </w:r>
      <w:proofErr w:type="spellStart"/>
      <w:r w:rsidR="003D2895" w:rsidRPr="00E31890">
        <w:t>Q</w:t>
      </w:r>
      <w:r w:rsidR="0090334D" w:rsidRPr="00E31890">
        <w:t>iao</w:t>
      </w:r>
      <w:proofErr w:type="spellEnd"/>
      <w:r w:rsidR="0090334D" w:rsidRPr="00E31890">
        <w:t xml:space="preserve"> et al., 2016; </w:t>
      </w:r>
      <w:r w:rsidR="002F6D5C" w:rsidRPr="00E31890">
        <w:t>Liu et al., 2020</w:t>
      </w:r>
      <w:r w:rsidR="00953223" w:rsidRPr="00E31890">
        <w:t xml:space="preserve">), </w:t>
      </w:r>
      <w:r w:rsidR="00792A25" w:rsidRPr="00E31890">
        <w:t>our results are consistent with this</w:t>
      </w:r>
      <w:r w:rsidR="001E7461" w:rsidRPr="00E31890">
        <w:t xml:space="preserve"> (Table </w:t>
      </w:r>
      <w:r w:rsidR="00165CA7" w:rsidRPr="00E31890">
        <w:t>2</w:t>
      </w:r>
      <w:r w:rsidR="001E7461" w:rsidRPr="00E31890">
        <w:t>)</w:t>
      </w:r>
      <w:r w:rsidR="003B5CA3" w:rsidRPr="00E31890">
        <w:t xml:space="preserve">. </w:t>
      </w:r>
      <w:r w:rsidR="00792A25" w:rsidRPr="00E31890">
        <w:t>However, th</w:t>
      </w:r>
      <w:r w:rsidR="00380B6E" w:rsidRPr="00E31890">
        <w:t xml:space="preserve">e relationship is stronger for the apparent </w:t>
      </w:r>
      <w:r w:rsidR="00896EAD">
        <w:t>PE</w:t>
      </w:r>
      <w:r w:rsidR="00380B6E" w:rsidRPr="00E31890">
        <w:t xml:space="preserve"> </w:t>
      </w:r>
      <w:r w:rsidR="006878F8">
        <w:t>than</w:t>
      </w:r>
      <w:r w:rsidR="00024523">
        <w:t xml:space="preserve"> </w:t>
      </w:r>
      <w:r w:rsidR="00380B6E" w:rsidRPr="00E31890">
        <w:t xml:space="preserve">the real </w:t>
      </w:r>
      <w:r w:rsidR="00896EAD">
        <w:t>PE</w:t>
      </w:r>
      <w:r w:rsidR="00380B6E" w:rsidRPr="00E31890">
        <w:t xml:space="preserve">. </w:t>
      </w:r>
      <w:r w:rsidR="00627C2F" w:rsidRPr="00E31890">
        <w:t xml:space="preserve">We suggest that in addition to the C:N ratio </w:t>
      </w:r>
      <w:r w:rsidR="005D328B" w:rsidRPr="00E31890">
        <w:t xml:space="preserve">the usability </w:t>
      </w:r>
      <w:r w:rsidR="00144413" w:rsidRPr="00E31890">
        <w:t xml:space="preserve">and quality </w:t>
      </w:r>
      <w:r w:rsidR="005D328B" w:rsidRPr="00E31890">
        <w:t>of the substrate (i.e., its immediate accessibility</w:t>
      </w:r>
      <w:r w:rsidR="00144413" w:rsidRPr="00E31890">
        <w:t xml:space="preserve"> and </w:t>
      </w:r>
      <w:r w:rsidR="00C87618" w:rsidRPr="00E31890">
        <w:t>energy cost and return on investment</w:t>
      </w:r>
      <w:r w:rsidR="007329A8" w:rsidRPr="00E31890">
        <w:t xml:space="preserve"> </w:t>
      </w:r>
      <w:r w:rsidR="00620896">
        <w:t>(</w:t>
      </w:r>
      <w:r w:rsidR="007329A8" w:rsidRPr="00E31890">
        <w:t>Bernard et al., 2022</w:t>
      </w:r>
      <w:r w:rsidR="005D328B" w:rsidRPr="00E31890">
        <w:t xml:space="preserve">) by the microbial biomass is key to </w:t>
      </w:r>
      <w:r w:rsidR="0000752A" w:rsidRPr="00E31890">
        <w:t>determining its PE. With the m</w:t>
      </w:r>
      <w:r w:rsidR="00456F30" w:rsidRPr="00E31890">
        <w:t>ore labile</w:t>
      </w:r>
      <w:r w:rsidR="0000752A" w:rsidRPr="00E31890">
        <w:t xml:space="preserve"> material</w:t>
      </w:r>
      <w:r w:rsidR="00645513" w:rsidRPr="00E31890">
        <w:t xml:space="preserve"> (or</w:t>
      </w:r>
      <w:r w:rsidR="00674783" w:rsidRPr="00E31890">
        <w:t xml:space="preserve"> utilizable</w:t>
      </w:r>
      <w:r w:rsidR="00CA7101" w:rsidRPr="00E31890">
        <w:t xml:space="preserve">; </w:t>
      </w:r>
      <w:r w:rsidR="003B2370" w:rsidRPr="00E31890">
        <w:t>Kuzyakov and Bol, 2006)</w:t>
      </w:r>
      <w:r w:rsidR="0000752A" w:rsidRPr="00E31890">
        <w:t>,</w:t>
      </w:r>
      <w:r w:rsidR="00456F30" w:rsidRPr="00E31890">
        <w:t xml:space="preserve"> </w:t>
      </w:r>
      <w:r w:rsidR="00C628D3" w:rsidRPr="00E31890">
        <w:t>there is likely to be less</w:t>
      </w:r>
      <w:r w:rsidR="00456F30" w:rsidRPr="00E31890">
        <w:t xml:space="preserve"> positive priming as microbial communit</w:t>
      </w:r>
      <w:r w:rsidR="00BF72A6">
        <w:t>ies</w:t>
      </w:r>
      <w:r w:rsidR="00456F30" w:rsidRPr="00E31890">
        <w:t xml:space="preserve"> use this as metabolic fuel rather than native organic matter.</w:t>
      </w:r>
      <w:r w:rsidR="0041200A" w:rsidRPr="00E31890">
        <w:t xml:space="preserve"> However, this will in turn affect the st</w:t>
      </w:r>
      <w:r w:rsidR="004668EE" w:rsidRPr="00E31890">
        <w:t>oichiometry of the soil and microbial biomass, which may lead to priming through continued mineral</w:t>
      </w:r>
      <w:r w:rsidR="00C95A35" w:rsidRPr="00E31890">
        <w:t>isation of the native SOM in</w:t>
      </w:r>
      <w:r w:rsidR="0015323E" w:rsidRPr="00E31890">
        <w:t xml:space="preserve"> </w:t>
      </w:r>
      <w:r w:rsidR="00C95A35" w:rsidRPr="00E31890">
        <w:t>order to redress the balance.</w:t>
      </w:r>
      <w:r w:rsidR="00F41A0C" w:rsidRPr="00E31890">
        <w:t xml:space="preserve"> </w:t>
      </w:r>
      <w:r w:rsidR="00643C8D" w:rsidRPr="00E31890">
        <w:t xml:space="preserve">This is difficult to interpret from our data, as it is </w:t>
      </w:r>
      <w:r w:rsidR="00161D8A" w:rsidRPr="00E31890">
        <w:t>likely to be more evident as a flux</w:t>
      </w:r>
      <w:r w:rsidR="00E155EB" w:rsidRPr="00E31890">
        <w:t>,</w:t>
      </w:r>
      <w:r w:rsidR="00161D8A" w:rsidRPr="00E31890">
        <w:t xml:space="preserve"> rather than a snapshot of the soil stoichiometry.</w:t>
      </w:r>
      <w:r w:rsidR="00101465" w:rsidRPr="00E31890">
        <w:t xml:space="preserve"> </w:t>
      </w:r>
      <w:r w:rsidR="004913A0" w:rsidRPr="00E31890">
        <w:t xml:space="preserve">Also key to this stoichiometric ratio is the concentration of P, </w:t>
      </w:r>
      <w:r w:rsidR="00A07496" w:rsidRPr="00E31890">
        <w:t>however</w:t>
      </w:r>
      <w:r w:rsidR="00743438">
        <w:t>,</w:t>
      </w:r>
      <w:r w:rsidR="00A07496" w:rsidRPr="00E31890">
        <w:t xml:space="preserve"> </w:t>
      </w:r>
      <w:r w:rsidR="000A2BE3" w:rsidRPr="00E31890">
        <w:t xml:space="preserve">in the real priming soils in this study </w:t>
      </w:r>
      <w:r w:rsidR="00743438">
        <w:t>available P</w:t>
      </w:r>
      <w:r w:rsidR="000A2BE3" w:rsidRPr="00E31890">
        <w:t xml:space="preserve"> levels were low, </w:t>
      </w:r>
      <w:r w:rsidR="00FE0D24" w:rsidRPr="00E31890">
        <w:t xml:space="preserve">while there was some addition from P rich substrates (biochar, </w:t>
      </w:r>
      <w:r w:rsidR="00737EE0">
        <w:t>FYM</w:t>
      </w:r>
      <w:r w:rsidR="00FE0D24" w:rsidRPr="00E31890">
        <w:t>,</w:t>
      </w:r>
      <w:r w:rsidR="004D7CE1" w:rsidRPr="00E31890">
        <w:t xml:space="preserve"> slurry</w:t>
      </w:r>
      <w:r w:rsidR="00FE0D24" w:rsidRPr="00E31890">
        <w:t xml:space="preserve"> </w:t>
      </w:r>
      <w:r w:rsidR="0099088B" w:rsidRPr="00E31890">
        <w:t xml:space="preserve">and wood ash), there may also be some evidence of P mining from the SOM in </w:t>
      </w:r>
      <w:r w:rsidR="008A5547" w:rsidRPr="00E31890">
        <w:t xml:space="preserve">treatments with high N loading (inorganic N, </w:t>
      </w:r>
      <w:r w:rsidR="00385F05" w:rsidRPr="00E31890">
        <w:t xml:space="preserve">and </w:t>
      </w:r>
      <w:r w:rsidR="00743438">
        <w:t>protein</w:t>
      </w:r>
      <w:r w:rsidR="00385F05" w:rsidRPr="00E31890">
        <w:t>)</w:t>
      </w:r>
      <w:r w:rsidR="00374205" w:rsidRPr="00E31890">
        <w:t xml:space="preserve"> (Meyer et al., 2018)</w:t>
      </w:r>
      <w:r w:rsidR="00EA4418" w:rsidRPr="00E31890">
        <w:t xml:space="preserve">. </w:t>
      </w:r>
    </w:p>
    <w:p w14:paraId="1F8B91FA" w14:textId="78834BA3" w:rsidR="00B66A27" w:rsidRDefault="00B66A27" w:rsidP="007510B2">
      <w:pPr>
        <w:spacing w:after="0" w:line="480" w:lineRule="auto"/>
        <w:ind w:firstLine="720"/>
        <w:jc w:val="both"/>
      </w:pPr>
      <w:r w:rsidRPr="00B66A27">
        <w:lastRenderedPageBreak/>
        <w:t xml:space="preserve">While priming is generally considered to be </w:t>
      </w:r>
      <w:r w:rsidR="00702B48" w:rsidRPr="00B66A27">
        <w:t>a</w:t>
      </w:r>
      <w:r w:rsidRPr="00B66A27">
        <w:t xml:space="preserve"> </w:t>
      </w:r>
      <w:r w:rsidR="003E3E3C">
        <w:t xml:space="preserve">short-term </w:t>
      </w:r>
      <w:r w:rsidRPr="00B66A27">
        <w:t xml:space="preserve">phenomenon, the majority of priming studies including this one, are performed under controlled laboratory conditions and over short time periods and therefore may be only partially representative of real-world conditions. Our data suggests that the real PE of substrates may in fact not be </w:t>
      </w:r>
      <w:r w:rsidR="00EA4BC9">
        <w:t>a short-lived</w:t>
      </w:r>
      <w:r w:rsidRPr="00B66A27">
        <w:t xml:space="preserve"> phenomenon, in most cases persisting beyond 50 d (Fig. S1 + S2).</w:t>
      </w:r>
    </w:p>
    <w:p w14:paraId="20F179F3" w14:textId="40A5A455" w:rsidR="00552E25" w:rsidRPr="00E31890" w:rsidRDefault="00B66A27" w:rsidP="00F80EA9">
      <w:pPr>
        <w:spacing w:after="0" w:line="480" w:lineRule="auto"/>
        <w:ind w:firstLine="720"/>
        <w:jc w:val="both"/>
        <w:rPr>
          <w:i/>
          <w:iCs/>
        </w:rPr>
      </w:pPr>
      <w:r w:rsidRPr="00B66A27">
        <w:t xml:space="preserve">Arguably, it is important to contextualise the soil PE with the increase in total soil C and the stability of the initial treatment and the potential for organic matter formation from the mineralisation and metabolic turnover of the treatment, as this will affect the overall stability and </w:t>
      </w:r>
      <w:proofErr w:type="spellStart"/>
      <w:r w:rsidR="00BF72A6" w:rsidRPr="00BF72A6">
        <w:t>perme</w:t>
      </w:r>
      <w:r w:rsidR="00C91AA1">
        <w:t>n</w:t>
      </w:r>
      <w:r w:rsidR="00BF72A6" w:rsidRPr="00BF72A6">
        <w:t>ance</w:t>
      </w:r>
      <w:proofErr w:type="spellEnd"/>
      <w:r w:rsidRPr="00B66A27">
        <w:t xml:space="preserve"> of C within the soil system (</w:t>
      </w:r>
      <w:proofErr w:type="spellStart"/>
      <w:r w:rsidRPr="00B66A27">
        <w:t>Raczka</w:t>
      </w:r>
      <w:proofErr w:type="spellEnd"/>
      <w:r w:rsidRPr="00B66A27">
        <w:t xml:space="preserve"> et al., 2021). Additionally, we suggest that combining measurements of the PE with functional measurements of microbial activity, for example, untargeted metabolomics, may </w:t>
      </w:r>
      <w:r w:rsidR="00EA4BC9">
        <w:t>allow us</w:t>
      </w:r>
      <w:r w:rsidR="00EA4BC9" w:rsidRPr="00B66A27">
        <w:t xml:space="preserve"> </w:t>
      </w:r>
      <w:r w:rsidRPr="00B66A27">
        <w:t>to elucidate the fundamental biochemical mechanisms of priming and the metabolic products</w:t>
      </w:r>
      <w:r w:rsidR="00EA4BC9">
        <w:t xml:space="preserve"> involved</w:t>
      </w:r>
      <w:r w:rsidRPr="00B66A27">
        <w:t xml:space="preserve"> (from which stability can be inferred; Kallenbach et al., 2016).</w:t>
      </w:r>
    </w:p>
    <w:p w14:paraId="396B8F8A" w14:textId="73D2AD1A" w:rsidR="00E7383F" w:rsidRDefault="00E7383F" w:rsidP="00E7383F">
      <w:pPr>
        <w:spacing w:after="0" w:line="480" w:lineRule="auto"/>
        <w:jc w:val="both"/>
      </w:pPr>
    </w:p>
    <w:p w14:paraId="7447B3A1" w14:textId="0A452CF6" w:rsidR="00E7383F" w:rsidRDefault="00E7383F" w:rsidP="00E7383F">
      <w:pPr>
        <w:spacing w:after="0" w:line="480" w:lineRule="auto"/>
        <w:jc w:val="both"/>
        <w:rPr>
          <w:i/>
          <w:iCs/>
        </w:rPr>
      </w:pPr>
      <w:r w:rsidRPr="00F80EA9">
        <w:rPr>
          <w:i/>
          <w:iCs/>
        </w:rPr>
        <w:t>4.3. Limitations</w:t>
      </w:r>
    </w:p>
    <w:p w14:paraId="1ADA929D" w14:textId="2A6993A7" w:rsidR="00E7383F" w:rsidRPr="00E7383F" w:rsidRDefault="00E7383F" w:rsidP="00E7383F">
      <w:pPr>
        <w:spacing w:after="0" w:line="480" w:lineRule="auto"/>
        <w:ind w:firstLine="720"/>
        <w:jc w:val="both"/>
      </w:pPr>
      <w:r>
        <w:t>T</w:t>
      </w:r>
      <w:r w:rsidRPr="00F80EA9">
        <w:t xml:space="preserve">he findings of this study must be caveated as SOM is a complex substrate, with different pools </w:t>
      </w:r>
      <w:r w:rsidR="00EA4BC9">
        <w:t xml:space="preserve">possessing </w:t>
      </w:r>
      <w:r w:rsidRPr="00F80EA9">
        <w:t>v</w:t>
      </w:r>
      <w:r w:rsidR="00EA4BC9">
        <w:t>arying</w:t>
      </w:r>
      <w:r w:rsidRPr="00F80EA9">
        <w:t xml:space="preserve"> C residence times. After 5-years</w:t>
      </w:r>
      <w:r w:rsidR="00EA4BC9">
        <w:t>,</w:t>
      </w:r>
      <w:r w:rsidRPr="00F80EA9">
        <w:t xml:space="preserve"> the majority of </w:t>
      </w:r>
      <w:r w:rsidR="00EA4BC9">
        <w:t xml:space="preserve">the </w:t>
      </w:r>
      <w:r w:rsidRPr="00F80EA9">
        <w:rPr>
          <w:vertAlign w:val="superscript"/>
        </w:rPr>
        <w:t>14</w:t>
      </w:r>
      <w:r w:rsidRPr="00F80EA9">
        <w:t xml:space="preserve">C-labelled compounds were </w:t>
      </w:r>
      <w:r w:rsidR="00444F32">
        <w:t xml:space="preserve">still </w:t>
      </w:r>
      <w:r w:rsidRPr="00F80EA9">
        <w:t xml:space="preserve">assumed to be distributed </w:t>
      </w:r>
      <w:r w:rsidR="00C91AA1">
        <w:t xml:space="preserve">in </w:t>
      </w:r>
      <w:r w:rsidRPr="00F80EA9">
        <w:t xml:space="preserve">less stable and persistent </w:t>
      </w:r>
      <w:r w:rsidR="00444F32">
        <w:t>fractions of SOM</w:t>
      </w:r>
      <w:r w:rsidRPr="00F80EA9">
        <w:t xml:space="preserve"> (</w:t>
      </w:r>
      <w:proofErr w:type="spellStart"/>
      <w:r w:rsidRPr="00F80EA9">
        <w:t>Cotrufo</w:t>
      </w:r>
      <w:proofErr w:type="spellEnd"/>
      <w:r w:rsidRPr="00F80EA9">
        <w:t xml:space="preserve"> et al., 2022; Islam et al., 2022). This was confirmed by the distribution of </w:t>
      </w:r>
      <w:r w:rsidRPr="00F80EA9">
        <w:rPr>
          <w:vertAlign w:val="superscript"/>
        </w:rPr>
        <w:t>14</w:t>
      </w:r>
      <w:r w:rsidRPr="00F80EA9">
        <w:t>C in soil aggregates</w:t>
      </w:r>
      <w:r w:rsidR="00702B48">
        <w:t xml:space="preserve"> (Table 2)</w:t>
      </w:r>
      <w:r w:rsidRPr="00F80EA9">
        <w:t xml:space="preserve">, with significantly more </w:t>
      </w:r>
      <w:r w:rsidRPr="00F80EA9">
        <w:rPr>
          <w:vertAlign w:val="superscript"/>
        </w:rPr>
        <w:t>14</w:t>
      </w:r>
      <w:r w:rsidRPr="00F80EA9">
        <w:t>C activity associated with the soil large macro-aggerates, in which C is generally considered to be more susceptible to change than micro-aggregates (</w:t>
      </w:r>
      <w:proofErr w:type="spellStart"/>
      <w:r w:rsidRPr="00F80EA9">
        <w:t>Cambardella</w:t>
      </w:r>
      <w:proofErr w:type="spellEnd"/>
      <w:r w:rsidRPr="00F80EA9">
        <w:t xml:space="preserve"> and Elliot, 1993; Zhou et al., 2020). Thus, the results presented here are representative of priming in relatively young (&lt; 10 years) </w:t>
      </w:r>
      <w:r w:rsidR="00EA4BC9">
        <w:t>SOM</w:t>
      </w:r>
      <w:r w:rsidRPr="00F80EA9">
        <w:t xml:space="preserve">, but not necessarily of priming of </w:t>
      </w:r>
      <w:r w:rsidR="00EA4BC9">
        <w:t xml:space="preserve">much </w:t>
      </w:r>
      <w:r w:rsidRPr="00F80EA9">
        <w:t>old</w:t>
      </w:r>
      <w:r w:rsidR="00EA4BC9">
        <w:t>er</w:t>
      </w:r>
      <w:r w:rsidRPr="00F80EA9">
        <w:t xml:space="preserve"> SOM (e.g., MAOM). As the specific activity of the MBC was not quantified here, we cannot directly compare the magnitude of real and apparent PE</w:t>
      </w:r>
      <w:r>
        <w:t>, although this should be the aim of future work</w:t>
      </w:r>
      <w:r w:rsidRPr="00F80EA9">
        <w:t>.</w:t>
      </w:r>
    </w:p>
    <w:p w14:paraId="4EB84598" w14:textId="77777777" w:rsidR="00C1009A" w:rsidRPr="00E31890" w:rsidRDefault="00C1009A" w:rsidP="007510B2">
      <w:pPr>
        <w:spacing w:after="0" w:line="480" w:lineRule="auto"/>
        <w:ind w:firstLine="720"/>
        <w:jc w:val="both"/>
      </w:pPr>
    </w:p>
    <w:p w14:paraId="7686BD33" w14:textId="5139422A" w:rsidR="009A21ED" w:rsidRPr="00E31890" w:rsidRDefault="009A21ED" w:rsidP="007510B2">
      <w:pPr>
        <w:spacing w:after="0" w:line="480" w:lineRule="auto"/>
        <w:jc w:val="both"/>
        <w:rPr>
          <w:b/>
          <w:bCs/>
        </w:rPr>
      </w:pPr>
      <w:r w:rsidRPr="00E31890">
        <w:rPr>
          <w:b/>
          <w:bCs/>
        </w:rPr>
        <w:t>5. Conclusions</w:t>
      </w:r>
    </w:p>
    <w:p w14:paraId="1D608311" w14:textId="2F5247A8" w:rsidR="00597C86" w:rsidRDefault="00536BBF" w:rsidP="00C1009A">
      <w:pPr>
        <w:spacing w:after="0" w:line="480" w:lineRule="auto"/>
        <w:ind w:firstLine="720"/>
        <w:jc w:val="both"/>
      </w:pPr>
      <w:r w:rsidRPr="00E31890">
        <w:t xml:space="preserve">To conclude, </w:t>
      </w:r>
      <w:r w:rsidR="004252BB" w:rsidRPr="00E31890">
        <w:t xml:space="preserve">using a range of common </w:t>
      </w:r>
      <w:r w:rsidR="00737EE0">
        <w:t xml:space="preserve">amendments and </w:t>
      </w:r>
      <w:r w:rsidR="004252BB" w:rsidRPr="00E31890">
        <w:t xml:space="preserve">substrates in soil, </w:t>
      </w:r>
      <w:r w:rsidR="00D3005F" w:rsidRPr="00E31890">
        <w:t xml:space="preserve">we found </w:t>
      </w:r>
      <w:r w:rsidR="00E9624E" w:rsidRPr="00E31890">
        <w:t>that</w:t>
      </w:r>
      <w:r w:rsidR="00342827" w:rsidRPr="00E31890">
        <w:t xml:space="preserve"> th</w:t>
      </w:r>
      <w:r w:rsidR="00BC0A50">
        <w:t xml:space="preserve">e </w:t>
      </w:r>
      <w:r w:rsidR="00E7383F">
        <w:t xml:space="preserve">magnitude of </w:t>
      </w:r>
      <w:r w:rsidR="00BC0A50">
        <w:t>effect</w:t>
      </w:r>
      <w:r w:rsidR="00342827" w:rsidRPr="00E31890">
        <w:t xml:space="preserve"> of</w:t>
      </w:r>
      <w:r w:rsidR="00E9624E" w:rsidRPr="00E31890">
        <w:t xml:space="preserve"> real </w:t>
      </w:r>
      <w:r w:rsidR="008A3CC1" w:rsidRPr="00E31890">
        <w:t>(mineralisation of native SOM)</w:t>
      </w:r>
      <w:r w:rsidR="00E9624E" w:rsidRPr="00E31890">
        <w:t xml:space="preserve"> and apparent </w:t>
      </w:r>
      <w:r w:rsidR="008A3CC1" w:rsidRPr="00E31890">
        <w:t xml:space="preserve">(microbial </w:t>
      </w:r>
      <w:r w:rsidR="008A3CC1">
        <w:t>C</w:t>
      </w:r>
      <w:r w:rsidR="008A3CC1" w:rsidRPr="00E31890">
        <w:t xml:space="preserve"> metabolism)</w:t>
      </w:r>
      <w:r w:rsidR="00342827" w:rsidRPr="00E31890">
        <w:t xml:space="preserve"> </w:t>
      </w:r>
      <w:r w:rsidR="00B945FA">
        <w:lastRenderedPageBreak/>
        <w:t xml:space="preserve">priming </w:t>
      </w:r>
      <w:r w:rsidR="00342827" w:rsidRPr="00E31890">
        <w:t>varied</w:t>
      </w:r>
      <w:r w:rsidR="000E1EDA" w:rsidRPr="00E31890">
        <w:t xml:space="preserve"> </w:t>
      </w:r>
      <w:r w:rsidR="00E7383F">
        <w:t>across various common soil treatments</w:t>
      </w:r>
      <w:r w:rsidR="00750AD2" w:rsidRPr="00E31890">
        <w:t xml:space="preserve">. Therefore, care </w:t>
      </w:r>
      <w:r w:rsidR="00F90E1B" w:rsidRPr="00E31890">
        <w:t>should</w:t>
      </w:r>
      <w:r w:rsidR="00D5698B" w:rsidRPr="00E31890">
        <w:t xml:space="preserve"> be taken </w:t>
      </w:r>
      <w:r w:rsidR="00750AD2" w:rsidRPr="00E31890">
        <w:t xml:space="preserve">when </w:t>
      </w:r>
      <w:r w:rsidR="00D5698B" w:rsidRPr="00E31890">
        <w:t>interpreting real and apparent priming effects.</w:t>
      </w:r>
      <w:r w:rsidR="00750AD2" w:rsidRPr="00E31890">
        <w:t xml:space="preserve"> While there was little evidence of drivers of t</w:t>
      </w:r>
      <w:r w:rsidR="00F90E1B" w:rsidRPr="00E31890">
        <w:t>his effect from our data</w:t>
      </w:r>
      <w:r w:rsidR="00976A67" w:rsidRPr="00E31890">
        <w:t>, a combination of soil and microbial stoichiometric balance, s</w:t>
      </w:r>
      <w:r w:rsidR="009850DE" w:rsidRPr="00E31890">
        <w:t>ubstrate quality</w:t>
      </w:r>
      <w:r w:rsidR="00272552" w:rsidRPr="00E31890">
        <w:t xml:space="preserve"> and</w:t>
      </w:r>
      <w:r w:rsidR="009850DE" w:rsidRPr="00E31890">
        <w:t xml:space="preserve"> </w:t>
      </w:r>
      <w:r w:rsidR="006970EC" w:rsidRPr="00E31890">
        <w:t xml:space="preserve">accessibility </w:t>
      </w:r>
      <w:r w:rsidR="00272552" w:rsidRPr="00E31890">
        <w:t>or</w:t>
      </w:r>
      <w:r w:rsidR="00F30EB2" w:rsidRPr="00E31890">
        <w:t xml:space="preserve"> </w:t>
      </w:r>
      <w:r w:rsidR="00272552" w:rsidRPr="00E31890">
        <w:t xml:space="preserve">‘microbial </w:t>
      </w:r>
      <w:r w:rsidR="00F30EB2" w:rsidRPr="00E31890">
        <w:t>energy cost and return on investment</w:t>
      </w:r>
      <w:r w:rsidR="00272552" w:rsidRPr="00E31890">
        <w:t>’,</w:t>
      </w:r>
      <w:r w:rsidR="00F30EB2" w:rsidRPr="00E31890">
        <w:t xml:space="preserve"> </w:t>
      </w:r>
      <w:r w:rsidR="006970EC" w:rsidRPr="00E31890">
        <w:t xml:space="preserve">seem to be broadly driving priming effects. </w:t>
      </w:r>
      <w:r w:rsidR="00760A57" w:rsidRPr="00E31890">
        <w:t>Equally, t</w:t>
      </w:r>
      <w:r w:rsidR="00144413" w:rsidRPr="00E31890">
        <w:t>reatments that illicit priming may still be replenishing or increasing soil C stocks</w:t>
      </w:r>
      <w:r w:rsidR="00F46558">
        <w:t xml:space="preserve"> particularly at higher loading rates</w:t>
      </w:r>
      <w:r w:rsidR="00144413" w:rsidRPr="00E31890">
        <w:t xml:space="preserve">; </w:t>
      </w:r>
      <w:r w:rsidR="00101719" w:rsidRPr="00E31890">
        <w:t>however,</w:t>
      </w:r>
      <w:r w:rsidR="00144413" w:rsidRPr="00E31890">
        <w:t xml:space="preserve"> the extent </w:t>
      </w:r>
      <w:r w:rsidR="00F46558">
        <w:t xml:space="preserve">of </w:t>
      </w:r>
      <w:r w:rsidR="00144413" w:rsidRPr="00E31890">
        <w:t>priming loss will affect the overall</w:t>
      </w:r>
      <w:r w:rsidR="00F46558">
        <w:t xml:space="preserve"> balance of</w:t>
      </w:r>
      <w:r w:rsidR="00144413" w:rsidRPr="00E31890">
        <w:t xml:space="preserve"> C accumulated from a particular treatment.</w:t>
      </w:r>
      <w:r w:rsidR="00A3077F" w:rsidRPr="00E31890">
        <w:t xml:space="preserve"> As such, in future studies </w:t>
      </w:r>
      <w:r w:rsidR="00A3077F">
        <w:t xml:space="preserve">more emphasis should be put on </w:t>
      </w:r>
      <w:r w:rsidR="00E205FD" w:rsidRPr="00E205FD">
        <w:t xml:space="preserve">the overall stability and </w:t>
      </w:r>
      <w:r w:rsidR="00C1009A" w:rsidRPr="00E205FD">
        <w:t>perma</w:t>
      </w:r>
      <w:r w:rsidR="00C1009A">
        <w:t>n</w:t>
      </w:r>
      <w:r w:rsidR="00C1009A" w:rsidRPr="00E205FD">
        <w:t>ence</w:t>
      </w:r>
      <w:r w:rsidR="00E205FD" w:rsidRPr="00E205FD">
        <w:t xml:space="preserve"> of</w:t>
      </w:r>
      <w:r w:rsidR="005F440A">
        <w:t xml:space="preserve"> both the</w:t>
      </w:r>
      <w:r w:rsidR="00E205FD" w:rsidRPr="00E205FD">
        <w:t xml:space="preserve"> C</w:t>
      </w:r>
      <w:r w:rsidR="00FB7D60">
        <w:t xml:space="preserve"> being </w:t>
      </w:r>
      <w:r w:rsidR="00B73126">
        <w:t>added,</w:t>
      </w:r>
      <w:r w:rsidR="00FB7D60">
        <w:t xml:space="preserve"> and </w:t>
      </w:r>
      <w:r w:rsidR="00AE08BF">
        <w:t>products formed during microbial metabolism.</w:t>
      </w:r>
    </w:p>
    <w:p w14:paraId="368EBA7E" w14:textId="77777777" w:rsidR="00101719" w:rsidRDefault="00101719" w:rsidP="007510B2">
      <w:pPr>
        <w:spacing w:after="0" w:line="480" w:lineRule="auto"/>
        <w:jc w:val="both"/>
      </w:pPr>
    </w:p>
    <w:p w14:paraId="1125CE52" w14:textId="63003703" w:rsidR="00597C86" w:rsidRDefault="001B7F4A" w:rsidP="007510B2">
      <w:pPr>
        <w:spacing w:after="0" w:line="480" w:lineRule="auto"/>
        <w:jc w:val="both"/>
        <w:rPr>
          <w:b/>
          <w:bCs/>
        </w:rPr>
      </w:pPr>
      <w:r w:rsidRPr="001B7F4A">
        <w:rPr>
          <w:b/>
          <w:bCs/>
        </w:rPr>
        <w:t xml:space="preserve">Acknowledgements </w:t>
      </w:r>
    </w:p>
    <w:p w14:paraId="1A4B4A08" w14:textId="65D18978" w:rsidR="001B7F4A" w:rsidRDefault="00431A04" w:rsidP="007510B2">
      <w:pPr>
        <w:spacing w:after="0" w:line="480" w:lineRule="auto"/>
        <w:jc w:val="both"/>
      </w:pPr>
      <w:r>
        <w:t>We thank the anonymous reviewers for their</w:t>
      </w:r>
      <w:r w:rsidRPr="00431A04">
        <w:t xml:space="preserve"> contribution to the final version of the manuscript. </w:t>
      </w:r>
      <w:r w:rsidR="008E1E45" w:rsidRPr="008E1E45">
        <w:t>This work was undertaken using funds provided by the Welsh European Funding Office under the SEREN Programme</w:t>
      </w:r>
      <w:r w:rsidR="00C1009A">
        <w:t xml:space="preserve"> and</w:t>
      </w:r>
      <w:r w:rsidR="00C330C4">
        <w:t xml:space="preserve"> </w:t>
      </w:r>
      <w:r w:rsidR="00C1009A">
        <w:t xml:space="preserve">from </w:t>
      </w:r>
      <w:r w:rsidR="00F06B07" w:rsidRPr="00F06B07">
        <w:t xml:space="preserve">the </w:t>
      </w:r>
      <w:r w:rsidR="00C1009A">
        <w:t xml:space="preserve">UK </w:t>
      </w:r>
      <w:r w:rsidR="00F06B07" w:rsidRPr="00F06B07">
        <w:t>Biotechnology and Biological Sciences Research Council (BBSRC) funded Greenhouse Gas Removal Biochar Demonstrator project (BB/V011596/1).</w:t>
      </w:r>
    </w:p>
    <w:p w14:paraId="7710C35D" w14:textId="77777777" w:rsidR="000C2A15" w:rsidRPr="008E1E45" w:rsidRDefault="000C2A15" w:rsidP="007510B2">
      <w:pPr>
        <w:spacing w:after="0" w:line="480" w:lineRule="auto"/>
        <w:jc w:val="both"/>
      </w:pPr>
    </w:p>
    <w:p w14:paraId="3B0BC658" w14:textId="77777777" w:rsidR="001B7F4A" w:rsidRDefault="001B7F4A" w:rsidP="007510B2">
      <w:pPr>
        <w:spacing w:after="0" w:line="480" w:lineRule="auto"/>
        <w:jc w:val="both"/>
        <w:rPr>
          <w:b/>
          <w:bCs/>
        </w:rPr>
      </w:pPr>
      <w:proofErr w:type="spellStart"/>
      <w:r w:rsidRPr="001B7F4A">
        <w:rPr>
          <w:b/>
          <w:bCs/>
        </w:rPr>
        <w:t>CRediT</w:t>
      </w:r>
      <w:proofErr w:type="spellEnd"/>
      <w:r>
        <w:rPr>
          <w:b/>
          <w:bCs/>
        </w:rPr>
        <w:t xml:space="preserve"> author statement </w:t>
      </w:r>
    </w:p>
    <w:p w14:paraId="7196E95E" w14:textId="20BB18EE" w:rsidR="00983806" w:rsidRPr="009133A4" w:rsidRDefault="008F46DE" w:rsidP="007510B2">
      <w:pPr>
        <w:spacing w:after="0" w:line="480" w:lineRule="auto"/>
        <w:jc w:val="both"/>
        <w:rPr>
          <w:b/>
          <w:bCs/>
        </w:rPr>
      </w:pPr>
      <w:r w:rsidRPr="009133A4">
        <w:t>Conceptuali</w:t>
      </w:r>
      <w:r w:rsidR="00072EB1">
        <w:t>s</w:t>
      </w:r>
      <w:r w:rsidRPr="009133A4">
        <w:t xml:space="preserve">ation: </w:t>
      </w:r>
      <w:r w:rsidR="00F17F4E" w:rsidRPr="009133A4">
        <w:t>EY</w:t>
      </w:r>
      <w:r w:rsidR="00080C37">
        <w:t>R</w:t>
      </w:r>
      <w:r w:rsidR="00F17F4E" w:rsidRPr="009133A4">
        <w:t xml:space="preserve">, </w:t>
      </w:r>
      <w:r w:rsidR="00B85842" w:rsidRPr="009133A4">
        <w:t xml:space="preserve">PWH, </w:t>
      </w:r>
      <w:r w:rsidRPr="009133A4">
        <w:t>DLJ, DRC; Methodology: E</w:t>
      </w:r>
      <w:r w:rsidR="001D162D" w:rsidRPr="009133A4">
        <w:t>Y</w:t>
      </w:r>
      <w:r w:rsidR="00080C37">
        <w:t>R</w:t>
      </w:r>
      <w:r w:rsidRPr="009133A4">
        <w:t>,</w:t>
      </w:r>
      <w:r w:rsidR="003120B5" w:rsidRPr="009133A4">
        <w:t xml:space="preserve"> PWH</w:t>
      </w:r>
      <w:r w:rsidR="00790239" w:rsidRPr="009133A4">
        <w:t>,</w:t>
      </w:r>
      <w:r w:rsidRPr="009133A4">
        <w:t xml:space="preserve"> DLJ, DRC; </w:t>
      </w:r>
      <w:r w:rsidR="00DD6727">
        <w:t>Investigation: EY</w:t>
      </w:r>
      <w:r w:rsidR="00080C37">
        <w:t>R</w:t>
      </w:r>
      <w:r w:rsidR="00DD6727">
        <w:t xml:space="preserve">. </w:t>
      </w:r>
      <w:r w:rsidRPr="009133A4">
        <w:t xml:space="preserve">Data </w:t>
      </w:r>
      <w:r w:rsidR="007A5E71">
        <w:t>c</w:t>
      </w:r>
      <w:r w:rsidRPr="009133A4">
        <w:t>uration: RWB</w:t>
      </w:r>
      <w:r w:rsidR="001D162D" w:rsidRPr="009133A4">
        <w:t>, EY</w:t>
      </w:r>
      <w:r w:rsidR="00080C37">
        <w:t>R</w:t>
      </w:r>
      <w:r w:rsidRPr="009133A4">
        <w:t xml:space="preserve">; </w:t>
      </w:r>
      <w:r w:rsidR="00F01C47" w:rsidRPr="009133A4">
        <w:t>Formal analysis: RWB; Visuali</w:t>
      </w:r>
      <w:r w:rsidR="00072EB1">
        <w:t>s</w:t>
      </w:r>
      <w:r w:rsidR="00F01C47" w:rsidRPr="009133A4">
        <w:t xml:space="preserve">ation: RWB; </w:t>
      </w:r>
      <w:r w:rsidRPr="009133A4">
        <w:t>Writing - Original Draft: RWB; Writing - Review &amp; Editing</w:t>
      </w:r>
      <w:r w:rsidR="001F08F3">
        <w:t>:</w:t>
      </w:r>
      <w:r w:rsidRPr="009133A4">
        <w:t xml:space="preserve"> All authors; Funding acquisition: DRC, DLJ</w:t>
      </w:r>
    </w:p>
    <w:p w14:paraId="4BA3F72E" w14:textId="77777777" w:rsidR="000C2A15" w:rsidRDefault="000C2A15" w:rsidP="007510B2">
      <w:pPr>
        <w:spacing w:after="0" w:line="480" w:lineRule="auto"/>
        <w:jc w:val="both"/>
        <w:rPr>
          <w:b/>
          <w:bCs/>
        </w:rPr>
      </w:pPr>
    </w:p>
    <w:p w14:paraId="76D1F059" w14:textId="34A45973" w:rsidR="00594D89" w:rsidRDefault="00983806" w:rsidP="007510B2">
      <w:pPr>
        <w:spacing w:after="0" w:line="480" w:lineRule="auto"/>
        <w:jc w:val="both"/>
        <w:rPr>
          <w:b/>
          <w:bCs/>
        </w:rPr>
      </w:pPr>
      <w:r>
        <w:rPr>
          <w:b/>
          <w:bCs/>
        </w:rPr>
        <w:t>References</w:t>
      </w:r>
    </w:p>
    <w:p w14:paraId="3B42C1CC" w14:textId="52AA0999" w:rsidR="00FC62D3" w:rsidRDefault="00FC62D3" w:rsidP="007510B2">
      <w:pPr>
        <w:autoSpaceDE w:val="0"/>
        <w:autoSpaceDN w:val="0"/>
        <w:spacing w:after="0" w:line="480" w:lineRule="auto"/>
        <w:ind w:left="567" w:hanging="567"/>
        <w:rPr>
          <w:rFonts w:eastAsia="Times New Roman"/>
        </w:rPr>
      </w:pPr>
      <w:r w:rsidRPr="00FC62D3">
        <w:rPr>
          <w:rFonts w:eastAsia="Times New Roman"/>
        </w:rPr>
        <w:t xml:space="preserve">AHDB, 2023. Section 3 Grass and forage crops, in: Nutrient Management Guide (RB209). </w:t>
      </w:r>
      <w:r w:rsidR="00EA4BC9" w:rsidRPr="00EA4BC9">
        <w:rPr>
          <w:rFonts w:eastAsia="Times New Roman"/>
        </w:rPr>
        <w:t>Agriculture and Horticulture Development Board</w:t>
      </w:r>
      <w:r w:rsidR="00EA4BC9">
        <w:rPr>
          <w:rFonts w:eastAsia="Times New Roman"/>
        </w:rPr>
        <w:t>, Coventry, UK.</w:t>
      </w:r>
    </w:p>
    <w:p w14:paraId="7B6CF7E6" w14:textId="640552B4" w:rsidR="00594D89" w:rsidRDefault="00594D89" w:rsidP="007510B2">
      <w:pPr>
        <w:autoSpaceDE w:val="0"/>
        <w:autoSpaceDN w:val="0"/>
        <w:spacing w:after="0" w:line="480" w:lineRule="auto"/>
        <w:ind w:left="567" w:hanging="567"/>
        <w:rPr>
          <w:rFonts w:eastAsia="Times New Roman"/>
          <w:sz w:val="24"/>
          <w:szCs w:val="24"/>
        </w:rPr>
      </w:pPr>
      <w:r>
        <w:rPr>
          <w:rFonts w:eastAsia="Times New Roman"/>
        </w:rPr>
        <w:t>Ball, D.F., 1964. Loss‐on‐ignition as an estimate of organic matter and organic carbon in non‐calcareous soils. Journal of Soil Science 15, 84–92. doi:10.1111/j.1365-</w:t>
      </w:r>
      <w:proofErr w:type="gramStart"/>
      <w:r>
        <w:rPr>
          <w:rFonts w:eastAsia="Times New Roman"/>
        </w:rPr>
        <w:t>2389.1964.tb</w:t>
      </w:r>
      <w:proofErr w:type="gramEnd"/>
      <w:r>
        <w:rPr>
          <w:rFonts w:eastAsia="Times New Roman"/>
        </w:rPr>
        <w:t>00247.x</w:t>
      </w:r>
    </w:p>
    <w:p w14:paraId="1E6F3289" w14:textId="7CC47FB9" w:rsidR="00594D89" w:rsidRDefault="00594D89" w:rsidP="007510B2">
      <w:pPr>
        <w:autoSpaceDE w:val="0"/>
        <w:autoSpaceDN w:val="0"/>
        <w:spacing w:after="0" w:line="480" w:lineRule="auto"/>
        <w:ind w:left="567" w:hanging="567"/>
        <w:rPr>
          <w:rFonts w:eastAsia="Times New Roman"/>
        </w:rPr>
      </w:pPr>
      <w:proofErr w:type="spellStart"/>
      <w:r>
        <w:rPr>
          <w:rFonts w:eastAsia="Times New Roman"/>
        </w:rPr>
        <w:t>Bastida</w:t>
      </w:r>
      <w:proofErr w:type="spellEnd"/>
      <w:r>
        <w:rPr>
          <w:rFonts w:eastAsia="Times New Roman"/>
        </w:rPr>
        <w:t xml:space="preserve">, F., García, C., Fierer, N., Eldridge, D.J., Bowker, M.A., </w:t>
      </w:r>
      <w:proofErr w:type="spellStart"/>
      <w:r>
        <w:rPr>
          <w:rFonts w:eastAsia="Times New Roman"/>
        </w:rPr>
        <w:t>Abades</w:t>
      </w:r>
      <w:proofErr w:type="spellEnd"/>
      <w:r>
        <w:rPr>
          <w:rFonts w:eastAsia="Times New Roman"/>
        </w:rPr>
        <w:t xml:space="preserve">, S., Alfaro, F.D., </w:t>
      </w:r>
      <w:proofErr w:type="spellStart"/>
      <w:r>
        <w:rPr>
          <w:rFonts w:eastAsia="Times New Roman"/>
        </w:rPr>
        <w:t>Asefaw</w:t>
      </w:r>
      <w:proofErr w:type="spellEnd"/>
      <w:r>
        <w:rPr>
          <w:rFonts w:eastAsia="Times New Roman"/>
        </w:rPr>
        <w:t xml:space="preserve"> </w:t>
      </w:r>
      <w:proofErr w:type="spellStart"/>
      <w:r>
        <w:rPr>
          <w:rFonts w:eastAsia="Times New Roman"/>
        </w:rPr>
        <w:t>Berhe</w:t>
      </w:r>
      <w:proofErr w:type="spellEnd"/>
      <w:r>
        <w:rPr>
          <w:rFonts w:eastAsia="Times New Roman"/>
        </w:rPr>
        <w:t xml:space="preserve">, A., Cutler, N.A., Gallardo, A., García-Velázquez, L., Hart, S.C., Hayes, P.E., </w:t>
      </w:r>
      <w:r>
        <w:rPr>
          <w:rFonts w:eastAsia="Times New Roman"/>
        </w:rPr>
        <w:lastRenderedPageBreak/>
        <w:t xml:space="preserve">Hernández, T., </w:t>
      </w:r>
      <w:proofErr w:type="spellStart"/>
      <w:r>
        <w:rPr>
          <w:rFonts w:eastAsia="Times New Roman"/>
        </w:rPr>
        <w:t>Hseu</w:t>
      </w:r>
      <w:proofErr w:type="spellEnd"/>
      <w:r>
        <w:rPr>
          <w:rFonts w:eastAsia="Times New Roman"/>
        </w:rPr>
        <w:t xml:space="preserve">, Z.Y., </w:t>
      </w:r>
      <w:proofErr w:type="spellStart"/>
      <w:r>
        <w:rPr>
          <w:rFonts w:eastAsia="Times New Roman"/>
        </w:rPr>
        <w:t>Jehmlich</w:t>
      </w:r>
      <w:proofErr w:type="spellEnd"/>
      <w:r>
        <w:rPr>
          <w:rFonts w:eastAsia="Times New Roman"/>
        </w:rPr>
        <w:t xml:space="preserve">, N., </w:t>
      </w:r>
      <w:proofErr w:type="spellStart"/>
      <w:r>
        <w:rPr>
          <w:rFonts w:eastAsia="Times New Roman"/>
        </w:rPr>
        <w:t>Kirchmair</w:t>
      </w:r>
      <w:proofErr w:type="spellEnd"/>
      <w:r>
        <w:rPr>
          <w:rFonts w:eastAsia="Times New Roman"/>
        </w:rPr>
        <w:t xml:space="preserve">, M., Lambers, H., </w:t>
      </w:r>
      <w:proofErr w:type="spellStart"/>
      <w:r>
        <w:rPr>
          <w:rFonts w:eastAsia="Times New Roman"/>
        </w:rPr>
        <w:t>Neuhauser</w:t>
      </w:r>
      <w:proofErr w:type="spellEnd"/>
      <w:r>
        <w:rPr>
          <w:rFonts w:eastAsia="Times New Roman"/>
        </w:rPr>
        <w:t xml:space="preserve">, S., Peña-Ramírez, V.M., Pérez, C.A., Reed, S.C., Santos, F., </w:t>
      </w:r>
      <w:proofErr w:type="spellStart"/>
      <w:r>
        <w:rPr>
          <w:rFonts w:eastAsia="Times New Roman"/>
        </w:rPr>
        <w:t>Siebe</w:t>
      </w:r>
      <w:proofErr w:type="spellEnd"/>
      <w:r>
        <w:rPr>
          <w:rFonts w:eastAsia="Times New Roman"/>
        </w:rPr>
        <w:t>, C., Sullivan, B.W., Trivedi, P., Vera, A., Williams, M.A., Luis Moreno, J., Delgado-</w:t>
      </w:r>
      <w:proofErr w:type="spellStart"/>
      <w:r>
        <w:rPr>
          <w:rFonts w:eastAsia="Times New Roman"/>
        </w:rPr>
        <w:t>Baquerizo</w:t>
      </w:r>
      <w:proofErr w:type="spellEnd"/>
      <w:r>
        <w:rPr>
          <w:rFonts w:eastAsia="Times New Roman"/>
        </w:rPr>
        <w:t>, M., 2019. Global ecological predictors of the soil priming effect. Nature Communications 10</w:t>
      </w:r>
      <w:r w:rsidR="00C91AA1">
        <w:rPr>
          <w:rFonts w:eastAsia="Times New Roman"/>
        </w:rPr>
        <w:t>, 3481</w:t>
      </w:r>
      <w:r>
        <w:rPr>
          <w:rFonts w:eastAsia="Times New Roman"/>
        </w:rPr>
        <w:t>. doi:10.1038/s41467-019-11472-7</w:t>
      </w:r>
    </w:p>
    <w:p w14:paraId="2AF26E8A" w14:textId="77777777" w:rsidR="00594D89" w:rsidRDefault="00594D89" w:rsidP="007510B2">
      <w:pPr>
        <w:autoSpaceDE w:val="0"/>
        <w:autoSpaceDN w:val="0"/>
        <w:spacing w:after="0" w:line="480" w:lineRule="auto"/>
        <w:ind w:left="567" w:hanging="567"/>
        <w:rPr>
          <w:rFonts w:eastAsia="Times New Roman"/>
        </w:rPr>
      </w:pPr>
      <w:proofErr w:type="spellStart"/>
      <w:r>
        <w:rPr>
          <w:rFonts w:eastAsia="Times New Roman"/>
        </w:rPr>
        <w:t>Batjes</w:t>
      </w:r>
      <w:proofErr w:type="spellEnd"/>
      <w:r>
        <w:rPr>
          <w:rFonts w:eastAsia="Times New Roman"/>
        </w:rPr>
        <w:t>, N.H., 1996. Total carbon and nitrogen in the soils of the world. European Journal of Soil Science 47, 151–163. doi:10.1111/J.1365-</w:t>
      </w:r>
      <w:proofErr w:type="gramStart"/>
      <w:r>
        <w:rPr>
          <w:rFonts w:eastAsia="Times New Roman"/>
        </w:rPr>
        <w:t>2389.1996.TB</w:t>
      </w:r>
      <w:proofErr w:type="gramEnd"/>
      <w:r>
        <w:rPr>
          <w:rFonts w:eastAsia="Times New Roman"/>
        </w:rPr>
        <w:t>01386.X</w:t>
      </w:r>
    </w:p>
    <w:p w14:paraId="31876386" w14:textId="2D29884B" w:rsidR="00594D89" w:rsidRDefault="00594D89" w:rsidP="007510B2">
      <w:pPr>
        <w:autoSpaceDE w:val="0"/>
        <w:autoSpaceDN w:val="0"/>
        <w:spacing w:after="0" w:line="480" w:lineRule="auto"/>
        <w:ind w:left="567" w:hanging="567"/>
        <w:rPr>
          <w:rFonts w:eastAsia="Times New Roman"/>
        </w:rPr>
      </w:pPr>
      <w:r>
        <w:rPr>
          <w:rFonts w:eastAsia="Times New Roman"/>
        </w:rPr>
        <w:t xml:space="preserve">Bei, S., Li, X., Kuyper, T.W., Chadwick, D.R., Zhang, J., 2022. Nitrogen availability mediates the priming effect of soil organic matter by preferentially altering the straw carbon-assimilating microbial community. Science of </w:t>
      </w:r>
      <w:r w:rsidR="003A5DD6">
        <w:rPr>
          <w:rFonts w:eastAsia="Times New Roman"/>
        </w:rPr>
        <w:t xml:space="preserve">the </w:t>
      </w:r>
      <w:r>
        <w:rPr>
          <w:rFonts w:eastAsia="Times New Roman"/>
        </w:rPr>
        <w:t xml:space="preserve">Total Environment 815, 152882. </w:t>
      </w:r>
      <w:proofErr w:type="gramStart"/>
      <w:r>
        <w:rPr>
          <w:rFonts w:eastAsia="Times New Roman"/>
        </w:rPr>
        <w:t>doi:10.1016/J.SCITOTENV</w:t>
      </w:r>
      <w:proofErr w:type="gramEnd"/>
      <w:r>
        <w:rPr>
          <w:rFonts w:eastAsia="Times New Roman"/>
        </w:rPr>
        <w:t>.2021.152882</w:t>
      </w:r>
    </w:p>
    <w:p w14:paraId="3201D8C8" w14:textId="77777777" w:rsidR="00594D89" w:rsidRDefault="00594D89" w:rsidP="007510B2">
      <w:pPr>
        <w:autoSpaceDE w:val="0"/>
        <w:autoSpaceDN w:val="0"/>
        <w:spacing w:after="0" w:line="480" w:lineRule="auto"/>
        <w:ind w:left="567" w:hanging="567"/>
        <w:rPr>
          <w:rFonts w:eastAsia="Times New Roman"/>
        </w:rPr>
      </w:pPr>
      <w:r>
        <w:rPr>
          <w:rFonts w:eastAsia="Times New Roman"/>
        </w:rPr>
        <w:t>Bernard, L., Basile-</w:t>
      </w:r>
      <w:proofErr w:type="spellStart"/>
      <w:r>
        <w:rPr>
          <w:rFonts w:eastAsia="Times New Roman"/>
        </w:rPr>
        <w:t>Doelsch</w:t>
      </w:r>
      <w:proofErr w:type="spellEnd"/>
      <w:r>
        <w:rPr>
          <w:rFonts w:eastAsia="Times New Roman"/>
        </w:rPr>
        <w:t xml:space="preserve">, I., </w:t>
      </w:r>
      <w:proofErr w:type="spellStart"/>
      <w:r>
        <w:rPr>
          <w:rFonts w:eastAsia="Times New Roman"/>
        </w:rPr>
        <w:t>Derrien</w:t>
      </w:r>
      <w:proofErr w:type="spellEnd"/>
      <w:r>
        <w:rPr>
          <w:rFonts w:eastAsia="Times New Roman"/>
        </w:rPr>
        <w:t xml:space="preserve">, D., </w:t>
      </w:r>
      <w:proofErr w:type="spellStart"/>
      <w:r>
        <w:rPr>
          <w:rFonts w:eastAsia="Times New Roman"/>
        </w:rPr>
        <w:t>Fanin</w:t>
      </w:r>
      <w:proofErr w:type="spellEnd"/>
      <w:r>
        <w:rPr>
          <w:rFonts w:eastAsia="Times New Roman"/>
        </w:rPr>
        <w:t xml:space="preserve">, N., Fontaine, S., </w:t>
      </w:r>
      <w:proofErr w:type="spellStart"/>
      <w:r>
        <w:rPr>
          <w:rFonts w:eastAsia="Times New Roman"/>
        </w:rPr>
        <w:t>Guenet</w:t>
      </w:r>
      <w:proofErr w:type="spellEnd"/>
      <w:r>
        <w:rPr>
          <w:rFonts w:eastAsia="Times New Roman"/>
        </w:rPr>
        <w:t>, B., Karimi, B., Marsden, C., Maron, P.A., 2022. Advancing the mechanistic understanding of the priming effect on soil organic matter mineralisation. Functional Ecology 36, 1355–1377. doi:10.1111/1365-2435.14038</w:t>
      </w:r>
    </w:p>
    <w:p w14:paraId="0BE646FA" w14:textId="77777777" w:rsidR="00594D89" w:rsidRDefault="00594D89" w:rsidP="007510B2">
      <w:pPr>
        <w:autoSpaceDE w:val="0"/>
        <w:autoSpaceDN w:val="0"/>
        <w:spacing w:after="0" w:line="480" w:lineRule="auto"/>
        <w:ind w:left="567" w:hanging="567"/>
        <w:rPr>
          <w:rFonts w:eastAsia="Times New Roman"/>
        </w:rPr>
      </w:pPr>
      <w:r>
        <w:rPr>
          <w:rFonts w:eastAsia="Times New Roman"/>
        </w:rPr>
        <w:t xml:space="preserve">Blagodatskaya, E., </w:t>
      </w:r>
      <w:proofErr w:type="spellStart"/>
      <w:r>
        <w:rPr>
          <w:rFonts w:eastAsia="Times New Roman"/>
        </w:rPr>
        <w:t>Khomyakov</w:t>
      </w:r>
      <w:proofErr w:type="spellEnd"/>
      <w:r>
        <w:rPr>
          <w:rFonts w:eastAsia="Times New Roman"/>
        </w:rPr>
        <w:t xml:space="preserve">, N., </w:t>
      </w:r>
      <w:proofErr w:type="spellStart"/>
      <w:r>
        <w:rPr>
          <w:rFonts w:eastAsia="Times New Roman"/>
        </w:rPr>
        <w:t>Myachina</w:t>
      </w:r>
      <w:proofErr w:type="spellEnd"/>
      <w:r>
        <w:rPr>
          <w:rFonts w:eastAsia="Times New Roman"/>
        </w:rPr>
        <w:t xml:space="preserve">, O., </w:t>
      </w:r>
      <w:proofErr w:type="spellStart"/>
      <w:r>
        <w:rPr>
          <w:rFonts w:eastAsia="Times New Roman"/>
        </w:rPr>
        <w:t>Bogomolova</w:t>
      </w:r>
      <w:proofErr w:type="spellEnd"/>
      <w:r>
        <w:rPr>
          <w:rFonts w:eastAsia="Times New Roman"/>
        </w:rPr>
        <w:t xml:space="preserve">, I., </w:t>
      </w:r>
      <w:proofErr w:type="spellStart"/>
      <w:r>
        <w:rPr>
          <w:rFonts w:eastAsia="Times New Roman"/>
        </w:rPr>
        <w:t>Blagodatsky</w:t>
      </w:r>
      <w:proofErr w:type="spellEnd"/>
      <w:r>
        <w:rPr>
          <w:rFonts w:eastAsia="Times New Roman"/>
        </w:rPr>
        <w:t xml:space="preserve">, S., Kuzyakov, Y., 2014. Microbial interactions affect sources of priming induced by cellulose. Soil Biology and Biochemistry 74, 39–49. </w:t>
      </w:r>
      <w:proofErr w:type="gramStart"/>
      <w:r>
        <w:rPr>
          <w:rFonts w:eastAsia="Times New Roman"/>
        </w:rPr>
        <w:t>doi:10.1016/J.SOILBIO</w:t>
      </w:r>
      <w:proofErr w:type="gramEnd"/>
      <w:r>
        <w:rPr>
          <w:rFonts w:eastAsia="Times New Roman"/>
        </w:rPr>
        <w:t>.2014.02.017</w:t>
      </w:r>
    </w:p>
    <w:p w14:paraId="1C3DA1E4" w14:textId="45AB86D7" w:rsidR="00594D89" w:rsidRDefault="00594D89" w:rsidP="007510B2">
      <w:pPr>
        <w:autoSpaceDE w:val="0"/>
        <w:autoSpaceDN w:val="0"/>
        <w:spacing w:after="0" w:line="480" w:lineRule="auto"/>
        <w:ind w:left="567" w:hanging="567"/>
        <w:rPr>
          <w:rFonts w:eastAsia="Times New Roman"/>
        </w:rPr>
      </w:pPr>
      <w:r>
        <w:rPr>
          <w:rFonts w:eastAsia="Times New Roman"/>
        </w:rPr>
        <w:t>Blagodatskaya, E., Kuzyakov, Y., 2008. Mechanisms of real and apparent priming effects and their dependence on soil microbial biomass and community structure: Critical review. Biology and Fertility of Soils 45, 115–131. doi:10.1007/S00374-008-0334-Y/</w:t>
      </w:r>
    </w:p>
    <w:p w14:paraId="4FE0266E" w14:textId="3E94348F" w:rsidR="007A1C6F" w:rsidRDefault="007A1C6F" w:rsidP="00F80EA9">
      <w:pPr>
        <w:autoSpaceDE w:val="0"/>
        <w:autoSpaceDN w:val="0"/>
        <w:spacing w:after="0" w:line="480" w:lineRule="auto"/>
        <w:ind w:left="567" w:hanging="567"/>
        <w:jc w:val="both"/>
        <w:rPr>
          <w:rFonts w:eastAsia="Times New Roman"/>
        </w:rPr>
      </w:pPr>
      <w:r w:rsidRPr="007A1C6F">
        <w:rPr>
          <w:rFonts w:eastAsia="Times New Roman"/>
        </w:rPr>
        <w:t xml:space="preserve">Boddy, </w:t>
      </w:r>
      <w:r>
        <w:rPr>
          <w:rFonts w:eastAsia="Times New Roman"/>
        </w:rPr>
        <w:t xml:space="preserve">E., </w:t>
      </w:r>
      <w:r w:rsidRPr="007A1C6F">
        <w:rPr>
          <w:rFonts w:eastAsia="Times New Roman"/>
        </w:rPr>
        <w:t xml:space="preserve">Hill, </w:t>
      </w:r>
      <w:r>
        <w:rPr>
          <w:rFonts w:eastAsia="Times New Roman"/>
        </w:rPr>
        <w:t xml:space="preserve">P.W., </w:t>
      </w:r>
      <w:r w:rsidRPr="007A1C6F">
        <w:rPr>
          <w:rFonts w:eastAsia="Times New Roman"/>
        </w:rPr>
        <w:t xml:space="preserve">Farrar, </w:t>
      </w:r>
      <w:r>
        <w:rPr>
          <w:rFonts w:eastAsia="Times New Roman"/>
        </w:rPr>
        <w:t xml:space="preserve">J., </w:t>
      </w:r>
      <w:r w:rsidRPr="007A1C6F">
        <w:rPr>
          <w:rFonts w:eastAsia="Times New Roman"/>
        </w:rPr>
        <w:t>Jones,</w:t>
      </w:r>
      <w:r>
        <w:rPr>
          <w:rFonts w:eastAsia="Times New Roman"/>
        </w:rPr>
        <w:t xml:space="preserve"> D.L., 2007. </w:t>
      </w:r>
      <w:r w:rsidRPr="007A1C6F">
        <w:rPr>
          <w:rFonts w:eastAsia="Times New Roman"/>
        </w:rPr>
        <w:t>Fast turnover of low molecular weight components of the dissolved organic carbon pool of temperate grassland field soils</w:t>
      </w:r>
      <w:r>
        <w:rPr>
          <w:rFonts w:eastAsia="Times New Roman"/>
        </w:rPr>
        <w:t xml:space="preserve">. </w:t>
      </w:r>
      <w:r w:rsidRPr="007A1C6F">
        <w:rPr>
          <w:rFonts w:eastAsia="Times New Roman"/>
        </w:rPr>
        <w:t>Soil Biology and Biochemistry</w:t>
      </w:r>
      <w:r>
        <w:rPr>
          <w:rFonts w:eastAsia="Times New Roman"/>
        </w:rPr>
        <w:t xml:space="preserve"> </w:t>
      </w:r>
      <w:r w:rsidRPr="007A1C6F">
        <w:rPr>
          <w:rFonts w:eastAsia="Times New Roman"/>
        </w:rPr>
        <w:t>39, 827-835</w:t>
      </w:r>
      <w:r>
        <w:rPr>
          <w:rFonts w:eastAsia="Times New Roman"/>
        </w:rPr>
        <w:t xml:space="preserve">. </w:t>
      </w:r>
      <w:proofErr w:type="gramStart"/>
      <w:r>
        <w:rPr>
          <w:rFonts w:eastAsia="Times New Roman"/>
        </w:rPr>
        <w:t>doi:</w:t>
      </w:r>
      <w:r w:rsidRPr="007A1C6F">
        <w:rPr>
          <w:rFonts w:eastAsia="Times New Roman"/>
        </w:rPr>
        <w:t>10.1016/j.soilbio</w:t>
      </w:r>
      <w:proofErr w:type="gramEnd"/>
      <w:r w:rsidRPr="007A1C6F">
        <w:rPr>
          <w:rFonts w:eastAsia="Times New Roman"/>
        </w:rPr>
        <w:t>.2006.09.030</w:t>
      </w:r>
    </w:p>
    <w:p w14:paraId="46D421AC" w14:textId="78FB2EAB" w:rsidR="003344AB" w:rsidRDefault="003344AB" w:rsidP="007510B2">
      <w:pPr>
        <w:autoSpaceDE w:val="0"/>
        <w:autoSpaceDN w:val="0"/>
        <w:spacing w:after="0" w:line="480" w:lineRule="auto"/>
        <w:ind w:left="567" w:hanging="567"/>
        <w:rPr>
          <w:rFonts w:eastAsia="Times New Roman"/>
        </w:rPr>
      </w:pPr>
      <w:proofErr w:type="spellStart"/>
      <w:r w:rsidRPr="003344AB">
        <w:rPr>
          <w:rFonts w:eastAsia="Times New Roman"/>
        </w:rPr>
        <w:t>Boilard</w:t>
      </w:r>
      <w:proofErr w:type="spellEnd"/>
      <w:r w:rsidRPr="003344AB">
        <w:rPr>
          <w:rFonts w:eastAsia="Times New Roman"/>
        </w:rPr>
        <w:t xml:space="preserve">, G., Bradley, R.L., Paterson, E., Sim, A., Brown, L.K., George, T.S., </w:t>
      </w:r>
      <w:proofErr w:type="spellStart"/>
      <w:r w:rsidRPr="003344AB">
        <w:rPr>
          <w:rFonts w:eastAsia="Times New Roman"/>
        </w:rPr>
        <w:t>Bainard</w:t>
      </w:r>
      <w:proofErr w:type="spellEnd"/>
      <w:r w:rsidRPr="003344AB">
        <w:rPr>
          <w:rFonts w:eastAsia="Times New Roman"/>
        </w:rPr>
        <w:t xml:space="preserve">, L., </w:t>
      </w:r>
      <w:proofErr w:type="spellStart"/>
      <w:r w:rsidRPr="003344AB">
        <w:rPr>
          <w:rFonts w:eastAsia="Times New Roman"/>
        </w:rPr>
        <w:t>Carubba</w:t>
      </w:r>
      <w:proofErr w:type="spellEnd"/>
      <w:r w:rsidRPr="003344AB">
        <w:rPr>
          <w:rFonts w:eastAsia="Times New Roman"/>
        </w:rPr>
        <w:t xml:space="preserve">, A., 2019. Interaction between root hairs and soil phosphorus on rhizosphere priming of soil organic matter. Soil Biology and Biochemistry 135, 264–266. </w:t>
      </w:r>
      <w:proofErr w:type="gramStart"/>
      <w:r w:rsidRPr="003344AB">
        <w:rPr>
          <w:rFonts w:eastAsia="Times New Roman"/>
        </w:rPr>
        <w:t>doi:10.1016/J.SOILBIO</w:t>
      </w:r>
      <w:proofErr w:type="gramEnd"/>
      <w:r w:rsidRPr="003344AB">
        <w:rPr>
          <w:rFonts w:eastAsia="Times New Roman"/>
        </w:rPr>
        <w:t>.2019.05.013</w:t>
      </w:r>
    </w:p>
    <w:p w14:paraId="03785CBB" w14:textId="4BC7C3A5" w:rsidR="00594D89" w:rsidRDefault="00594D89" w:rsidP="007510B2">
      <w:pPr>
        <w:autoSpaceDE w:val="0"/>
        <w:autoSpaceDN w:val="0"/>
        <w:spacing w:after="0" w:line="480" w:lineRule="auto"/>
        <w:ind w:left="567" w:hanging="567"/>
        <w:rPr>
          <w:rFonts w:eastAsia="Times New Roman"/>
        </w:rPr>
      </w:pPr>
      <w:r>
        <w:rPr>
          <w:rFonts w:eastAsia="Times New Roman"/>
        </w:rPr>
        <w:lastRenderedPageBreak/>
        <w:t xml:space="preserve">Bossio, D.A., Cook-Patton, S.C., Ellis, P.W., </w:t>
      </w:r>
      <w:proofErr w:type="spellStart"/>
      <w:r>
        <w:rPr>
          <w:rFonts w:eastAsia="Times New Roman"/>
        </w:rPr>
        <w:t>Fargione</w:t>
      </w:r>
      <w:proofErr w:type="spellEnd"/>
      <w:r>
        <w:rPr>
          <w:rFonts w:eastAsia="Times New Roman"/>
        </w:rPr>
        <w:t xml:space="preserve">, J., </w:t>
      </w:r>
      <w:proofErr w:type="spellStart"/>
      <w:r>
        <w:rPr>
          <w:rFonts w:eastAsia="Times New Roman"/>
        </w:rPr>
        <w:t>Sanderman</w:t>
      </w:r>
      <w:proofErr w:type="spellEnd"/>
      <w:r>
        <w:rPr>
          <w:rFonts w:eastAsia="Times New Roman"/>
        </w:rPr>
        <w:t xml:space="preserve">, J., Smith, P., Wood, S., </w:t>
      </w:r>
      <w:proofErr w:type="spellStart"/>
      <w:r>
        <w:rPr>
          <w:rFonts w:eastAsia="Times New Roman"/>
        </w:rPr>
        <w:t>Zomer</w:t>
      </w:r>
      <w:proofErr w:type="spellEnd"/>
      <w:r>
        <w:rPr>
          <w:rFonts w:eastAsia="Times New Roman"/>
        </w:rPr>
        <w:t xml:space="preserve">, R.J., von Unger, M., Emmer, I.M., </w:t>
      </w:r>
      <w:proofErr w:type="spellStart"/>
      <w:r>
        <w:rPr>
          <w:rFonts w:eastAsia="Times New Roman"/>
        </w:rPr>
        <w:t>Griscom</w:t>
      </w:r>
      <w:proofErr w:type="spellEnd"/>
      <w:r>
        <w:rPr>
          <w:rFonts w:eastAsia="Times New Roman"/>
        </w:rPr>
        <w:t>, B.W., 2020. The role of soil carbon in natural climate solutions. Nature Sustainability 3, 391–398. doi:10.1038/s41893-020-0491-z</w:t>
      </w:r>
    </w:p>
    <w:p w14:paraId="53558EF4" w14:textId="4165777A" w:rsidR="00213BAE" w:rsidRDefault="00213BAE" w:rsidP="007510B2">
      <w:pPr>
        <w:autoSpaceDE w:val="0"/>
        <w:autoSpaceDN w:val="0"/>
        <w:spacing w:after="0" w:line="480" w:lineRule="auto"/>
        <w:ind w:left="567" w:hanging="567"/>
        <w:rPr>
          <w:rFonts w:eastAsia="Times New Roman"/>
        </w:rPr>
      </w:pPr>
      <w:r w:rsidRPr="00213BAE">
        <w:rPr>
          <w:rFonts w:eastAsia="Times New Roman"/>
        </w:rPr>
        <w:t xml:space="preserve">Boos, E.F., Magid, J., Bruun, S., </w:t>
      </w:r>
      <w:proofErr w:type="spellStart"/>
      <w:r w:rsidRPr="00213BAE">
        <w:rPr>
          <w:rFonts w:eastAsia="Times New Roman"/>
        </w:rPr>
        <w:t>Jørgensen</w:t>
      </w:r>
      <w:proofErr w:type="spellEnd"/>
      <w:r w:rsidRPr="00213BAE">
        <w:rPr>
          <w:rFonts w:eastAsia="Times New Roman"/>
        </w:rPr>
        <w:t xml:space="preserve">, N.O.G., 2022. Liquid scintillation counting can underestimate </w:t>
      </w:r>
      <w:r w:rsidRPr="001E4F71">
        <w:rPr>
          <w:rFonts w:eastAsia="Times New Roman"/>
          <w:vertAlign w:val="superscript"/>
        </w:rPr>
        <w:t>14</w:t>
      </w:r>
      <w:r w:rsidRPr="00213BAE">
        <w:rPr>
          <w:rFonts w:eastAsia="Times New Roman"/>
        </w:rPr>
        <w:t xml:space="preserve">C-activity of </w:t>
      </w:r>
      <w:r w:rsidRPr="001E4F71">
        <w:rPr>
          <w:rFonts w:eastAsia="Times New Roman"/>
          <w:vertAlign w:val="superscript"/>
        </w:rPr>
        <w:t>14</w:t>
      </w:r>
      <w:r w:rsidRPr="00213BAE">
        <w:rPr>
          <w:rFonts w:eastAsia="Times New Roman"/>
        </w:rPr>
        <w:t>CO</w:t>
      </w:r>
      <w:r w:rsidRPr="001E4F71">
        <w:rPr>
          <w:rFonts w:eastAsia="Times New Roman"/>
          <w:vertAlign w:val="subscript"/>
        </w:rPr>
        <w:t>2</w:t>
      </w:r>
      <w:r w:rsidRPr="00213BAE">
        <w:rPr>
          <w:rFonts w:eastAsia="Times New Roman"/>
        </w:rPr>
        <w:t xml:space="preserve"> trapped in NaOH. Soil Biology and Biochemistry 166, 108576. </w:t>
      </w:r>
      <w:proofErr w:type="gramStart"/>
      <w:r w:rsidRPr="00213BAE">
        <w:rPr>
          <w:rFonts w:eastAsia="Times New Roman"/>
        </w:rPr>
        <w:t>doi:10.1016/J.SOILBIO</w:t>
      </w:r>
      <w:proofErr w:type="gramEnd"/>
      <w:r w:rsidRPr="00213BAE">
        <w:rPr>
          <w:rFonts w:eastAsia="Times New Roman"/>
        </w:rPr>
        <w:t>.2022.108576</w:t>
      </w:r>
    </w:p>
    <w:p w14:paraId="6FE7ADF4" w14:textId="2D944035" w:rsidR="00305FF1" w:rsidRPr="00E93C55" w:rsidRDefault="00305FF1" w:rsidP="007510B2">
      <w:pPr>
        <w:autoSpaceDE w:val="0"/>
        <w:autoSpaceDN w:val="0"/>
        <w:spacing w:after="0" w:line="480" w:lineRule="auto"/>
        <w:ind w:left="567" w:hanging="567"/>
        <w:rPr>
          <w:rFonts w:eastAsia="Times New Roman"/>
        </w:rPr>
      </w:pPr>
      <w:r w:rsidRPr="00E93C55">
        <w:rPr>
          <w:rFonts w:eastAsia="Times New Roman"/>
        </w:rPr>
        <w:t xml:space="preserve">Boos </w:t>
      </w:r>
      <w:r w:rsidR="00E93C55" w:rsidRPr="00E93C55">
        <w:rPr>
          <w:rFonts w:eastAsia="Times New Roman"/>
        </w:rPr>
        <w:t>E.F</w:t>
      </w:r>
      <w:r w:rsidR="006C3381" w:rsidRPr="00E93C55">
        <w:rPr>
          <w:rFonts w:eastAsia="Times New Roman"/>
        </w:rPr>
        <w:t>.</w:t>
      </w:r>
      <w:r w:rsidR="00E93C55" w:rsidRPr="00E93C55">
        <w:rPr>
          <w:rFonts w:eastAsia="Times New Roman"/>
        </w:rPr>
        <w:t>, Bruun, S., Magid, J., 2023</w:t>
      </w:r>
      <w:r w:rsidR="006C3381" w:rsidRPr="00E93C55">
        <w:rPr>
          <w:rFonts w:eastAsia="Times New Roman"/>
        </w:rPr>
        <w:t xml:space="preserve"> Priming is frequently overestimated in studies using </w:t>
      </w:r>
      <w:r w:rsidR="006C3381" w:rsidRPr="00E93C55">
        <w:rPr>
          <w:rFonts w:eastAsia="Times New Roman"/>
          <w:vertAlign w:val="superscript"/>
        </w:rPr>
        <w:t>14</w:t>
      </w:r>
      <w:r w:rsidR="006C3381" w:rsidRPr="00E93C55">
        <w:rPr>
          <w:rFonts w:eastAsia="Times New Roman"/>
        </w:rPr>
        <w:t xml:space="preserve">C-labelled substrates due to underestimation of </w:t>
      </w:r>
      <w:r w:rsidR="006C3381" w:rsidRPr="00E93C55">
        <w:rPr>
          <w:rFonts w:eastAsia="Times New Roman"/>
          <w:vertAlign w:val="superscript"/>
        </w:rPr>
        <w:t>14</w:t>
      </w:r>
      <w:r w:rsidR="006C3381" w:rsidRPr="00E93C55">
        <w:rPr>
          <w:rFonts w:eastAsia="Times New Roman"/>
        </w:rPr>
        <w:t>CO</w:t>
      </w:r>
      <w:r w:rsidR="006C3381" w:rsidRPr="00E93C55">
        <w:rPr>
          <w:rFonts w:eastAsia="Times New Roman"/>
          <w:vertAlign w:val="subscript"/>
        </w:rPr>
        <w:t>2</w:t>
      </w:r>
      <w:r w:rsidR="006C3381" w:rsidRPr="00E93C55">
        <w:rPr>
          <w:rFonts w:eastAsia="Times New Roman"/>
        </w:rPr>
        <w:t xml:space="preserve"> activity. Soil Biology and Biochemistry</w:t>
      </w:r>
      <w:r w:rsidR="00E93C55" w:rsidRPr="00E93C55">
        <w:rPr>
          <w:rFonts w:eastAsia="Times New Roman"/>
        </w:rPr>
        <w:t xml:space="preserve"> 181</w:t>
      </w:r>
      <w:r w:rsidR="006C3381" w:rsidRPr="00E93C55">
        <w:rPr>
          <w:rFonts w:eastAsia="Times New Roman"/>
        </w:rPr>
        <w:t>.</w:t>
      </w:r>
      <w:r w:rsidR="00E93C55" w:rsidRPr="00E93C55">
        <w:rPr>
          <w:rFonts w:eastAsia="Times New Roman"/>
        </w:rPr>
        <w:t xml:space="preserve"> </w:t>
      </w:r>
      <w:proofErr w:type="gramStart"/>
      <w:r w:rsidR="00E93C55" w:rsidRPr="00E93C55">
        <w:rPr>
          <w:rFonts w:eastAsia="Times New Roman"/>
        </w:rPr>
        <w:t>doi:10.1016/J.SOILBIO</w:t>
      </w:r>
      <w:proofErr w:type="gramEnd"/>
      <w:r w:rsidR="00E93C55" w:rsidRPr="00E93C55">
        <w:rPr>
          <w:rFonts w:eastAsia="Times New Roman"/>
        </w:rPr>
        <w:t>.2023.109020</w:t>
      </w:r>
    </w:p>
    <w:p w14:paraId="3B8A2E8D" w14:textId="0DC5D100" w:rsidR="00594D89" w:rsidRDefault="00594D89" w:rsidP="007510B2">
      <w:pPr>
        <w:autoSpaceDE w:val="0"/>
        <w:autoSpaceDN w:val="0"/>
        <w:spacing w:after="0" w:line="480" w:lineRule="auto"/>
        <w:ind w:left="567" w:hanging="567"/>
        <w:rPr>
          <w:rFonts w:eastAsia="Times New Roman"/>
        </w:rPr>
      </w:pPr>
      <w:r>
        <w:rPr>
          <w:rFonts w:eastAsia="Times New Roman"/>
        </w:rPr>
        <w:t>Brown, R.W., Chadwick, D.R., Bending, G., Covington, J., Daulton, E., Bull, I., Whelton, H., Jones, D.L., 2022</w:t>
      </w:r>
      <w:r w:rsidR="00A2752D">
        <w:rPr>
          <w:rFonts w:eastAsia="Times New Roman"/>
        </w:rPr>
        <w:t>a</w:t>
      </w:r>
      <w:r>
        <w:rPr>
          <w:rFonts w:eastAsia="Times New Roman"/>
        </w:rPr>
        <w:t>. Nutrient (C, N and P) enrichment indices significant changes in the soil metabolic profile and microbial carbon partitioning. Soil Biology and Biochemistr</w:t>
      </w:r>
      <w:r w:rsidR="00944FAF">
        <w:rPr>
          <w:rFonts w:eastAsia="Times New Roman"/>
        </w:rPr>
        <w:t>y</w:t>
      </w:r>
      <w:r w:rsidR="00842A6A">
        <w:rPr>
          <w:rFonts w:eastAsia="Times New Roman"/>
        </w:rPr>
        <w:t xml:space="preserve"> 172</w:t>
      </w:r>
      <w:r w:rsidR="00944FAF">
        <w:rPr>
          <w:rFonts w:eastAsia="Times New Roman"/>
        </w:rPr>
        <w:t xml:space="preserve">, 108779. </w:t>
      </w:r>
      <w:proofErr w:type="gramStart"/>
      <w:r w:rsidR="00944FAF">
        <w:rPr>
          <w:rFonts w:eastAsia="Times New Roman"/>
        </w:rPr>
        <w:t>doi:</w:t>
      </w:r>
      <w:r w:rsidR="00944FAF" w:rsidRPr="00944FAF">
        <w:rPr>
          <w:rFonts w:eastAsia="Times New Roman"/>
        </w:rPr>
        <w:t>10.1016/j.soilbio</w:t>
      </w:r>
      <w:proofErr w:type="gramEnd"/>
      <w:r w:rsidR="00944FAF" w:rsidRPr="00944FAF">
        <w:rPr>
          <w:rFonts w:eastAsia="Times New Roman"/>
        </w:rPr>
        <w:t>.2022.108779</w:t>
      </w:r>
    </w:p>
    <w:p w14:paraId="3A89FF97" w14:textId="70A69CBD" w:rsidR="00AB1B64" w:rsidRDefault="00AB1B64" w:rsidP="007510B2">
      <w:pPr>
        <w:autoSpaceDE w:val="0"/>
        <w:autoSpaceDN w:val="0"/>
        <w:spacing w:after="0" w:line="480" w:lineRule="auto"/>
        <w:ind w:left="567" w:hanging="567"/>
        <w:rPr>
          <w:rFonts w:eastAsia="Times New Roman"/>
        </w:rPr>
      </w:pPr>
      <w:r w:rsidRPr="00AB1B64">
        <w:rPr>
          <w:rFonts w:eastAsia="Times New Roman"/>
        </w:rPr>
        <w:t xml:space="preserve">Brown, R.W., Bull, I.D., </w:t>
      </w:r>
      <w:proofErr w:type="spellStart"/>
      <w:r w:rsidRPr="00AB1B64">
        <w:rPr>
          <w:rFonts w:eastAsia="Times New Roman"/>
        </w:rPr>
        <w:t>Journeaux</w:t>
      </w:r>
      <w:proofErr w:type="spellEnd"/>
      <w:r w:rsidRPr="00AB1B64">
        <w:rPr>
          <w:rFonts w:eastAsia="Times New Roman"/>
        </w:rPr>
        <w:t xml:space="preserve">, T., Chadwick, D.R., Jones, D.L., 2021. Volatile organic compounds (VOCs) allow sensitive differentiation of biological soil quality. Soil Biology and Biochemistry 156, 108187. </w:t>
      </w:r>
      <w:proofErr w:type="gramStart"/>
      <w:r w:rsidRPr="00AB1B64">
        <w:rPr>
          <w:rFonts w:eastAsia="Times New Roman"/>
        </w:rPr>
        <w:t>doi:10.1016/j.soilbio</w:t>
      </w:r>
      <w:proofErr w:type="gramEnd"/>
      <w:r w:rsidRPr="00AB1B64">
        <w:rPr>
          <w:rFonts w:eastAsia="Times New Roman"/>
        </w:rPr>
        <w:t>.2021.108187</w:t>
      </w:r>
    </w:p>
    <w:p w14:paraId="42D7EC35" w14:textId="3DD4701A" w:rsidR="00A2752D" w:rsidRDefault="00A2752D" w:rsidP="007510B2">
      <w:pPr>
        <w:autoSpaceDE w:val="0"/>
        <w:autoSpaceDN w:val="0"/>
        <w:spacing w:after="0" w:line="480" w:lineRule="auto"/>
        <w:ind w:left="567" w:hanging="567"/>
        <w:rPr>
          <w:rFonts w:eastAsia="Times New Roman"/>
        </w:rPr>
      </w:pPr>
      <w:r w:rsidRPr="00A2752D">
        <w:rPr>
          <w:rFonts w:eastAsia="Times New Roman"/>
        </w:rPr>
        <w:t>Brown, R.W., Rhymes, J.M., Jones, D.L., 2022</w:t>
      </w:r>
      <w:r>
        <w:rPr>
          <w:rFonts w:eastAsia="Times New Roman"/>
        </w:rPr>
        <w:t>b</w:t>
      </w:r>
      <w:r w:rsidRPr="00A2752D">
        <w:rPr>
          <w:rFonts w:eastAsia="Times New Roman"/>
        </w:rPr>
        <w:t xml:space="preserve">. Saltwater intrusion induces shifts in soil microbial diversity and carbon use efficiency in a coastal grassland ecosystem. Soil Biology and Biochemistry 170, 108700. </w:t>
      </w:r>
      <w:proofErr w:type="gramStart"/>
      <w:r w:rsidRPr="00A2752D">
        <w:rPr>
          <w:rFonts w:eastAsia="Times New Roman"/>
        </w:rPr>
        <w:t>doi:10.1016/J.SOILBIO</w:t>
      </w:r>
      <w:proofErr w:type="gramEnd"/>
      <w:r w:rsidRPr="00A2752D">
        <w:rPr>
          <w:rFonts w:eastAsia="Times New Roman"/>
        </w:rPr>
        <w:t>.2022.108700</w:t>
      </w:r>
    </w:p>
    <w:p w14:paraId="020418C0" w14:textId="690E8BF1" w:rsidR="00BE739E" w:rsidRDefault="00BE739E" w:rsidP="007510B2">
      <w:pPr>
        <w:autoSpaceDE w:val="0"/>
        <w:autoSpaceDN w:val="0"/>
        <w:spacing w:after="0" w:line="480" w:lineRule="auto"/>
        <w:ind w:left="567" w:hanging="567"/>
        <w:rPr>
          <w:rFonts w:eastAsia="Times New Roman"/>
        </w:rPr>
      </w:pPr>
      <w:proofErr w:type="spellStart"/>
      <w:r w:rsidRPr="00BE739E">
        <w:rPr>
          <w:rFonts w:eastAsia="Times New Roman"/>
        </w:rPr>
        <w:t>Cambardella</w:t>
      </w:r>
      <w:proofErr w:type="spellEnd"/>
      <w:r w:rsidRPr="00BE739E">
        <w:rPr>
          <w:rFonts w:eastAsia="Times New Roman"/>
        </w:rPr>
        <w:t xml:space="preserve">, C.A., Elliott, E.T., 1993. Carbon </w:t>
      </w:r>
      <w:r w:rsidR="00EA4BC9" w:rsidRPr="00BE739E">
        <w:rPr>
          <w:rFonts w:eastAsia="Times New Roman"/>
        </w:rPr>
        <w:t>and nitrogen distribution in aggregates from cultivated and native grassland soils</w:t>
      </w:r>
      <w:r w:rsidRPr="00BE739E">
        <w:rPr>
          <w:rFonts w:eastAsia="Times New Roman"/>
        </w:rPr>
        <w:t>. Soil Science Society of America Journal 57, 1071–1076. doi:10.2136/SSSAJ1993.03615995005700040032X</w:t>
      </w:r>
    </w:p>
    <w:p w14:paraId="09C1C42E" w14:textId="49A97E56" w:rsidR="001C5D02" w:rsidRPr="00433887" w:rsidRDefault="001C5D02" w:rsidP="00433887">
      <w:pPr>
        <w:autoSpaceDE w:val="0"/>
        <w:autoSpaceDN w:val="0"/>
        <w:spacing w:after="0" w:line="480" w:lineRule="auto"/>
        <w:ind w:left="567" w:hanging="567"/>
        <w:rPr>
          <w:rFonts w:eastAsia="Times New Roman"/>
        </w:rPr>
      </w:pPr>
      <w:r w:rsidRPr="00DE0701">
        <w:t>Chadwick, D.R., John, F., Pain, B.F., Chambers, B.J.</w:t>
      </w:r>
      <w:r>
        <w:t xml:space="preserve">, </w:t>
      </w:r>
      <w:r w:rsidRPr="00DE0701">
        <w:t>Williams, J.R. 2000. Plant uptake of nitrogen from the organic nitrogen fraction of animal manures: a laboratory experiment. Journal of Agricultural Science 134, 159-168.</w:t>
      </w:r>
      <w:r w:rsidRPr="001C5D02">
        <w:t xml:space="preserve"> </w:t>
      </w:r>
      <w:r>
        <w:t>doi:</w:t>
      </w:r>
      <w:r w:rsidRPr="001C5D02">
        <w:t>10.1017/S0021859699007510</w:t>
      </w:r>
    </w:p>
    <w:p w14:paraId="16CFE7FB" w14:textId="50448B8F" w:rsidR="00594D89" w:rsidRDefault="00594D89" w:rsidP="007510B2">
      <w:pPr>
        <w:autoSpaceDE w:val="0"/>
        <w:autoSpaceDN w:val="0"/>
        <w:spacing w:after="0" w:line="480" w:lineRule="auto"/>
        <w:ind w:left="567" w:hanging="567"/>
        <w:rPr>
          <w:rFonts w:eastAsia="Times New Roman"/>
        </w:rPr>
      </w:pPr>
      <w:r>
        <w:rPr>
          <w:rFonts w:eastAsia="Times New Roman"/>
        </w:rPr>
        <w:t>Chen, H., Yin, C., Fan, X., Ye, M., Liang, Y., 2021. Effect of P availability on straw-induced priming effect was mainly regulated by fungi in croplands. Applied Microbiology and Biotechnology 105, 9403–9418. doi:10.1007/S00253-021-11691-3/</w:t>
      </w:r>
    </w:p>
    <w:p w14:paraId="41033764" w14:textId="40B1015E" w:rsidR="00594D89" w:rsidRDefault="00594D89" w:rsidP="00433887">
      <w:pPr>
        <w:autoSpaceDE w:val="0"/>
        <w:autoSpaceDN w:val="0"/>
        <w:spacing w:after="0" w:line="480" w:lineRule="auto"/>
        <w:ind w:left="567" w:hanging="567"/>
        <w:rPr>
          <w:rFonts w:eastAsia="Times New Roman"/>
        </w:rPr>
      </w:pPr>
      <w:r>
        <w:rPr>
          <w:rFonts w:eastAsia="Times New Roman"/>
        </w:rPr>
        <w:lastRenderedPageBreak/>
        <w:t>Chen, L., Liu, L., Qin, S., Yang, G., Fang, K., Zhu, B., Kuzyakov, Y., Chen, P., Xu, Y., Yang, Y., 2019. Regulation of priming effect by soil organic matter stability over a broad geographic scale. Nature Communications 10</w:t>
      </w:r>
      <w:r w:rsidR="00433887">
        <w:rPr>
          <w:rFonts w:eastAsia="Times New Roman"/>
        </w:rPr>
        <w:t>, 5112</w:t>
      </w:r>
      <w:r>
        <w:rPr>
          <w:rFonts w:eastAsia="Times New Roman"/>
        </w:rPr>
        <w:t>. doi:10.1038/s41467-019-13119-z</w:t>
      </w:r>
    </w:p>
    <w:p w14:paraId="3370BB70" w14:textId="77777777" w:rsidR="00594D89" w:rsidRDefault="00594D89" w:rsidP="007510B2">
      <w:pPr>
        <w:autoSpaceDE w:val="0"/>
        <w:autoSpaceDN w:val="0"/>
        <w:spacing w:after="0" w:line="480" w:lineRule="auto"/>
        <w:ind w:left="567" w:hanging="567"/>
        <w:rPr>
          <w:rFonts w:eastAsia="Times New Roman"/>
        </w:rPr>
      </w:pPr>
      <w:r>
        <w:rPr>
          <w:rFonts w:eastAsia="Times New Roman"/>
        </w:rPr>
        <w:t xml:space="preserve">Chen, R., Senbayram, M., </w:t>
      </w:r>
      <w:proofErr w:type="spellStart"/>
      <w:r>
        <w:rPr>
          <w:rFonts w:eastAsia="Times New Roman"/>
        </w:rPr>
        <w:t>Blagodatsky</w:t>
      </w:r>
      <w:proofErr w:type="spellEnd"/>
      <w:r>
        <w:rPr>
          <w:rFonts w:eastAsia="Times New Roman"/>
        </w:rPr>
        <w:t xml:space="preserve">, S., </w:t>
      </w:r>
      <w:proofErr w:type="spellStart"/>
      <w:r>
        <w:rPr>
          <w:rFonts w:eastAsia="Times New Roman"/>
        </w:rPr>
        <w:t>Myachina</w:t>
      </w:r>
      <w:proofErr w:type="spellEnd"/>
      <w:r>
        <w:rPr>
          <w:rFonts w:eastAsia="Times New Roman"/>
        </w:rPr>
        <w:t xml:space="preserve">, O., </w:t>
      </w:r>
      <w:proofErr w:type="spellStart"/>
      <w:r>
        <w:rPr>
          <w:rFonts w:eastAsia="Times New Roman"/>
        </w:rPr>
        <w:t>Dittert</w:t>
      </w:r>
      <w:proofErr w:type="spellEnd"/>
      <w:r>
        <w:rPr>
          <w:rFonts w:eastAsia="Times New Roman"/>
        </w:rPr>
        <w:t>, K., Lin, X., Blagodatskaya, E., Kuzyakov, Y., 2014. Soil C and N availability determine the priming effect: microbial N mining and stoichiometric decomposition theories. Global Change Biology 20, 2356–2367. doi:10.1111/GCB.12475</w:t>
      </w:r>
    </w:p>
    <w:p w14:paraId="06D395CD" w14:textId="3A967DF4" w:rsidR="00594D89" w:rsidRDefault="00594D89" w:rsidP="007510B2">
      <w:pPr>
        <w:autoSpaceDE w:val="0"/>
        <w:autoSpaceDN w:val="0"/>
        <w:spacing w:after="0" w:line="480" w:lineRule="auto"/>
        <w:ind w:left="567" w:hanging="567"/>
        <w:rPr>
          <w:rFonts w:eastAsia="Times New Roman"/>
        </w:rPr>
      </w:pPr>
      <w:proofErr w:type="spellStart"/>
      <w:r>
        <w:rPr>
          <w:rFonts w:eastAsia="Times New Roman"/>
        </w:rPr>
        <w:t>Chmolowska</w:t>
      </w:r>
      <w:proofErr w:type="spellEnd"/>
      <w:r>
        <w:rPr>
          <w:rFonts w:eastAsia="Times New Roman"/>
        </w:rPr>
        <w:t xml:space="preserve">, D., </w:t>
      </w:r>
      <w:proofErr w:type="spellStart"/>
      <w:r>
        <w:rPr>
          <w:rFonts w:eastAsia="Times New Roman"/>
        </w:rPr>
        <w:t>Hamda</w:t>
      </w:r>
      <w:proofErr w:type="spellEnd"/>
      <w:r>
        <w:rPr>
          <w:rFonts w:eastAsia="Times New Roman"/>
        </w:rPr>
        <w:t>, N., Laskowski, R., 2017. Cellulose decomposed faster in fallow soil than in meadow soil due to a shorter lag time. Journal of Soils and Sediments 17, 299–305. doi:10.1007/S11368-016-1536-9/</w:t>
      </w:r>
    </w:p>
    <w:p w14:paraId="3A6AD68D" w14:textId="00DA154D" w:rsidR="000F14DE" w:rsidRDefault="000F14DE" w:rsidP="007510B2">
      <w:pPr>
        <w:autoSpaceDE w:val="0"/>
        <w:autoSpaceDN w:val="0"/>
        <w:spacing w:after="0" w:line="480" w:lineRule="auto"/>
        <w:ind w:left="567" w:hanging="567"/>
        <w:rPr>
          <w:rFonts w:eastAsia="Times New Roman"/>
        </w:rPr>
      </w:pPr>
      <w:proofErr w:type="spellStart"/>
      <w:r w:rsidRPr="000F14DE">
        <w:rPr>
          <w:rFonts w:eastAsia="Times New Roman"/>
        </w:rPr>
        <w:t>Cotrufo</w:t>
      </w:r>
      <w:proofErr w:type="spellEnd"/>
      <w:r w:rsidRPr="000F14DE">
        <w:rPr>
          <w:rFonts w:eastAsia="Times New Roman"/>
        </w:rPr>
        <w:t xml:space="preserve">, M.F., Lavallee, J.M., 2022. Soil organic matter formation, persistence, and functioning: A synthesis of current understanding to inform its conservation and regeneration. Advances in Agronomy 172, 1–66. </w:t>
      </w:r>
      <w:proofErr w:type="gramStart"/>
      <w:r w:rsidRPr="000F14DE">
        <w:rPr>
          <w:rFonts w:eastAsia="Times New Roman"/>
        </w:rPr>
        <w:t>doi:10.1016/BS.AGRON</w:t>
      </w:r>
      <w:proofErr w:type="gramEnd"/>
      <w:r w:rsidRPr="000F14DE">
        <w:rPr>
          <w:rFonts w:eastAsia="Times New Roman"/>
        </w:rPr>
        <w:t>.2021.11.002</w:t>
      </w:r>
    </w:p>
    <w:p w14:paraId="7E269257" w14:textId="4F10F243" w:rsidR="00594D89" w:rsidRDefault="00594D89" w:rsidP="007510B2">
      <w:pPr>
        <w:autoSpaceDE w:val="0"/>
        <w:autoSpaceDN w:val="0"/>
        <w:spacing w:after="0" w:line="480" w:lineRule="auto"/>
        <w:ind w:left="567" w:hanging="567"/>
        <w:rPr>
          <w:rFonts w:eastAsia="Times New Roman"/>
        </w:rPr>
      </w:pPr>
      <w:proofErr w:type="spellStart"/>
      <w:r>
        <w:rPr>
          <w:rFonts w:eastAsia="Times New Roman"/>
        </w:rPr>
        <w:t>Demeyer</w:t>
      </w:r>
      <w:proofErr w:type="spellEnd"/>
      <w:r>
        <w:rPr>
          <w:rFonts w:eastAsia="Times New Roman"/>
        </w:rPr>
        <w:t xml:space="preserve">, A., </w:t>
      </w:r>
      <w:proofErr w:type="spellStart"/>
      <w:r>
        <w:rPr>
          <w:rFonts w:eastAsia="Times New Roman"/>
        </w:rPr>
        <w:t>Voundi</w:t>
      </w:r>
      <w:proofErr w:type="spellEnd"/>
      <w:r>
        <w:rPr>
          <w:rFonts w:eastAsia="Times New Roman"/>
        </w:rPr>
        <w:t xml:space="preserve"> Nkana, J.C., </w:t>
      </w:r>
      <w:proofErr w:type="spellStart"/>
      <w:r>
        <w:rPr>
          <w:rFonts w:eastAsia="Times New Roman"/>
        </w:rPr>
        <w:t>Verloo</w:t>
      </w:r>
      <w:proofErr w:type="spellEnd"/>
      <w:r>
        <w:rPr>
          <w:rFonts w:eastAsia="Times New Roman"/>
        </w:rPr>
        <w:t>, M.G., 2001. Characteristics of wood ash and influence on soil properties and nutrient uptake: an overview. Bioresource Technology 77, 287–295. doi:10.1016/S0960-8524(00)00043-2</w:t>
      </w:r>
    </w:p>
    <w:p w14:paraId="582AC197" w14:textId="20E82FEF" w:rsidR="00777F1E" w:rsidRDefault="00777F1E" w:rsidP="00777F1E">
      <w:pPr>
        <w:autoSpaceDE w:val="0"/>
        <w:autoSpaceDN w:val="0"/>
        <w:spacing w:after="0" w:line="480" w:lineRule="auto"/>
        <w:ind w:left="567" w:hanging="567"/>
        <w:rPr>
          <w:rFonts w:eastAsia="Times New Roman"/>
        </w:rPr>
      </w:pPr>
      <w:r w:rsidRPr="00777F1E">
        <w:rPr>
          <w:rFonts w:eastAsia="Times New Roman"/>
        </w:rPr>
        <w:t xml:space="preserve">Deng, S.P., </w:t>
      </w:r>
      <w:proofErr w:type="spellStart"/>
      <w:r w:rsidRPr="00777F1E">
        <w:rPr>
          <w:rFonts w:eastAsia="Times New Roman"/>
        </w:rPr>
        <w:t>Tabatabai</w:t>
      </w:r>
      <w:proofErr w:type="spellEnd"/>
      <w:r w:rsidRPr="00777F1E">
        <w:rPr>
          <w:rFonts w:eastAsia="Times New Roman"/>
        </w:rPr>
        <w:t>, M.A., 1994. Cellulase activity of soils. Soil Biology and Biochemistry</w:t>
      </w:r>
      <w:r>
        <w:rPr>
          <w:rFonts w:eastAsia="Times New Roman"/>
        </w:rPr>
        <w:t xml:space="preserve"> </w:t>
      </w:r>
      <w:r w:rsidRPr="00777F1E">
        <w:rPr>
          <w:rFonts w:eastAsia="Times New Roman"/>
        </w:rPr>
        <w:t>26, 1347-1354. doi:10.1016/0038-0717(94)90216-X</w:t>
      </w:r>
    </w:p>
    <w:p w14:paraId="0837B0FE" w14:textId="6FF42A06" w:rsidR="00525791" w:rsidRDefault="00525791" w:rsidP="007510B2">
      <w:pPr>
        <w:autoSpaceDE w:val="0"/>
        <w:autoSpaceDN w:val="0"/>
        <w:spacing w:after="0" w:line="480" w:lineRule="auto"/>
        <w:ind w:left="567" w:hanging="567"/>
        <w:rPr>
          <w:rFonts w:eastAsia="Times New Roman"/>
        </w:rPr>
      </w:pPr>
      <w:r w:rsidRPr="00525791">
        <w:rPr>
          <w:rFonts w:eastAsia="Times New Roman"/>
        </w:rPr>
        <w:t xml:space="preserve">Di </w:t>
      </w:r>
      <w:proofErr w:type="spellStart"/>
      <w:r w:rsidRPr="00525791">
        <w:rPr>
          <w:rFonts w:eastAsia="Times New Roman"/>
        </w:rPr>
        <w:t>Lonardo</w:t>
      </w:r>
      <w:proofErr w:type="spellEnd"/>
      <w:r w:rsidRPr="00525791">
        <w:rPr>
          <w:rFonts w:eastAsia="Times New Roman"/>
        </w:rPr>
        <w:t xml:space="preserve">, D. P., de Boer, W., </w:t>
      </w:r>
      <w:proofErr w:type="spellStart"/>
      <w:r w:rsidRPr="00525791">
        <w:rPr>
          <w:rFonts w:eastAsia="Times New Roman"/>
        </w:rPr>
        <w:t>Zweers</w:t>
      </w:r>
      <w:proofErr w:type="spellEnd"/>
      <w:r w:rsidRPr="00525791">
        <w:rPr>
          <w:rFonts w:eastAsia="Times New Roman"/>
        </w:rPr>
        <w:t>, H., van der Wal, A.</w:t>
      </w:r>
      <w:r>
        <w:rPr>
          <w:rFonts w:eastAsia="Times New Roman"/>
        </w:rPr>
        <w:t>,</w:t>
      </w:r>
      <w:r w:rsidRPr="00525791">
        <w:rPr>
          <w:rFonts w:eastAsia="Times New Roman"/>
        </w:rPr>
        <w:t xml:space="preserve"> 2019. Effect of the amount of organic trigger compounds, nitrogen and soil microbial biomass on the magnitude of priming of soil organic matter. </w:t>
      </w:r>
      <w:proofErr w:type="spellStart"/>
      <w:r w:rsidRPr="00525791">
        <w:rPr>
          <w:rFonts w:eastAsia="Times New Roman"/>
        </w:rPr>
        <w:t>PloS</w:t>
      </w:r>
      <w:proofErr w:type="spellEnd"/>
      <w:r w:rsidRPr="00525791">
        <w:rPr>
          <w:rFonts w:eastAsia="Times New Roman"/>
        </w:rPr>
        <w:t xml:space="preserve"> </w:t>
      </w:r>
      <w:r>
        <w:rPr>
          <w:rFonts w:eastAsia="Times New Roman"/>
        </w:rPr>
        <w:t>O</w:t>
      </w:r>
      <w:r w:rsidRPr="00525791">
        <w:rPr>
          <w:rFonts w:eastAsia="Times New Roman"/>
        </w:rPr>
        <w:t xml:space="preserve">ne 14, e0216730. </w:t>
      </w:r>
      <w:proofErr w:type="gramStart"/>
      <w:r w:rsidRPr="00525791">
        <w:rPr>
          <w:rFonts w:eastAsia="Times New Roman"/>
        </w:rPr>
        <w:t>doi</w:t>
      </w:r>
      <w:r>
        <w:rPr>
          <w:rFonts w:eastAsia="Times New Roman"/>
        </w:rPr>
        <w:t>:</w:t>
      </w:r>
      <w:r w:rsidRPr="00525791">
        <w:rPr>
          <w:rFonts w:eastAsia="Times New Roman"/>
        </w:rPr>
        <w:t>10.1371/journal.pone</w:t>
      </w:r>
      <w:proofErr w:type="gramEnd"/>
      <w:r w:rsidRPr="00525791">
        <w:rPr>
          <w:rFonts w:eastAsia="Times New Roman"/>
        </w:rPr>
        <w:t>.0216730</w:t>
      </w:r>
    </w:p>
    <w:p w14:paraId="28C90EA4" w14:textId="77777777" w:rsidR="00594D89" w:rsidRDefault="00594D89" w:rsidP="007510B2">
      <w:pPr>
        <w:autoSpaceDE w:val="0"/>
        <w:autoSpaceDN w:val="0"/>
        <w:spacing w:after="0" w:line="480" w:lineRule="auto"/>
        <w:ind w:left="567" w:hanging="567"/>
        <w:rPr>
          <w:rFonts w:eastAsia="Times New Roman"/>
        </w:rPr>
      </w:pPr>
      <w:r>
        <w:rPr>
          <w:rFonts w:eastAsia="Times New Roman"/>
        </w:rPr>
        <w:t xml:space="preserve">Fang, Y., Singh, B.P., </w:t>
      </w:r>
      <w:proofErr w:type="spellStart"/>
      <w:r>
        <w:rPr>
          <w:rFonts w:eastAsia="Times New Roman"/>
        </w:rPr>
        <w:t>Nazaries</w:t>
      </w:r>
      <w:proofErr w:type="spellEnd"/>
      <w:r>
        <w:rPr>
          <w:rFonts w:eastAsia="Times New Roman"/>
        </w:rPr>
        <w:t xml:space="preserve">, L., Keith, A., </w:t>
      </w:r>
      <w:proofErr w:type="spellStart"/>
      <w:r>
        <w:rPr>
          <w:rFonts w:eastAsia="Times New Roman"/>
        </w:rPr>
        <w:t>Tavakkoli</w:t>
      </w:r>
      <w:proofErr w:type="spellEnd"/>
      <w:r>
        <w:rPr>
          <w:rFonts w:eastAsia="Times New Roman"/>
        </w:rPr>
        <w:t>, E., Wilson, N., Singh, B., 2019. Interactive carbon priming, microbial response and biochar persistence in a Vertisol with varied inputs of biochar and labile organic matter. European Journal of Soil Science 70, 960–974. doi:10.1111/EJSS.12808</w:t>
      </w:r>
    </w:p>
    <w:p w14:paraId="444366F2" w14:textId="072EE046" w:rsidR="00594D89" w:rsidRDefault="00594D89" w:rsidP="007510B2">
      <w:pPr>
        <w:autoSpaceDE w:val="0"/>
        <w:autoSpaceDN w:val="0"/>
        <w:spacing w:after="0" w:line="480" w:lineRule="auto"/>
        <w:ind w:left="567" w:hanging="567"/>
        <w:rPr>
          <w:rFonts w:eastAsia="Times New Roman"/>
        </w:rPr>
      </w:pPr>
      <w:r>
        <w:rPr>
          <w:rFonts w:eastAsia="Times New Roman"/>
        </w:rPr>
        <w:t xml:space="preserve">Farrar, J., Boddy, E., Hill, P.W., Jones, D.L., 2012. Discrete functional pools of soil organic matter in a UK grassland soil are differentially affected by temperature and priming. Soil Biology and Biochemistry 49, 52–60. </w:t>
      </w:r>
      <w:proofErr w:type="gramStart"/>
      <w:r>
        <w:rPr>
          <w:rFonts w:eastAsia="Times New Roman"/>
        </w:rPr>
        <w:t>doi:10.1016/J.SOILBIO</w:t>
      </w:r>
      <w:proofErr w:type="gramEnd"/>
      <w:r>
        <w:rPr>
          <w:rFonts w:eastAsia="Times New Roman"/>
        </w:rPr>
        <w:t>.2012.02.018</w:t>
      </w:r>
    </w:p>
    <w:p w14:paraId="2C5E9B06" w14:textId="2F408248" w:rsidR="00F06F9A" w:rsidRDefault="00F06F9A" w:rsidP="007510B2">
      <w:pPr>
        <w:autoSpaceDE w:val="0"/>
        <w:autoSpaceDN w:val="0"/>
        <w:spacing w:after="0" w:line="480" w:lineRule="auto"/>
        <w:ind w:left="567" w:hanging="567"/>
        <w:rPr>
          <w:rFonts w:eastAsia="Times New Roman"/>
        </w:rPr>
      </w:pPr>
      <w:r w:rsidRPr="00F06F9A">
        <w:rPr>
          <w:rFonts w:eastAsia="Times New Roman"/>
        </w:rPr>
        <w:lastRenderedPageBreak/>
        <w:t xml:space="preserve">Fidel, R.B., Laird, D.A., </w:t>
      </w:r>
      <w:proofErr w:type="spellStart"/>
      <w:r w:rsidRPr="00F06F9A">
        <w:rPr>
          <w:rFonts w:eastAsia="Times New Roman"/>
        </w:rPr>
        <w:t>Spokas</w:t>
      </w:r>
      <w:proofErr w:type="spellEnd"/>
      <w:r w:rsidRPr="00F06F9A">
        <w:rPr>
          <w:rFonts w:eastAsia="Times New Roman"/>
        </w:rPr>
        <w:t>, K.A., 2018. Sorption of ammonium and nitrate to biochars is electrostatic and pH-dependent. Scientific Reports</w:t>
      </w:r>
      <w:r w:rsidRPr="00454663">
        <w:rPr>
          <w:rFonts w:eastAsia="Times New Roman"/>
        </w:rPr>
        <w:t xml:space="preserve"> 8, 1–10</w:t>
      </w:r>
      <w:r w:rsidRPr="00F06F9A">
        <w:rPr>
          <w:rFonts w:eastAsia="Times New Roman"/>
        </w:rPr>
        <w:t>. doi:10.1038/s41598-018-35534-w</w:t>
      </w:r>
    </w:p>
    <w:p w14:paraId="667240AE" w14:textId="00EDB06B" w:rsidR="00F06F9A" w:rsidRDefault="002827FD" w:rsidP="007510B2">
      <w:pPr>
        <w:autoSpaceDE w:val="0"/>
        <w:autoSpaceDN w:val="0"/>
        <w:spacing w:after="0" w:line="480" w:lineRule="auto"/>
        <w:ind w:left="567" w:hanging="567"/>
        <w:rPr>
          <w:rFonts w:eastAsia="Times New Roman"/>
        </w:rPr>
      </w:pPr>
      <w:r w:rsidRPr="002827FD">
        <w:rPr>
          <w:rFonts w:eastAsia="Times New Roman"/>
        </w:rPr>
        <w:t xml:space="preserve">Foster, E.J., Fogle, E.J., </w:t>
      </w:r>
      <w:proofErr w:type="spellStart"/>
      <w:r w:rsidRPr="002827FD">
        <w:rPr>
          <w:rFonts w:eastAsia="Times New Roman"/>
        </w:rPr>
        <w:t>Cotrufo</w:t>
      </w:r>
      <w:proofErr w:type="spellEnd"/>
      <w:r w:rsidRPr="002827FD">
        <w:rPr>
          <w:rFonts w:eastAsia="Times New Roman"/>
        </w:rPr>
        <w:t xml:space="preserve">, M.F., 2018. Sorption to </w:t>
      </w:r>
      <w:r w:rsidR="00433887">
        <w:rPr>
          <w:rFonts w:eastAsia="Times New Roman"/>
        </w:rPr>
        <w:t>b</w:t>
      </w:r>
      <w:r w:rsidR="00433887" w:rsidRPr="002827FD">
        <w:rPr>
          <w:rFonts w:eastAsia="Times New Roman"/>
        </w:rPr>
        <w:t xml:space="preserve">iochar </w:t>
      </w:r>
      <w:r w:rsidR="00433887">
        <w:rPr>
          <w:rFonts w:eastAsia="Times New Roman"/>
        </w:rPr>
        <w:t>i</w:t>
      </w:r>
      <w:r w:rsidR="00433887" w:rsidRPr="002827FD">
        <w:rPr>
          <w:rFonts w:eastAsia="Times New Roman"/>
        </w:rPr>
        <w:t xml:space="preserve">mpacts </w:t>
      </w:r>
      <w:r w:rsidRPr="002827FD">
        <w:rPr>
          <w:rFonts w:eastAsia="Times New Roman"/>
        </w:rPr>
        <w:t>β-</w:t>
      </w:r>
      <w:r w:rsidR="00433887">
        <w:rPr>
          <w:rFonts w:eastAsia="Times New Roman"/>
        </w:rPr>
        <w:t>g</w:t>
      </w:r>
      <w:r w:rsidR="00433887" w:rsidRPr="002827FD">
        <w:rPr>
          <w:rFonts w:eastAsia="Times New Roman"/>
        </w:rPr>
        <w:t xml:space="preserve">lucosidase </w:t>
      </w:r>
      <w:r w:rsidRPr="002827FD">
        <w:rPr>
          <w:rFonts w:eastAsia="Times New Roman"/>
        </w:rPr>
        <w:t xml:space="preserve">and </w:t>
      </w:r>
      <w:r w:rsidR="00433887">
        <w:rPr>
          <w:rFonts w:eastAsia="Times New Roman"/>
        </w:rPr>
        <w:t>p</w:t>
      </w:r>
      <w:r w:rsidR="00433887" w:rsidRPr="002827FD">
        <w:rPr>
          <w:rFonts w:eastAsia="Times New Roman"/>
        </w:rPr>
        <w:t xml:space="preserve">hosphatase </w:t>
      </w:r>
      <w:r w:rsidR="00433887">
        <w:rPr>
          <w:rFonts w:eastAsia="Times New Roman"/>
        </w:rPr>
        <w:t>e</w:t>
      </w:r>
      <w:r w:rsidR="00433887" w:rsidRPr="002827FD">
        <w:rPr>
          <w:rFonts w:eastAsia="Times New Roman"/>
        </w:rPr>
        <w:t xml:space="preserve">nzyme </w:t>
      </w:r>
      <w:r w:rsidR="00433887">
        <w:rPr>
          <w:rFonts w:eastAsia="Times New Roman"/>
        </w:rPr>
        <w:t>a</w:t>
      </w:r>
      <w:r w:rsidR="00433887" w:rsidRPr="002827FD">
        <w:rPr>
          <w:rFonts w:eastAsia="Times New Roman"/>
        </w:rPr>
        <w:t>ctivities</w:t>
      </w:r>
      <w:r w:rsidRPr="002827FD">
        <w:rPr>
          <w:rFonts w:eastAsia="Times New Roman"/>
        </w:rPr>
        <w:t>. Agriculture 8, 158. doi:10.3390/AGRICULTURE8100158</w:t>
      </w:r>
    </w:p>
    <w:p w14:paraId="68D122AF" w14:textId="1068AA50" w:rsidR="00594D89" w:rsidRDefault="00594D89" w:rsidP="007510B2">
      <w:pPr>
        <w:autoSpaceDE w:val="0"/>
        <w:autoSpaceDN w:val="0"/>
        <w:spacing w:after="0" w:line="480" w:lineRule="auto"/>
        <w:ind w:left="567" w:hanging="567"/>
        <w:rPr>
          <w:rFonts w:eastAsia="Times New Roman"/>
        </w:rPr>
      </w:pPr>
      <w:r>
        <w:rPr>
          <w:rFonts w:eastAsia="Times New Roman"/>
        </w:rPr>
        <w:t xml:space="preserve">Gasser, T., </w:t>
      </w:r>
      <w:proofErr w:type="spellStart"/>
      <w:r>
        <w:rPr>
          <w:rFonts w:eastAsia="Times New Roman"/>
        </w:rPr>
        <w:t>Crepin</w:t>
      </w:r>
      <w:proofErr w:type="spellEnd"/>
      <w:r>
        <w:rPr>
          <w:rFonts w:eastAsia="Times New Roman"/>
        </w:rPr>
        <w:t xml:space="preserve">, L., </w:t>
      </w:r>
      <w:proofErr w:type="spellStart"/>
      <w:r>
        <w:rPr>
          <w:rFonts w:eastAsia="Times New Roman"/>
        </w:rPr>
        <w:t>Quilcaille</w:t>
      </w:r>
      <w:proofErr w:type="spellEnd"/>
      <w:r>
        <w:rPr>
          <w:rFonts w:eastAsia="Times New Roman"/>
        </w:rPr>
        <w:t xml:space="preserve">, Y., Houghton, R.A., </w:t>
      </w:r>
      <w:proofErr w:type="spellStart"/>
      <w:r>
        <w:rPr>
          <w:rFonts w:eastAsia="Times New Roman"/>
        </w:rPr>
        <w:t>Ciais</w:t>
      </w:r>
      <w:proofErr w:type="spellEnd"/>
      <w:r>
        <w:rPr>
          <w:rFonts w:eastAsia="Times New Roman"/>
        </w:rPr>
        <w:t xml:space="preserve">, P., </w:t>
      </w:r>
      <w:proofErr w:type="spellStart"/>
      <w:r>
        <w:rPr>
          <w:rFonts w:eastAsia="Times New Roman"/>
        </w:rPr>
        <w:t>Obersteiner</w:t>
      </w:r>
      <w:proofErr w:type="spellEnd"/>
      <w:r>
        <w:rPr>
          <w:rFonts w:eastAsia="Times New Roman"/>
        </w:rPr>
        <w:t>, M., 2020. Historical CO</w:t>
      </w:r>
      <w:r w:rsidRPr="007A105E">
        <w:rPr>
          <w:rFonts w:eastAsia="Times New Roman"/>
          <w:vertAlign w:val="subscript"/>
        </w:rPr>
        <w:t>2</w:t>
      </w:r>
      <w:r w:rsidR="007A105E">
        <w:rPr>
          <w:rFonts w:eastAsia="Times New Roman"/>
        </w:rPr>
        <w:t xml:space="preserve"> </w:t>
      </w:r>
      <w:r>
        <w:rPr>
          <w:rFonts w:eastAsia="Times New Roman"/>
        </w:rPr>
        <w:t>emissions from land use and land cover change and their uncertainty. Biogeosciences 17, 4075–4101. doi:10.5194/BG-17-4075-2020</w:t>
      </w:r>
    </w:p>
    <w:p w14:paraId="3A2C8C6F" w14:textId="20A6EB9E" w:rsidR="00594D89" w:rsidRDefault="00594D89" w:rsidP="007510B2">
      <w:pPr>
        <w:autoSpaceDE w:val="0"/>
        <w:autoSpaceDN w:val="0"/>
        <w:spacing w:after="0" w:line="480" w:lineRule="auto"/>
        <w:ind w:left="567" w:hanging="567"/>
        <w:rPr>
          <w:rFonts w:eastAsia="Times New Roman"/>
        </w:rPr>
      </w:pPr>
      <w:r>
        <w:rPr>
          <w:rFonts w:eastAsia="Times New Roman"/>
        </w:rPr>
        <w:t xml:space="preserve">Gross, A., Glaser, B., 2021. Meta-analysis on how manure application changes soil organic carbon storage. Scientific </w:t>
      </w:r>
      <w:r w:rsidRPr="00454663">
        <w:rPr>
          <w:rFonts w:eastAsia="Times New Roman"/>
        </w:rPr>
        <w:t>Reports 11, 1–13.</w:t>
      </w:r>
      <w:r>
        <w:rPr>
          <w:rFonts w:eastAsia="Times New Roman"/>
        </w:rPr>
        <w:t xml:space="preserve"> doi:10.1038/s41598-021-82739-7</w:t>
      </w:r>
    </w:p>
    <w:p w14:paraId="5A1457A3" w14:textId="77777777" w:rsidR="00594D89" w:rsidRDefault="00594D89" w:rsidP="007510B2">
      <w:pPr>
        <w:autoSpaceDE w:val="0"/>
        <w:autoSpaceDN w:val="0"/>
        <w:spacing w:after="0" w:line="480" w:lineRule="auto"/>
        <w:ind w:left="567" w:hanging="567"/>
        <w:rPr>
          <w:rFonts w:eastAsia="Times New Roman"/>
        </w:rPr>
      </w:pPr>
      <w:r>
        <w:rPr>
          <w:rFonts w:eastAsia="Times New Roman"/>
        </w:rPr>
        <w:t xml:space="preserve">Gunina, A., Kuzyakov, Y., 2015. Sugars in soil and sweets for microorganisms: Review of origin, content, composition and fate. Soil Biology and Biochemistry 90, 87–100. </w:t>
      </w:r>
      <w:proofErr w:type="gramStart"/>
      <w:r>
        <w:rPr>
          <w:rFonts w:eastAsia="Times New Roman"/>
        </w:rPr>
        <w:t>doi:10.1016/J.SOILBIO</w:t>
      </w:r>
      <w:proofErr w:type="gramEnd"/>
      <w:r>
        <w:rPr>
          <w:rFonts w:eastAsia="Times New Roman"/>
        </w:rPr>
        <w:t>.2015.07.021</w:t>
      </w:r>
    </w:p>
    <w:p w14:paraId="5972F5D5" w14:textId="7FD34EF3" w:rsidR="00594D89" w:rsidRDefault="00594D89" w:rsidP="007510B2">
      <w:pPr>
        <w:autoSpaceDE w:val="0"/>
        <w:autoSpaceDN w:val="0"/>
        <w:spacing w:after="0" w:line="480" w:lineRule="auto"/>
        <w:ind w:left="567" w:hanging="567"/>
        <w:rPr>
          <w:rFonts w:eastAsia="Times New Roman"/>
        </w:rPr>
      </w:pPr>
      <w:r>
        <w:rPr>
          <w:rFonts w:eastAsia="Times New Roman"/>
        </w:rPr>
        <w:t xml:space="preserve">Hicks, L.C., Meir, P., Nottingham, A.T., Reay, D.S., Stott, A.W., Salinas, N., Whitaker, J., 2019. Carbon and nitrogen inputs differentially affect priming of soil organic matter in tropical lowland and montane soils. Soil Biology and Biochemistry 129, 212–222. </w:t>
      </w:r>
      <w:proofErr w:type="gramStart"/>
      <w:r>
        <w:rPr>
          <w:rFonts w:eastAsia="Times New Roman"/>
        </w:rPr>
        <w:t>doi:10.1016/J.SOILBIO</w:t>
      </w:r>
      <w:proofErr w:type="gramEnd"/>
      <w:r>
        <w:rPr>
          <w:rFonts w:eastAsia="Times New Roman"/>
        </w:rPr>
        <w:t>.2018.10.015</w:t>
      </w:r>
    </w:p>
    <w:p w14:paraId="6888C725" w14:textId="3372BDF2" w:rsidR="00FC62D3" w:rsidRDefault="00FC62D3" w:rsidP="007510B2">
      <w:pPr>
        <w:autoSpaceDE w:val="0"/>
        <w:autoSpaceDN w:val="0"/>
        <w:spacing w:after="0" w:line="480" w:lineRule="auto"/>
        <w:ind w:left="567" w:hanging="567"/>
        <w:rPr>
          <w:rFonts w:eastAsia="Times New Roman"/>
        </w:rPr>
      </w:pPr>
      <w:r w:rsidRPr="00FC62D3">
        <w:rPr>
          <w:rFonts w:eastAsia="Times New Roman"/>
        </w:rPr>
        <w:t xml:space="preserve">Hill, P.W., Farrar, J.F., Jones, D.L., 2008. Decoupling of microbial glucose uptake and mineralization in soil. Soil Biology and Biochemistry 40, 616–624. </w:t>
      </w:r>
      <w:proofErr w:type="gramStart"/>
      <w:r w:rsidRPr="00FC62D3">
        <w:rPr>
          <w:rFonts w:eastAsia="Times New Roman"/>
        </w:rPr>
        <w:t>doi:10.1016/J.SOILBIO</w:t>
      </w:r>
      <w:proofErr w:type="gramEnd"/>
      <w:r w:rsidRPr="00FC62D3">
        <w:rPr>
          <w:rFonts w:eastAsia="Times New Roman"/>
        </w:rPr>
        <w:t>.2007.09.008</w:t>
      </w:r>
    </w:p>
    <w:p w14:paraId="112CBAFA" w14:textId="1A637C74" w:rsidR="00B92343" w:rsidRDefault="00B92343" w:rsidP="007510B2">
      <w:pPr>
        <w:autoSpaceDE w:val="0"/>
        <w:autoSpaceDN w:val="0"/>
        <w:spacing w:after="0" w:line="480" w:lineRule="auto"/>
        <w:ind w:left="567" w:hanging="567"/>
        <w:rPr>
          <w:rFonts w:eastAsia="Times New Roman"/>
        </w:rPr>
      </w:pPr>
      <w:r w:rsidRPr="00B92343">
        <w:rPr>
          <w:rFonts w:eastAsia="Times New Roman"/>
        </w:rPr>
        <w:t xml:space="preserve">Ibrahim, M.M., Tong, C., Hu, K., Zhou, B., Xing, S., Mao, Y., 2020. Biochar-fertilizer interaction modifies N-sorption, enzyme activities and microbial functional abundance regulating nitrogen retention in rhizosphere soil. Science of The Total Environment 739, 140065. </w:t>
      </w:r>
      <w:proofErr w:type="gramStart"/>
      <w:r w:rsidRPr="00B92343">
        <w:rPr>
          <w:rFonts w:eastAsia="Times New Roman"/>
        </w:rPr>
        <w:t>doi:10.1016/J.SCITOTENV</w:t>
      </w:r>
      <w:proofErr w:type="gramEnd"/>
      <w:r w:rsidRPr="00B92343">
        <w:rPr>
          <w:rFonts w:eastAsia="Times New Roman"/>
        </w:rPr>
        <w:t>.2020.140065</w:t>
      </w:r>
    </w:p>
    <w:p w14:paraId="2A4DE29E" w14:textId="0820DC41" w:rsidR="00594D89" w:rsidRDefault="00594D89" w:rsidP="007510B2">
      <w:pPr>
        <w:autoSpaceDE w:val="0"/>
        <w:autoSpaceDN w:val="0"/>
        <w:spacing w:after="0" w:line="480" w:lineRule="auto"/>
        <w:ind w:left="567" w:hanging="567"/>
        <w:rPr>
          <w:rFonts w:eastAsia="Times New Roman"/>
        </w:rPr>
      </w:pPr>
      <w:proofErr w:type="spellStart"/>
      <w:r>
        <w:rPr>
          <w:rFonts w:eastAsia="Times New Roman"/>
        </w:rPr>
        <w:t>Illikainen</w:t>
      </w:r>
      <w:proofErr w:type="spellEnd"/>
      <w:r>
        <w:rPr>
          <w:rFonts w:eastAsia="Times New Roman"/>
        </w:rPr>
        <w:t xml:space="preserve">, M., </w:t>
      </w:r>
      <w:proofErr w:type="spellStart"/>
      <w:r>
        <w:rPr>
          <w:rFonts w:eastAsia="Times New Roman"/>
        </w:rPr>
        <w:t>Tanskanen</w:t>
      </w:r>
      <w:proofErr w:type="spellEnd"/>
      <w:r>
        <w:rPr>
          <w:rFonts w:eastAsia="Times New Roman"/>
        </w:rPr>
        <w:t xml:space="preserve">, P., </w:t>
      </w:r>
      <w:proofErr w:type="spellStart"/>
      <w:r>
        <w:rPr>
          <w:rFonts w:eastAsia="Times New Roman"/>
        </w:rPr>
        <w:t>Kinnunen</w:t>
      </w:r>
      <w:proofErr w:type="spellEnd"/>
      <w:r>
        <w:rPr>
          <w:rFonts w:eastAsia="Times New Roman"/>
        </w:rPr>
        <w:t xml:space="preserve">, P., </w:t>
      </w:r>
      <w:proofErr w:type="spellStart"/>
      <w:r>
        <w:rPr>
          <w:rFonts w:eastAsia="Times New Roman"/>
        </w:rPr>
        <w:t>Körkkö</w:t>
      </w:r>
      <w:proofErr w:type="spellEnd"/>
      <w:r>
        <w:rPr>
          <w:rFonts w:eastAsia="Times New Roman"/>
        </w:rPr>
        <w:t xml:space="preserve">, M., </w:t>
      </w:r>
      <w:proofErr w:type="spellStart"/>
      <w:r>
        <w:rPr>
          <w:rFonts w:eastAsia="Times New Roman"/>
        </w:rPr>
        <w:t>Peltosaari</w:t>
      </w:r>
      <w:proofErr w:type="spellEnd"/>
      <w:r>
        <w:rPr>
          <w:rFonts w:eastAsia="Times New Roman"/>
        </w:rPr>
        <w:t xml:space="preserve">, O., </w:t>
      </w:r>
      <w:proofErr w:type="spellStart"/>
      <w:r>
        <w:rPr>
          <w:rFonts w:eastAsia="Times New Roman"/>
        </w:rPr>
        <w:t>Wigren</w:t>
      </w:r>
      <w:proofErr w:type="spellEnd"/>
      <w:r>
        <w:rPr>
          <w:rFonts w:eastAsia="Times New Roman"/>
        </w:rPr>
        <w:t xml:space="preserve">, V., </w:t>
      </w:r>
      <w:proofErr w:type="spellStart"/>
      <w:r>
        <w:rPr>
          <w:rFonts w:eastAsia="Times New Roman"/>
        </w:rPr>
        <w:t>Österbacka</w:t>
      </w:r>
      <w:proofErr w:type="spellEnd"/>
      <w:r>
        <w:rPr>
          <w:rFonts w:eastAsia="Times New Roman"/>
        </w:rPr>
        <w:t xml:space="preserve">, J., </w:t>
      </w:r>
      <w:proofErr w:type="spellStart"/>
      <w:r>
        <w:rPr>
          <w:rFonts w:eastAsia="Times New Roman"/>
        </w:rPr>
        <w:t>Talling</w:t>
      </w:r>
      <w:proofErr w:type="spellEnd"/>
      <w:r>
        <w:rPr>
          <w:rFonts w:eastAsia="Times New Roman"/>
        </w:rPr>
        <w:t xml:space="preserve">, B., </w:t>
      </w:r>
      <w:proofErr w:type="spellStart"/>
      <w:r>
        <w:rPr>
          <w:rFonts w:eastAsia="Times New Roman"/>
        </w:rPr>
        <w:t>Niinimäki</w:t>
      </w:r>
      <w:proofErr w:type="spellEnd"/>
      <w:r>
        <w:rPr>
          <w:rFonts w:eastAsia="Times New Roman"/>
        </w:rPr>
        <w:t xml:space="preserve">, J., 2014. Reactivity and self-hardening of fly ash from the fluidized bed combustion of wood and peat. Fuel 135, 69–75. </w:t>
      </w:r>
      <w:proofErr w:type="gramStart"/>
      <w:r>
        <w:rPr>
          <w:rFonts w:eastAsia="Times New Roman"/>
        </w:rPr>
        <w:t>doi:10.1016/J.FUEL</w:t>
      </w:r>
      <w:proofErr w:type="gramEnd"/>
      <w:r>
        <w:rPr>
          <w:rFonts w:eastAsia="Times New Roman"/>
        </w:rPr>
        <w:t>.2014.06.029</w:t>
      </w:r>
    </w:p>
    <w:p w14:paraId="6FAE64F4" w14:textId="19C1F3EF" w:rsidR="00E35CE0" w:rsidRDefault="00E35CE0" w:rsidP="007510B2">
      <w:pPr>
        <w:autoSpaceDE w:val="0"/>
        <w:autoSpaceDN w:val="0"/>
        <w:spacing w:after="0" w:line="480" w:lineRule="auto"/>
        <w:ind w:left="567" w:hanging="567"/>
        <w:rPr>
          <w:rFonts w:eastAsia="Times New Roman"/>
        </w:rPr>
      </w:pPr>
      <w:r w:rsidRPr="00E35CE0">
        <w:rPr>
          <w:rFonts w:eastAsia="Times New Roman"/>
        </w:rPr>
        <w:t>Islam, M.R., Singh, B., Dijkstra, F.A., 2022. Stabilisation of soil organic matter: interactions between clay and microbes. Biogeochemistry 160, 145–158. doi:10.1007/S10533-022-00956-2</w:t>
      </w:r>
    </w:p>
    <w:p w14:paraId="08FB9301" w14:textId="42FB6D78" w:rsidR="00594D89" w:rsidRDefault="00594D89" w:rsidP="007510B2">
      <w:pPr>
        <w:autoSpaceDE w:val="0"/>
        <w:autoSpaceDN w:val="0"/>
        <w:spacing w:after="0" w:line="480" w:lineRule="auto"/>
        <w:ind w:left="567" w:hanging="567"/>
        <w:rPr>
          <w:rFonts w:eastAsia="Times New Roman"/>
        </w:rPr>
      </w:pPr>
      <w:proofErr w:type="spellStart"/>
      <w:r>
        <w:rPr>
          <w:rFonts w:eastAsia="Times New Roman"/>
        </w:rPr>
        <w:lastRenderedPageBreak/>
        <w:t>Jobbagy</w:t>
      </w:r>
      <w:proofErr w:type="spellEnd"/>
      <w:r>
        <w:rPr>
          <w:rFonts w:eastAsia="Times New Roman"/>
        </w:rPr>
        <w:t xml:space="preserve">, E.G., Jackson, R.B., 2000. </w:t>
      </w:r>
      <w:r w:rsidR="00EC6E75">
        <w:rPr>
          <w:rFonts w:eastAsia="Times New Roman"/>
        </w:rPr>
        <w:t>The vertical distribution of soil organic carbon and its relation to climate and vegetation.</w:t>
      </w:r>
      <w:r>
        <w:rPr>
          <w:rFonts w:eastAsia="Times New Roman"/>
        </w:rPr>
        <w:t xml:space="preserve"> Ecological Applications 10, 423. doi:10.2307/2641104</w:t>
      </w:r>
    </w:p>
    <w:p w14:paraId="36434B68" w14:textId="3EE0EC6E" w:rsidR="00594D89" w:rsidRDefault="00594D89" w:rsidP="007510B2">
      <w:pPr>
        <w:autoSpaceDE w:val="0"/>
        <w:autoSpaceDN w:val="0"/>
        <w:spacing w:after="0" w:line="480" w:lineRule="auto"/>
        <w:ind w:left="567" w:hanging="567"/>
        <w:rPr>
          <w:rFonts w:eastAsia="Times New Roman"/>
        </w:rPr>
      </w:pPr>
      <w:r>
        <w:rPr>
          <w:rFonts w:eastAsia="Times New Roman"/>
        </w:rPr>
        <w:t xml:space="preserve">Jones, D.L., Kielland, K., Sinclair, F.L., Dahlgren, R.A., </w:t>
      </w:r>
      <w:proofErr w:type="spellStart"/>
      <w:r>
        <w:rPr>
          <w:rFonts w:eastAsia="Times New Roman"/>
        </w:rPr>
        <w:t>Newsham</w:t>
      </w:r>
      <w:proofErr w:type="spellEnd"/>
      <w:r>
        <w:rPr>
          <w:rFonts w:eastAsia="Times New Roman"/>
        </w:rPr>
        <w:t>, K.K., Farrar, J.F., Murphy, D. v., 2009. Soil organic nitrogen mineralization across a global latitudinal gradient. Global Biogeochemical Cycles 23</w:t>
      </w:r>
      <w:r w:rsidR="003A5DD6">
        <w:rPr>
          <w:rFonts w:eastAsia="Times New Roman"/>
        </w:rPr>
        <w:t>, 3250</w:t>
      </w:r>
      <w:r>
        <w:rPr>
          <w:rFonts w:eastAsia="Times New Roman"/>
        </w:rPr>
        <w:t>. doi:10.1029/2008GB003250</w:t>
      </w:r>
    </w:p>
    <w:p w14:paraId="55DB0B48" w14:textId="5D37BCC7" w:rsidR="00A35ED8" w:rsidRDefault="00A35ED8" w:rsidP="007510B2">
      <w:pPr>
        <w:autoSpaceDE w:val="0"/>
        <w:autoSpaceDN w:val="0"/>
        <w:spacing w:after="0" w:line="480" w:lineRule="auto"/>
        <w:ind w:left="567" w:hanging="567"/>
        <w:rPr>
          <w:rFonts w:eastAsia="Times New Roman"/>
        </w:rPr>
      </w:pPr>
      <w:r w:rsidRPr="00A35ED8">
        <w:rPr>
          <w:rFonts w:eastAsia="Times New Roman"/>
        </w:rPr>
        <w:t>Jones, D.L., Murphy, D. v., Khalid, M., Ahmad, W., Edwards-Jones, G., DeLuca, T.H., 2011. Short-term biochar-induced increase in soil CO</w:t>
      </w:r>
      <w:r w:rsidRPr="00A35ED8">
        <w:rPr>
          <w:rFonts w:eastAsia="Times New Roman"/>
          <w:vertAlign w:val="subscript"/>
        </w:rPr>
        <w:t>2</w:t>
      </w:r>
      <w:r w:rsidRPr="00A35ED8">
        <w:rPr>
          <w:rFonts w:eastAsia="Times New Roman"/>
        </w:rPr>
        <w:t xml:space="preserve"> release is both biotically and abiotically mediated. Soil Biology and Biochemistry 43, 1723–1731. </w:t>
      </w:r>
      <w:proofErr w:type="gramStart"/>
      <w:r w:rsidRPr="00A35ED8">
        <w:rPr>
          <w:rFonts w:eastAsia="Times New Roman"/>
        </w:rPr>
        <w:t>doi:10.1016/J.SOILBIO</w:t>
      </w:r>
      <w:proofErr w:type="gramEnd"/>
      <w:r w:rsidRPr="00A35ED8">
        <w:rPr>
          <w:rFonts w:eastAsia="Times New Roman"/>
        </w:rPr>
        <w:t>.2011.04.018</w:t>
      </w:r>
    </w:p>
    <w:p w14:paraId="4EB0978B" w14:textId="148FF553" w:rsidR="00594D89" w:rsidRDefault="00594D89" w:rsidP="007510B2">
      <w:pPr>
        <w:autoSpaceDE w:val="0"/>
        <w:autoSpaceDN w:val="0"/>
        <w:spacing w:after="0" w:line="480" w:lineRule="auto"/>
        <w:ind w:left="567" w:hanging="567"/>
        <w:rPr>
          <w:rFonts w:eastAsia="Times New Roman"/>
        </w:rPr>
      </w:pPr>
      <w:r>
        <w:rPr>
          <w:rFonts w:eastAsia="Times New Roman"/>
        </w:rPr>
        <w:t xml:space="preserve">Kallenbach, C.M., Frey, S.D., Grandy, A.S., 2016. Direct evidence for microbial-derived soil organic matter formation and its </w:t>
      </w:r>
      <w:proofErr w:type="spellStart"/>
      <w:r>
        <w:rPr>
          <w:rFonts w:eastAsia="Times New Roman"/>
        </w:rPr>
        <w:t>ecophysiological</w:t>
      </w:r>
      <w:proofErr w:type="spellEnd"/>
      <w:r>
        <w:rPr>
          <w:rFonts w:eastAsia="Times New Roman"/>
        </w:rPr>
        <w:t xml:space="preserve"> controls. Nature Communications 7, 1</w:t>
      </w:r>
      <w:r w:rsidR="003A5DD6">
        <w:rPr>
          <w:rFonts w:eastAsia="Times New Roman"/>
        </w:rPr>
        <w:t>3630</w:t>
      </w:r>
      <w:r>
        <w:rPr>
          <w:rFonts w:eastAsia="Times New Roman"/>
        </w:rPr>
        <w:t>. doi:10.1038/ncomms13630</w:t>
      </w:r>
    </w:p>
    <w:p w14:paraId="67B28344" w14:textId="77777777" w:rsidR="00594D89" w:rsidRDefault="00594D89" w:rsidP="007510B2">
      <w:pPr>
        <w:autoSpaceDE w:val="0"/>
        <w:autoSpaceDN w:val="0"/>
        <w:spacing w:after="0" w:line="480" w:lineRule="auto"/>
        <w:ind w:left="567" w:hanging="567"/>
        <w:rPr>
          <w:rFonts w:eastAsia="Times New Roman"/>
        </w:rPr>
      </w:pPr>
      <w:r>
        <w:rPr>
          <w:rFonts w:eastAsia="Times New Roman"/>
        </w:rPr>
        <w:t xml:space="preserve">Kuzyakov, Y., Bol, R., 2006. Sources and mechanisms of priming effect induced in two grassland soils amended with slurry and sugar. Soil Biology and Biochemistry 38, 747–758. </w:t>
      </w:r>
      <w:proofErr w:type="gramStart"/>
      <w:r>
        <w:rPr>
          <w:rFonts w:eastAsia="Times New Roman"/>
        </w:rPr>
        <w:t>doi:10.1016/J.SOILBIO</w:t>
      </w:r>
      <w:proofErr w:type="gramEnd"/>
      <w:r>
        <w:rPr>
          <w:rFonts w:eastAsia="Times New Roman"/>
        </w:rPr>
        <w:t>.2005.06.025</w:t>
      </w:r>
    </w:p>
    <w:p w14:paraId="4662A464" w14:textId="77777777" w:rsidR="00594D89" w:rsidRDefault="00594D89" w:rsidP="007510B2">
      <w:pPr>
        <w:autoSpaceDE w:val="0"/>
        <w:autoSpaceDN w:val="0"/>
        <w:spacing w:after="0" w:line="480" w:lineRule="auto"/>
        <w:ind w:left="567" w:hanging="567"/>
        <w:rPr>
          <w:rFonts w:eastAsia="Times New Roman"/>
        </w:rPr>
      </w:pPr>
      <w:r>
        <w:rPr>
          <w:rFonts w:eastAsia="Times New Roman"/>
        </w:rPr>
        <w:t xml:space="preserve">Kuzyakov, Y., Friedel, J.K., </w:t>
      </w:r>
      <w:proofErr w:type="spellStart"/>
      <w:r>
        <w:rPr>
          <w:rFonts w:eastAsia="Times New Roman"/>
        </w:rPr>
        <w:t>Stahr</w:t>
      </w:r>
      <w:proofErr w:type="spellEnd"/>
      <w:r>
        <w:rPr>
          <w:rFonts w:eastAsia="Times New Roman"/>
        </w:rPr>
        <w:t>, K., 2000. Review of mechanisms and quantification of priming effects. Soil Biology and Biochemistry 32, 1485–1498. doi:10.1016/S0038-0717(00)00084-5</w:t>
      </w:r>
    </w:p>
    <w:p w14:paraId="51495E41" w14:textId="1F6FAF67" w:rsidR="00594D89" w:rsidRDefault="00594D89" w:rsidP="007510B2">
      <w:pPr>
        <w:autoSpaceDE w:val="0"/>
        <w:autoSpaceDN w:val="0"/>
        <w:spacing w:after="0" w:line="480" w:lineRule="auto"/>
        <w:ind w:left="567" w:hanging="567"/>
        <w:rPr>
          <w:rFonts w:eastAsia="Times New Roman"/>
        </w:rPr>
      </w:pPr>
      <w:r>
        <w:rPr>
          <w:rFonts w:eastAsia="Times New Roman"/>
        </w:rPr>
        <w:t xml:space="preserve">Lal, R., 2004. </w:t>
      </w:r>
      <w:r w:rsidR="00EC6E75">
        <w:rPr>
          <w:rFonts w:eastAsia="Times New Roman"/>
        </w:rPr>
        <w:t>Soil carbon sequestration impacts on global climate change and food security</w:t>
      </w:r>
      <w:r>
        <w:rPr>
          <w:rFonts w:eastAsia="Times New Roman"/>
        </w:rPr>
        <w:t>. Science 304, 1623–1627. doi:10.1126/SCIENCE.1097396</w:t>
      </w:r>
    </w:p>
    <w:p w14:paraId="06B1B9DC" w14:textId="77777777" w:rsidR="00594D89" w:rsidRDefault="00594D89" w:rsidP="007510B2">
      <w:pPr>
        <w:autoSpaceDE w:val="0"/>
        <w:autoSpaceDN w:val="0"/>
        <w:spacing w:after="0" w:line="480" w:lineRule="auto"/>
        <w:ind w:left="567" w:hanging="567"/>
        <w:rPr>
          <w:rFonts w:eastAsia="Times New Roman"/>
        </w:rPr>
      </w:pPr>
      <w:r>
        <w:rPr>
          <w:rFonts w:eastAsia="Times New Roman"/>
        </w:rPr>
        <w:t xml:space="preserve">Liu, M., </w:t>
      </w:r>
      <w:proofErr w:type="spellStart"/>
      <w:r>
        <w:rPr>
          <w:rFonts w:eastAsia="Times New Roman"/>
        </w:rPr>
        <w:t>Qiao</w:t>
      </w:r>
      <w:proofErr w:type="spellEnd"/>
      <w:r>
        <w:rPr>
          <w:rFonts w:eastAsia="Times New Roman"/>
        </w:rPr>
        <w:t xml:space="preserve">, N., Xu, X., Fang, H., Wang, H., Kuzyakov, Y., 2020. </w:t>
      </w:r>
      <w:proofErr w:type="gramStart"/>
      <w:r>
        <w:rPr>
          <w:rFonts w:eastAsia="Times New Roman"/>
        </w:rPr>
        <w:t>C:N</w:t>
      </w:r>
      <w:proofErr w:type="gramEnd"/>
      <w:r>
        <w:rPr>
          <w:rFonts w:eastAsia="Times New Roman"/>
        </w:rPr>
        <w:t xml:space="preserve"> stoichiometry of stable and labile organic compounds determine priming patterns. Geoderma 362, 114122. </w:t>
      </w:r>
      <w:proofErr w:type="gramStart"/>
      <w:r>
        <w:rPr>
          <w:rFonts w:eastAsia="Times New Roman"/>
        </w:rPr>
        <w:t>doi:10.1016/J.GEODERMA</w:t>
      </w:r>
      <w:proofErr w:type="gramEnd"/>
      <w:r>
        <w:rPr>
          <w:rFonts w:eastAsia="Times New Roman"/>
        </w:rPr>
        <w:t>.2019.114122</w:t>
      </w:r>
    </w:p>
    <w:p w14:paraId="6B33E305" w14:textId="77777777" w:rsidR="00594D89" w:rsidRDefault="00594D89" w:rsidP="007510B2">
      <w:pPr>
        <w:autoSpaceDE w:val="0"/>
        <w:autoSpaceDN w:val="0"/>
        <w:spacing w:after="0" w:line="480" w:lineRule="auto"/>
        <w:ind w:left="567" w:hanging="567"/>
        <w:rPr>
          <w:rFonts w:eastAsia="Times New Roman"/>
        </w:rPr>
      </w:pPr>
      <w:r>
        <w:rPr>
          <w:rFonts w:eastAsia="Times New Roman"/>
        </w:rPr>
        <w:t xml:space="preserve">Liu, X.J.A., Sun, J., Mau, R.L., Finley, B.K., </w:t>
      </w:r>
      <w:proofErr w:type="spellStart"/>
      <w:r>
        <w:rPr>
          <w:rFonts w:eastAsia="Times New Roman"/>
        </w:rPr>
        <w:t>Compson</w:t>
      </w:r>
      <w:proofErr w:type="spellEnd"/>
      <w:r>
        <w:rPr>
          <w:rFonts w:eastAsia="Times New Roman"/>
        </w:rPr>
        <w:t xml:space="preserve">, Z.G., van </w:t>
      </w:r>
      <w:proofErr w:type="spellStart"/>
      <w:r>
        <w:rPr>
          <w:rFonts w:eastAsia="Times New Roman"/>
        </w:rPr>
        <w:t>Gestel</w:t>
      </w:r>
      <w:proofErr w:type="spellEnd"/>
      <w:r>
        <w:rPr>
          <w:rFonts w:eastAsia="Times New Roman"/>
        </w:rPr>
        <w:t xml:space="preserve">, N., Brown, J.R., Schwartz, E., Dijkstra, P., Hungate, B.A., 2017. Labile carbon input determines the direction and magnitude of the priming effect. Applied Soil Ecology 109, 7–13. </w:t>
      </w:r>
      <w:proofErr w:type="gramStart"/>
      <w:r>
        <w:rPr>
          <w:rFonts w:eastAsia="Times New Roman"/>
        </w:rPr>
        <w:t>doi:10.1016/J.APSOIL</w:t>
      </w:r>
      <w:proofErr w:type="gramEnd"/>
      <w:r>
        <w:rPr>
          <w:rFonts w:eastAsia="Times New Roman"/>
        </w:rPr>
        <w:t>.2016.10.002</w:t>
      </w:r>
    </w:p>
    <w:p w14:paraId="40991633" w14:textId="77777777" w:rsidR="00594D89" w:rsidRDefault="00594D89" w:rsidP="007510B2">
      <w:pPr>
        <w:autoSpaceDE w:val="0"/>
        <w:autoSpaceDN w:val="0"/>
        <w:spacing w:after="0" w:line="480" w:lineRule="auto"/>
        <w:ind w:left="567" w:hanging="567"/>
        <w:rPr>
          <w:rFonts w:eastAsia="Times New Roman"/>
        </w:rPr>
      </w:pPr>
      <w:r>
        <w:rPr>
          <w:rFonts w:eastAsia="Times New Roman"/>
        </w:rPr>
        <w:t>Liu, Y., Chen, Y., Wang, Y., Lu, H., He, L., Yang, S., 2018. Negative priming effect of three kinds of biochar on the mineralization of native soil organic carbon. Land Degradation &amp; Development 29, 3985–3994. doi:10.1002/LDR.3147</w:t>
      </w:r>
    </w:p>
    <w:p w14:paraId="4BF58535" w14:textId="77777777" w:rsidR="00594D89" w:rsidRDefault="00594D89" w:rsidP="007510B2">
      <w:pPr>
        <w:autoSpaceDE w:val="0"/>
        <w:autoSpaceDN w:val="0"/>
        <w:spacing w:after="0" w:line="480" w:lineRule="auto"/>
        <w:ind w:left="567" w:hanging="567"/>
        <w:rPr>
          <w:rFonts w:eastAsia="Times New Roman"/>
        </w:rPr>
      </w:pPr>
      <w:r>
        <w:rPr>
          <w:rFonts w:eastAsia="Times New Roman"/>
        </w:rPr>
        <w:lastRenderedPageBreak/>
        <w:t xml:space="preserve">Marsden, K.A., Lush, L., Holmberg, J.A., Whelan, M.J., King, A.J., Wilson, R.P., Charteris, A.F., Cardenas, L.M., Jones, D.L., Chadwick, D.R., 2020. Sheep urination frequency, volume, N excretion and chemical composition: Implications for subsequent agricultural N losses. Agriculture, Ecosystems &amp; Environment 302, 107073. </w:t>
      </w:r>
      <w:proofErr w:type="gramStart"/>
      <w:r>
        <w:rPr>
          <w:rFonts w:eastAsia="Times New Roman"/>
        </w:rPr>
        <w:t>doi:10.1016/J.AGEE</w:t>
      </w:r>
      <w:proofErr w:type="gramEnd"/>
      <w:r>
        <w:rPr>
          <w:rFonts w:eastAsia="Times New Roman"/>
        </w:rPr>
        <w:t>.2020.107073</w:t>
      </w:r>
    </w:p>
    <w:p w14:paraId="25042490" w14:textId="77777777" w:rsidR="00594D89" w:rsidRDefault="00594D89" w:rsidP="007510B2">
      <w:pPr>
        <w:autoSpaceDE w:val="0"/>
        <w:autoSpaceDN w:val="0"/>
        <w:spacing w:after="0" w:line="480" w:lineRule="auto"/>
        <w:ind w:left="567" w:hanging="567"/>
        <w:rPr>
          <w:rFonts w:eastAsia="Times New Roman"/>
        </w:rPr>
      </w:pPr>
      <w:r>
        <w:rPr>
          <w:rFonts w:eastAsia="Times New Roman"/>
        </w:rPr>
        <w:t xml:space="preserve">Mason-Jones, K., </w:t>
      </w:r>
      <w:proofErr w:type="spellStart"/>
      <w:r>
        <w:rPr>
          <w:rFonts w:eastAsia="Times New Roman"/>
        </w:rPr>
        <w:t>Schmücker</w:t>
      </w:r>
      <w:proofErr w:type="spellEnd"/>
      <w:r>
        <w:rPr>
          <w:rFonts w:eastAsia="Times New Roman"/>
        </w:rPr>
        <w:t xml:space="preserve">, N., Kuzyakov, Y., 2018. Contrasting effects of organic and mineral nitrogen challenge the N-Mining Hypothesis for soil organic matter priming. Soil Biology and Biochemistry 124, 38–46. </w:t>
      </w:r>
      <w:proofErr w:type="gramStart"/>
      <w:r>
        <w:rPr>
          <w:rFonts w:eastAsia="Times New Roman"/>
        </w:rPr>
        <w:t>doi:10.1016/J.SOILBIO</w:t>
      </w:r>
      <w:proofErr w:type="gramEnd"/>
      <w:r>
        <w:rPr>
          <w:rFonts w:eastAsia="Times New Roman"/>
        </w:rPr>
        <w:t>.2018.05.024</w:t>
      </w:r>
    </w:p>
    <w:p w14:paraId="2AFB67C7" w14:textId="77777777" w:rsidR="00594D89" w:rsidRDefault="00594D89" w:rsidP="007510B2">
      <w:pPr>
        <w:autoSpaceDE w:val="0"/>
        <w:autoSpaceDN w:val="0"/>
        <w:spacing w:after="0" w:line="480" w:lineRule="auto"/>
        <w:ind w:left="567" w:hanging="567"/>
        <w:rPr>
          <w:rFonts w:eastAsia="Times New Roman"/>
        </w:rPr>
      </w:pPr>
      <w:r>
        <w:rPr>
          <w:rFonts w:eastAsia="Times New Roman"/>
        </w:rPr>
        <w:t xml:space="preserve">Meyer, N., Welp, G., Rodionov, A., </w:t>
      </w:r>
      <w:proofErr w:type="spellStart"/>
      <w:r>
        <w:rPr>
          <w:rFonts w:eastAsia="Times New Roman"/>
        </w:rPr>
        <w:t>Borchard</w:t>
      </w:r>
      <w:proofErr w:type="spellEnd"/>
      <w:r>
        <w:rPr>
          <w:rFonts w:eastAsia="Times New Roman"/>
        </w:rPr>
        <w:t xml:space="preserve">, N., Martius, C., Amelung, W., 2018. Nitrogen and phosphorus supply controls soil organic carbon mineralization in tropical topsoil and subsoil. Soil Biology and Biochemistry 119, 152–161. </w:t>
      </w:r>
      <w:proofErr w:type="gramStart"/>
      <w:r>
        <w:rPr>
          <w:rFonts w:eastAsia="Times New Roman"/>
        </w:rPr>
        <w:t>doi:10.1016/J.SOILBIO</w:t>
      </w:r>
      <w:proofErr w:type="gramEnd"/>
      <w:r>
        <w:rPr>
          <w:rFonts w:eastAsia="Times New Roman"/>
        </w:rPr>
        <w:t>.2018.01.024</w:t>
      </w:r>
    </w:p>
    <w:p w14:paraId="09C9115E" w14:textId="65D502C2" w:rsidR="00594D89" w:rsidRDefault="00594D89" w:rsidP="007510B2">
      <w:pPr>
        <w:autoSpaceDE w:val="0"/>
        <w:autoSpaceDN w:val="0"/>
        <w:spacing w:after="0" w:line="480" w:lineRule="auto"/>
        <w:ind w:left="567" w:hanging="567"/>
        <w:rPr>
          <w:rFonts w:eastAsia="Times New Roman"/>
        </w:rPr>
      </w:pPr>
      <w:r>
        <w:rPr>
          <w:rFonts w:eastAsia="Times New Roman"/>
        </w:rPr>
        <w:t xml:space="preserve">Miranda, K.M., </w:t>
      </w:r>
      <w:proofErr w:type="spellStart"/>
      <w:r>
        <w:rPr>
          <w:rFonts w:eastAsia="Times New Roman"/>
        </w:rPr>
        <w:t>Espey</w:t>
      </w:r>
      <w:proofErr w:type="spellEnd"/>
      <w:r>
        <w:rPr>
          <w:rFonts w:eastAsia="Times New Roman"/>
        </w:rPr>
        <w:t>, M.G., Wink, D.A., 2001. Spectrophotometric method for simultaneous detection of nitrate and nitrite. Nitric Oxide 5, 62–71. doi:10.1006/niox.2000.0319</w:t>
      </w:r>
    </w:p>
    <w:p w14:paraId="01ABEEFC" w14:textId="4A457EC5" w:rsidR="00594D89" w:rsidRDefault="00594D89" w:rsidP="007510B2">
      <w:pPr>
        <w:autoSpaceDE w:val="0"/>
        <w:autoSpaceDN w:val="0"/>
        <w:spacing w:after="0" w:line="480" w:lineRule="auto"/>
        <w:ind w:left="567" w:hanging="567"/>
        <w:rPr>
          <w:rFonts w:eastAsia="Times New Roman"/>
        </w:rPr>
      </w:pPr>
      <w:r>
        <w:rPr>
          <w:rFonts w:eastAsia="Times New Roman"/>
        </w:rPr>
        <w:t>Mo, F., Zhang, Y.Y., Liu, Y., Liao, Y.C., 2021. Microbial carbon-use efficiency and straw-induced priming effect within soil aggregates are regulated by tillage history and balanced nutrient supply. Biology and Fertility of Soils 57, 409–420. doi:10.1007/S00374-021-01540-W</w:t>
      </w:r>
    </w:p>
    <w:p w14:paraId="2B82CC98" w14:textId="77777777" w:rsidR="00FC62D3" w:rsidRDefault="00FC62D3" w:rsidP="00FC62D3">
      <w:pPr>
        <w:autoSpaceDE w:val="0"/>
        <w:autoSpaceDN w:val="0"/>
        <w:spacing w:after="0" w:line="480" w:lineRule="auto"/>
        <w:ind w:left="567" w:hanging="567"/>
        <w:rPr>
          <w:rFonts w:eastAsia="Times New Roman"/>
        </w:rPr>
      </w:pPr>
      <w:proofErr w:type="spellStart"/>
      <w:r w:rsidRPr="00FC62D3">
        <w:rPr>
          <w:rFonts w:eastAsia="Times New Roman"/>
        </w:rPr>
        <w:t>Mrunalini</w:t>
      </w:r>
      <w:proofErr w:type="spellEnd"/>
      <w:r w:rsidRPr="00FC62D3">
        <w:rPr>
          <w:rFonts w:eastAsia="Times New Roman"/>
        </w:rPr>
        <w:t>, K., Behera, B., Jayaraman, S., Abhilash, P.C., Dubey, P.K., Swamy, G.N., Prasad, J.V.N.S., Rao, K.V., Krishnan, P., Pratibha, G., Srinivasa Rao, C., 2022. Nature-based solutions in soil restoration for improving agricultural productivity. Land Degradation &amp; Development 33, 1269–1289. doi:10.1002/LDR.4207</w:t>
      </w:r>
    </w:p>
    <w:p w14:paraId="3BFBF6FD" w14:textId="6C4E34B8" w:rsidR="00594D89" w:rsidRDefault="00594D89" w:rsidP="007510B2">
      <w:pPr>
        <w:autoSpaceDE w:val="0"/>
        <w:autoSpaceDN w:val="0"/>
        <w:spacing w:after="0" w:line="480" w:lineRule="auto"/>
        <w:ind w:left="567" w:hanging="567"/>
        <w:rPr>
          <w:rFonts w:eastAsia="Times New Roman"/>
        </w:rPr>
      </w:pPr>
      <w:r>
        <w:rPr>
          <w:rFonts w:eastAsia="Times New Roman"/>
        </w:rPr>
        <w:t>Mulvaney, R.L., 1996. Nitrogen - Inorganic forms, in: Sparks, D.L. (Ed.), Methods of Soil Analysis, Part 3. Soil Science Society of America, Madison, WI, USA, pp. 1123–1184.</w:t>
      </w:r>
    </w:p>
    <w:p w14:paraId="0F495675" w14:textId="048974A1" w:rsidR="0003750B" w:rsidRDefault="0003750B" w:rsidP="007510B2">
      <w:pPr>
        <w:autoSpaceDE w:val="0"/>
        <w:autoSpaceDN w:val="0"/>
        <w:spacing w:after="0" w:line="480" w:lineRule="auto"/>
        <w:ind w:left="567" w:hanging="567"/>
        <w:rPr>
          <w:rFonts w:eastAsia="Times New Roman"/>
        </w:rPr>
      </w:pPr>
      <w:r w:rsidRPr="0003750B">
        <w:rPr>
          <w:rFonts w:eastAsia="Times New Roman"/>
        </w:rPr>
        <w:t xml:space="preserve">Murphy, C.J., Baggs, E.M., Morley, N., Wall, D.P., Paterson, E., 2015. Rhizosphere priming can promote mobilisation of N-rich compounds from soil organic matter. Soil Biology and Biochemistry 81, 236–243. </w:t>
      </w:r>
      <w:proofErr w:type="gramStart"/>
      <w:r w:rsidRPr="0003750B">
        <w:rPr>
          <w:rFonts w:eastAsia="Times New Roman"/>
        </w:rPr>
        <w:t>doi:10.1016/J.SOILBIO</w:t>
      </w:r>
      <w:proofErr w:type="gramEnd"/>
      <w:r w:rsidRPr="0003750B">
        <w:rPr>
          <w:rFonts w:eastAsia="Times New Roman"/>
        </w:rPr>
        <w:t>.2014.11.027</w:t>
      </w:r>
    </w:p>
    <w:p w14:paraId="4C3F1FA7" w14:textId="3B905A1B" w:rsidR="00594D89" w:rsidRDefault="00594D89" w:rsidP="007510B2">
      <w:pPr>
        <w:autoSpaceDE w:val="0"/>
        <w:autoSpaceDN w:val="0"/>
        <w:spacing w:after="0" w:line="480" w:lineRule="auto"/>
        <w:ind w:left="567" w:hanging="567"/>
        <w:rPr>
          <w:rFonts w:eastAsia="Times New Roman"/>
        </w:rPr>
      </w:pPr>
      <w:r>
        <w:rPr>
          <w:rFonts w:eastAsia="Times New Roman"/>
        </w:rPr>
        <w:t xml:space="preserve">Murphy, J., Riley, J.P., 1962. A modified single solution method for the determination of phosphate in natural waters. Analytica </w:t>
      </w:r>
      <w:proofErr w:type="spellStart"/>
      <w:r>
        <w:rPr>
          <w:rFonts w:eastAsia="Times New Roman"/>
        </w:rPr>
        <w:t>Chimica</w:t>
      </w:r>
      <w:proofErr w:type="spellEnd"/>
      <w:r>
        <w:rPr>
          <w:rFonts w:eastAsia="Times New Roman"/>
        </w:rPr>
        <w:t xml:space="preserve"> Acta 27, 31–36. doi:10.1016/S0003-2670(00)88444-5</w:t>
      </w:r>
    </w:p>
    <w:p w14:paraId="2CAE2F0C" w14:textId="30F70FFC" w:rsidR="00594D89" w:rsidRDefault="00594D89" w:rsidP="007510B2">
      <w:pPr>
        <w:autoSpaceDE w:val="0"/>
        <w:autoSpaceDN w:val="0"/>
        <w:spacing w:after="0" w:line="480" w:lineRule="auto"/>
        <w:ind w:left="567" w:hanging="567"/>
        <w:rPr>
          <w:rFonts w:eastAsia="Times New Roman"/>
        </w:rPr>
      </w:pPr>
      <w:proofErr w:type="spellStart"/>
      <w:r>
        <w:rPr>
          <w:rFonts w:eastAsia="Times New Roman"/>
        </w:rPr>
        <w:t>Paustian</w:t>
      </w:r>
      <w:proofErr w:type="spellEnd"/>
      <w:r>
        <w:rPr>
          <w:rFonts w:eastAsia="Times New Roman"/>
        </w:rPr>
        <w:t xml:space="preserve">, K., Larson, E., Kent, J., Marx, E., Swan, A., 2019. </w:t>
      </w:r>
      <w:r w:rsidR="00C91FD0">
        <w:rPr>
          <w:rFonts w:eastAsia="Times New Roman"/>
        </w:rPr>
        <w:t>Soil C sequestration as a biological negative emission strategy</w:t>
      </w:r>
      <w:r>
        <w:rPr>
          <w:rFonts w:eastAsia="Times New Roman"/>
        </w:rPr>
        <w:t>. Frontiers in Climate 1, 8. doi:10.3389/FCLIM.2019.00008</w:t>
      </w:r>
    </w:p>
    <w:p w14:paraId="314FAFFC" w14:textId="77777777" w:rsidR="00594D89" w:rsidRDefault="00594D89" w:rsidP="007510B2">
      <w:pPr>
        <w:autoSpaceDE w:val="0"/>
        <w:autoSpaceDN w:val="0"/>
        <w:spacing w:after="0" w:line="480" w:lineRule="auto"/>
        <w:ind w:left="567" w:hanging="567"/>
        <w:rPr>
          <w:rFonts w:eastAsia="Times New Roman"/>
        </w:rPr>
      </w:pPr>
      <w:r>
        <w:rPr>
          <w:rFonts w:eastAsia="Times New Roman"/>
        </w:rPr>
        <w:lastRenderedPageBreak/>
        <w:t xml:space="preserve">Prado, J., Ribeiro, H., Alvarenga, P., Fangueiro, D., 2022. A step towards the production of manure-based fertilizers: Disclosing the effects of animal species and slurry treatment on their nutrients content and availability. Journal of Cleaner Production 337, 130369. </w:t>
      </w:r>
      <w:proofErr w:type="gramStart"/>
      <w:r>
        <w:rPr>
          <w:rFonts w:eastAsia="Times New Roman"/>
        </w:rPr>
        <w:t>doi:10.1016/J.JCLEPRO</w:t>
      </w:r>
      <w:proofErr w:type="gramEnd"/>
      <w:r>
        <w:rPr>
          <w:rFonts w:eastAsia="Times New Roman"/>
        </w:rPr>
        <w:t>.2022.130369</w:t>
      </w:r>
    </w:p>
    <w:p w14:paraId="591F1B1B" w14:textId="56AE2C4D" w:rsidR="00594D89" w:rsidRDefault="00594D89" w:rsidP="007510B2">
      <w:pPr>
        <w:autoSpaceDE w:val="0"/>
        <w:autoSpaceDN w:val="0"/>
        <w:spacing w:after="0" w:line="480" w:lineRule="auto"/>
        <w:ind w:left="567" w:hanging="567"/>
        <w:rPr>
          <w:rFonts w:eastAsia="Times New Roman"/>
        </w:rPr>
      </w:pPr>
      <w:r>
        <w:rPr>
          <w:rFonts w:eastAsia="Times New Roman"/>
        </w:rPr>
        <w:t>Puri, S., Sharma, S., Kumari, A., Sharma, M., Sharma, U., Kumar, S., 2020. Extraction of lignocellulosic constituents from cow dung: preparation and characterisation of nanocellulose. Biomass Conversion and Biorefinery 13, 311–320. doi:10.1007/S13399-020-01119-9/</w:t>
      </w:r>
    </w:p>
    <w:p w14:paraId="195FBC5E" w14:textId="77777777" w:rsidR="00594D89" w:rsidRDefault="00594D89" w:rsidP="007510B2">
      <w:pPr>
        <w:autoSpaceDE w:val="0"/>
        <w:autoSpaceDN w:val="0"/>
        <w:spacing w:after="0" w:line="480" w:lineRule="auto"/>
        <w:ind w:left="567" w:hanging="567"/>
        <w:rPr>
          <w:rFonts w:eastAsia="Times New Roman"/>
        </w:rPr>
      </w:pPr>
      <w:proofErr w:type="spellStart"/>
      <w:r>
        <w:rPr>
          <w:rFonts w:eastAsia="Times New Roman"/>
        </w:rPr>
        <w:t>Qiao</w:t>
      </w:r>
      <w:proofErr w:type="spellEnd"/>
      <w:r>
        <w:rPr>
          <w:rFonts w:eastAsia="Times New Roman"/>
        </w:rPr>
        <w:t>, N., Xu, X., Hu, Y., Blagodatskaya, E., Liu, Y., Schaefer, D., Kuzyakov, Y., 2016. Carbon and nitrogen additions induce distinct priming effects along an organic-matter decay continuum. Scientific Reports 6, 142290. doi:10.1038/SREP19865</w:t>
      </w:r>
    </w:p>
    <w:p w14:paraId="08CA28A9" w14:textId="77777777" w:rsidR="00594D89" w:rsidRDefault="00594D89" w:rsidP="007510B2">
      <w:pPr>
        <w:autoSpaceDE w:val="0"/>
        <w:autoSpaceDN w:val="0"/>
        <w:spacing w:after="0" w:line="480" w:lineRule="auto"/>
        <w:ind w:left="567" w:hanging="567"/>
        <w:rPr>
          <w:rFonts w:eastAsia="Times New Roman"/>
        </w:rPr>
      </w:pPr>
      <w:r>
        <w:rPr>
          <w:rFonts w:eastAsia="Times New Roman"/>
        </w:rPr>
        <w:t xml:space="preserve">Quesada, B., </w:t>
      </w:r>
      <w:proofErr w:type="spellStart"/>
      <w:r>
        <w:rPr>
          <w:rFonts w:eastAsia="Times New Roman"/>
        </w:rPr>
        <w:t>Arneth</w:t>
      </w:r>
      <w:proofErr w:type="spellEnd"/>
      <w:r>
        <w:rPr>
          <w:rFonts w:eastAsia="Times New Roman"/>
        </w:rPr>
        <w:t xml:space="preserve">, A., Robertson, E., de </w:t>
      </w:r>
      <w:proofErr w:type="spellStart"/>
      <w:r>
        <w:rPr>
          <w:rFonts w:eastAsia="Times New Roman"/>
        </w:rPr>
        <w:t>Noblet-Ducoudré</w:t>
      </w:r>
      <w:proofErr w:type="spellEnd"/>
      <w:r>
        <w:rPr>
          <w:rFonts w:eastAsia="Times New Roman"/>
        </w:rPr>
        <w:t>, N., 2018. Potential strong contribution of future anthropogenic land-use and land-cover change to the terrestrial carbon cycle. Environmental Research Letters 13, 064023. doi:10.1088/1748-9326/AAC4C3</w:t>
      </w:r>
    </w:p>
    <w:p w14:paraId="4E868BF3" w14:textId="77777777" w:rsidR="00594D89" w:rsidRDefault="00594D89" w:rsidP="007510B2">
      <w:pPr>
        <w:autoSpaceDE w:val="0"/>
        <w:autoSpaceDN w:val="0"/>
        <w:spacing w:after="0" w:line="480" w:lineRule="auto"/>
        <w:ind w:left="567" w:hanging="567"/>
        <w:rPr>
          <w:rFonts w:eastAsia="Times New Roman"/>
        </w:rPr>
      </w:pPr>
      <w:r>
        <w:rPr>
          <w:rFonts w:eastAsia="Times New Roman"/>
        </w:rPr>
        <w:t>Quilliam, R.S., Glanville, H.C., Wade, S.C., Jones, D.L., 2013. Life in the “</w:t>
      </w:r>
      <w:proofErr w:type="spellStart"/>
      <w:r>
        <w:rPr>
          <w:rFonts w:eastAsia="Times New Roman"/>
        </w:rPr>
        <w:t>charosphere</w:t>
      </w:r>
      <w:proofErr w:type="spellEnd"/>
      <w:r>
        <w:rPr>
          <w:rFonts w:eastAsia="Times New Roman"/>
        </w:rPr>
        <w:t xml:space="preserve">” - Does biochar in agricultural soil provide a significant habitat for microorganisms? Soil Biology and Biochemistry 65, 287–293. </w:t>
      </w:r>
      <w:proofErr w:type="gramStart"/>
      <w:r>
        <w:rPr>
          <w:rFonts w:eastAsia="Times New Roman"/>
        </w:rPr>
        <w:t>doi:10.1016/j.soilbio</w:t>
      </w:r>
      <w:proofErr w:type="gramEnd"/>
      <w:r>
        <w:rPr>
          <w:rFonts w:eastAsia="Times New Roman"/>
        </w:rPr>
        <w:t>.2013.06.004</w:t>
      </w:r>
    </w:p>
    <w:p w14:paraId="1AB3B7BB" w14:textId="2642A009" w:rsidR="00594D89" w:rsidRDefault="00594D89" w:rsidP="007510B2">
      <w:pPr>
        <w:autoSpaceDE w:val="0"/>
        <w:autoSpaceDN w:val="0"/>
        <w:spacing w:after="0" w:line="480" w:lineRule="auto"/>
        <w:ind w:left="567" w:hanging="567"/>
        <w:rPr>
          <w:rFonts w:eastAsia="Times New Roman"/>
        </w:rPr>
      </w:pPr>
      <w:r>
        <w:rPr>
          <w:rFonts w:eastAsia="Times New Roman"/>
        </w:rPr>
        <w:t>R Core Team, 202</w:t>
      </w:r>
      <w:r w:rsidR="000932E1">
        <w:rPr>
          <w:rFonts w:eastAsia="Times New Roman"/>
        </w:rPr>
        <w:t>2</w:t>
      </w:r>
      <w:r>
        <w:rPr>
          <w:rFonts w:eastAsia="Times New Roman"/>
        </w:rPr>
        <w:t>. R: A language and environment for statistical computing.</w:t>
      </w:r>
    </w:p>
    <w:p w14:paraId="7B9C3B39" w14:textId="42D351FA" w:rsidR="00594D89" w:rsidRDefault="00594D89" w:rsidP="007510B2">
      <w:pPr>
        <w:autoSpaceDE w:val="0"/>
        <w:autoSpaceDN w:val="0"/>
        <w:spacing w:after="0" w:line="480" w:lineRule="auto"/>
        <w:ind w:left="567" w:hanging="567"/>
        <w:rPr>
          <w:rFonts w:eastAsia="Times New Roman"/>
        </w:rPr>
      </w:pPr>
      <w:proofErr w:type="spellStart"/>
      <w:r>
        <w:rPr>
          <w:rFonts w:eastAsia="Times New Roman"/>
        </w:rPr>
        <w:t>Raczka</w:t>
      </w:r>
      <w:proofErr w:type="spellEnd"/>
      <w:r>
        <w:rPr>
          <w:rFonts w:eastAsia="Times New Roman"/>
        </w:rPr>
        <w:t xml:space="preserve">, N.C., </w:t>
      </w:r>
      <w:proofErr w:type="spellStart"/>
      <w:r>
        <w:rPr>
          <w:rFonts w:eastAsia="Times New Roman"/>
        </w:rPr>
        <w:t>Piñeiro</w:t>
      </w:r>
      <w:proofErr w:type="spellEnd"/>
      <w:r>
        <w:rPr>
          <w:rFonts w:eastAsia="Times New Roman"/>
        </w:rPr>
        <w:t xml:space="preserve">, J., </w:t>
      </w:r>
      <w:proofErr w:type="spellStart"/>
      <w:r>
        <w:rPr>
          <w:rFonts w:eastAsia="Times New Roman"/>
        </w:rPr>
        <w:t>Tfaily</w:t>
      </w:r>
      <w:proofErr w:type="spellEnd"/>
      <w:r>
        <w:rPr>
          <w:rFonts w:eastAsia="Times New Roman"/>
        </w:rPr>
        <w:t xml:space="preserve">, M.M., Chu, R.K., Lipton, M.S., </w:t>
      </w:r>
      <w:proofErr w:type="spellStart"/>
      <w:r>
        <w:rPr>
          <w:rFonts w:eastAsia="Times New Roman"/>
        </w:rPr>
        <w:t>Pasa-Tolic</w:t>
      </w:r>
      <w:proofErr w:type="spellEnd"/>
      <w:r>
        <w:rPr>
          <w:rFonts w:eastAsia="Times New Roman"/>
        </w:rPr>
        <w:t xml:space="preserve">, L., Morrissey, E., Brzostek, E., 2021. Interactions between microbial diversity and substrate chemistry determine the fate of carbon in soil. Scientific Reports 11, </w:t>
      </w:r>
      <w:r w:rsidR="003A5DD6">
        <w:rPr>
          <w:rFonts w:eastAsia="Times New Roman"/>
        </w:rPr>
        <w:t>19320</w:t>
      </w:r>
      <w:r>
        <w:rPr>
          <w:rFonts w:eastAsia="Times New Roman"/>
        </w:rPr>
        <w:t>. doi:10.1038/s41598-021-97942-9</w:t>
      </w:r>
    </w:p>
    <w:p w14:paraId="3399060C" w14:textId="39C66195" w:rsidR="00594D89" w:rsidRDefault="00594D89" w:rsidP="007510B2">
      <w:pPr>
        <w:autoSpaceDE w:val="0"/>
        <w:autoSpaceDN w:val="0"/>
        <w:spacing w:after="0" w:line="480" w:lineRule="auto"/>
        <w:ind w:left="567" w:hanging="567"/>
        <w:rPr>
          <w:rFonts w:eastAsia="Times New Roman"/>
        </w:rPr>
      </w:pPr>
      <w:r>
        <w:rPr>
          <w:rFonts w:eastAsia="Times New Roman"/>
        </w:rPr>
        <w:t xml:space="preserve">Reed, E.Y., Chadwick, D.R., Hill, P.W., Jones, D.L., 2017. Critical comparison of the impact of biochar and wood ash on soil organic matter cycling and grassland productivity. Soil Biology and Biochemistry 110, 134–142. </w:t>
      </w:r>
      <w:proofErr w:type="gramStart"/>
      <w:r>
        <w:rPr>
          <w:rFonts w:eastAsia="Times New Roman"/>
        </w:rPr>
        <w:t>doi:10.1016/J.SOILBIO</w:t>
      </w:r>
      <w:proofErr w:type="gramEnd"/>
      <w:r>
        <w:rPr>
          <w:rFonts w:eastAsia="Times New Roman"/>
        </w:rPr>
        <w:t>.2017.03.012</w:t>
      </w:r>
    </w:p>
    <w:p w14:paraId="0A9A65E0" w14:textId="07DB43BB" w:rsidR="003D67C4" w:rsidRDefault="003D67C4" w:rsidP="007510B2">
      <w:pPr>
        <w:autoSpaceDE w:val="0"/>
        <w:autoSpaceDN w:val="0"/>
        <w:spacing w:after="0" w:line="480" w:lineRule="auto"/>
        <w:ind w:left="567" w:hanging="567"/>
        <w:rPr>
          <w:rFonts w:eastAsia="Times New Roman"/>
        </w:rPr>
      </w:pPr>
      <w:r w:rsidRPr="003D67C4">
        <w:rPr>
          <w:rFonts w:eastAsia="Times New Roman"/>
        </w:rPr>
        <w:t>Rousk, J., Hill, P.W., Jones, D.L., 2015. Priming of the decomposition of ageing soil organic matter: concentration dependence and microbial control. Functional Ecology 29, 285–296. doi:10.1111/1365-2435.12377</w:t>
      </w:r>
    </w:p>
    <w:p w14:paraId="1089DC72" w14:textId="77777777" w:rsidR="00594D89" w:rsidRDefault="00594D89" w:rsidP="007510B2">
      <w:pPr>
        <w:autoSpaceDE w:val="0"/>
        <w:autoSpaceDN w:val="0"/>
        <w:spacing w:after="0" w:line="480" w:lineRule="auto"/>
        <w:ind w:left="567" w:hanging="567"/>
        <w:rPr>
          <w:rFonts w:eastAsia="Times New Roman"/>
        </w:rPr>
      </w:pPr>
      <w:r>
        <w:rPr>
          <w:rFonts w:eastAsia="Times New Roman"/>
        </w:rPr>
        <w:t xml:space="preserve">Sanchez, S., </w:t>
      </w:r>
      <w:proofErr w:type="spellStart"/>
      <w:r>
        <w:rPr>
          <w:rFonts w:eastAsia="Times New Roman"/>
        </w:rPr>
        <w:t>Demain</w:t>
      </w:r>
      <w:proofErr w:type="spellEnd"/>
      <w:r>
        <w:rPr>
          <w:rFonts w:eastAsia="Times New Roman"/>
        </w:rPr>
        <w:t>, A.L., 2008. Metabolic regulation and overproduction of primary metabolites. Microbial Biotechnology 1, 283. doi:10.1111/J.1751-7915.</w:t>
      </w:r>
      <w:proofErr w:type="gramStart"/>
      <w:r>
        <w:rPr>
          <w:rFonts w:eastAsia="Times New Roman"/>
        </w:rPr>
        <w:t>2007.00015.X</w:t>
      </w:r>
      <w:proofErr w:type="gramEnd"/>
    </w:p>
    <w:p w14:paraId="13DAABFA" w14:textId="77777777" w:rsidR="00594D89" w:rsidRDefault="00594D89" w:rsidP="007510B2">
      <w:pPr>
        <w:autoSpaceDE w:val="0"/>
        <w:autoSpaceDN w:val="0"/>
        <w:spacing w:after="0" w:line="480" w:lineRule="auto"/>
        <w:ind w:left="567" w:hanging="567"/>
        <w:rPr>
          <w:rFonts w:eastAsia="Times New Roman"/>
        </w:rPr>
      </w:pPr>
      <w:r>
        <w:rPr>
          <w:rFonts w:eastAsia="Times New Roman"/>
        </w:rPr>
        <w:lastRenderedPageBreak/>
        <w:t>Vance, E.D., Brookes, P.C., Jenkinson, D.S., 1987. An extraction method for measuring soil microbial biomass C. Soil Biology and Biochemistry 19, 703–707. doi:10.1016/0038-0717(87)90052-6</w:t>
      </w:r>
    </w:p>
    <w:p w14:paraId="47044FE4" w14:textId="423A8413" w:rsidR="00594D89" w:rsidRDefault="00594D89" w:rsidP="007510B2">
      <w:pPr>
        <w:autoSpaceDE w:val="0"/>
        <w:autoSpaceDN w:val="0"/>
        <w:spacing w:after="0" w:line="480" w:lineRule="auto"/>
        <w:ind w:left="567" w:hanging="567"/>
        <w:rPr>
          <w:rFonts w:eastAsia="Times New Roman"/>
        </w:rPr>
      </w:pPr>
      <w:r>
        <w:rPr>
          <w:rFonts w:eastAsia="Times New Roman"/>
        </w:rPr>
        <w:t xml:space="preserve">Wang, H., Nan, Q., Waqas, M., Wu, W., 2022. Stability of biochar in mineral soils: Assessment methods, influencing factors and potential problems. Science of </w:t>
      </w:r>
      <w:r w:rsidR="003A5DD6">
        <w:rPr>
          <w:rFonts w:eastAsia="Times New Roman"/>
        </w:rPr>
        <w:t>t</w:t>
      </w:r>
      <w:r>
        <w:rPr>
          <w:rFonts w:eastAsia="Times New Roman"/>
        </w:rPr>
        <w:t xml:space="preserve">he Total Environment 806, 150789. </w:t>
      </w:r>
      <w:proofErr w:type="gramStart"/>
      <w:r>
        <w:rPr>
          <w:rFonts w:eastAsia="Times New Roman"/>
        </w:rPr>
        <w:t>doi:10.1016/J.SCITOTENV</w:t>
      </w:r>
      <w:proofErr w:type="gramEnd"/>
      <w:r>
        <w:rPr>
          <w:rFonts w:eastAsia="Times New Roman"/>
        </w:rPr>
        <w:t>.2021.150789</w:t>
      </w:r>
    </w:p>
    <w:p w14:paraId="0B79AEE7" w14:textId="3395CA53" w:rsidR="00594D89" w:rsidRDefault="00594D89" w:rsidP="007510B2">
      <w:pPr>
        <w:autoSpaceDE w:val="0"/>
        <w:autoSpaceDN w:val="0"/>
        <w:spacing w:after="0" w:line="480" w:lineRule="auto"/>
        <w:ind w:left="567" w:hanging="567"/>
        <w:rPr>
          <w:rFonts w:eastAsia="Times New Roman"/>
        </w:rPr>
      </w:pPr>
      <w:r>
        <w:rPr>
          <w:rFonts w:eastAsia="Times New Roman"/>
        </w:rPr>
        <w:t>Wang, H., Zhang, W., Chen, L., Xu, Q., Jiang, Y., Sun, B., 2020. Biochar induced negative priming effect on soil organic carbon mineralisation by changing the microbial community structure across plant growth stages. Journal of Soils and Sediments 20, 3340–3350. doi:10.1007/S11368-020-02662-8/</w:t>
      </w:r>
    </w:p>
    <w:p w14:paraId="56379BEC" w14:textId="77777777" w:rsidR="00594D89" w:rsidRDefault="00594D89" w:rsidP="007510B2">
      <w:pPr>
        <w:autoSpaceDE w:val="0"/>
        <w:autoSpaceDN w:val="0"/>
        <w:spacing w:after="0" w:line="480" w:lineRule="auto"/>
        <w:ind w:left="567" w:hanging="567"/>
        <w:rPr>
          <w:rFonts w:eastAsia="Times New Roman"/>
        </w:rPr>
      </w:pPr>
      <w:r>
        <w:rPr>
          <w:rFonts w:eastAsia="Times New Roman"/>
        </w:rPr>
        <w:t>Wickham, H., 2016. ggplot2: Elegant Graphics for Data Analysis. Springer-Verlag New York.</w:t>
      </w:r>
    </w:p>
    <w:p w14:paraId="2E659BEE" w14:textId="77777777" w:rsidR="00594D89" w:rsidRDefault="00594D89" w:rsidP="007510B2">
      <w:pPr>
        <w:autoSpaceDE w:val="0"/>
        <w:autoSpaceDN w:val="0"/>
        <w:spacing w:after="0" w:line="480" w:lineRule="auto"/>
        <w:ind w:left="567" w:hanging="567"/>
        <w:rPr>
          <w:rFonts w:eastAsia="Times New Roman"/>
        </w:rPr>
      </w:pPr>
      <w:r>
        <w:rPr>
          <w:rFonts w:eastAsia="Times New Roman"/>
        </w:rPr>
        <w:t xml:space="preserve">Wild, B., Li, J., </w:t>
      </w:r>
      <w:proofErr w:type="spellStart"/>
      <w:r>
        <w:rPr>
          <w:rFonts w:eastAsia="Times New Roman"/>
        </w:rPr>
        <w:t>Pihlblad</w:t>
      </w:r>
      <w:proofErr w:type="spellEnd"/>
      <w:r>
        <w:rPr>
          <w:rFonts w:eastAsia="Times New Roman"/>
        </w:rPr>
        <w:t xml:space="preserve">, J., Bengtson, P., </w:t>
      </w:r>
      <w:proofErr w:type="spellStart"/>
      <w:r>
        <w:rPr>
          <w:rFonts w:eastAsia="Times New Roman"/>
        </w:rPr>
        <w:t>Rütting</w:t>
      </w:r>
      <w:proofErr w:type="spellEnd"/>
      <w:r>
        <w:rPr>
          <w:rFonts w:eastAsia="Times New Roman"/>
        </w:rPr>
        <w:t xml:space="preserve">, T., 2019. Decoupling of priming and microbial N mining during a short-term soil incubation. Soil Biology and Biochemistry 129, 71–79. </w:t>
      </w:r>
      <w:proofErr w:type="gramStart"/>
      <w:r>
        <w:rPr>
          <w:rFonts w:eastAsia="Times New Roman"/>
        </w:rPr>
        <w:t>doi:10.1016/J.SOILBIO</w:t>
      </w:r>
      <w:proofErr w:type="gramEnd"/>
      <w:r>
        <w:rPr>
          <w:rFonts w:eastAsia="Times New Roman"/>
        </w:rPr>
        <w:t>.2018.11.014</w:t>
      </w:r>
    </w:p>
    <w:p w14:paraId="0B1BC238" w14:textId="797E104A" w:rsidR="00594D89" w:rsidRDefault="00594D89" w:rsidP="007510B2">
      <w:pPr>
        <w:autoSpaceDE w:val="0"/>
        <w:autoSpaceDN w:val="0"/>
        <w:spacing w:after="0" w:line="480" w:lineRule="auto"/>
        <w:ind w:left="567" w:hanging="567"/>
        <w:rPr>
          <w:rFonts w:eastAsia="Times New Roman"/>
        </w:rPr>
      </w:pPr>
      <w:proofErr w:type="spellStart"/>
      <w:r>
        <w:rPr>
          <w:rFonts w:eastAsia="Times New Roman"/>
        </w:rPr>
        <w:t>Witzgall</w:t>
      </w:r>
      <w:proofErr w:type="spellEnd"/>
      <w:r>
        <w:rPr>
          <w:rFonts w:eastAsia="Times New Roman"/>
        </w:rPr>
        <w:t xml:space="preserve">, K., Vidal, A., Schubert, D.I., </w:t>
      </w:r>
      <w:proofErr w:type="spellStart"/>
      <w:r>
        <w:rPr>
          <w:rFonts w:eastAsia="Times New Roman"/>
        </w:rPr>
        <w:t>Höschen</w:t>
      </w:r>
      <w:proofErr w:type="spellEnd"/>
      <w:r>
        <w:rPr>
          <w:rFonts w:eastAsia="Times New Roman"/>
        </w:rPr>
        <w:t xml:space="preserve">, C., Schweizer, S.A., </w:t>
      </w:r>
      <w:proofErr w:type="spellStart"/>
      <w:r>
        <w:rPr>
          <w:rFonts w:eastAsia="Times New Roman"/>
        </w:rPr>
        <w:t>Buegger</w:t>
      </w:r>
      <w:proofErr w:type="spellEnd"/>
      <w:r>
        <w:rPr>
          <w:rFonts w:eastAsia="Times New Roman"/>
        </w:rPr>
        <w:t xml:space="preserve">, F., </w:t>
      </w:r>
      <w:proofErr w:type="spellStart"/>
      <w:r>
        <w:rPr>
          <w:rFonts w:eastAsia="Times New Roman"/>
        </w:rPr>
        <w:t>Pouteau</w:t>
      </w:r>
      <w:proofErr w:type="spellEnd"/>
      <w:r>
        <w:rPr>
          <w:rFonts w:eastAsia="Times New Roman"/>
        </w:rPr>
        <w:t xml:space="preserve">, V., </w:t>
      </w:r>
      <w:proofErr w:type="spellStart"/>
      <w:r>
        <w:rPr>
          <w:rFonts w:eastAsia="Times New Roman"/>
        </w:rPr>
        <w:t>Chenu</w:t>
      </w:r>
      <w:proofErr w:type="spellEnd"/>
      <w:r>
        <w:rPr>
          <w:rFonts w:eastAsia="Times New Roman"/>
        </w:rPr>
        <w:t xml:space="preserve">, C., Mueller, C.W., 2021. Particulate organic matter as a functional soil component for persistent soil organic carbon. Nature Communications 12, </w:t>
      </w:r>
      <w:r w:rsidR="003A5DD6">
        <w:rPr>
          <w:rFonts w:eastAsia="Times New Roman"/>
        </w:rPr>
        <w:t>4115.</w:t>
      </w:r>
      <w:r>
        <w:rPr>
          <w:rFonts w:eastAsia="Times New Roman"/>
        </w:rPr>
        <w:t xml:space="preserve"> doi:10.1038/s41467-021-24192-8</w:t>
      </w:r>
    </w:p>
    <w:p w14:paraId="7443CFA1" w14:textId="00A0A313" w:rsidR="009F54FC" w:rsidRDefault="009F54FC" w:rsidP="007510B2">
      <w:pPr>
        <w:autoSpaceDE w:val="0"/>
        <w:autoSpaceDN w:val="0"/>
        <w:spacing w:after="0" w:line="480" w:lineRule="auto"/>
        <w:ind w:left="567" w:hanging="567"/>
        <w:rPr>
          <w:rFonts w:eastAsia="Times New Roman"/>
        </w:rPr>
      </w:pPr>
      <w:proofErr w:type="spellStart"/>
      <w:r w:rsidRPr="009F54FC">
        <w:rPr>
          <w:rFonts w:eastAsia="Times New Roman"/>
        </w:rPr>
        <w:t>Wortel</w:t>
      </w:r>
      <w:proofErr w:type="spellEnd"/>
      <w:r w:rsidRPr="009F54FC">
        <w:rPr>
          <w:rFonts w:eastAsia="Times New Roman"/>
        </w:rPr>
        <w:t xml:space="preserve">, M.T., Noor, E., Ferris, M., Bruggeman, F.J., </w:t>
      </w:r>
      <w:proofErr w:type="spellStart"/>
      <w:r w:rsidRPr="009F54FC">
        <w:rPr>
          <w:rFonts w:eastAsia="Times New Roman"/>
        </w:rPr>
        <w:t>Liebermeister</w:t>
      </w:r>
      <w:proofErr w:type="spellEnd"/>
      <w:r w:rsidRPr="009F54FC">
        <w:rPr>
          <w:rFonts w:eastAsia="Times New Roman"/>
        </w:rPr>
        <w:t xml:space="preserve">, W., 2018. Metabolic enzyme cost explains variable trade-offs between microbial growth rate and yield. </w:t>
      </w:r>
      <w:proofErr w:type="spellStart"/>
      <w:r w:rsidRPr="009F54FC">
        <w:rPr>
          <w:rFonts w:eastAsia="Times New Roman"/>
        </w:rPr>
        <w:t>PLoS</w:t>
      </w:r>
      <w:proofErr w:type="spellEnd"/>
      <w:r w:rsidRPr="009F54FC">
        <w:rPr>
          <w:rFonts w:eastAsia="Times New Roman"/>
        </w:rPr>
        <w:t xml:space="preserve"> Computational Biology 14</w:t>
      </w:r>
      <w:r w:rsidR="0058434B">
        <w:rPr>
          <w:rFonts w:eastAsia="Times New Roman"/>
        </w:rPr>
        <w:t xml:space="preserve">, </w:t>
      </w:r>
      <w:r w:rsidR="0058434B" w:rsidRPr="0058434B">
        <w:rPr>
          <w:rFonts w:eastAsia="Times New Roman"/>
        </w:rPr>
        <w:t>e1006010</w:t>
      </w:r>
      <w:r w:rsidRPr="009F54FC">
        <w:rPr>
          <w:rFonts w:eastAsia="Times New Roman"/>
        </w:rPr>
        <w:t xml:space="preserve">. </w:t>
      </w:r>
      <w:proofErr w:type="gramStart"/>
      <w:r w:rsidRPr="009F54FC">
        <w:rPr>
          <w:rFonts w:eastAsia="Times New Roman"/>
        </w:rPr>
        <w:t>doi:10.1371/JOURNAL.PCBI</w:t>
      </w:r>
      <w:proofErr w:type="gramEnd"/>
      <w:r w:rsidRPr="009F54FC">
        <w:rPr>
          <w:rFonts w:eastAsia="Times New Roman"/>
        </w:rPr>
        <w:t>.1006010</w:t>
      </w:r>
    </w:p>
    <w:p w14:paraId="42F6A022" w14:textId="6300D7BC" w:rsidR="00594D89" w:rsidRDefault="00594D89" w:rsidP="007510B2">
      <w:pPr>
        <w:autoSpaceDE w:val="0"/>
        <w:autoSpaceDN w:val="0"/>
        <w:spacing w:after="0" w:line="480" w:lineRule="auto"/>
        <w:ind w:left="567" w:hanging="567"/>
        <w:rPr>
          <w:rFonts w:eastAsia="Times New Roman"/>
        </w:rPr>
      </w:pPr>
      <w:r>
        <w:rPr>
          <w:rFonts w:eastAsia="Times New Roman"/>
        </w:rPr>
        <w:t>Xu, S., Sheng, C., Tian, C., 2020. Changing soil carbon: Influencing factors, sequestration strategy and research direction. Carbon Balance and Management 15, 1–9. doi:10.1186/S13021-020-0137-5</w:t>
      </w:r>
      <w:r w:rsidR="00C80BF7">
        <w:rPr>
          <w:rFonts w:eastAsia="Times New Roman"/>
        </w:rPr>
        <w:t>/</w:t>
      </w:r>
    </w:p>
    <w:p w14:paraId="3AD3A5CC" w14:textId="249FFDCB" w:rsidR="0070584D" w:rsidRDefault="00594D89" w:rsidP="00FC62D3">
      <w:pPr>
        <w:autoSpaceDE w:val="0"/>
        <w:autoSpaceDN w:val="0"/>
        <w:spacing w:after="0" w:line="480" w:lineRule="auto"/>
        <w:ind w:left="567" w:hanging="567"/>
        <w:rPr>
          <w:rFonts w:eastAsia="Times New Roman"/>
        </w:rPr>
      </w:pPr>
      <w:r>
        <w:rPr>
          <w:rFonts w:eastAsia="Times New Roman"/>
        </w:rPr>
        <w:t xml:space="preserve">Ye, R., </w:t>
      </w:r>
      <w:proofErr w:type="spellStart"/>
      <w:r>
        <w:rPr>
          <w:rFonts w:eastAsia="Times New Roman"/>
        </w:rPr>
        <w:t>Doane</w:t>
      </w:r>
      <w:proofErr w:type="spellEnd"/>
      <w:r>
        <w:rPr>
          <w:rFonts w:eastAsia="Times New Roman"/>
        </w:rPr>
        <w:t xml:space="preserve">, T.A., Morris, J., Horwath, W.R., 2015. The effect of rice straw on the priming of soil organic matter and methane production in peat soils. Soil Biology and Biochemistry 81, 98–107. </w:t>
      </w:r>
      <w:proofErr w:type="gramStart"/>
      <w:r>
        <w:rPr>
          <w:rFonts w:eastAsia="Times New Roman"/>
        </w:rPr>
        <w:t>doi:10.1016/J.SOILBIO</w:t>
      </w:r>
      <w:proofErr w:type="gramEnd"/>
      <w:r>
        <w:rPr>
          <w:rFonts w:eastAsia="Times New Roman"/>
        </w:rPr>
        <w:t>.2014.11.007</w:t>
      </w:r>
    </w:p>
    <w:p w14:paraId="28D820CD" w14:textId="0BE062CF" w:rsidR="00BE739E" w:rsidRPr="00F80EA9" w:rsidRDefault="00BE739E" w:rsidP="00FC62D3">
      <w:pPr>
        <w:autoSpaceDE w:val="0"/>
        <w:autoSpaceDN w:val="0"/>
        <w:spacing w:after="0" w:line="480" w:lineRule="auto"/>
        <w:ind w:left="567" w:hanging="567"/>
      </w:pPr>
      <w:r w:rsidRPr="00F80EA9">
        <w:lastRenderedPageBreak/>
        <w:t>Zhou, M., Liu, C., Wang, J., Meng, Q., Yuan, Y., Ma, X., Liu, X., Zhu, Y., Ding, G., Zhang, J., Zeng, X., Du, W., 2020. Soil aggregates stability and storage of soil organic carbon respond to cropping systems on Black Soils of Northeast China. Scientific Reports 10, 1–13. doi:10.1038/s41598-019-57193-1</w:t>
      </w:r>
    </w:p>
    <w:p w14:paraId="3223D199" w14:textId="77777777" w:rsidR="0070584D" w:rsidRDefault="0070584D" w:rsidP="007510B2">
      <w:pPr>
        <w:spacing w:after="0"/>
        <w:rPr>
          <w:b/>
          <w:bCs/>
        </w:rPr>
      </w:pPr>
      <w:r>
        <w:rPr>
          <w:b/>
          <w:bCs/>
        </w:rPr>
        <w:br w:type="page"/>
      </w:r>
    </w:p>
    <w:p w14:paraId="0AE31B86" w14:textId="7405D880" w:rsidR="001B7F4A" w:rsidRDefault="00D93D1F" w:rsidP="007510B2">
      <w:pPr>
        <w:spacing w:after="0" w:line="480" w:lineRule="auto"/>
        <w:jc w:val="both"/>
        <w:rPr>
          <w:b/>
          <w:bCs/>
          <w:u w:val="single"/>
        </w:rPr>
      </w:pPr>
      <w:r w:rsidRPr="000B5D05">
        <w:rPr>
          <w:b/>
          <w:bCs/>
          <w:u w:val="single"/>
        </w:rPr>
        <w:lastRenderedPageBreak/>
        <w:t xml:space="preserve">Table and </w:t>
      </w:r>
      <w:r w:rsidR="00C06488" w:rsidRPr="000B5D05">
        <w:rPr>
          <w:b/>
          <w:bCs/>
          <w:u w:val="single"/>
        </w:rPr>
        <w:t>figure ca</w:t>
      </w:r>
      <w:r w:rsidR="000B5D05" w:rsidRPr="000B5D05">
        <w:rPr>
          <w:b/>
          <w:bCs/>
          <w:u w:val="single"/>
        </w:rPr>
        <w:t>ptions and labels</w:t>
      </w:r>
    </w:p>
    <w:p w14:paraId="1F4F8D14" w14:textId="6EA938CA" w:rsidR="000B5D05" w:rsidRDefault="000B5D05" w:rsidP="003A57C9">
      <w:pPr>
        <w:spacing w:before="240" w:after="0" w:line="480" w:lineRule="auto"/>
        <w:jc w:val="both"/>
      </w:pPr>
      <w:r w:rsidRPr="000B5D05">
        <w:rPr>
          <w:b/>
          <w:bCs/>
        </w:rPr>
        <w:t>Fig</w:t>
      </w:r>
      <w:r w:rsidR="00072EB1">
        <w:rPr>
          <w:b/>
          <w:bCs/>
        </w:rPr>
        <w:t>.</w:t>
      </w:r>
      <w:r w:rsidRPr="000B5D05">
        <w:rPr>
          <w:b/>
          <w:bCs/>
        </w:rPr>
        <w:t xml:space="preserve"> 1.</w:t>
      </w:r>
      <w:r w:rsidR="00F0408B">
        <w:rPr>
          <w:b/>
          <w:bCs/>
        </w:rPr>
        <w:t xml:space="preserve"> </w:t>
      </w:r>
      <w:r w:rsidR="00E5162F" w:rsidRPr="004F2635">
        <w:t>Changes in soil real and apparent priming effect</w:t>
      </w:r>
      <w:r w:rsidR="00072EB1">
        <w:t>s in response to the addition of different C</w:t>
      </w:r>
      <w:r w:rsidR="00E5162F" w:rsidRPr="004F2635">
        <w:t xml:space="preserve"> </w:t>
      </w:r>
      <w:r w:rsidR="004F2635" w:rsidRPr="004F2635">
        <w:t>substrate</w:t>
      </w:r>
      <w:r w:rsidR="00072EB1">
        <w:t>s</w:t>
      </w:r>
      <w:r w:rsidR="004F2635" w:rsidRPr="004F2635">
        <w:t xml:space="preserve"> </w:t>
      </w:r>
      <w:r w:rsidR="00072EB1">
        <w:t xml:space="preserve">in </w:t>
      </w:r>
      <w:r w:rsidR="004F2635">
        <w:t>a</w:t>
      </w:r>
      <w:r w:rsidR="00072EB1">
        <w:t>n</w:t>
      </w:r>
      <w:r w:rsidR="004F2635">
        <w:t xml:space="preserve"> agricultural </w:t>
      </w:r>
      <w:r w:rsidR="00072EB1">
        <w:t xml:space="preserve">grassland </w:t>
      </w:r>
      <w:r w:rsidR="004F2635">
        <w:t>soil</w:t>
      </w:r>
      <w:r w:rsidR="00072EB1">
        <w:t xml:space="preserve"> (Eutric Cambisol)</w:t>
      </w:r>
      <w:r w:rsidR="004F2635" w:rsidRPr="004F2635">
        <w:t xml:space="preserve">. </w:t>
      </w:r>
      <w:r w:rsidR="00072EB1">
        <w:t xml:space="preserve">Panel </w:t>
      </w:r>
      <w:r w:rsidR="00F0408B" w:rsidRPr="00CA1DC1">
        <w:t xml:space="preserve">A – </w:t>
      </w:r>
      <w:r w:rsidR="00072EB1">
        <w:t>A</w:t>
      </w:r>
      <w:r w:rsidR="00CA1DC1" w:rsidRPr="00CA1DC1">
        <w:t>pparent priming</w:t>
      </w:r>
      <w:r w:rsidR="00C5406F">
        <w:t xml:space="preserve"> effect</w:t>
      </w:r>
      <w:r w:rsidR="000F2C75">
        <w:t xml:space="preserve">, representing </w:t>
      </w:r>
      <w:r w:rsidR="00C5406F">
        <w:t xml:space="preserve">changes in </w:t>
      </w:r>
      <w:r w:rsidR="000F2C75">
        <w:t xml:space="preserve">microbial </w:t>
      </w:r>
      <w:r w:rsidR="00072EB1">
        <w:t>C</w:t>
      </w:r>
      <w:r w:rsidR="000F2C75">
        <w:t xml:space="preserve"> </w:t>
      </w:r>
      <w:r w:rsidR="00C5406F">
        <w:t>metabolism</w:t>
      </w:r>
      <w:r w:rsidR="00072EB1">
        <w:t xml:space="preserve"> for a range </w:t>
      </w:r>
      <w:r w:rsidR="00CA1DC1" w:rsidRPr="00CA1DC1">
        <w:t xml:space="preserve">of </w:t>
      </w:r>
      <w:r w:rsidR="00017C0B">
        <w:t xml:space="preserve">common </w:t>
      </w:r>
      <w:r w:rsidR="00072EB1">
        <w:t xml:space="preserve">C </w:t>
      </w:r>
      <w:r w:rsidR="00CA1DC1" w:rsidRPr="00CA1DC1">
        <w:t>substrates</w:t>
      </w:r>
      <w:r w:rsidR="00CA1DC1">
        <w:t xml:space="preserve">. </w:t>
      </w:r>
      <w:r w:rsidR="00F47434">
        <w:t xml:space="preserve">The soil microbial biomass was labelled using </w:t>
      </w:r>
      <w:r w:rsidR="00F0241D">
        <w:t xml:space="preserve">a </w:t>
      </w:r>
      <w:r w:rsidR="00F47434" w:rsidRPr="00F47434">
        <w:rPr>
          <w:vertAlign w:val="superscript"/>
        </w:rPr>
        <w:t>14</w:t>
      </w:r>
      <w:r w:rsidR="00F47434">
        <w:t>C-glucose</w:t>
      </w:r>
      <w:r w:rsidR="00F0241D">
        <w:t xml:space="preserve"> solution</w:t>
      </w:r>
      <w:r w:rsidR="00F47434">
        <w:t xml:space="preserve"> 24 </w:t>
      </w:r>
      <w:r w:rsidR="00A306B9">
        <w:t>h before application of substrates.</w:t>
      </w:r>
      <w:r w:rsidR="00F47434">
        <w:t xml:space="preserve"> </w:t>
      </w:r>
      <w:r w:rsidR="00072EB1">
        <w:t xml:space="preserve">Panel </w:t>
      </w:r>
      <w:r w:rsidR="000F2C75">
        <w:t xml:space="preserve">B </w:t>
      </w:r>
      <w:r w:rsidR="00A306B9">
        <w:t>–</w:t>
      </w:r>
      <w:r w:rsidR="000F2C75">
        <w:t xml:space="preserve"> </w:t>
      </w:r>
      <w:r w:rsidR="00072EB1">
        <w:t>R</w:t>
      </w:r>
      <w:r w:rsidR="00A306B9">
        <w:t>eal priming effect, representing changes</w:t>
      </w:r>
      <w:r w:rsidR="002A1E4B">
        <w:t xml:space="preserve"> in soil organic matter. The </w:t>
      </w:r>
      <w:r w:rsidR="00DF2EFE">
        <w:t xml:space="preserve">soil was </w:t>
      </w:r>
      <w:r w:rsidR="00072EB1" w:rsidRPr="003A57C9">
        <w:rPr>
          <w:vertAlign w:val="superscript"/>
        </w:rPr>
        <w:t>14</w:t>
      </w:r>
      <w:r w:rsidR="00072EB1">
        <w:t>C-</w:t>
      </w:r>
      <w:r w:rsidR="0026461A">
        <w:t xml:space="preserve">labelled </w:t>
      </w:r>
      <w:r w:rsidR="00034F49">
        <w:t>in the field 5 years previousl</w:t>
      </w:r>
      <w:r w:rsidR="00961E91">
        <w:t>y</w:t>
      </w:r>
      <w:r w:rsidR="00034F49">
        <w:t xml:space="preserve"> </w:t>
      </w:r>
      <w:r w:rsidR="0026461A">
        <w:t xml:space="preserve">and thus represented </w:t>
      </w:r>
      <w:r w:rsidR="00DF2EFE" w:rsidRPr="0026461A">
        <w:t xml:space="preserve">quasi-stable </w:t>
      </w:r>
      <w:r w:rsidR="00DF2EFE" w:rsidRPr="0026461A">
        <w:rPr>
          <w:vertAlign w:val="superscript"/>
        </w:rPr>
        <w:t>14</w:t>
      </w:r>
      <w:r w:rsidR="00DF2EFE" w:rsidRPr="0026461A">
        <w:t>C-labelled SOM</w:t>
      </w:r>
      <w:r w:rsidR="000B45BB">
        <w:t xml:space="preserve">. </w:t>
      </w:r>
      <w:r w:rsidR="000C6661">
        <w:t>Priming effects wer</w:t>
      </w:r>
      <w:r w:rsidR="00EB4209">
        <w:t xml:space="preserve">e calculated as the change in </w:t>
      </w:r>
      <w:r w:rsidR="00EB4209" w:rsidRPr="00EB4209">
        <w:rPr>
          <w:vertAlign w:val="superscript"/>
        </w:rPr>
        <w:t>14</w:t>
      </w:r>
      <w:r w:rsidR="00EB4209" w:rsidRPr="00EB4209">
        <w:t>CO</w:t>
      </w:r>
      <w:r w:rsidR="00EB4209" w:rsidRPr="00EB4209">
        <w:rPr>
          <w:vertAlign w:val="subscript"/>
        </w:rPr>
        <w:t>2</w:t>
      </w:r>
      <w:r w:rsidR="00EB4209">
        <w:t xml:space="preserve"> </w:t>
      </w:r>
      <w:r w:rsidR="00F256FB">
        <w:t xml:space="preserve">production </w:t>
      </w:r>
      <w:r w:rsidR="00EB4209" w:rsidRPr="00EB4209">
        <w:t>relative</w:t>
      </w:r>
      <w:r w:rsidR="00EB4209">
        <w:t xml:space="preserve"> to</w:t>
      </w:r>
      <w:r w:rsidR="00F256FB">
        <w:t xml:space="preserve"> the control soil (no treatment).</w:t>
      </w:r>
      <w:r w:rsidR="00EB4209">
        <w:t xml:space="preserve"> </w:t>
      </w:r>
      <w:r w:rsidR="009A6499">
        <w:t>L</w:t>
      </w:r>
      <w:r w:rsidR="009A6499" w:rsidRPr="009A6499">
        <w:t xml:space="preserve">etters indicate </w:t>
      </w:r>
      <w:r w:rsidR="000348CC">
        <w:t>p</w:t>
      </w:r>
      <w:r w:rsidR="0097615F">
        <w:t>ost</w:t>
      </w:r>
      <w:r w:rsidR="000348CC">
        <w:t xml:space="preserve"> </w:t>
      </w:r>
      <w:r w:rsidR="0097615F">
        <w:t xml:space="preserve">hoc </w:t>
      </w:r>
      <w:r w:rsidR="009A6499" w:rsidRPr="009A6499">
        <w:t>significant differences between treatment groups (</w:t>
      </w:r>
      <w:r w:rsidR="009A6499" w:rsidRPr="009A6499">
        <w:rPr>
          <w:i/>
          <w:iCs/>
        </w:rPr>
        <w:t>p</w:t>
      </w:r>
      <w:r w:rsidR="009A6499" w:rsidRPr="009A6499">
        <w:t xml:space="preserve"> &lt; 0.05</w:t>
      </w:r>
      <w:r w:rsidR="00FD3EC5">
        <w:t>;</w:t>
      </w:r>
      <w:r w:rsidR="00AC1EF3">
        <w:t xml:space="preserve"> </w:t>
      </w:r>
      <w:r w:rsidR="00F46558" w:rsidRPr="00F46558">
        <w:rPr>
          <w:i/>
          <w:iCs/>
        </w:rPr>
        <w:t>n</w:t>
      </w:r>
      <w:r w:rsidR="00F46558">
        <w:t xml:space="preserve"> </w:t>
      </w:r>
      <w:r w:rsidR="00AC1EF3">
        <w:t>=</w:t>
      </w:r>
      <w:r w:rsidR="00F46558">
        <w:t xml:space="preserve"> 4</w:t>
      </w:r>
      <w:r w:rsidR="00FD3EC5">
        <w:t>)</w:t>
      </w:r>
      <w:r w:rsidR="00F46558">
        <w:t>.</w:t>
      </w:r>
    </w:p>
    <w:p w14:paraId="59637361" w14:textId="3995AD79" w:rsidR="00272F25" w:rsidRDefault="00D33708" w:rsidP="007510B2">
      <w:pPr>
        <w:spacing w:after="0" w:line="480" w:lineRule="auto"/>
        <w:jc w:val="both"/>
      </w:pPr>
      <w:r w:rsidRPr="001A640A">
        <w:rPr>
          <w:b/>
          <w:bCs/>
        </w:rPr>
        <w:t xml:space="preserve">Table </w:t>
      </w:r>
      <w:r w:rsidR="003435F4" w:rsidRPr="001A640A">
        <w:rPr>
          <w:b/>
          <w:bCs/>
        </w:rPr>
        <w:t>1</w:t>
      </w:r>
      <w:r w:rsidRPr="001A640A">
        <w:rPr>
          <w:b/>
          <w:bCs/>
        </w:rPr>
        <w:t>.</w:t>
      </w:r>
      <w:r>
        <w:t xml:space="preserve"> </w:t>
      </w:r>
      <w:r w:rsidR="001F6FD5" w:rsidRPr="000266CB">
        <w:t xml:space="preserve">Characteristics </w:t>
      </w:r>
      <w:r w:rsidR="006D1E64">
        <w:t xml:space="preserve">of the </w:t>
      </w:r>
      <w:r w:rsidR="001F6FD5" w:rsidRPr="000266CB">
        <w:t>soils</w:t>
      </w:r>
      <w:r w:rsidR="001F6FD5">
        <w:t xml:space="preserve"> and treatments</w:t>
      </w:r>
      <w:r w:rsidR="001F6FD5" w:rsidRPr="000266CB">
        <w:t xml:space="preserve"> used in this study. Values are expressed on a mean dry soil weight basis ±</w:t>
      </w:r>
      <w:r w:rsidR="001F6FD5">
        <w:t xml:space="preserve"> </w:t>
      </w:r>
      <w:r w:rsidR="001F6FD5" w:rsidRPr="000266CB">
        <w:t>SEM (</w:t>
      </w:r>
      <w:r w:rsidR="001F6FD5" w:rsidRPr="00272F25">
        <w:rPr>
          <w:i/>
          <w:iCs/>
        </w:rPr>
        <w:t>n</w:t>
      </w:r>
      <w:r w:rsidR="001F6FD5" w:rsidRPr="000266CB">
        <w:t xml:space="preserve"> = </w:t>
      </w:r>
      <w:r w:rsidR="00B1379F">
        <w:t>4</w:t>
      </w:r>
      <w:r w:rsidR="001F6FD5" w:rsidRPr="000266CB">
        <w:t>).</w:t>
      </w:r>
      <w:r w:rsidR="001F6FD5" w:rsidRPr="00D33708">
        <w:t xml:space="preserve"> Letters denote significant differences between treatments using a Kruskal-Wallis with Dunn </w:t>
      </w:r>
      <w:r w:rsidR="001F6FD5">
        <w:t>p</w:t>
      </w:r>
      <w:r w:rsidR="001F6FD5" w:rsidRPr="00D33708">
        <w:t>ost-hoc test and Bonferroni correction (</w:t>
      </w:r>
      <w:r w:rsidR="001F6FD5" w:rsidRPr="00F80EA9">
        <w:rPr>
          <w:i/>
          <w:iCs/>
        </w:rPr>
        <w:t xml:space="preserve">p </w:t>
      </w:r>
      <w:r w:rsidR="001F6FD5" w:rsidRPr="00D33708">
        <w:t>&lt; 0.05).</w:t>
      </w:r>
      <w:r w:rsidR="00BE6844">
        <w:t xml:space="preserve"> Treatment </w:t>
      </w:r>
      <w:proofErr w:type="gramStart"/>
      <w:r w:rsidR="00BE6844">
        <w:t>C:N</w:t>
      </w:r>
      <w:proofErr w:type="gramEnd"/>
      <w:r w:rsidR="00BE6844">
        <w:t xml:space="preserve"> </w:t>
      </w:r>
      <w:r w:rsidR="00B1379F">
        <w:t>(</w:t>
      </w:r>
      <w:r w:rsidR="00B1379F" w:rsidRPr="00B1379F">
        <w:rPr>
          <w:i/>
          <w:iCs/>
        </w:rPr>
        <w:t>n</w:t>
      </w:r>
      <w:r w:rsidR="00B1379F">
        <w:t xml:space="preserve"> = 1).</w:t>
      </w:r>
    </w:p>
    <w:p w14:paraId="7AADF194" w14:textId="1133D927" w:rsidR="00E400B6" w:rsidRPr="00FD3EC5" w:rsidRDefault="00FD3EC5" w:rsidP="007510B2">
      <w:pPr>
        <w:spacing w:after="0" w:line="480" w:lineRule="auto"/>
        <w:jc w:val="both"/>
      </w:pPr>
      <w:r>
        <w:rPr>
          <w:b/>
          <w:bCs/>
        </w:rPr>
        <w:t>Table 2.</w:t>
      </w:r>
      <w:r>
        <w:t xml:space="preserve"> </w:t>
      </w:r>
      <w:r>
        <w:rPr>
          <w:vertAlign w:val="superscript"/>
        </w:rPr>
        <w:t>14</w:t>
      </w:r>
      <w:r>
        <w:t>C activity by</w:t>
      </w:r>
      <w:r w:rsidRPr="00FD3EC5">
        <w:t xml:space="preserve"> </w:t>
      </w:r>
      <w:r>
        <w:t xml:space="preserve">aggregate fraction of </w:t>
      </w:r>
      <w:r w:rsidRPr="00FD3EC5">
        <w:rPr>
          <w:vertAlign w:val="superscript"/>
        </w:rPr>
        <w:t>14</w:t>
      </w:r>
      <w:r w:rsidRPr="00FD3EC5">
        <w:t xml:space="preserve">C-labelled in the field 5 years previously </w:t>
      </w:r>
      <w:r>
        <w:t>(</w:t>
      </w:r>
      <w:r w:rsidRPr="00FD3EC5">
        <w:t xml:space="preserve">quasi-stable </w:t>
      </w:r>
      <w:r w:rsidRPr="00FD3EC5">
        <w:rPr>
          <w:vertAlign w:val="superscript"/>
        </w:rPr>
        <w:t>14</w:t>
      </w:r>
      <w:r w:rsidRPr="00FD3EC5">
        <w:t>C-labelled SOM</w:t>
      </w:r>
      <w:r>
        <w:t>).</w:t>
      </w:r>
      <w:r w:rsidRPr="00FD3EC5">
        <w:t xml:space="preserve"> </w:t>
      </w:r>
      <w:r w:rsidR="003E1FF3" w:rsidRPr="003E1FF3">
        <w:t>Values are expressed on a mean dry soil weight basis ± SEM</w:t>
      </w:r>
      <w:r w:rsidR="003E1FF3">
        <w:t xml:space="preserve"> (</w:t>
      </w:r>
      <w:r w:rsidR="003E1FF3" w:rsidRPr="00FD3EC5">
        <w:rPr>
          <w:i/>
          <w:iCs/>
        </w:rPr>
        <w:t>n</w:t>
      </w:r>
      <w:r w:rsidR="003E1FF3" w:rsidRPr="00FD3EC5">
        <w:t xml:space="preserve"> = 4</w:t>
      </w:r>
      <w:r w:rsidR="003E1FF3">
        <w:t>).</w:t>
      </w:r>
      <w:r w:rsidR="003E1FF3" w:rsidRPr="003E1FF3">
        <w:t xml:space="preserve"> </w:t>
      </w:r>
      <w:r w:rsidRPr="00FD3EC5">
        <w:t>Letters indicate post hoc significant differences between treatment groups (</w:t>
      </w:r>
      <w:r w:rsidRPr="00FD3EC5">
        <w:rPr>
          <w:i/>
          <w:iCs/>
        </w:rPr>
        <w:t>p</w:t>
      </w:r>
      <w:r w:rsidRPr="00FD3EC5">
        <w:t xml:space="preserve"> &lt; 0.05</w:t>
      </w:r>
      <w:r>
        <w:t>).</w:t>
      </w:r>
    </w:p>
    <w:p w14:paraId="35A8E96B" w14:textId="66BF94F4" w:rsidR="000D69C3" w:rsidRDefault="00706978" w:rsidP="007510B2">
      <w:pPr>
        <w:spacing w:after="0" w:line="480" w:lineRule="auto"/>
        <w:jc w:val="both"/>
        <w:sectPr w:rsidR="000D69C3" w:rsidSect="00F25124">
          <w:footerReference w:type="default" r:id="rId9"/>
          <w:pgSz w:w="11906" w:h="16838" w:code="9"/>
          <w:pgMar w:top="1440" w:right="1440" w:bottom="1440" w:left="1440" w:header="709" w:footer="709" w:gutter="0"/>
          <w:lnNumType w:countBy="1" w:restart="continuous"/>
          <w:cols w:space="708"/>
          <w:docGrid w:linePitch="360"/>
        </w:sectPr>
      </w:pPr>
      <w:r w:rsidRPr="001A640A">
        <w:rPr>
          <w:b/>
          <w:bCs/>
        </w:rPr>
        <w:t xml:space="preserve">Table </w:t>
      </w:r>
      <w:r w:rsidR="00E400B6">
        <w:rPr>
          <w:b/>
          <w:bCs/>
        </w:rPr>
        <w:t>3</w:t>
      </w:r>
      <w:r w:rsidRPr="001A640A">
        <w:rPr>
          <w:b/>
          <w:bCs/>
        </w:rPr>
        <w:t>.</w:t>
      </w:r>
      <w:r>
        <w:t xml:space="preserve"> </w:t>
      </w:r>
      <w:r w:rsidR="000F16A9" w:rsidRPr="000F16A9">
        <w:t>Kendall rank correlation of selected soil properties in relation to both the apparent priming and real priming of samples. Numbers represent τ values, NS signifies not significant (</w:t>
      </w:r>
      <w:r w:rsidR="001A640A" w:rsidRPr="000F16A9">
        <w:t>i.e.,</w:t>
      </w:r>
      <w:r w:rsidR="000F16A9" w:rsidRPr="000F16A9">
        <w:t xml:space="preserve"> </w:t>
      </w:r>
      <w:r w:rsidR="000F16A9" w:rsidRPr="000F16A9">
        <w:rPr>
          <w:i/>
          <w:iCs/>
        </w:rPr>
        <w:t>p</w:t>
      </w:r>
      <w:r w:rsidR="000F16A9" w:rsidRPr="000F16A9">
        <w:t xml:space="preserve"> &gt; 0.05).</w:t>
      </w:r>
    </w:p>
    <w:p w14:paraId="6B8AFDBC" w14:textId="26D2D94F" w:rsidR="000104CD" w:rsidRDefault="00FB349C" w:rsidP="007510B2">
      <w:pPr>
        <w:spacing w:after="0" w:line="480" w:lineRule="auto"/>
        <w:jc w:val="both"/>
        <w:rPr>
          <w:b/>
          <w:bCs/>
        </w:rPr>
      </w:pPr>
      <w:r>
        <w:rPr>
          <w:b/>
          <w:bCs/>
          <w:noProof/>
        </w:rPr>
        <w:lastRenderedPageBreak/>
        <w:drawing>
          <wp:anchor distT="0" distB="0" distL="114300" distR="114300" simplePos="0" relativeHeight="251658240" behindDoc="0" locked="0" layoutInCell="1" allowOverlap="1" wp14:anchorId="04D044E7" wp14:editId="0D3FB4F4">
            <wp:simplePos x="0" y="0"/>
            <wp:positionH relativeFrom="margin">
              <wp:align>center</wp:align>
            </wp:positionH>
            <wp:positionV relativeFrom="paragraph">
              <wp:posOffset>209550</wp:posOffset>
            </wp:positionV>
            <wp:extent cx="6697345" cy="531495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97345" cy="5314950"/>
                    </a:xfrm>
                    <a:prstGeom prst="rect">
                      <a:avLst/>
                    </a:prstGeom>
                  </pic:spPr>
                </pic:pic>
              </a:graphicData>
            </a:graphic>
            <wp14:sizeRelH relativeFrom="page">
              <wp14:pctWidth>0</wp14:pctWidth>
            </wp14:sizeRelH>
            <wp14:sizeRelV relativeFrom="page">
              <wp14:pctHeight>0</wp14:pctHeight>
            </wp14:sizeRelV>
          </wp:anchor>
        </w:drawing>
      </w:r>
      <w:r w:rsidR="000104CD" w:rsidRPr="000104CD">
        <w:rPr>
          <w:b/>
          <w:bCs/>
        </w:rPr>
        <w:t>Fig</w:t>
      </w:r>
      <w:r w:rsidR="000D3583">
        <w:rPr>
          <w:b/>
          <w:bCs/>
        </w:rPr>
        <w:t>.</w:t>
      </w:r>
      <w:r w:rsidR="000104CD" w:rsidRPr="000104CD">
        <w:rPr>
          <w:b/>
          <w:bCs/>
        </w:rPr>
        <w:t xml:space="preserve"> 1.</w:t>
      </w:r>
    </w:p>
    <w:p w14:paraId="22FF0F7D" w14:textId="5B23C626" w:rsidR="00713E45" w:rsidRDefault="00713E45" w:rsidP="007510B2">
      <w:pPr>
        <w:spacing w:after="0" w:line="480" w:lineRule="auto"/>
        <w:jc w:val="both"/>
        <w:rPr>
          <w:b/>
          <w:bCs/>
        </w:rPr>
        <w:sectPr w:rsidR="00713E45" w:rsidSect="00031DE9">
          <w:pgSz w:w="16838" w:h="11906" w:orient="landscape" w:code="9"/>
          <w:pgMar w:top="1440" w:right="1440" w:bottom="1440" w:left="1440" w:header="709" w:footer="709" w:gutter="0"/>
          <w:lnNumType w:countBy="1" w:restart="continuous"/>
          <w:cols w:space="708"/>
          <w:docGrid w:linePitch="360"/>
        </w:sectPr>
      </w:pPr>
    </w:p>
    <w:tbl>
      <w:tblPr>
        <w:tblStyle w:val="TableGrid"/>
        <w:tblpPr w:leftFromText="180" w:rightFromText="180" w:tblpY="528"/>
        <w:tblW w:w="215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47"/>
        <w:gridCol w:w="1266"/>
        <w:gridCol w:w="1266"/>
        <w:gridCol w:w="1266"/>
        <w:gridCol w:w="1267"/>
        <w:gridCol w:w="1266"/>
        <w:gridCol w:w="1266"/>
        <w:gridCol w:w="1266"/>
        <w:gridCol w:w="1267"/>
        <w:gridCol w:w="1266"/>
        <w:gridCol w:w="1266"/>
        <w:gridCol w:w="1266"/>
        <w:gridCol w:w="1267"/>
        <w:gridCol w:w="1266"/>
        <w:gridCol w:w="1266"/>
        <w:gridCol w:w="1267"/>
      </w:tblGrid>
      <w:tr w:rsidR="00A3545D" w14:paraId="7E66E4F6" w14:textId="77777777" w:rsidTr="00A3545D">
        <w:tc>
          <w:tcPr>
            <w:tcW w:w="2547" w:type="dxa"/>
          </w:tcPr>
          <w:p w14:paraId="0F8BB34F" w14:textId="77777777" w:rsidR="00A3545D" w:rsidRDefault="00A3545D" w:rsidP="007510B2"/>
        </w:tc>
        <w:tc>
          <w:tcPr>
            <w:tcW w:w="18994" w:type="dxa"/>
            <w:gridSpan w:val="15"/>
          </w:tcPr>
          <w:p w14:paraId="7D6A9F1C" w14:textId="77777777" w:rsidR="00A3545D" w:rsidRPr="009A77F6" w:rsidRDefault="00A3545D" w:rsidP="007510B2">
            <w:pPr>
              <w:jc w:val="center"/>
              <w:rPr>
                <w:b/>
                <w:bCs/>
              </w:rPr>
            </w:pPr>
            <w:r>
              <w:rPr>
                <w:b/>
                <w:bCs/>
              </w:rPr>
              <w:t>Apparent priming soil</w:t>
            </w:r>
          </w:p>
        </w:tc>
      </w:tr>
      <w:tr w:rsidR="00A3545D" w14:paraId="60DB417B" w14:textId="77777777" w:rsidTr="00A3545D">
        <w:tc>
          <w:tcPr>
            <w:tcW w:w="2547" w:type="dxa"/>
          </w:tcPr>
          <w:p w14:paraId="4C6AB1DE" w14:textId="77777777" w:rsidR="00A3545D" w:rsidRDefault="00A3545D" w:rsidP="007510B2"/>
        </w:tc>
        <w:tc>
          <w:tcPr>
            <w:tcW w:w="1266" w:type="dxa"/>
          </w:tcPr>
          <w:p w14:paraId="34367F45" w14:textId="77777777" w:rsidR="00A3545D" w:rsidRPr="009A77F6" w:rsidRDefault="00A3545D" w:rsidP="007510B2">
            <w:pPr>
              <w:jc w:val="center"/>
              <w:rPr>
                <w:b/>
                <w:bCs/>
              </w:rPr>
            </w:pPr>
            <w:r w:rsidRPr="009A77F6">
              <w:rPr>
                <w:b/>
                <w:bCs/>
              </w:rPr>
              <w:t>Biochar</w:t>
            </w:r>
          </w:p>
        </w:tc>
        <w:tc>
          <w:tcPr>
            <w:tcW w:w="1266" w:type="dxa"/>
          </w:tcPr>
          <w:p w14:paraId="29BD49F1" w14:textId="77777777" w:rsidR="00A3545D" w:rsidRPr="009A77F6" w:rsidRDefault="00A3545D" w:rsidP="007510B2">
            <w:pPr>
              <w:jc w:val="center"/>
              <w:rPr>
                <w:b/>
                <w:bCs/>
              </w:rPr>
            </w:pPr>
            <w:r w:rsidRPr="009A77F6">
              <w:rPr>
                <w:b/>
                <w:bCs/>
              </w:rPr>
              <w:t>Wood ash</w:t>
            </w:r>
          </w:p>
        </w:tc>
        <w:tc>
          <w:tcPr>
            <w:tcW w:w="1266" w:type="dxa"/>
          </w:tcPr>
          <w:p w14:paraId="5DCA6E27" w14:textId="77777777" w:rsidR="00A3545D" w:rsidRPr="009A77F6" w:rsidRDefault="00A3545D" w:rsidP="007510B2">
            <w:pPr>
              <w:jc w:val="center"/>
              <w:rPr>
                <w:b/>
                <w:bCs/>
              </w:rPr>
            </w:pPr>
            <w:r w:rsidRPr="009A77F6">
              <w:rPr>
                <w:b/>
                <w:bCs/>
              </w:rPr>
              <w:t>Amino acids</w:t>
            </w:r>
          </w:p>
        </w:tc>
        <w:tc>
          <w:tcPr>
            <w:tcW w:w="1267" w:type="dxa"/>
          </w:tcPr>
          <w:p w14:paraId="39F0B293" w14:textId="24D4B583" w:rsidR="00A3545D" w:rsidRPr="009A77F6" w:rsidRDefault="00D93F76" w:rsidP="007510B2">
            <w:pPr>
              <w:jc w:val="center"/>
              <w:rPr>
                <w:b/>
                <w:bCs/>
              </w:rPr>
            </w:pPr>
            <w:r>
              <w:rPr>
                <w:b/>
                <w:bCs/>
              </w:rPr>
              <w:t>Protein</w:t>
            </w:r>
          </w:p>
        </w:tc>
        <w:tc>
          <w:tcPr>
            <w:tcW w:w="1266" w:type="dxa"/>
          </w:tcPr>
          <w:p w14:paraId="61FF7429" w14:textId="77777777" w:rsidR="00A3545D" w:rsidRPr="009A77F6" w:rsidRDefault="00A3545D" w:rsidP="007510B2">
            <w:pPr>
              <w:jc w:val="center"/>
              <w:rPr>
                <w:b/>
                <w:bCs/>
              </w:rPr>
            </w:pPr>
            <w:r w:rsidRPr="009A77F6">
              <w:rPr>
                <w:b/>
                <w:bCs/>
              </w:rPr>
              <w:t>Glucose</w:t>
            </w:r>
          </w:p>
        </w:tc>
        <w:tc>
          <w:tcPr>
            <w:tcW w:w="1266" w:type="dxa"/>
          </w:tcPr>
          <w:p w14:paraId="20184308" w14:textId="77777777" w:rsidR="00A3545D" w:rsidRPr="009A77F6" w:rsidRDefault="00A3545D" w:rsidP="007510B2">
            <w:pPr>
              <w:jc w:val="center"/>
              <w:rPr>
                <w:b/>
                <w:bCs/>
              </w:rPr>
            </w:pPr>
            <w:r w:rsidRPr="009A77F6">
              <w:rPr>
                <w:b/>
                <w:bCs/>
              </w:rPr>
              <w:t>Cellulose</w:t>
            </w:r>
          </w:p>
        </w:tc>
        <w:tc>
          <w:tcPr>
            <w:tcW w:w="1266" w:type="dxa"/>
          </w:tcPr>
          <w:p w14:paraId="5DD0403A" w14:textId="457F98A3" w:rsidR="00A3545D" w:rsidRPr="009A77F6" w:rsidRDefault="004762C9" w:rsidP="007510B2">
            <w:pPr>
              <w:jc w:val="center"/>
              <w:rPr>
                <w:b/>
                <w:bCs/>
              </w:rPr>
            </w:pPr>
            <w:r>
              <w:rPr>
                <w:b/>
                <w:bCs/>
              </w:rPr>
              <w:t>FYM</w:t>
            </w:r>
          </w:p>
        </w:tc>
        <w:tc>
          <w:tcPr>
            <w:tcW w:w="1267" w:type="dxa"/>
          </w:tcPr>
          <w:p w14:paraId="193CE55D" w14:textId="77777777" w:rsidR="00A3545D" w:rsidRPr="009A77F6" w:rsidRDefault="00A3545D" w:rsidP="007510B2">
            <w:pPr>
              <w:jc w:val="center"/>
              <w:rPr>
                <w:b/>
                <w:bCs/>
              </w:rPr>
            </w:pPr>
            <w:r w:rsidRPr="009A77F6">
              <w:rPr>
                <w:b/>
                <w:bCs/>
              </w:rPr>
              <w:t>Slurry</w:t>
            </w:r>
          </w:p>
        </w:tc>
        <w:tc>
          <w:tcPr>
            <w:tcW w:w="1266" w:type="dxa"/>
          </w:tcPr>
          <w:p w14:paraId="5037D0AA" w14:textId="77777777" w:rsidR="00A3545D" w:rsidRPr="009A77F6" w:rsidRDefault="00A3545D" w:rsidP="007510B2">
            <w:pPr>
              <w:jc w:val="center"/>
              <w:rPr>
                <w:b/>
                <w:bCs/>
              </w:rPr>
            </w:pPr>
            <w:r w:rsidRPr="009A77F6">
              <w:rPr>
                <w:b/>
                <w:bCs/>
              </w:rPr>
              <w:t>Inorganic N</w:t>
            </w:r>
          </w:p>
        </w:tc>
        <w:tc>
          <w:tcPr>
            <w:tcW w:w="1266" w:type="dxa"/>
          </w:tcPr>
          <w:p w14:paraId="084CE639" w14:textId="77777777" w:rsidR="00A3545D" w:rsidRPr="009A77F6" w:rsidRDefault="00A3545D" w:rsidP="007510B2">
            <w:pPr>
              <w:jc w:val="center"/>
              <w:rPr>
                <w:b/>
                <w:bCs/>
              </w:rPr>
            </w:pPr>
            <w:r w:rsidRPr="009A77F6">
              <w:rPr>
                <w:b/>
                <w:bCs/>
              </w:rPr>
              <w:t>100/0</w:t>
            </w:r>
          </w:p>
        </w:tc>
        <w:tc>
          <w:tcPr>
            <w:tcW w:w="1266" w:type="dxa"/>
          </w:tcPr>
          <w:p w14:paraId="0928D1BB" w14:textId="77777777" w:rsidR="00A3545D" w:rsidRPr="009A77F6" w:rsidRDefault="00A3545D" w:rsidP="007510B2">
            <w:pPr>
              <w:jc w:val="center"/>
              <w:rPr>
                <w:b/>
                <w:bCs/>
              </w:rPr>
            </w:pPr>
            <w:r w:rsidRPr="009A77F6">
              <w:rPr>
                <w:b/>
                <w:bCs/>
              </w:rPr>
              <w:t>75/25</w:t>
            </w:r>
          </w:p>
        </w:tc>
        <w:tc>
          <w:tcPr>
            <w:tcW w:w="1267" w:type="dxa"/>
          </w:tcPr>
          <w:p w14:paraId="7E02AF2C" w14:textId="77777777" w:rsidR="00A3545D" w:rsidRPr="009A77F6" w:rsidRDefault="00A3545D" w:rsidP="007510B2">
            <w:pPr>
              <w:jc w:val="center"/>
              <w:rPr>
                <w:b/>
                <w:bCs/>
              </w:rPr>
            </w:pPr>
            <w:r w:rsidRPr="009A77F6">
              <w:rPr>
                <w:b/>
                <w:bCs/>
              </w:rPr>
              <w:t>50/50</w:t>
            </w:r>
          </w:p>
        </w:tc>
        <w:tc>
          <w:tcPr>
            <w:tcW w:w="1266" w:type="dxa"/>
          </w:tcPr>
          <w:p w14:paraId="48072CAF" w14:textId="77777777" w:rsidR="00A3545D" w:rsidRPr="009A77F6" w:rsidRDefault="00A3545D" w:rsidP="007510B2">
            <w:pPr>
              <w:jc w:val="center"/>
              <w:rPr>
                <w:b/>
                <w:bCs/>
              </w:rPr>
            </w:pPr>
            <w:r w:rsidRPr="009A77F6">
              <w:rPr>
                <w:b/>
                <w:bCs/>
              </w:rPr>
              <w:t>25/75</w:t>
            </w:r>
          </w:p>
        </w:tc>
        <w:tc>
          <w:tcPr>
            <w:tcW w:w="1266" w:type="dxa"/>
          </w:tcPr>
          <w:p w14:paraId="564A1F99" w14:textId="77777777" w:rsidR="00A3545D" w:rsidRPr="009A77F6" w:rsidRDefault="00A3545D" w:rsidP="007510B2">
            <w:pPr>
              <w:jc w:val="center"/>
              <w:rPr>
                <w:b/>
                <w:bCs/>
              </w:rPr>
            </w:pPr>
            <w:r w:rsidRPr="009A77F6">
              <w:rPr>
                <w:b/>
                <w:bCs/>
              </w:rPr>
              <w:t>0/100</w:t>
            </w:r>
          </w:p>
        </w:tc>
        <w:tc>
          <w:tcPr>
            <w:tcW w:w="1267" w:type="dxa"/>
          </w:tcPr>
          <w:p w14:paraId="74AB0B3E" w14:textId="77777777" w:rsidR="00A3545D" w:rsidRPr="009A77F6" w:rsidRDefault="00A3545D" w:rsidP="007510B2">
            <w:pPr>
              <w:jc w:val="center"/>
              <w:rPr>
                <w:b/>
                <w:bCs/>
              </w:rPr>
            </w:pPr>
            <w:r w:rsidRPr="009A77F6">
              <w:rPr>
                <w:b/>
                <w:bCs/>
              </w:rPr>
              <w:t>Control</w:t>
            </w:r>
          </w:p>
        </w:tc>
      </w:tr>
      <w:tr w:rsidR="00A3545D" w14:paraId="2AAF6C24" w14:textId="77777777" w:rsidTr="00A3545D">
        <w:tc>
          <w:tcPr>
            <w:tcW w:w="2547" w:type="dxa"/>
          </w:tcPr>
          <w:p w14:paraId="566C048B" w14:textId="4D36C8E1" w:rsidR="00A3545D" w:rsidRDefault="00921E18" w:rsidP="007510B2">
            <w:r w:rsidRPr="00921E18">
              <w:t>pH</w:t>
            </w:r>
          </w:p>
        </w:tc>
        <w:tc>
          <w:tcPr>
            <w:tcW w:w="1266" w:type="dxa"/>
            <w:shd w:val="clear" w:color="auto" w:fill="auto"/>
            <w:vAlign w:val="center"/>
          </w:tcPr>
          <w:p w14:paraId="08F721D0" w14:textId="77777777" w:rsidR="00A3545D" w:rsidRPr="00D105C8" w:rsidRDefault="00A3545D" w:rsidP="007510B2">
            <w:pPr>
              <w:jc w:val="center"/>
              <w:rPr>
                <w:sz w:val="21"/>
                <w:szCs w:val="21"/>
                <w:vertAlign w:val="superscript"/>
              </w:rPr>
            </w:pPr>
            <w:r w:rsidRPr="00D105C8">
              <w:rPr>
                <w:color w:val="000000"/>
                <w:sz w:val="21"/>
                <w:szCs w:val="21"/>
              </w:rPr>
              <w:t xml:space="preserve">6.54 </w:t>
            </w:r>
            <w:r w:rsidRPr="00D105C8">
              <w:rPr>
                <w:color w:val="202124"/>
                <w:sz w:val="21"/>
                <w:szCs w:val="21"/>
                <w:shd w:val="clear" w:color="auto" w:fill="FFFFFF"/>
              </w:rPr>
              <w:t>± 0.10</w:t>
            </w:r>
            <w:r w:rsidRPr="00D105C8">
              <w:rPr>
                <w:color w:val="202124"/>
                <w:sz w:val="21"/>
                <w:szCs w:val="21"/>
                <w:shd w:val="clear" w:color="auto" w:fill="FFFFFF"/>
                <w:vertAlign w:val="superscript"/>
              </w:rPr>
              <w:t>a</w:t>
            </w:r>
          </w:p>
        </w:tc>
        <w:tc>
          <w:tcPr>
            <w:tcW w:w="1266" w:type="dxa"/>
            <w:shd w:val="clear" w:color="auto" w:fill="auto"/>
            <w:vAlign w:val="center"/>
          </w:tcPr>
          <w:p w14:paraId="0BD8EFD3" w14:textId="77777777" w:rsidR="00A3545D" w:rsidRPr="00D105C8" w:rsidRDefault="00A3545D" w:rsidP="007510B2">
            <w:pPr>
              <w:jc w:val="center"/>
              <w:rPr>
                <w:sz w:val="21"/>
                <w:szCs w:val="21"/>
                <w:vertAlign w:val="superscript"/>
              </w:rPr>
            </w:pPr>
            <w:r w:rsidRPr="00D105C8">
              <w:rPr>
                <w:color w:val="000000"/>
                <w:sz w:val="21"/>
                <w:szCs w:val="21"/>
              </w:rPr>
              <w:t xml:space="preserve">4.89 </w:t>
            </w:r>
            <w:r w:rsidRPr="00D105C8">
              <w:rPr>
                <w:color w:val="202124"/>
                <w:sz w:val="21"/>
                <w:szCs w:val="21"/>
                <w:shd w:val="clear" w:color="auto" w:fill="FFFFFF"/>
              </w:rPr>
              <w:t>± 0.06</w:t>
            </w:r>
            <w:r w:rsidRPr="00D105C8">
              <w:rPr>
                <w:color w:val="202124"/>
                <w:sz w:val="21"/>
                <w:szCs w:val="21"/>
                <w:shd w:val="clear" w:color="auto" w:fill="FFFFFF"/>
                <w:vertAlign w:val="superscript"/>
              </w:rPr>
              <w:t>cdefg</w:t>
            </w:r>
          </w:p>
        </w:tc>
        <w:tc>
          <w:tcPr>
            <w:tcW w:w="1266" w:type="dxa"/>
            <w:shd w:val="clear" w:color="auto" w:fill="auto"/>
            <w:vAlign w:val="center"/>
          </w:tcPr>
          <w:p w14:paraId="1C751B2A" w14:textId="77777777" w:rsidR="00A3545D" w:rsidRPr="00D105C8" w:rsidRDefault="00A3545D" w:rsidP="007510B2">
            <w:pPr>
              <w:jc w:val="center"/>
              <w:rPr>
                <w:sz w:val="21"/>
                <w:szCs w:val="21"/>
                <w:vertAlign w:val="superscript"/>
              </w:rPr>
            </w:pPr>
            <w:r w:rsidRPr="00D105C8">
              <w:rPr>
                <w:color w:val="000000"/>
                <w:sz w:val="21"/>
                <w:szCs w:val="21"/>
              </w:rPr>
              <w:t xml:space="preserve">4.26 </w:t>
            </w:r>
            <w:r w:rsidRPr="00D105C8">
              <w:rPr>
                <w:color w:val="202124"/>
                <w:sz w:val="21"/>
                <w:szCs w:val="21"/>
                <w:shd w:val="clear" w:color="auto" w:fill="FFFFFF"/>
              </w:rPr>
              <w:t>± 0.10</w:t>
            </w:r>
            <w:r w:rsidRPr="00D105C8">
              <w:rPr>
                <w:color w:val="202124"/>
                <w:sz w:val="21"/>
                <w:szCs w:val="21"/>
                <w:shd w:val="clear" w:color="auto" w:fill="FFFFFF"/>
                <w:vertAlign w:val="superscript"/>
              </w:rPr>
              <w:t>h</w:t>
            </w:r>
          </w:p>
        </w:tc>
        <w:tc>
          <w:tcPr>
            <w:tcW w:w="1267" w:type="dxa"/>
            <w:shd w:val="clear" w:color="auto" w:fill="auto"/>
            <w:vAlign w:val="center"/>
          </w:tcPr>
          <w:p w14:paraId="539FE5DC" w14:textId="77777777" w:rsidR="00A3545D" w:rsidRPr="00D105C8" w:rsidRDefault="00A3545D" w:rsidP="007510B2">
            <w:pPr>
              <w:jc w:val="center"/>
              <w:rPr>
                <w:sz w:val="21"/>
                <w:szCs w:val="21"/>
                <w:vertAlign w:val="superscript"/>
              </w:rPr>
            </w:pPr>
            <w:r w:rsidRPr="00D105C8">
              <w:rPr>
                <w:color w:val="000000"/>
                <w:sz w:val="21"/>
                <w:szCs w:val="21"/>
              </w:rPr>
              <w:t xml:space="preserve">4.46 </w:t>
            </w:r>
            <w:r w:rsidRPr="00D105C8">
              <w:rPr>
                <w:color w:val="202124"/>
                <w:sz w:val="21"/>
                <w:szCs w:val="21"/>
                <w:shd w:val="clear" w:color="auto" w:fill="FFFFFF"/>
              </w:rPr>
              <w:t>± 0.02</w:t>
            </w:r>
            <w:r w:rsidRPr="00D105C8">
              <w:rPr>
                <w:color w:val="202124"/>
                <w:sz w:val="21"/>
                <w:szCs w:val="21"/>
                <w:shd w:val="clear" w:color="auto" w:fill="FFFFFF"/>
                <w:vertAlign w:val="superscript"/>
              </w:rPr>
              <w:t>gh</w:t>
            </w:r>
          </w:p>
        </w:tc>
        <w:tc>
          <w:tcPr>
            <w:tcW w:w="1266" w:type="dxa"/>
            <w:shd w:val="clear" w:color="auto" w:fill="auto"/>
            <w:vAlign w:val="center"/>
          </w:tcPr>
          <w:p w14:paraId="38420D54" w14:textId="77777777" w:rsidR="00A3545D" w:rsidRPr="00D105C8" w:rsidRDefault="00A3545D" w:rsidP="007510B2">
            <w:pPr>
              <w:jc w:val="center"/>
              <w:rPr>
                <w:sz w:val="21"/>
                <w:szCs w:val="21"/>
                <w:vertAlign w:val="superscript"/>
              </w:rPr>
            </w:pPr>
            <w:r w:rsidRPr="00D105C8">
              <w:rPr>
                <w:color w:val="000000"/>
                <w:sz w:val="21"/>
                <w:szCs w:val="21"/>
              </w:rPr>
              <w:t xml:space="preserve">5.04 </w:t>
            </w:r>
            <w:r w:rsidRPr="00D105C8">
              <w:rPr>
                <w:color w:val="202124"/>
                <w:sz w:val="21"/>
                <w:szCs w:val="21"/>
                <w:shd w:val="clear" w:color="auto" w:fill="FFFFFF"/>
              </w:rPr>
              <w:t>± 0.07</w:t>
            </w:r>
            <w:r w:rsidRPr="00D105C8">
              <w:rPr>
                <w:color w:val="202124"/>
                <w:sz w:val="21"/>
                <w:szCs w:val="21"/>
                <w:shd w:val="clear" w:color="auto" w:fill="FFFFFF"/>
                <w:vertAlign w:val="superscript"/>
              </w:rPr>
              <w:t>abcd</w:t>
            </w:r>
          </w:p>
        </w:tc>
        <w:tc>
          <w:tcPr>
            <w:tcW w:w="1266" w:type="dxa"/>
            <w:shd w:val="clear" w:color="auto" w:fill="auto"/>
            <w:vAlign w:val="center"/>
          </w:tcPr>
          <w:p w14:paraId="59061247" w14:textId="77777777" w:rsidR="00A3545D" w:rsidRPr="00D105C8" w:rsidRDefault="00A3545D" w:rsidP="007510B2">
            <w:pPr>
              <w:jc w:val="center"/>
              <w:rPr>
                <w:sz w:val="21"/>
                <w:szCs w:val="21"/>
                <w:vertAlign w:val="superscript"/>
              </w:rPr>
            </w:pPr>
            <w:r w:rsidRPr="00D105C8">
              <w:rPr>
                <w:color w:val="000000"/>
                <w:sz w:val="21"/>
                <w:szCs w:val="21"/>
              </w:rPr>
              <w:t xml:space="preserve">5.05 </w:t>
            </w:r>
            <w:r w:rsidRPr="00D105C8">
              <w:rPr>
                <w:color w:val="202124"/>
                <w:sz w:val="21"/>
                <w:szCs w:val="21"/>
                <w:shd w:val="clear" w:color="auto" w:fill="FFFFFF"/>
              </w:rPr>
              <w:t>± 0.02</w:t>
            </w:r>
            <w:r w:rsidRPr="00D105C8">
              <w:rPr>
                <w:color w:val="202124"/>
                <w:sz w:val="21"/>
                <w:szCs w:val="21"/>
                <w:shd w:val="clear" w:color="auto" w:fill="FFFFFF"/>
                <w:vertAlign w:val="superscript"/>
              </w:rPr>
              <w:t>abcd</w:t>
            </w:r>
          </w:p>
        </w:tc>
        <w:tc>
          <w:tcPr>
            <w:tcW w:w="1266" w:type="dxa"/>
            <w:shd w:val="clear" w:color="auto" w:fill="auto"/>
            <w:vAlign w:val="center"/>
          </w:tcPr>
          <w:p w14:paraId="58F80190" w14:textId="77777777" w:rsidR="00A3545D" w:rsidRPr="00D105C8" w:rsidRDefault="00A3545D" w:rsidP="007510B2">
            <w:pPr>
              <w:jc w:val="center"/>
              <w:rPr>
                <w:sz w:val="21"/>
                <w:szCs w:val="21"/>
                <w:vertAlign w:val="superscript"/>
              </w:rPr>
            </w:pPr>
            <w:r w:rsidRPr="00D105C8">
              <w:rPr>
                <w:color w:val="000000"/>
                <w:sz w:val="21"/>
                <w:szCs w:val="21"/>
              </w:rPr>
              <w:t xml:space="preserve">5.18 </w:t>
            </w:r>
            <w:r w:rsidRPr="00D105C8">
              <w:rPr>
                <w:color w:val="202124"/>
                <w:sz w:val="21"/>
                <w:szCs w:val="21"/>
                <w:shd w:val="clear" w:color="auto" w:fill="FFFFFF"/>
              </w:rPr>
              <w:t>± 0.23</w:t>
            </w:r>
            <w:r w:rsidRPr="00D105C8">
              <w:rPr>
                <w:color w:val="202124"/>
                <w:sz w:val="21"/>
                <w:szCs w:val="21"/>
                <w:shd w:val="clear" w:color="auto" w:fill="FFFFFF"/>
                <w:vertAlign w:val="superscript"/>
              </w:rPr>
              <w:t>abcd</w:t>
            </w:r>
          </w:p>
        </w:tc>
        <w:tc>
          <w:tcPr>
            <w:tcW w:w="1267" w:type="dxa"/>
            <w:shd w:val="clear" w:color="auto" w:fill="auto"/>
            <w:vAlign w:val="center"/>
          </w:tcPr>
          <w:p w14:paraId="3D60CE00" w14:textId="77777777" w:rsidR="00A3545D" w:rsidRPr="00D105C8" w:rsidRDefault="00A3545D" w:rsidP="007510B2">
            <w:pPr>
              <w:jc w:val="center"/>
              <w:rPr>
                <w:sz w:val="21"/>
                <w:szCs w:val="21"/>
                <w:vertAlign w:val="superscript"/>
              </w:rPr>
            </w:pPr>
            <w:r w:rsidRPr="00D105C8">
              <w:rPr>
                <w:color w:val="000000"/>
                <w:sz w:val="21"/>
                <w:szCs w:val="21"/>
              </w:rPr>
              <w:t xml:space="preserve">4.99 </w:t>
            </w:r>
            <w:r w:rsidRPr="00D105C8">
              <w:rPr>
                <w:color w:val="202124"/>
                <w:sz w:val="21"/>
                <w:szCs w:val="21"/>
                <w:shd w:val="clear" w:color="auto" w:fill="FFFFFF"/>
              </w:rPr>
              <w:t>± 0.11</w:t>
            </w:r>
            <w:r w:rsidRPr="00D105C8">
              <w:rPr>
                <w:color w:val="202124"/>
                <w:sz w:val="21"/>
                <w:szCs w:val="21"/>
                <w:shd w:val="clear" w:color="auto" w:fill="FFFFFF"/>
                <w:vertAlign w:val="superscript"/>
              </w:rPr>
              <w:t>bcde</w:t>
            </w:r>
          </w:p>
        </w:tc>
        <w:tc>
          <w:tcPr>
            <w:tcW w:w="1266" w:type="dxa"/>
            <w:shd w:val="clear" w:color="auto" w:fill="auto"/>
            <w:vAlign w:val="center"/>
          </w:tcPr>
          <w:p w14:paraId="45CBA3ED" w14:textId="77777777" w:rsidR="00A3545D" w:rsidRPr="00D105C8" w:rsidRDefault="00A3545D" w:rsidP="007510B2">
            <w:pPr>
              <w:jc w:val="center"/>
              <w:rPr>
                <w:sz w:val="21"/>
                <w:szCs w:val="21"/>
                <w:vertAlign w:val="superscript"/>
              </w:rPr>
            </w:pPr>
            <w:r w:rsidRPr="00D105C8">
              <w:rPr>
                <w:color w:val="000000"/>
                <w:sz w:val="21"/>
                <w:szCs w:val="21"/>
              </w:rPr>
              <w:t xml:space="preserve">4.50 </w:t>
            </w:r>
            <w:r w:rsidRPr="00D105C8">
              <w:rPr>
                <w:color w:val="202124"/>
                <w:sz w:val="21"/>
                <w:szCs w:val="21"/>
                <w:shd w:val="clear" w:color="auto" w:fill="FFFFFF"/>
              </w:rPr>
              <w:t>± 0.01</w:t>
            </w:r>
            <w:r w:rsidRPr="00D105C8">
              <w:rPr>
                <w:color w:val="202124"/>
                <w:sz w:val="21"/>
                <w:szCs w:val="21"/>
                <w:shd w:val="clear" w:color="auto" w:fill="FFFFFF"/>
                <w:vertAlign w:val="superscript"/>
              </w:rPr>
              <w:t>fgh</w:t>
            </w:r>
          </w:p>
        </w:tc>
        <w:tc>
          <w:tcPr>
            <w:tcW w:w="1266" w:type="dxa"/>
            <w:shd w:val="clear" w:color="auto" w:fill="auto"/>
            <w:vAlign w:val="center"/>
          </w:tcPr>
          <w:p w14:paraId="305C9157" w14:textId="77777777" w:rsidR="00A3545D" w:rsidRPr="00D105C8" w:rsidRDefault="00A3545D" w:rsidP="007510B2">
            <w:pPr>
              <w:jc w:val="center"/>
              <w:rPr>
                <w:sz w:val="21"/>
                <w:szCs w:val="21"/>
                <w:vertAlign w:val="superscript"/>
              </w:rPr>
            </w:pPr>
            <w:r w:rsidRPr="00D105C8">
              <w:rPr>
                <w:color w:val="000000"/>
                <w:sz w:val="21"/>
                <w:szCs w:val="21"/>
              </w:rPr>
              <w:t xml:space="preserve">5.23 </w:t>
            </w:r>
            <w:r w:rsidRPr="00D105C8">
              <w:rPr>
                <w:color w:val="202124"/>
                <w:sz w:val="21"/>
                <w:szCs w:val="21"/>
                <w:shd w:val="clear" w:color="auto" w:fill="FFFFFF"/>
              </w:rPr>
              <w:t>± 0.04</w:t>
            </w:r>
            <w:r w:rsidRPr="00D105C8">
              <w:rPr>
                <w:color w:val="202124"/>
                <w:sz w:val="21"/>
                <w:szCs w:val="21"/>
                <w:shd w:val="clear" w:color="auto" w:fill="FFFFFF"/>
                <w:vertAlign w:val="superscript"/>
              </w:rPr>
              <w:t>ab</w:t>
            </w:r>
          </w:p>
        </w:tc>
        <w:tc>
          <w:tcPr>
            <w:tcW w:w="1266" w:type="dxa"/>
            <w:shd w:val="clear" w:color="auto" w:fill="auto"/>
            <w:vAlign w:val="center"/>
          </w:tcPr>
          <w:p w14:paraId="6A409311" w14:textId="77777777" w:rsidR="00A3545D" w:rsidRPr="00D105C8" w:rsidRDefault="00A3545D" w:rsidP="007510B2">
            <w:pPr>
              <w:jc w:val="center"/>
              <w:rPr>
                <w:sz w:val="21"/>
                <w:szCs w:val="21"/>
                <w:vertAlign w:val="superscript"/>
              </w:rPr>
            </w:pPr>
            <w:r w:rsidRPr="00D105C8">
              <w:rPr>
                <w:color w:val="000000"/>
                <w:sz w:val="21"/>
                <w:szCs w:val="21"/>
              </w:rPr>
              <w:t xml:space="preserve">5.09 </w:t>
            </w:r>
            <w:r w:rsidRPr="00D105C8">
              <w:rPr>
                <w:color w:val="202124"/>
                <w:sz w:val="21"/>
                <w:szCs w:val="21"/>
                <w:shd w:val="clear" w:color="auto" w:fill="FFFFFF"/>
              </w:rPr>
              <w:t>± 0.05</w:t>
            </w:r>
            <w:r w:rsidRPr="00D105C8">
              <w:rPr>
                <w:color w:val="202124"/>
                <w:sz w:val="21"/>
                <w:szCs w:val="21"/>
                <w:shd w:val="clear" w:color="auto" w:fill="FFFFFF"/>
                <w:vertAlign w:val="superscript"/>
              </w:rPr>
              <w:t>abc</w:t>
            </w:r>
          </w:p>
        </w:tc>
        <w:tc>
          <w:tcPr>
            <w:tcW w:w="1267" w:type="dxa"/>
            <w:shd w:val="clear" w:color="auto" w:fill="auto"/>
            <w:vAlign w:val="center"/>
          </w:tcPr>
          <w:p w14:paraId="4A56D28F" w14:textId="77777777" w:rsidR="00A3545D" w:rsidRPr="00D105C8" w:rsidRDefault="00A3545D" w:rsidP="007510B2">
            <w:pPr>
              <w:jc w:val="center"/>
              <w:rPr>
                <w:sz w:val="21"/>
                <w:szCs w:val="21"/>
                <w:vertAlign w:val="superscript"/>
              </w:rPr>
            </w:pPr>
            <w:r w:rsidRPr="00D105C8">
              <w:rPr>
                <w:color w:val="000000"/>
                <w:sz w:val="21"/>
                <w:szCs w:val="21"/>
              </w:rPr>
              <w:t xml:space="preserve">5.24 </w:t>
            </w:r>
            <w:r w:rsidRPr="00D105C8">
              <w:rPr>
                <w:color w:val="202124"/>
                <w:sz w:val="21"/>
                <w:szCs w:val="21"/>
                <w:shd w:val="clear" w:color="auto" w:fill="FFFFFF"/>
              </w:rPr>
              <w:t>± 0.17</w:t>
            </w:r>
            <w:r w:rsidRPr="00D105C8">
              <w:rPr>
                <w:color w:val="202124"/>
                <w:sz w:val="21"/>
                <w:szCs w:val="21"/>
                <w:shd w:val="clear" w:color="auto" w:fill="FFFFFF"/>
                <w:vertAlign w:val="superscript"/>
              </w:rPr>
              <w:t>abc</w:t>
            </w:r>
          </w:p>
        </w:tc>
        <w:tc>
          <w:tcPr>
            <w:tcW w:w="1266" w:type="dxa"/>
            <w:shd w:val="clear" w:color="auto" w:fill="auto"/>
            <w:vAlign w:val="center"/>
          </w:tcPr>
          <w:p w14:paraId="7FD89A8D" w14:textId="77777777" w:rsidR="00A3545D" w:rsidRPr="00D105C8" w:rsidRDefault="00A3545D" w:rsidP="007510B2">
            <w:pPr>
              <w:jc w:val="center"/>
              <w:rPr>
                <w:sz w:val="21"/>
                <w:szCs w:val="21"/>
                <w:vertAlign w:val="superscript"/>
              </w:rPr>
            </w:pPr>
            <w:r w:rsidRPr="00D105C8">
              <w:rPr>
                <w:color w:val="000000"/>
                <w:sz w:val="21"/>
                <w:szCs w:val="21"/>
              </w:rPr>
              <w:t xml:space="preserve">4.90 </w:t>
            </w:r>
            <w:r w:rsidRPr="00D105C8">
              <w:rPr>
                <w:color w:val="202124"/>
                <w:sz w:val="21"/>
                <w:szCs w:val="21"/>
                <w:shd w:val="clear" w:color="auto" w:fill="FFFFFF"/>
              </w:rPr>
              <w:t>± 0.02</w:t>
            </w:r>
            <w:r w:rsidRPr="00D105C8">
              <w:rPr>
                <w:color w:val="202124"/>
                <w:sz w:val="21"/>
                <w:szCs w:val="21"/>
                <w:shd w:val="clear" w:color="auto" w:fill="FFFFFF"/>
                <w:vertAlign w:val="superscript"/>
              </w:rPr>
              <w:t>cdef</w:t>
            </w:r>
          </w:p>
        </w:tc>
        <w:tc>
          <w:tcPr>
            <w:tcW w:w="1266" w:type="dxa"/>
            <w:shd w:val="clear" w:color="auto" w:fill="auto"/>
            <w:vAlign w:val="center"/>
          </w:tcPr>
          <w:p w14:paraId="33AE14ED" w14:textId="77777777" w:rsidR="00A3545D" w:rsidRPr="00D105C8" w:rsidRDefault="00A3545D" w:rsidP="007510B2">
            <w:pPr>
              <w:jc w:val="center"/>
              <w:rPr>
                <w:sz w:val="21"/>
                <w:szCs w:val="21"/>
                <w:vertAlign w:val="superscript"/>
              </w:rPr>
            </w:pPr>
            <w:r w:rsidRPr="00D105C8">
              <w:rPr>
                <w:color w:val="000000"/>
                <w:sz w:val="21"/>
                <w:szCs w:val="21"/>
              </w:rPr>
              <w:t xml:space="preserve">4.83 </w:t>
            </w:r>
            <w:r w:rsidRPr="00D105C8">
              <w:rPr>
                <w:color w:val="202124"/>
                <w:sz w:val="21"/>
                <w:szCs w:val="21"/>
                <w:shd w:val="clear" w:color="auto" w:fill="FFFFFF"/>
              </w:rPr>
              <w:t>± 0.03</w:t>
            </w:r>
            <w:r w:rsidRPr="00D105C8">
              <w:rPr>
                <w:color w:val="202124"/>
                <w:sz w:val="21"/>
                <w:szCs w:val="21"/>
                <w:shd w:val="clear" w:color="auto" w:fill="FFFFFF"/>
                <w:vertAlign w:val="superscript"/>
              </w:rPr>
              <w:t>defgh</w:t>
            </w:r>
          </w:p>
        </w:tc>
        <w:tc>
          <w:tcPr>
            <w:tcW w:w="1267" w:type="dxa"/>
            <w:shd w:val="clear" w:color="auto" w:fill="auto"/>
            <w:vAlign w:val="center"/>
          </w:tcPr>
          <w:p w14:paraId="38658BC2" w14:textId="77777777" w:rsidR="00A3545D" w:rsidRPr="00D105C8" w:rsidRDefault="00A3545D" w:rsidP="007510B2">
            <w:pPr>
              <w:jc w:val="center"/>
              <w:rPr>
                <w:sz w:val="21"/>
                <w:szCs w:val="21"/>
                <w:vertAlign w:val="superscript"/>
              </w:rPr>
            </w:pPr>
            <w:r w:rsidRPr="00D105C8">
              <w:rPr>
                <w:color w:val="000000"/>
                <w:sz w:val="21"/>
                <w:szCs w:val="21"/>
              </w:rPr>
              <w:t xml:space="preserve">4.83 </w:t>
            </w:r>
            <w:r w:rsidRPr="00D105C8">
              <w:rPr>
                <w:color w:val="202124"/>
                <w:sz w:val="21"/>
                <w:szCs w:val="21"/>
                <w:shd w:val="clear" w:color="auto" w:fill="FFFFFF"/>
              </w:rPr>
              <w:t>± 0.03</w:t>
            </w:r>
            <w:r w:rsidRPr="00D105C8">
              <w:rPr>
                <w:color w:val="202124"/>
                <w:sz w:val="21"/>
                <w:szCs w:val="21"/>
                <w:shd w:val="clear" w:color="auto" w:fill="FFFFFF"/>
                <w:vertAlign w:val="superscript"/>
              </w:rPr>
              <w:t>efgh</w:t>
            </w:r>
          </w:p>
        </w:tc>
      </w:tr>
      <w:tr w:rsidR="00A3545D" w14:paraId="0F7AF8DF" w14:textId="77777777" w:rsidTr="00A3545D">
        <w:tc>
          <w:tcPr>
            <w:tcW w:w="2547" w:type="dxa"/>
          </w:tcPr>
          <w:p w14:paraId="26D472AD" w14:textId="09C162A0" w:rsidR="00A3545D" w:rsidRDefault="004D4122" w:rsidP="007510B2">
            <w:r w:rsidRPr="004D4122">
              <w:t>EC (</w:t>
            </w:r>
            <w:proofErr w:type="spellStart"/>
            <w:r w:rsidRPr="004D4122">
              <w:t>μS</w:t>
            </w:r>
            <w:proofErr w:type="spellEnd"/>
            <w:r w:rsidRPr="004D4122">
              <w:t xml:space="preserve"> cm</w:t>
            </w:r>
            <w:r w:rsidRPr="004D4122">
              <w:rPr>
                <w:vertAlign w:val="superscript"/>
              </w:rPr>
              <w:t>−1</w:t>
            </w:r>
            <w:r w:rsidRPr="004D4122">
              <w:t>)</w:t>
            </w:r>
          </w:p>
        </w:tc>
        <w:tc>
          <w:tcPr>
            <w:tcW w:w="1266" w:type="dxa"/>
            <w:shd w:val="clear" w:color="auto" w:fill="auto"/>
            <w:vAlign w:val="center"/>
          </w:tcPr>
          <w:p w14:paraId="3F402945" w14:textId="696DC65A" w:rsidR="00A3545D" w:rsidRPr="00D105C8" w:rsidRDefault="00A3545D" w:rsidP="007510B2">
            <w:pPr>
              <w:jc w:val="center"/>
              <w:rPr>
                <w:sz w:val="21"/>
                <w:szCs w:val="21"/>
                <w:vertAlign w:val="superscript"/>
              </w:rPr>
            </w:pPr>
            <w:r w:rsidRPr="00D105C8">
              <w:rPr>
                <w:color w:val="000000"/>
                <w:sz w:val="21"/>
                <w:szCs w:val="21"/>
              </w:rPr>
              <w:t>3</w:t>
            </w:r>
            <w:r w:rsidR="00EC558B" w:rsidRPr="00D105C8">
              <w:rPr>
                <w:color w:val="000000"/>
                <w:sz w:val="21"/>
                <w:szCs w:val="21"/>
              </w:rPr>
              <w:t xml:space="preserve">30 </w:t>
            </w:r>
            <w:r w:rsidRPr="00D105C8">
              <w:rPr>
                <w:color w:val="202124"/>
                <w:sz w:val="21"/>
                <w:szCs w:val="21"/>
                <w:shd w:val="clear" w:color="auto" w:fill="FFFFFF"/>
              </w:rPr>
              <w:t>± 4</w:t>
            </w:r>
            <w:r w:rsidR="00EC558B" w:rsidRPr="00D105C8">
              <w:rPr>
                <w:color w:val="202124"/>
                <w:sz w:val="21"/>
                <w:szCs w:val="21"/>
                <w:shd w:val="clear" w:color="auto" w:fill="FFFFFF"/>
              </w:rPr>
              <w:t>2</w:t>
            </w:r>
            <w:r w:rsidRPr="00D105C8">
              <w:rPr>
                <w:color w:val="202124"/>
                <w:sz w:val="21"/>
                <w:szCs w:val="21"/>
                <w:shd w:val="clear" w:color="auto" w:fill="FFFFFF"/>
                <w:vertAlign w:val="superscript"/>
              </w:rPr>
              <w:t>abcd</w:t>
            </w:r>
          </w:p>
        </w:tc>
        <w:tc>
          <w:tcPr>
            <w:tcW w:w="1266" w:type="dxa"/>
            <w:shd w:val="clear" w:color="auto" w:fill="auto"/>
            <w:vAlign w:val="center"/>
          </w:tcPr>
          <w:p w14:paraId="1B7C0E6A" w14:textId="67E91219" w:rsidR="00A3545D" w:rsidRPr="00D105C8" w:rsidRDefault="00A3545D" w:rsidP="007510B2">
            <w:pPr>
              <w:jc w:val="center"/>
              <w:rPr>
                <w:sz w:val="21"/>
                <w:szCs w:val="21"/>
                <w:vertAlign w:val="superscript"/>
              </w:rPr>
            </w:pPr>
            <w:r w:rsidRPr="00D105C8">
              <w:rPr>
                <w:color w:val="000000"/>
                <w:sz w:val="21"/>
                <w:szCs w:val="21"/>
              </w:rPr>
              <w:t>25</w:t>
            </w:r>
            <w:r w:rsidR="00CF77EC" w:rsidRPr="00D105C8">
              <w:rPr>
                <w:color w:val="000000"/>
                <w:sz w:val="21"/>
                <w:szCs w:val="21"/>
              </w:rPr>
              <w:t>8</w:t>
            </w:r>
            <w:r w:rsidRPr="00D105C8">
              <w:rPr>
                <w:color w:val="000000"/>
                <w:sz w:val="21"/>
                <w:szCs w:val="21"/>
              </w:rPr>
              <w:t xml:space="preserve"> </w:t>
            </w:r>
            <w:r w:rsidRPr="00D105C8">
              <w:rPr>
                <w:color w:val="202124"/>
                <w:sz w:val="21"/>
                <w:szCs w:val="21"/>
                <w:shd w:val="clear" w:color="auto" w:fill="FFFFFF"/>
              </w:rPr>
              <w:t>± 8</w:t>
            </w:r>
            <w:r w:rsidRPr="00D105C8">
              <w:rPr>
                <w:color w:val="202124"/>
                <w:sz w:val="21"/>
                <w:szCs w:val="21"/>
                <w:shd w:val="clear" w:color="auto" w:fill="FFFFFF"/>
                <w:vertAlign w:val="superscript"/>
              </w:rPr>
              <w:t>cbe</w:t>
            </w:r>
          </w:p>
        </w:tc>
        <w:tc>
          <w:tcPr>
            <w:tcW w:w="1266" w:type="dxa"/>
            <w:shd w:val="clear" w:color="auto" w:fill="auto"/>
            <w:vAlign w:val="center"/>
          </w:tcPr>
          <w:p w14:paraId="0141C3E4" w14:textId="4DF69D48" w:rsidR="00A3545D" w:rsidRPr="00D105C8" w:rsidRDefault="00A3545D" w:rsidP="007510B2">
            <w:pPr>
              <w:jc w:val="center"/>
              <w:rPr>
                <w:sz w:val="21"/>
                <w:szCs w:val="21"/>
                <w:vertAlign w:val="superscript"/>
              </w:rPr>
            </w:pPr>
            <w:r w:rsidRPr="00D105C8">
              <w:rPr>
                <w:color w:val="000000"/>
                <w:sz w:val="21"/>
                <w:szCs w:val="21"/>
              </w:rPr>
              <w:t>46</w:t>
            </w:r>
            <w:r w:rsidR="00CF77EC" w:rsidRPr="00D105C8">
              <w:rPr>
                <w:color w:val="000000"/>
                <w:sz w:val="21"/>
                <w:szCs w:val="21"/>
              </w:rPr>
              <w:t>7</w:t>
            </w:r>
            <w:r w:rsidRPr="00D105C8">
              <w:rPr>
                <w:color w:val="000000"/>
                <w:sz w:val="21"/>
                <w:szCs w:val="21"/>
              </w:rPr>
              <w:t xml:space="preserve"> </w:t>
            </w:r>
            <w:r w:rsidRPr="00D105C8">
              <w:rPr>
                <w:color w:val="202124"/>
                <w:sz w:val="21"/>
                <w:szCs w:val="21"/>
                <w:shd w:val="clear" w:color="auto" w:fill="FFFFFF"/>
              </w:rPr>
              <w:t>± 73</w:t>
            </w:r>
            <w:r w:rsidRPr="00D105C8">
              <w:rPr>
                <w:color w:val="202124"/>
                <w:sz w:val="21"/>
                <w:szCs w:val="21"/>
                <w:shd w:val="clear" w:color="auto" w:fill="FFFFFF"/>
                <w:vertAlign w:val="superscript"/>
              </w:rPr>
              <w:t>ab</w:t>
            </w:r>
          </w:p>
        </w:tc>
        <w:tc>
          <w:tcPr>
            <w:tcW w:w="1267" w:type="dxa"/>
            <w:shd w:val="clear" w:color="auto" w:fill="auto"/>
            <w:vAlign w:val="center"/>
          </w:tcPr>
          <w:p w14:paraId="5304AAF7" w14:textId="3742E09A" w:rsidR="00A3545D" w:rsidRPr="00D105C8" w:rsidRDefault="00A3545D" w:rsidP="007510B2">
            <w:pPr>
              <w:jc w:val="center"/>
              <w:rPr>
                <w:sz w:val="21"/>
                <w:szCs w:val="21"/>
                <w:vertAlign w:val="superscript"/>
              </w:rPr>
            </w:pPr>
            <w:r w:rsidRPr="00D105C8">
              <w:rPr>
                <w:color w:val="000000"/>
                <w:sz w:val="21"/>
                <w:szCs w:val="21"/>
              </w:rPr>
              <w:t xml:space="preserve">387 </w:t>
            </w:r>
            <w:r w:rsidRPr="00D105C8">
              <w:rPr>
                <w:color w:val="202124"/>
                <w:sz w:val="21"/>
                <w:szCs w:val="21"/>
                <w:shd w:val="clear" w:color="auto" w:fill="FFFFFF"/>
              </w:rPr>
              <w:t>± 8</w:t>
            </w:r>
            <w:r w:rsidRPr="00D105C8">
              <w:rPr>
                <w:color w:val="202124"/>
                <w:sz w:val="21"/>
                <w:szCs w:val="21"/>
                <w:shd w:val="clear" w:color="auto" w:fill="FFFFFF"/>
                <w:vertAlign w:val="superscript"/>
              </w:rPr>
              <w:t>abc</w:t>
            </w:r>
          </w:p>
        </w:tc>
        <w:tc>
          <w:tcPr>
            <w:tcW w:w="1266" w:type="dxa"/>
            <w:shd w:val="clear" w:color="auto" w:fill="auto"/>
            <w:vAlign w:val="center"/>
          </w:tcPr>
          <w:p w14:paraId="751F94DA" w14:textId="2A3F9436" w:rsidR="00A3545D" w:rsidRPr="00D105C8" w:rsidRDefault="00A3545D" w:rsidP="007510B2">
            <w:pPr>
              <w:jc w:val="center"/>
              <w:rPr>
                <w:sz w:val="21"/>
                <w:szCs w:val="21"/>
                <w:vertAlign w:val="superscript"/>
              </w:rPr>
            </w:pPr>
            <w:r w:rsidRPr="00D105C8">
              <w:rPr>
                <w:color w:val="000000"/>
                <w:sz w:val="21"/>
                <w:szCs w:val="21"/>
              </w:rPr>
              <w:t xml:space="preserve">118 </w:t>
            </w:r>
            <w:r w:rsidRPr="00D105C8">
              <w:rPr>
                <w:color w:val="202124"/>
                <w:sz w:val="21"/>
                <w:szCs w:val="21"/>
                <w:shd w:val="clear" w:color="auto" w:fill="FFFFFF"/>
              </w:rPr>
              <w:t>± 2</w:t>
            </w:r>
            <w:r w:rsidR="00CF77EC" w:rsidRPr="00D105C8">
              <w:rPr>
                <w:color w:val="202124"/>
                <w:sz w:val="21"/>
                <w:szCs w:val="21"/>
                <w:shd w:val="clear" w:color="auto" w:fill="FFFFFF"/>
              </w:rPr>
              <w:t>2</w:t>
            </w:r>
            <w:r w:rsidRPr="00D105C8">
              <w:rPr>
                <w:color w:val="202124"/>
                <w:sz w:val="21"/>
                <w:szCs w:val="21"/>
                <w:shd w:val="clear" w:color="auto" w:fill="FFFFFF"/>
                <w:vertAlign w:val="superscript"/>
              </w:rPr>
              <w:t>hi</w:t>
            </w:r>
          </w:p>
        </w:tc>
        <w:tc>
          <w:tcPr>
            <w:tcW w:w="1266" w:type="dxa"/>
            <w:shd w:val="clear" w:color="auto" w:fill="auto"/>
            <w:vAlign w:val="center"/>
          </w:tcPr>
          <w:p w14:paraId="579E73AB" w14:textId="38772D0F" w:rsidR="00A3545D" w:rsidRPr="00D105C8" w:rsidRDefault="00A3545D" w:rsidP="007510B2">
            <w:pPr>
              <w:jc w:val="center"/>
              <w:rPr>
                <w:sz w:val="21"/>
                <w:szCs w:val="21"/>
                <w:vertAlign w:val="superscript"/>
              </w:rPr>
            </w:pPr>
            <w:r w:rsidRPr="00D105C8">
              <w:rPr>
                <w:color w:val="000000"/>
                <w:sz w:val="21"/>
                <w:szCs w:val="21"/>
              </w:rPr>
              <w:t xml:space="preserve">86 </w:t>
            </w:r>
            <w:r w:rsidRPr="00D105C8">
              <w:rPr>
                <w:color w:val="202124"/>
                <w:sz w:val="21"/>
                <w:szCs w:val="21"/>
                <w:shd w:val="clear" w:color="auto" w:fill="FFFFFF"/>
              </w:rPr>
              <w:t>± 25</w:t>
            </w:r>
            <w:r w:rsidRPr="00D105C8">
              <w:rPr>
                <w:color w:val="202124"/>
                <w:sz w:val="21"/>
                <w:szCs w:val="21"/>
                <w:shd w:val="clear" w:color="auto" w:fill="FFFFFF"/>
                <w:vertAlign w:val="superscript"/>
              </w:rPr>
              <w:t>i</w:t>
            </w:r>
          </w:p>
        </w:tc>
        <w:tc>
          <w:tcPr>
            <w:tcW w:w="1266" w:type="dxa"/>
            <w:shd w:val="clear" w:color="auto" w:fill="auto"/>
            <w:vAlign w:val="center"/>
          </w:tcPr>
          <w:p w14:paraId="74C8465A" w14:textId="7162994D" w:rsidR="00A3545D" w:rsidRPr="00D105C8" w:rsidRDefault="00A3545D" w:rsidP="007510B2">
            <w:pPr>
              <w:jc w:val="center"/>
              <w:rPr>
                <w:sz w:val="21"/>
                <w:szCs w:val="21"/>
                <w:vertAlign w:val="superscript"/>
              </w:rPr>
            </w:pPr>
            <w:r w:rsidRPr="00D105C8">
              <w:rPr>
                <w:color w:val="000000"/>
                <w:sz w:val="21"/>
                <w:szCs w:val="21"/>
              </w:rPr>
              <w:t xml:space="preserve">284 </w:t>
            </w:r>
            <w:r w:rsidRPr="00D105C8">
              <w:rPr>
                <w:color w:val="202124"/>
                <w:sz w:val="21"/>
                <w:szCs w:val="21"/>
                <w:shd w:val="clear" w:color="auto" w:fill="FFFFFF"/>
              </w:rPr>
              <w:t>± 3</w:t>
            </w:r>
            <w:r w:rsidR="00CF77EC" w:rsidRPr="00D105C8">
              <w:rPr>
                <w:color w:val="202124"/>
                <w:sz w:val="21"/>
                <w:szCs w:val="21"/>
                <w:shd w:val="clear" w:color="auto" w:fill="FFFFFF"/>
              </w:rPr>
              <w:t>3</w:t>
            </w:r>
            <w:r w:rsidRPr="00D105C8">
              <w:rPr>
                <w:color w:val="202124"/>
                <w:sz w:val="21"/>
                <w:szCs w:val="21"/>
                <w:shd w:val="clear" w:color="auto" w:fill="FFFFFF"/>
                <w:vertAlign w:val="superscript"/>
              </w:rPr>
              <w:t>bcd</w:t>
            </w:r>
          </w:p>
        </w:tc>
        <w:tc>
          <w:tcPr>
            <w:tcW w:w="1267" w:type="dxa"/>
            <w:shd w:val="clear" w:color="auto" w:fill="auto"/>
            <w:vAlign w:val="center"/>
          </w:tcPr>
          <w:p w14:paraId="423FE5BA" w14:textId="0D9D2600" w:rsidR="00A3545D" w:rsidRPr="00D105C8" w:rsidRDefault="00A3545D" w:rsidP="007510B2">
            <w:pPr>
              <w:jc w:val="center"/>
              <w:rPr>
                <w:sz w:val="21"/>
                <w:szCs w:val="21"/>
                <w:vertAlign w:val="superscript"/>
              </w:rPr>
            </w:pPr>
            <w:r w:rsidRPr="00D105C8">
              <w:rPr>
                <w:color w:val="000000"/>
                <w:sz w:val="21"/>
                <w:szCs w:val="21"/>
              </w:rPr>
              <w:t xml:space="preserve">312 </w:t>
            </w:r>
            <w:r w:rsidRPr="00D105C8">
              <w:rPr>
                <w:color w:val="202124"/>
                <w:sz w:val="21"/>
                <w:szCs w:val="21"/>
                <w:shd w:val="clear" w:color="auto" w:fill="FFFFFF"/>
              </w:rPr>
              <w:t xml:space="preserve">± </w:t>
            </w:r>
            <w:r w:rsidR="00CF77EC" w:rsidRPr="00D105C8">
              <w:rPr>
                <w:color w:val="202124"/>
                <w:sz w:val="21"/>
                <w:szCs w:val="21"/>
                <w:shd w:val="clear" w:color="auto" w:fill="FFFFFF"/>
              </w:rPr>
              <w:t>40</w:t>
            </w:r>
            <w:r w:rsidRPr="00D105C8">
              <w:rPr>
                <w:color w:val="202124"/>
                <w:sz w:val="21"/>
                <w:szCs w:val="21"/>
                <w:shd w:val="clear" w:color="auto" w:fill="FFFFFF"/>
                <w:vertAlign w:val="superscript"/>
              </w:rPr>
              <w:t>abcd</w:t>
            </w:r>
          </w:p>
        </w:tc>
        <w:tc>
          <w:tcPr>
            <w:tcW w:w="1266" w:type="dxa"/>
            <w:shd w:val="clear" w:color="auto" w:fill="auto"/>
            <w:vAlign w:val="center"/>
          </w:tcPr>
          <w:p w14:paraId="285CF44D" w14:textId="481F727F" w:rsidR="00A3545D" w:rsidRPr="00D105C8" w:rsidRDefault="00A3545D" w:rsidP="007510B2">
            <w:pPr>
              <w:jc w:val="center"/>
              <w:rPr>
                <w:sz w:val="21"/>
                <w:szCs w:val="21"/>
                <w:vertAlign w:val="superscript"/>
              </w:rPr>
            </w:pPr>
            <w:r w:rsidRPr="00D105C8">
              <w:rPr>
                <w:color w:val="000000"/>
                <w:sz w:val="21"/>
                <w:szCs w:val="21"/>
              </w:rPr>
              <w:t xml:space="preserve">496 </w:t>
            </w:r>
            <w:r w:rsidRPr="00D105C8">
              <w:rPr>
                <w:color w:val="202124"/>
                <w:sz w:val="21"/>
                <w:szCs w:val="21"/>
                <w:shd w:val="clear" w:color="auto" w:fill="FFFFFF"/>
              </w:rPr>
              <w:t>± 24</w:t>
            </w:r>
            <w:r w:rsidRPr="00D105C8">
              <w:rPr>
                <w:color w:val="202124"/>
                <w:sz w:val="21"/>
                <w:szCs w:val="21"/>
                <w:shd w:val="clear" w:color="auto" w:fill="FFFFFF"/>
                <w:vertAlign w:val="superscript"/>
              </w:rPr>
              <w:t>a</w:t>
            </w:r>
          </w:p>
        </w:tc>
        <w:tc>
          <w:tcPr>
            <w:tcW w:w="1266" w:type="dxa"/>
            <w:shd w:val="clear" w:color="auto" w:fill="auto"/>
            <w:vAlign w:val="center"/>
          </w:tcPr>
          <w:p w14:paraId="1114FEC0" w14:textId="20F819CB" w:rsidR="00A3545D" w:rsidRPr="00D105C8" w:rsidRDefault="00A3545D" w:rsidP="007510B2">
            <w:pPr>
              <w:jc w:val="center"/>
              <w:rPr>
                <w:sz w:val="21"/>
                <w:szCs w:val="21"/>
                <w:vertAlign w:val="superscript"/>
              </w:rPr>
            </w:pPr>
            <w:r w:rsidRPr="00D105C8">
              <w:rPr>
                <w:color w:val="000000"/>
                <w:sz w:val="21"/>
                <w:szCs w:val="21"/>
              </w:rPr>
              <w:t xml:space="preserve">94 </w:t>
            </w:r>
            <w:r w:rsidRPr="00D105C8">
              <w:rPr>
                <w:color w:val="202124"/>
                <w:sz w:val="21"/>
                <w:szCs w:val="21"/>
                <w:shd w:val="clear" w:color="auto" w:fill="FFFFFF"/>
              </w:rPr>
              <w:t xml:space="preserve">± </w:t>
            </w:r>
            <w:r w:rsidR="00CF77EC" w:rsidRPr="00D105C8">
              <w:rPr>
                <w:color w:val="202124"/>
                <w:sz w:val="21"/>
                <w:szCs w:val="21"/>
                <w:shd w:val="clear" w:color="auto" w:fill="FFFFFF"/>
              </w:rPr>
              <w:t>4</w:t>
            </w:r>
            <w:r w:rsidRPr="00D105C8">
              <w:rPr>
                <w:color w:val="202124"/>
                <w:sz w:val="21"/>
                <w:szCs w:val="21"/>
                <w:shd w:val="clear" w:color="auto" w:fill="FFFFFF"/>
                <w:vertAlign w:val="superscript"/>
              </w:rPr>
              <w:t>i</w:t>
            </w:r>
          </w:p>
        </w:tc>
        <w:tc>
          <w:tcPr>
            <w:tcW w:w="1266" w:type="dxa"/>
            <w:shd w:val="clear" w:color="auto" w:fill="auto"/>
            <w:vAlign w:val="center"/>
          </w:tcPr>
          <w:p w14:paraId="6D7DB7E1" w14:textId="57DB9215" w:rsidR="00A3545D" w:rsidRPr="00D105C8" w:rsidRDefault="00A3545D" w:rsidP="007510B2">
            <w:pPr>
              <w:jc w:val="center"/>
              <w:rPr>
                <w:sz w:val="21"/>
                <w:szCs w:val="21"/>
                <w:vertAlign w:val="superscript"/>
              </w:rPr>
            </w:pPr>
            <w:r w:rsidRPr="00D105C8">
              <w:rPr>
                <w:color w:val="000000"/>
                <w:sz w:val="21"/>
                <w:szCs w:val="21"/>
              </w:rPr>
              <w:t xml:space="preserve">141 </w:t>
            </w:r>
            <w:r w:rsidRPr="00D105C8">
              <w:rPr>
                <w:color w:val="202124"/>
                <w:sz w:val="21"/>
                <w:szCs w:val="21"/>
                <w:shd w:val="clear" w:color="auto" w:fill="FFFFFF"/>
              </w:rPr>
              <w:t>± 9</w:t>
            </w:r>
            <w:r w:rsidRPr="00D105C8">
              <w:rPr>
                <w:color w:val="202124"/>
                <w:sz w:val="21"/>
                <w:szCs w:val="21"/>
                <w:shd w:val="clear" w:color="auto" w:fill="FFFFFF"/>
                <w:vertAlign w:val="superscript"/>
              </w:rPr>
              <w:t>ghi</w:t>
            </w:r>
          </w:p>
        </w:tc>
        <w:tc>
          <w:tcPr>
            <w:tcW w:w="1267" w:type="dxa"/>
            <w:shd w:val="clear" w:color="auto" w:fill="auto"/>
            <w:vAlign w:val="center"/>
          </w:tcPr>
          <w:p w14:paraId="0B04326B" w14:textId="564D915A" w:rsidR="00A3545D" w:rsidRPr="00D105C8" w:rsidRDefault="00A3545D" w:rsidP="007510B2">
            <w:pPr>
              <w:jc w:val="center"/>
              <w:rPr>
                <w:sz w:val="21"/>
                <w:szCs w:val="21"/>
                <w:vertAlign w:val="superscript"/>
              </w:rPr>
            </w:pPr>
            <w:r w:rsidRPr="00D105C8">
              <w:rPr>
                <w:color w:val="000000"/>
                <w:sz w:val="21"/>
                <w:szCs w:val="21"/>
              </w:rPr>
              <w:t xml:space="preserve">165 </w:t>
            </w:r>
            <w:r w:rsidRPr="00D105C8">
              <w:rPr>
                <w:color w:val="202124"/>
                <w:sz w:val="21"/>
                <w:szCs w:val="21"/>
                <w:shd w:val="clear" w:color="auto" w:fill="FFFFFF"/>
              </w:rPr>
              <w:t>± 12</w:t>
            </w:r>
            <w:r w:rsidRPr="00D105C8">
              <w:rPr>
                <w:color w:val="202124"/>
                <w:sz w:val="21"/>
                <w:szCs w:val="21"/>
                <w:shd w:val="clear" w:color="auto" w:fill="FFFFFF"/>
                <w:vertAlign w:val="superscript"/>
              </w:rPr>
              <w:t>fghi</w:t>
            </w:r>
          </w:p>
        </w:tc>
        <w:tc>
          <w:tcPr>
            <w:tcW w:w="1266" w:type="dxa"/>
            <w:shd w:val="clear" w:color="auto" w:fill="auto"/>
            <w:vAlign w:val="center"/>
          </w:tcPr>
          <w:p w14:paraId="3B0EFA21" w14:textId="19A11BF3" w:rsidR="00A3545D" w:rsidRPr="00D105C8" w:rsidRDefault="00A3545D" w:rsidP="007510B2">
            <w:pPr>
              <w:jc w:val="center"/>
              <w:rPr>
                <w:sz w:val="21"/>
                <w:szCs w:val="21"/>
                <w:vertAlign w:val="superscript"/>
              </w:rPr>
            </w:pPr>
            <w:r w:rsidRPr="00D105C8">
              <w:rPr>
                <w:color w:val="000000"/>
                <w:sz w:val="21"/>
                <w:szCs w:val="21"/>
              </w:rPr>
              <w:t xml:space="preserve">219 </w:t>
            </w:r>
            <w:r w:rsidRPr="00D105C8">
              <w:rPr>
                <w:color w:val="202124"/>
                <w:sz w:val="21"/>
                <w:szCs w:val="21"/>
                <w:shd w:val="clear" w:color="auto" w:fill="FFFFFF"/>
              </w:rPr>
              <w:t xml:space="preserve">± </w:t>
            </w:r>
            <w:r w:rsidR="00CF77EC" w:rsidRPr="00D105C8">
              <w:rPr>
                <w:color w:val="202124"/>
                <w:sz w:val="21"/>
                <w:szCs w:val="21"/>
                <w:shd w:val="clear" w:color="auto" w:fill="FFFFFF"/>
              </w:rPr>
              <w:t>3</w:t>
            </w:r>
            <w:r w:rsidRPr="00D105C8">
              <w:rPr>
                <w:color w:val="202124"/>
                <w:sz w:val="21"/>
                <w:szCs w:val="21"/>
                <w:shd w:val="clear" w:color="auto" w:fill="FFFFFF"/>
                <w:vertAlign w:val="superscript"/>
              </w:rPr>
              <w:t>defg</w:t>
            </w:r>
          </w:p>
        </w:tc>
        <w:tc>
          <w:tcPr>
            <w:tcW w:w="1266" w:type="dxa"/>
            <w:shd w:val="clear" w:color="auto" w:fill="auto"/>
            <w:vAlign w:val="center"/>
          </w:tcPr>
          <w:p w14:paraId="489E93DD" w14:textId="586199D2" w:rsidR="00A3545D" w:rsidRPr="00D105C8" w:rsidRDefault="00A3545D" w:rsidP="007510B2">
            <w:pPr>
              <w:jc w:val="center"/>
              <w:rPr>
                <w:sz w:val="21"/>
                <w:szCs w:val="21"/>
                <w:vertAlign w:val="superscript"/>
              </w:rPr>
            </w:pPr>
            <w:r w:rsidRPr="00D105C8">
              <w:rPr>
                <w:color w:val="000000"/>
                <w:sz w:val="21"/>
                <w:szCs w:val="21"/>
              </w:rPr>
              <w:t xml:space="preserve">254 </w:t>
            </w:r>
            <w:r w:rsidRPr="00D105C8">
              <w:rPr>
                <w:color w:val="202124"/>
                <w:sz w:val="21"/>
                <w:szCs w:val="21"/>
                <w:shd w:val="clear" w:color="auto" w:fill="FFFFFF"/>
              </w:rPr>
              <w:t xml:space="preserve">± </w:t>
            </w:r>
            <w:r w:rsidR="00CF77EC" w:rsidRPr="00D105C8">
              <w:rPr>
                <w:color w:val="202124"/>
                <w:sz w:val="21"/>
                <w:szCs w:val="21"/>
                <w:shd w:val="clear" w:color="auto" w:fill="FFFFFF"/>
              </w:rPr>
              <w:t>4</w:t>
            </w:r>
            <w:r w:rsidRPr="00D105C8">
              <w:rPr>
                <w:color w:val="202124"/>
                <w:sz w:val="21"/>
                <w:szCs w:val="21"/>
                <w:shd w:val="clear" w:color="auto" w:fill="FFFFFF"/>
                <w:vertAlign w:val="superscript"/>
              </w:rPr>
              <w:t>def</w:t>
            </w:r>
          </w:p>
        </w:tc>
        <w:tc>
          <w:tcPr>
            <w:tcW w:w="1267" w:type="dxa"/>
            <w:shd w:val="clear" w:color="auto" w:fill="auto"/>
            <w:vAlign w:val="center"/>
          </w:tcPr>
          <w:p w14:paraId="069B50E4" w14:textId="5F46AF4D" w:rsidR="00A3545D" w:rsidRPr="00D105C8" w:rsidRDefault="00A3545D" w:rsidP="007510B2">
            <w:pPr>
              <w:jc w:val="center"/>
              <w:rPr>
                <w:sz w:val="21"/>
                <w:szCs w:val="21"/>
                <w:vertAlign w:val="superscript"/>
              </w:rPr>
            </w:pPr>
            <w:r w:rsidRPr="00D105C8">
              <w:rPr>
                <w:color w:val="000000"/>
                <w:sz w:val="21"/>
                <w:szCs w:val="21"/>
              </w:rPr>
              <w:t xml:space="preserve">189 </w:t>
            </w:r>
            <w:r w:rsidRPr="00D105C8">
              <w:rPr>
                <w:color w:val="202124"/>
                <w:sz w:val="21"/>
                <w:szCs w:val="21"/>
                <w:shd w:val="clear" w:color="auto" w:fill="FFFFFF"/>
              </w:rPr>
              <w:t>± 13</w:t>
            </w:r>
            <w:r w:rsidRPr="00D105C8">
              <w:rPr>
                <w:color w:val="202124"/>
                <w:sz w:val="21"/>
                <w:szCs w:val="21"/>
                <w:shd w:val="clear" w:color="auto" w:fill="FFFFFF"/>
                <w:vertAlign w:val="superscript"/>
              </w:rPr>
              <w:t>efgh</w:t>
            </w:r>
          </w:p>
        </w:tc>
      </w:tr>
      <w:tr w:rsidR="00A3545D" w14:paraId="3120FE94" w14:textId="77777777" w:rsidTr="00A3545D">
        <w:tc>
          <w:tcPr>
            <w:tcW w:w="2547" w:type="dxa"/>
          </w:tcPr>
          <w:p w14:paraId="7BAA45C5" w14:textId="4463ACD0" w:rsidR="00A3545D" w:rsidRDefault="00A3545D" w:rsidP="007510B2">
            <w:r>
              <w:t>SOM</w:t>
            </w:r>
            <w:r w:rsidR="00756548">
              <w:t xml:space="preserve"> (%)</w:t>
            </w:r>
          </w:p>
        </w:tc>
        <w:tc>
          <w:tcPr>
            <w:tcW w:w="1266" w:type="dxa"/>
            <w:shd w:val="clear" w:color="auto" w:fill="auto"/>
            <w:vAlign w:val="center"/>
          </w:tcPr>
          <w:p w14:paraId="4E4390B3" w14:textId="49A4BB98" w:rsidR="00A3545D" w:rsidRPr="00D105C8" w:rsidRDefault="00A3545D" w:rsidP="007510B2">
            <w:pPr>
              <w:jc w:val="center"/>
              <w:rPr>
                <w:sz w:val="21"/>
                <w:szCs w:val="21"/>
                <w:vertAlign w:val="superscript"/>
              </w:rPr>
            </w:pPr>
            <w:r w:rsidRPr="00D105C8">
              <w:rPr>
                <w:color w:val="000000"/>
                <w:sz w:val="21"/>
                <w:szCs w:val="21"/>
              </w:rPr>
              <w:t>7.</w:t>
            </w:r>
            <w:r w:rsidR="00DB3559" w:rsidRPr="00D105C8">
              <w:rPr>
                <w:color w:val="000000"/>
                <w:sz w:val="21"/>
                <w:szCs w:val="21"/>
              </w:rPr>
              <w:t>9</w:t>
            </w:r>
            <w:r w:rsidRPr="00D105C8">
              <w:rPr>
                <w:color w:val="000000"/>
                <w:sz w:val="21"/>
                <w:szCs w:val="21"/>
              </w:rPr>
              <w:t xml:space="preserve"> </w:t>
            </w:r>
            <w:r w:rsidRPr="00D105C8">
              <w:rPr>
                <w:color w:val="202124"/>
                <w:sz w:val="21"/>
                <w:szCs w:val="21"/>
                <w:shd w:val="clear" w:color="auto" w:fill="FFFFFF"/>
              </w:rPr>
              <w:t>± 0.</w:t>
            </w:r>
            <w:r w:rsidR="00DB3559" w:rsidRPr="00D105C8">
              <w:rPr>
                <w:color w:val="202124"/>
                <w:sz w:val="21"/>
                <w:szCs w:val="21"/>
                <w:shd w:val="clear" w:color="auto" w:fill="FFFFFF"/>
              </w:rPr>
              <w:t>1</w:t>
            </w:r>
            <w:r w:rsidRPr="00D105C8">
              <w:rPr>
                <w:color w:val="202124"/>
                <w:sz w:val="21"/>
                <w:szCs w:val="21"/>
                <w:shd w:val="clear" w:color="auto" w:fill="FFFFFF"/>
                <w:vertAlign w:val="superscript"/>
              </w:rPr>
              <w:t>abc</w:t>
            </w:r>
          </w:p>
        </w:tc>
        <w:tc>
          <w:tcPr>
            <w:tcW w:w="1266" w:type="dxa"/>
            <w:shd w:val="clear" w:color="auto" w:fill="auto"/>
            <w:vAlign w:val="center"/>
          </w:tcPr>
          <w:p w14:paraId="1112FFDE" w14:textId="5FEFD5F6" w:rsidR="00A3545D" w:rsidRPr="00D105C8" w:rsidRDefault="00A3545D" w:rsidP="007510B2">
            <w:pPr>
              <w:jc w:val="center"/>
              <w:rPr>
                <w:sz w:val="21"/>
                <w:szCs w:val="21"/>
                <w:vertAlign w:val="superscript"/>
              </w:rPr>
            </w:pPr>
            <w:r w:rsidRPr="00D105C8">
              <w:rPr>
                <w:color w:val="000000"/>
                <w:sz w:val="21"/>
                <w:szCs w:val="21"/>
              </w:rPr>
              <w:t xml:space="preserve">7.5 </w:t>
            </w:r>
            <w:r w:rsidRPr="00D105C8">
              <w:rPr>
                <w:color w:val="202124"/>
                <w:sz w:val="21"/>
                <w:szCs w:val="21"/>
                <w:shd w:val="clear" w:color="auto" w:fill="FFFFFF"/>
              </w:rPr>
              <w:t>± 0.1</w:t>
            </w:r>
            <w:r w:rsidRPr="00D105C8">
              <w:rPr>
                <w:color w:val="202124"/>
                <w:sz w:val="21"/>
                <w:szCs w:val="21"/>
                <w:shd w:val="clear" w:color="auto" w:fill="FFFFFF"/>
                <w:vertAlign w:val="superscript"/>
              </w:rPr>
              <w:t>bc</w:t>
            </w:r>
          </w:p>
        </w:tc>
        <w:tc>
          <w:tcPr>
            <w:tcW w:w="1266" w:type="dxa"/>
            <w:shd w:val="clear" w:color="auto" w:fill="auto"/>
            <w:vAlign w:val="center"/>
          </w:tcPr>
          <w:p w14:paraId="20EE9D26" w14:textId="56358B7A" w:rsidR="00A3545D" w:rsidRPr="00D105C8" w:rsidRDefault="00A3545D" w:rsidP="007510B2">
            <w:pPr>
              <w:jc w:val="center"/>
              <w:rPr>
                <w:sz w:val="21"/>
                <w:szCs w:val="21"/>
                <w:vertAlign w:val="superscript"/>
              </w:rPr>
            </w:pPr>
            <w:r w:rsidRPr="00D105C8">
              <w:rPr>
                <w:color w:val="000000"/>
                <w:sz w:val="21"/>
                <w:szCs w:val="21"/>
              </w:rPr>
              <w:t>8.</w:t>
            </w:r>
            <w:r w:rsidR="00DB3559" w:rsidRPr="00D105C8">
              <w:rPr>
                <w:color w:val="000000"/>
                <w:sz w:val="21"/>
                <w:szCs w:val="21"/>
              </w:rPr>
              <w:t>2</w:t>
            </w:r>
            <w:r w:rsidRPr="00D105C8">
              <w:rPr>
                <w:color w:val="000000"/>
                <w:sz w:val="21"/>
                <w:szCs w:val="21"/>
              </w:rPr>
              <w:t xml:space="preserve"> </w:t>
            </w:r>
            <w:r w:rsidRPr="00D105C8">
              <w:rPr>
                <w:color w:val="202124"/>
                <w:sz w:val="21"/>
                <w:szCs w:val="21"/>
                <w:shd w:val="clear" w:color="auto" w:fill="FFFFFF"/>
              </w:rPr>
              <w:t>± 0.</w:t>
            </w:r>
            <w:r w:rsidR="0044223C" w:rsidRPr="00D105C8">
              <w:rPr>
                <w:color w:val="202124"/>
                <w:sz w:val="21"/>
                <w:szCs w:val="21"/>
                <w:shd w:val="clear" w:color="auto" w:fill="FFFFFF"/>
              </w:rPr>
              <w:t>3</w:t>
            </w:r>
            <w:r w:rsidRPr="00D105C8">
              <w:rPr>
                <w:color w:val="202124"/>
                <w:sz w:val="21"/>
                <w:szCs w:val="21"/>
                <w:shd w:val="clear" w:color="auto" w:fill="FFFFFF"/>
                <w:vertAlign w:val="superscript"/>
              </w:rPr>
              <w:t>abc</w:t>
            </w:r>
          </w:p>
        </w:tc>
        <w:tc>
          <w:tcPr>
            <w:tcW w:w="1267" w:type="dxa"/>
            <w:shd w:val="clear" w:color="auto" w:fill="auto"/>
            <w:vAlign w:val="center"/>
          </w:tcPr>
          <w:p w14:paraId="7D0F88CD" w14:textId="58E9820C" w:rsidR="00A3545D" w:rsidRPr="00D105C8" w:rsidRDefault="00A3545D" w:rsidP="007510B2">
            <w:pPr>
              <w:jc w:val="center"/>
              <w:rPr>
                <w:sz w:val="21"/>
                <w:szCs w:val="21"/>
                <w:vertAlign w:val="superscript"/>
              </w:rPr>
            </w:pPr>
            <w:r w:rsidRPr="00D105C8">
              <w:rPr>
                <w:color w:val="000000"/>
                <w:sz w:val="21"/>
                <w:szCs w:val="21"/>
              </w:rPr>
              <w:t xml:space="preserve">7.6 </w:t>
            </w:r>
            <w:r w:rsidRPr="00D105C8">
              <w:rPr>
                <w:color w:val="202124"/>
                <w:sz w:val="21"/>
                <w:szCs w:val="21"/>
                <w:shd w:val="clear" w:color="auto" w:fill="FFFFFF"/>
              </w:rPr>
              <w:t>± 0.1</w:t>
            </w:r>
            <w:r w:rsidRPr="00D105C8">
              <w:rPr>
                <w:color w:val="202124"/>
                <w:sz w:val="21"/>
                <w:szCs w:val="21"/>
                <w:shd w:val="clear" w:color="auto" w:fill="FFFFFF"/>
                <w:vertAlign w:val="superscript"/>
              </w:rPr>
              <w:t>abc</w:t>
            </w:r>
          </w:p>
        </w:tc>
        <w:tc>
          <w:tcPr>
            <w:tcW w:w="1266" w:type="dxa"/>
            <w:shd w:val="clear" w:color="auto" w:fill="auto"/>
            <w:vAlign w:val="center"/>
          </w:tcPr>
          <w:p w14:paraId="5800240C" w14:textId="694C128D" w:rsidR="00A3545D" w:rsidRPr="00D105C8" w:rsidRDefault="00A3545D" w:rsidP="007510B2">
            <w:pPr>
              <w:jc w:val="center"/>
              <w:rPr>
                <w:sz w:val="21"/>
                <w:szCs w:val="21"/>
                <w:vertAlign w:val="superscript"/>
              </w:rPr>
            </w:pPr>
            <w:r w:rsidRPr="00D105C8">
              <w:rPr>
                <w:color w:val="000000"/>
                <w:sz w:val="21"/>
                <w:szCs w:val="21"/>
              </w:rPr>
              <w:t xml:space="preserve">7.4 </w:t>
            </w:r>
            <w:r w:rsidRPr="00D105C8">
              <w:rPr>
                <w:color w:val="202124"/>
                <w:sz w:val="21"/>
                <w:szCs w:val="21"/>
                <w:shd w:val="clear" w:color="auto" w:fill="FFFFFF"/>
              </w:rPr>
              <w:t>± 0.0</w:t>
            </w:r>
            <w:r w:rsidRPr="00D105C8">
              <w:rPr>
                <w:color w:val="202124"/>
                <w:sz w:val="21"/>
                <w:szCs w:val="21"/>
                <w:shd w:val="clear" w:color="auto" w:fill="FFFFFF"/>
                <w:vertAlign w:val="superscript"/>
              </w:rPr>
              <w:t>c</w:t>
            </w:r>
          </w:p>
        </w:tc>
        <w:tc>
          <w:tcPr>
            <w:tcW w:w="1266" w:type="dxa"/>
            <w:shd w:val="clear" w:color="auto" w:fill="auto"/>
            <w:vAlign w:val="center"/>
          </w:tcPr>
          <w:p w14:paraId="1873B8B4" w14:textId="7EB82E04" w:rsidR="00A3545D" w:rsidRPr="00D105C8" w:rsidRDefault="00A3545D" w:rsidP="007510B2">
            <w:pPr>
              <w:jc w:val="center"/>
              <w:rPr>
                <w:sz w:val="21"/>
                <w:szCs w:val="21"/>
                <w:vertAlign w:val="superscript"/>
              </w:rPr>
            </w:pPr>
            <w:r w:rsidRPr="00D105C8">
              <w:rPr>
                <w:color w:val="000000"/>
                <w:sz w:val="21"/>
                <w:szCs w:val="21"/>
              </w:rPr>
              <w:t>7.</w:t>
            </w:r>
            <w:r w:rsidR="0044223C" w:rsidRPr="00D105C8">
              <w:rPr>
                <w:color w:val="000000"/>
                <w:sz w:val="21"/>
                <w:szCs w:val="21"/>
              </w:rPr>
              <w:t>6</w:t>
            </w:r>
            <w:r w:rsidRPr="00D105C8">
              <w:rPr>
                <w:color w:val="000000"/>
                <w:sz w:val="21"/>
                <w:szCs w:val="21"/>
              </w:rPr>
              <w:t xml:space="preserve"> </w:t>
            </w:r>
            <w:r w:rsidRPr="00D105C8">
              <w:rPr>
                <w:color w:val="202124"/>
                <w:sz w:val="21"/>
                <w:szCs w:val="21"/>
                <w:shd w:val="clear" w:color="auto" w:fill="FFFFFF"/>
              </w:rPr>
              <w:t>± 0.1</w:t>
            </w:r>
            <w:r w:rsidRPr="00D105C8">
              <w:rPr>
                <w:color w:val="202124"/>
                <w:sz w:val="21"/>
                <w:szCs w:val="21"/>
                <w:shd w:val="clear" w:color="auto" w:fill="FFFFFF"/>
                <w:vertAlign w:val="superscript"/>
              </w:rPr>
              <w:t>bc</w:t>
            </w:r>
          </w:p>
        </w:tc>
        <w:tc>
          <w:tcPr>
            <w:tcW w:w="1266" w:type="dxa"/>
            <w:shd w:val="clear" w:color="auto" w:fill="auto"/>
            <w:vAlign w:val="center"/>
          </w:tcPr>
          <w:p w14:paraId="2A818ACA" w14:textId="36D8D775" w:rsidR="00A3545D" w:rsidRPr="00D105C8" w:rsidRDefault="00A3545D" w:rsidP="007510B2">
            <w:pPr>
              <w:jc w:val="center"/>
              <w:rPr>
                <w:sz w:val="21"/>
                <w:szCs w:val="21"/>
                <w:vertAlign w:val="superscript"/>
              </w:rPr>
            </w:pPr>
            <w:r w:rsidRPr="00D105C8">
              <w:rPr>
                <w:color w:val="000000"/>
                <w:sz w:val="21"/>
                <w:szCs w:val="21"/>
              </w:rPr>
              <w:t xml:space="preserve">7.8 </w:t>
            </w:r>
            <w:r w:rsidRPr="00D105C8">
              <w:rPr>
                <w:color w:val="202124"/>
                <w:sz w:val="21"/>
                <w:szCs w:val="21"/>
                <w:shd w:val="clear" w:color="auto" w:fill="FFFFFF"/>
              </w:rPr>
              <w:t>± 0.</w:t>
            </w:r>
            <w:r w:rsidR="0044223C" w:rsidRPr="00D105C8">
              <w:rPr>
                <w:color w:val="202124"/>
                <w:sz w:val="21"/>
                <w:szCs w:val="21"/>
                <w:shd w:val="clear" w:color="auto" w:fill="FFFFFF"/>
              </w:rPr>
              <w:t>2</w:t>
            </w:r>
            <w:r w:rsidRPr="00D105C8">
              <w:rPr>
                <w:color w:val="202124"/>
                <w:sz w:val="21"/>
                <w:szCs w:val="21"/>
                <w:shd w:val="clear" w:color="auto" w:fill="FFFFFF"/>
                <w:vertAlign w:val="superscript"/>
              </w:rPr>
              <w:t>abc</w:t>
            </w:r>
          </w:p>
        </w:tc>
        <w:tc>
          <w:tcPr>
            <w:tcW w:w="1267" w:type="dxa"/>
            <w:shd w:val="clear" w:color="auto" w:fill="auto"/>
            <w:vAlign w:val="center"/>
          </w:tcPr>
          <w:p w14:paraId="46B6201A" w14:textId="35D001BD" w:rsidR="00A3545D" w:rsidRPr="00D105C8" w:rsidRDefault="00A3545D" w:rsidP="007510B2">
            <w:pPr>
              <w:jc w:val="center"/>
              <w:rPr>
                <w:sz w:val="21"/>
                <w:szCs w:val="21"/>
                <w:vertAlign w:val="superscript"/>
              </w:rPr>
            </w:pPr>
            <w:r w:rsidRPr="00D105C8">
              <w:rPr>
                <w:color w:val="000000"/>
                <w:sz w:val="21"/>
                <w:szCs w:val="21"/>
              </w:rPr>
              <w:t>7.</w:t>
            </w:r>
            <w:r w:rsidR="0044223C" w:rsidRPr="00D105C8">
              <w:rPr>
                <w:color w:val="000000"/>
                <w:sz w:val="21"/>
                <w:szCs w:val="21"/>
              </w:rPr>
              <w:t>9</w:t>
            </w:r>
            <w:r w:rsidRPr="00D105C8">
              <w:rPr>
                <w:color w:val="000000"/>
                <w:sz w:val="21"/>
                <w:szCs w:val="21"/>
              </w:rPr>
              <w:t xml:space="preserve"> </w:t>
            </w:r>
            <w:r w:rsidRPr="00D105C8">
              <w:rPr>
                <w:color w:val="202124"/>
                <w:sz w:val="21"/>
                <w:szCs w:val="21"/>
                <w:shd w:val="clear" w:color="auto" w:fill="FFFFFF"/>
              </w:rPr>
              <w:t>± 0.2</w:t>
            </w:r>
            <w:r w:rsidRPr="00D105C8">
              <w:rPr>
                <w:color w:val="202124"/>
                <w:sz w:val="21"/>
                <w:szCs w:val="21"/>
                <w:shd w:val="clear" w:color="auto" w:fill="FFFFFF"/>
                <w:vertAlign w:val="superscript"/>
              </w:rPr>
              <w:t>abc</w:t>
            </w:r>
          </w:p>
        </w:tc>
        <w:tc>
          <w:tcPr>
            <w:tcW w:w="1266" w:type="dxa"/>
            <w:shd w:val="clear" w:color="auto" w:fill="auto"/>
            <w:vAlign w:val="center"/>
          </w:tcPr>
          <w:p w14:paraId="53FA728A" w14:textId="2E459C28" w:rsidR="00A3545D" w:rsidRPr="00D105C8" w:rsidRDefault="00A3545D" w:rsidP="007510B2">
            <w:pPr>
              <w:jc w:val="center"/>
              <w:rPr>
                <w:sz w:val="21"/>
                <w:szCs w:val="21"/>
                <w:vertAlign w:val="superscript"/>
              </w:rPr>
            </w:pPr>
            <w:r w:rsidRPr="00D105C8">
              <w:rPr>
                <w:color w:val="000000"/>
                <w:sz w:val="21"/>
                <w:szCs w:val="21"/>
              </w:rPr>
              <w:t>7.</w:t>
            </w:r>
            <w:r w:rsidR="00D105C8" w:rsidRPr="00D105C8">
              <w:rPr>
                <w:color w:val="000000"/>
                <w:sz w:val="21"/>
                <w:szCs w:val="21"/>
              </w:rPr>
              <w:t>5</w:t>
            </w:r>
            <w:r w:rsidRPr="00D105C8">
              <w:rPr>
                <w:color w:val="000000"/>
                <w:sz w:val="21"/>
                <w:szCs w:val="21"/>
              </w:rPr>
              <w:t xml:space="preserve"> </w:t>
            </w:r>
            <w:r w:rsidRPr="00D105C8">
              <w:rPr>
                <w:color w:val="202124"/>
                <w:sz w:val="21"/>
                <w:szCs w:val="21"/>
                <w:shd w:val="clear" w:color="auto" w:fill="FFFFFF"/>
              </w:rPr>
              <w:t>± 0.0</w:t>
            </w:r>
            <w:r w:rsidRPr="00D105C8">
              <w:rPr>
                <w:color w:val="202124"/>
                <w:sz w:val="21"/>
                <w:szCs w:val="21"/>
                <w:shd w:val="clear" w:color="auto" w:fill="FFFFFF"/>
                <w:vertAlign w:val="superscript"/>
              </w:rPr>
              <w:t>c</w:t>
            </w:r>
          </w:p>
        </w:tc>
        <w:tc>
          <w:tcPr>
            <w:tcW w:w="1266" w:type="dxa"/>
            <w:shd w:val="clear" w:color="auto" w:fill="auto"/>
            <w:vAlign w:val="center"/>
          </w:tcPr>
          <w:p w14:paraId="4A0903F4" w14:textId="32FA0E26" w:rsidR="00A3545D" w:rsidRPr="00D105C8" w:rsidRDefault="00D105C8" w:rsidP="007510B2">
            <w:pPr>
              <w:jc w:val="center"/>
              <w:rPr>
                <w:sz w:val="21"/>
                <w:szCs w:val="21"/>
                <w:vertAlign w:val="superscript"/>
              </w:rPr>
            </w:pPr>
            <w:r w:rsidRPr="00D105C8">
              <w:rPr>
                <w:color w:val="000000"/>
                <w:sz w:val="21"/>
                <w:szCs w:val="21"/>
              </w:rPr>
              <w:t>8.0</w:t>
            </w:r>
            <w:r w:rsidR="00A3545D" w:rsidRPr="00D105C8">
              <w:rPr>
                <w:color w:val="000000"/>
                <w:sz w:val="21"/>
                <w:szCs w:val="21"/>
              </w:rPr>
              <w:t xml:space="preserve"> </w:t>
            </w:r>
            <w:r w:rsidR="00A3545D" w:rsidRPr="00D105C8">
              <w:rPr>
                <w:color w:val="202124"/>
                <w:sz w:val="21"/>
                <w:szCs w:val="21"/>
                <w:shd w:val="clear" w:color="auto" w:fill="FFFFFF"/>
              </w:rPr>
              <w:t>± 0.</w:t>
            </w:r>
            <w:r w:rsidRPr="00D105C8">
              <w:rPr>
                <w:color w:val="202124"/>
                <w:sz w:val="21"/>
                <w:szCs w:val="21"/>
                <w:shd w:val="clear" w:color="auto" w:fill="FFFFFF"/>
              </w:rPr>
              <w:t>3</w:t>
            </w:r>
            <w:r w:rsidR="00A3545D" w:rsidRPr="00D105C8">
              <w:rPr>
                <w:color w:val="202124"/>
                <w:sz w:val="21"/>
                <w:szCs w:val="21"/>
                <w:shd w:val="clear" w:color="auto" w:fill="FFFFFF"/>
                <w:vertAlign w:val="superscript"/>
              </w:rPr>
              <w:t>abc</w:t>
            </w:r>
          </w:p>
        </w:tc>
        <w:tc>
          <w:tcPr>
            <w:tcW w:w="1266" w:type="dxa"/>
            <w:shd w:val="clear" w:color="auto" w:fill="auto"/>
            <w:vAlign w:val="center"/>
          </w:tcPr>
          <w:p w14:paraId="56E99017" w14:textId="4485073E" w:rsidR="00A3545D" w:rsidRPr="00D105C8" w:rsidRDefault="00A3545D" w:rsidP="007510B2">
            <w:pPr>
              <w:jc w:val="center"/>
              <w:rPr>
                <w:sz w:val="21"/>
                <w:szCs w:val="21"/>
                <w:vertAlign w:val="superscript"/>
              </w:rPr>
            </w:pPr>
            <w:r w:rsidRPr="00D105C8">
              <w:rPr>
                <w:color w:val="000000"/>
                <w:sz w:val="21"/>
                <w:szCs w:val="21"/>
              </w:rPr>
              <w:t xml:space="preserve">7.6 </w:t>
            </w:r>
            <w:r w:rsidRPr="00D105C8">
              <w:rPr>
                <w:color w:val="202124"/>
                <w:sz w:val="21"/>
                <w:szCs w:val="21"/>
                <w:shd w:val="clear" w:color="auto" w:fill="FFFFFF"/>
              </w:rPr>
              <w:t>± 0.14</w:t>
            </w:r>
            <w:r w:rsidRPr="00D105C8">
              <w:rPr>
                <w:color w:val="202124"/>
                <w:sz w:val="21"/>
                <w:szCs w:val="21"/>
                <w:shd w:val="clear" w:color="auto" w:fill="FFFFFF"/>
                <w:vertAlign w:val="superscript"/>
              </w:rPr>
              <w:t>abc</w:t>
            </w:r>
          </w:p>
        </w:tc>
        <w:tc>
          <w:tcPr>
            <w:tcW w:w="1267" w:type="dxa"/>
            <w:shd w:val="clear" w:color="auto" w:fill="auto"/>
            <w:vAlign w:val="center"/>
          </w:tcPr>
          <w:p w14:paraId="5949A423" w14:textId="1CB09E54" w:rsidR="00A3545D" w:rsidRPr="00D105C8" w:rsidRDefault="00A3545D" w:rsidP="007510B2">
            <w:pPr>
              <w:jc w:val="center"/>
              <w:rPr>
                <w:sz w:val="21"/>
                <w:szCs w:val="21"/>
                <w:vertAlign w:val="superscript"/>
              </w:rPr>
            </w:pPr>
            <w:r w:rsidRPr="00D105C8">
              <w:rPr>
                <w:color w:val="000000"/>
                <w:sz w:val="21"/>
                <w:szCs w:val="21"/>
              </w:rPr>
              <w:t xml:space="preserve">8.2 </w:t>
            </w:r>
            <w:r w:rsidRPr="00D105C8">
              <w:rPr>
                <w:color w:val="202124"/>
                <w:sz w:val="21"/>
                <w:szCs w:val="21"/>
                <w:shd w:val="clear" w:color="auto" w:fill="FFFFFF"/>
              </w:rPr>
              <w:t>± 0.1</w:t>
            </w:r>
            <w:r w:rsidRPr="00D105C8">
              <w:rPr>
                <w:color w:val="202124"/>
                <w:sz w:val="21"/>
                <w:szCs w:val="21"/>
                <w:shd w:val="clear" w:color="auto" w:fill="FFFFFF"/>
                <w:vertAlign w:val="superscript"/>
              </w:rPr>
              <w:t>ab</w:t>
            </w:r>
          </w:p>
        </w:tc>
        <w:tc>
          <w:tcPr>
            <w:tcW w:w="1266" w:type="dxa"/>
            <w:shd w:val="clear" w:color="auto" w:fill="auto"/>
            <w:vAlign w:val="center"/>
          </w:tcPr>
          <w:p w14:paraId="792AAE20" w14:textId="65EBE42A" w:rsidR="00A3545D" w:rsidRPr="00D105C8" w:rsidRDefault="00A3545D" w:rsidP="007510B2">
            <w:pPr>
              <w:jc w:val="center"/>
              <w:rPr>
                <w:sz w:val="21"/>
                <w:szCs w:val="21"/>
                <w:vertAlign w:val="superscript"/>
              </w:rPr>
            </w:pPr>
            <w:r w:rsidRPr="00D105C8">
              <w:rPr>
                <w:color w:val="000000"/>
                <w:sz w:val="21"/>
                <w:szCs w:val="21"/>
              </w:rPr>
              <w:t>8.</w:t>
            </w:r>
            <w:r w:rsidR="00D105C8">
              <w:rPr>
                <w:color w:val="000000"/>
                <w:sz w:val="21"/>
                <w:szCs w:val="21"/>
              </w:rPr>
              <w:t>6</w:t>
            </w:r>
            <w:r w:rsidRPr="00D105C8">
              <w:rPr>
                <w:color w:val="000000"/>
                <w:sz w:val="21"/>
                <w:szCs w:val="21"/>
              </w:rPr>
              <w:t xml:space="preserve"> </w:t>
            </w:r>
            <w:r w:rsidRPr="00D105C8">
              <w:rPr>
                <w:color w:val="202124"/>
                <w:sz w:val="21"/>
                <w:szCs w:val="21"/>
                <w:shd w:val="clear" w:color="auto" w:fill="FFFFFF"/>
              </w:rPr>
              <w:t>± 0.4</w:t>
            </w:r>
            <w:r w:rsidRPr="00D105C8">
              <w:rPr>
                <w:color w:val="202124"/>
                <w:sz w:val="21"/>
                <w:szCs w:val="21"/>
                <w:shd w:val="clear" w:color="auto" w:fill="FFFFFF"/>
                <w:vertAlign w:val="superscript"/>
              </w:rPr>
              <w:t>ab</w:t>
            </w:r>
          </w:p>
        </w:tc>
        <w:tc>
          <w:tcPr>
            <w:tcW w:w="1266" w:type="dxa"/>
            <w:shd w:val="clear" w:color="auto" w:fill="auto"/>
            <w:vAlign w:val="center"/>
          </w:tcPr>
          <w:p w14:paraId="7566F28A" w14:textId="0BF8E63C" w:rsidR="00A3545D" w:rsidRPr="00D105C8" w:rsidRDefault="00A3545D" w:rsidP="007510B2">
            <w:pPr>
              <w:jc w:val="center"/>
              <w:rPr>
                <w:sz w:val="21"/>
                <w:szCs w:val="21"/>
                <w:vertAlign w:val="superscript"/>
              </w:rPr>
            </w:pPr>
            <w:r w:rsidRPr="00D105C8">
              <w:rPr>
                <w:color w:val="000000"/>
                <w:sz w:val="21"/>
                <w:szCs w:val="21"/>
              </w:rPr>
              <w:t>8.</w:t>
            </w:r>
            <w:r w:rsidR="00D105C8">
              <w:rPr>
                <w:color w:val="000000"/>
                <w:sz w:val="21"/>
                <w:szCs w:val="21"/>
              </w:rPr>
              <w:t>4</w:t>
            </w:r>
            <w:r w:rsidRPr="00D105C8">
              <w:rPr>
                <w:color w:val="000000"/>
                <w:sz w:val="21"/>
                <w:szCs w:val="21"/>
              </w:rPr>
              <w:t xml:space="preserve"> </w:t>
            </w:r>
            <w:r w:rsidRPr="00D105C8">
              <w:rPr>
                <w:color w:val="202124"/>
                <w:sz w:val="21"/>
                <w:szCs w:val="21"/>
                <w:shd w:val="clear" w:color="auto" w:fill="FFFFFF"/>
              </w:rPr>
              <w:t>± 0.</w:t>
            </w:r>
            <w:r w:rsidR="00D105C8">
              <w:rPr>
                <w:color w:val="202124"/>
                <w:sz w:val="21"/>
                <w:szCs w:val="21"/>
                <w:shd w:val="clear" w:color="auto" w:fill="FFFFFF"/>
              </w:rPr>
              <w:t>1</w:t>
            </w:r>
            <w:r w:rsidRPr="00D105C8">
              <w:rPr>
                <w:color w:val="202124"/>
                <w:sz w:val="21"/>
                <w:szCs w:val="21"/>
                <w:shd w:val="clear" w:color="auto" w:fill="FFFFFF"/>
                <w:vertAlign w:val="superscript"/>
              </w:rPr>
              <w:t>a</w:t>
            </w:r>
          </w:p>
        </w:tc>
        <w:tc>
          <w:tcPr>
            <w:tcW w:w="1267" w:type="dxa"/>
            <w:shd w:val="clear" w:color="auto" w:fill="auto"/>
            <w:vAlign w:val="center"/>
          </w:tcPr>
          <w:p w14:paraId="09738E26" w14:textId="67404CB7" w:rsidR="00A3545D" w:rsidRPr="00D105C8" w:rsidRDefault="00A3545D" w:rsidP="007510B2">
            <w:pPr>
              <w:jc w:val="center"/>
              <w:rPr>
                <w:sz w:val="21"/>
                <w:szCs w:val="21"/>
                <w:vertAlign w:val="superscript"/>
              </w:rPr>
            </w:pPr>
            <w:r w:rsidRPr="00D105C8">
              <w:rPr>
                <w:color w:val="000000"/>
                <w:sz w:val="21"/>
                <w:szCs w:val="21"/>
              </w:rPr>
              <w:t xml:space="preserve">7.9 </w:t>
            </w:r>
            <w:r w:rsidRPr="00D105C8">
              <w:rPr>
                <w:color w:val="202124"/>
                <w:sz w:val="21"/>
                <w:szCs w:val="21"/>
                <w:shd w:val="clear" w:color="auto" w:fill="FFFFFF"/>
              </w:rPr>
              <w:t>± 0.</w:t>
            </w:r>
            <w:r w:rsidR="00D105C8">
              <w:rPr>
                <w:color w:val="202124"/>
                <w:sz w:val="21"/>
                <w:szCs w:val="21"/>
                <w:shd w:val="clear" w:color="auto" w:fill="FFFFFF"/>
              </w:rPr>
              <w:t>2</w:t>
            </w:r>
            <w:r w:rsidRPr="00D105C8">
              <w:rPr>
                <w:color w:val="202124"/>
                <w:sz w:val="21"/>
                <w:szCs w:val="21"/>
                <w:shd w:val="clear" w:color="auto" w:fill="FFFFFF"/>
                <w:vertAlign w:val="superscript"/>
              </w:rPr>
              <w:t>abc</w:t>
            </w:r>
          </w:p>
        </w:tc>
      </w:tr>
      <w:tr w:rsidR="00A3545D" w14:paraId="0EB717B9" w14:textId="77777777" w:rsidTr="00A3545D">
        <w:tc>
          <w:tcPr>
            <w:tcW w:w="2547" w:type="dxa"/>
          </w:tcPr>
          <w:p w14:paraId="59D34523" w14:textId="40944C42" w:rsidR="00A3545D" w:rsidRDefault="006270E7" w:rsidP="007510B2">
            <w:r w:rsidRPr="006270E7">
              <w:t>Extractable NH</w:t>
            </w:r>
            <w:r w:rsidRPr="006270E7">
              <w:rPr>
                <w:vertAlign w:val="subscript"/>
              </w:rPr>
              <w:t>4</w:t>
            </w:r>
            <w:r w:rsidRPr="006270E7">
              <w:rPr>
                <w:vertAlign w:val="superscript"/>
              </w:rPr>
              <w:t>+</w:t>
            </w:r>
            <w:r w:rsidRPr="006270E7">
              <w:t xml:space="preserve"> (mg N kg</w:t>
            </w:r>
            <w:r w:rsidRPr="006270E7">
              <w:rPr>
                <w:vertAlign w:val="superscript"/>
              </w:rPr>
              <w:t>−1</w:t>
            </w:r>
            <w:r w:rsidRPr="006270E7">
              <w:t>)</w:t>
            </w:r>
          </w:p>
        </w:tc>
        <w:tc>
          <w:tcPr>
            <w:tcW w:w="1266" w:type="dxa"/>
            <w:shd w:val="clear" w:color="auto" w:fill="auto"/>
            <w:vAlign w:val="center"/>
          </w:tcPr>
          <w:p w14:paraId="19103399" w14:textId="423D4347" w:rsidR="00A3545D" w:rsidRPr="00D105C8" w:rsidRDefault="00A3545D" w:rsidP="007510B2">
            <w:pPr>
              <w:jc w:val="center"/>
              <w:rPr>
                <w:sz w:val="21"/>
                <w:szCs w:val="21"/>
                <w:vertAlign w:val="superscript"/>
              </w:rPr>
            </w:pPr>
            <w:r w:rsidRPr="00D105C8">
              <w:rPr>
                <w:color w:val="000000"/>
                <w:sz w:val="21"/>
                <w:szCs w:val="21"/>
              </w:rPr>
              <w:t xml:space="preserve">1.7 </w:t>
            </w:r>
            <w:r w:rsidRPr="00D105C8">
              <w:rPr>
                <w:color w:val="202124"/>
                <w:sz w:val="21"/>
                <w:szCs w:val="21"/>
                <w:shd w:val="clear" w:color="auto" w:fill="FFFFFF"/>
              </w:rPr>
              <w:t>± 0.</w:t>
            </w:r>
            <w:r w:rsidR="00545589">
              <w:rPr>
                <w:color w:val="202124"/>
                <w:sz w:val="21"/>
                <w:szCs w:val="21"/>
                <w:shd w:val="clear" w:color="auto" w:fill="FFFFFF"/>
              </w:rPr>
              <w:t>2</w:t>
            </w:r>
            <w:r w:rsidRPr="00D105C8">
              <w:rPr>
                <w:color w:val="202124"/>
                <w:sz w:val="21"/>
                <w:szCs w:val="21"/>
                <w:shd w:val="clear" w:color="auto" w:fill="FFFFFF"/>
                <w:vertAlign w:val="superscript"/>
              </w:rPr>
              <w:t>fgh</w:t>
            </w:r>
          </w:p>
        </w:tc>
        <w:tc>
          <w:tcPr>
            <w:tcW w:w="1266" w:type="dxa"/>
            <w:shd w:val="clear" w:color="auto" w:fill="auto"/>
            <w:vAlign w:val="center"/>
          </w:tcPr>
          <w:p w14:paraId="1D982CEE" w14:textId="1DC47749" w:rsidR="00A3545D" w:rsidRPr="00D105C8" w:rsidRDefault="00A3545D" w:rsidP="007510B2">
            <w:pPr>
              <w:jc w:val="center"/>
              <w:rPr>
                <w:sz w:val="21"/>
                <w:szCs w:val="21"/>
                <w:vertAlign w:val="superscript"/>
              </w:rPr>
            </w:pPr>
            <w:r w:rsidRPr="00D105C8">
              <w:rPr>
                <w:color w:val="000000"/>
                <w:sz w:val="21"/>
                <w:szCs w:val="21"/>
              </w:rPr>
              <w:t xml:space="preserve">1.5 </w:t>
            </w:r>
            <w:r w:rsidRPr="00D105C8">
              <w:rPr>
                <w:color w:val="202124"/>
                <w:sz w:val="21"/>
                <w:szCs w:val="21"/>
                <w:shd w:val="clear" w:color="auto" w:fill="FFFFFF"/>
              </w:rPr>
              <w:t>± 0.</w:t>
            </w:r>
            <w:r w:rsidR="00545589">
              <w:rPr>
                <w:color w:val="202124"/>
                <w:sz w:val="21"/>
                <w:szCs w:val="21"/>
                <w:shd w:val="clear" w:color="auto" w:fill="FFFFFF"/>
              </w:rPr>
              <w:t>1</w:t>
            </w:r>
            <w:r w:rsidRPr="00D105C8">
              <w:rPr>
                <w:color w:val="202124"/>
                <w:sz w:val="21"/>
                <w:szCs w:val="21"/>
                <w:shd w:val="clear" w:color="auto" w:fill="FFFFFF"/>
                <w:vertAlign w:val="superscript"/>
              </w:rPr>
              <w:t>gh</w:t>
            </w:r>
          </w:p>
        </w:tc>
        <w:tc>
          <w:tcPr>
            <w:tcW w:w="1266" w:type="dxa"/>
            <w:shd w:val="clear" w:color="auto" w:fill="auto"/>
            <w:vAlign w:val="center"/>
          </w:tcPr>
          <w:p w14:paraId="720070B6" w14:textId="6BE89F5A" w:rsidR="00A3545D" w:rsidRPr="00D105C8" w:rsidRDefault="00A3545D" w:rsidP="007510B2">
            <w:pPr>
              <w:jc w:val="center"/>
              <w:rPr>
                <w:sz w:val="21"/>
                <w:szCs w:val="21"/>
                <w:vertAlign w:val="superscript"/>
              </w:rPr>
            </w:pPr>
            <w:r w:rsidRPr="00D105C8">
              <w:rPr>
                <w:color w:val="000000"/>
                <w:sz w:val="21"/>
                <w:szCs w:val="21"/>
              </w:rPr>
              <w:t xml:space="preserve">20.4 </w:t>
            </w:r>
            <w:r w:rsidRPr="00D105C8">
              <w:rPr>
                <w:color w:val="202124"/>
                <w:sz w:val="21"/>
                <w:szCs w:val="21"/>
                <w:shd w:val="clear" w:color="auto" w:fill="FFFFFF"/>
              </w:rPr>
              <w:t>± 3.</w:t>
            </w:r>
            <w:r w:rsidR="00545589">
              <w:rPr>
                <w:color w:val="202124"/>
                <w:sz w:val="21"/>
                <w:szCs w:val="21"/>
                <w:shd w:val="clear" w:color="auto" w:fill="FFFFFF"/>
              </w:rPr>
              <w:t>5</w:t>
            </w:r>
            <w:r w:rsidRPr="00D105C8">
              <w:rPr>
                <w:color w:val="202124"/>
                <w:sz w:val="21"/>
                <w:szCs w:val="21"/>
                <w:shd w:val="clear" w:color="auto" w:fill="FFFFFF"/>
                <w:vertAlign w:val="superscript"/>
              </w:rPr>
              <w:t>abc</w:t>
            </w:r>
          </w:p>
        </w:tc>
        <w:tc>
          <w:tcPr>
            <w:tcW w:w="1267" w:type="dxa"/>
            <w:shd w:val="clear" w:color="auto" w:fill="auto"/>
            <w:vAlign w:val="center"/>
          </w:tcPr>
          <w:p w14:paraId="15F0F68C" w14:textId="3F102F1C" w:rsidR="00A3545D" w:rsidRPr="00D105C8" w:rsidRDefault="00A3545D" w:rsidP="007510B2">
            <w:pPr>
              <w:jc w:val="center"/>
              <w:rPr>
                <w:sz w:val="21"/>
                <w:szCs w:val="21"/>
                <w:vertAlign w:val="superscript"/>
              </w:rPr>
            </w:pPr>
            <w:r w:rsidRPr="00D105C8">
              <w:rPr>
                <w:color w:val="000000"/>
                <w:sz w:val="21"/>
                <w:szCs w:val="21"/>
              </w:rPr>
              <w:t xml:space="preserve">20.9 </w:t>
            </w:r>
            <w:r w:rsidRPr="00D105C8">
              <w:rPr>
                <w:color w:val="202124"/>
                <w:sz w:val="21"/>
                <w:szCs w:val="21"/>
                <w:shd w:val="clear" w:color="auto" w:fill="FFFFFF"/>
              </w:rPr>
              <w:t>± 4.1</w:t>
            </w:r>
            <w:r w:rsidRPr="00D105C8">
              <w:rPr>
                <w:color w:val="202124"/>
                <w:sz w:val="21"/>
                <w:szCs w:val="21"/>
                <w:shd w:val="clear" w:color="auto" w:fill="FFFFFF"/>
                <w:vertAlign w:val="superscript"/>
              </w:rPr>
              <w:t>ab</w:t>
            </w:r>
          </w:p>
        </w:tc>
        <w:tc>
          <w:tcPr>
            <w:tcW w:w="1266" w:type="dxa"/>
            <w:shd w:val="clear" w:color="auto" w:fill="auto"/>
            <w:vAlign w:val="center"/>
          </w:tcPr>
          <w:p w14:paraId="582F1939" w14:textId="67591661" w:rsidR="00A3545D" w:rsidRPr="00D105C8" w:rsidRDefault="00A3545D" w:rsidP="007510B2">
            <w:pPr>
              <w:jc w:val="center"/>
              <w:rPr>
                <w:sz w:val="21"/>
                <w:szCs w:val="21"/>
                <w:vertAlign w:val="superscript"/>
              </w:rPr>
            </w:pPr>
            <w:r w:rsidRPr="00D105C8">
              <w:rPr>
                <w:color w:val="000000"/>
                <w:sz w:val="21"/>
                <w:szCs w:val="21"/>
              </w:rPr>
              <w:t xml:space="preserve">2.0 </w:t>
            </w:r>
            <w:r w:rsidRPr="00D105C8">
              <w:rPr>
                <w:color w:val="202124"/>
                <w:sz w:val="21"/>
                <w:szCs w:val="21"/>
                <w:shd w:val="clear" w:color="auto" w:fill="FFFFFF"/>
              </w:rPr>
              <w:t>± 0.</w:t>
            </w:r>
            <w:r w:rsidR="00EC4D54">
              <w:rPr>
                <w:color w:val="202124"/>
                <w:sz w:val="21"/>
                <w:szCs w:val="21"/>
                <w:shd w:val="clear" w:color="auto" w:fill="FFFFFF"/>
              </w:rPr>
              <w:t>1</w:t>
            </w:r>
            <w:r w:rsidRPr="00D105C8">
              <w:rPr>
                <w:color w:val="202124"/>
                <w:sz w:val="21"/>
                <w:szCs w:val="21"/>
                <w:shd w:val="clear" w:color="auto" w:fill="FFFFFF"/>
                <w:vertAlign w:val="superscript"/>
              </w:rPr>
              <w:t>efg</w:t>
            </w:r>
          </w:p>
        </w:tc>
        <w:tc>
          <w:tcPr>
            <w:tcW w:w="1266" w:type="dxa"/>
            <w:shd w:val="clear" w:color="auto" w:fill="auto"/>
            <w:vAlign w:val="center"/>
          </w:tcPr>
          <w:p w14:paraId="21E77AAC" w14:textId="3C4FE8D9" w:rsidR="00A3545D" w:rsidRPr="00D105C8" w:rsidRDefault="00A3545D" w:rsidP="007510B2">
            <w:pPr>
              <w:jc w:val="center"/>
              <w:rPr>
                <w:sz w:val="21"/>
                <w:szCs w:val="21"/>
                <w:vertAlign w:val="superscript"/>
              </w:rPr>
            </w:pPr>
            <w:r w:rsidRPr="00D105C8">
              <w:rPr>
                <w:color w:val="000000"/>
                <w:sz w:val="21"/>
                <w:szCs w:val="21"/>
              </w:rPr>
              <w:t>2.</w:t>
            </w:r>
            <w:r w:rsidR="00EA2DB4">
              <w:rPr>
                <w:color w:val="000000"/>
                <w:sz w:val="21"/>
                <w:szCs w:val="21"/>
              </w:rPr>
              <w:t>3</w:t>
            </w:r>
            <w:r w:rsidRPr="00D105C8">
              <w:rPr>
                <w:color w:val="000000"/>
                <w:sz w:val="21"/>
                <w:szCs w:val="21"/>
              </w:rPr>
              <w:t xml:space="preserve"> </w:t>
            </w:r>
            <w:r w:rsidRPr="00D105C8">
              <w:rPr>
                <w:color w:val="202124"/>
                <w:sz w:val="21"/>
                <w:szCs w:val="21"/>
                <w:shd w:val="clear" w:color="auto" w:fill="FFFFFF"/>
              </w:rPr>
              <w:t>± 0.1</w:t>
            </w:r>
            <w:r w:rsidRPr="00D105C8">
              <w:rPr>
                <w:color w:val="202124"/>
                <w:sz w:val="21"/>
                <w:szCs w:val="21"/>
                <w:shd w:val="clear" w:color="auto" w:fill="FFFFFF"/>
                <w:vertAlign w:val="superscript"/>
              </w:rPr>
              <w:t>def</w:t>
            </w:r>
          </w:p>
        </w:tc>
        <w:tc>
          <w:tcPr>
            <w:tcW w:w="1266" w:type="dxa"/>
            <w:shd w:val="clear" w:color="auto" w:fill="auto"/>
            <w:vAlign w:val="center"/>
          </w:tcPr>
          <w:p w14:paraId="4859DF97" w14:textId="3986153D" w:rsidR="00A3545D" w:rsidRPr="00D105C8" w:rsidRDefault="00A3545D" w:rsidP="007510B2">
            <w:pPr>
              <w:jc w:val="center"/>
              <w:rPr>
                <w:sz w:val="21"/>
                <w:szCs w:val="21"/>
                <w:vertAlign w:val="superscript"/>
              </w:rPr>
            </w:pPr>
            <w:r w:rsidRPr="00D105C8">
              <w:rPr>
                <w:color w:val="000000"/>
                <w:sz w:val="21"/>
                <w:szCs w:val="21"/>
              </w:rPr>
              <w:t xml:space="preserve">2.5 </w:t>
            </w:r>
            <w:r w:rsidRPr="00D105C8">
              <w:rPr>
                <w:color w:val="202124"/>
                <w:sz w:val="21"/>
                <w:szCs w:val="21"/>
                <w:shd w:val="clear" w:color="auto" w:fill="FFFFFF"/>
              </w:rPr>
              <w:t>± 0.2</w:t>
            </w:r>
            <w:r w:rsidRPr="00D105C8">
              <w:rPr>
                <w:color w:val="202124"/>
                <w:sz w:val="21"/>
                <w:szCs w:val="21"/>
                <w:shd w:val="clear" w:color="auto" w:fill="FFFFFF"/>
                <w:vertAlign w:val="superscript"/>
              </w:rPr>
              <w:t>de</w:t>
            </w:r>
          </w:p>
        </w:tc>
        <w:tc>
          <w:tcPr>
            <w:tcW w:w="1267" w:type="dxa"/>
            <w:shd w:val="clear" w:color="auto" w:fill="auto"/>
            <w:vAlign w:val="center"/>
          </w:tcPr>
          <w:p w14:paraId="3AE38C28" w14:textId="17919664" w:rsidR="00A3545D" w:rsidRPr="00D105C8" w:rsidRDefault="00A3545D" w:rsidP="007510B2">
            <w:pPr>
              <w:jc w:val="center"/>
              <w:rPr>
                <w:sz w:val="21"/>
                <w:szCs w:val="21"/>
                <w:vertAlign w:val="superscript"/>
              </w:rPr>
            </w:pPr>
            <w:r w:rsidRPr="00D105C8">
              <w:rPr>
                <w:color w:val="000000"/>
                <w:sz w:val="21"/>
                <w:szCs w:val="21"/>
              </w:rPr>
              <w:t xml:space="preserve">2.5 </w:t>
            </w:r>
            <w:r w:rsidRPr="00D105C8">
              <w:rPr>
                <w:color w:val="202124"/>
                <w:sz w:val="21"/>
                <w:szCs w:val="21"/>
                <w:shd w:val="clear" w:color="auto" w:fill="FFFFFF"/>
              </w:rPr>
              <w:t>± 0.2</w:t>
            </w:r>
            <w:r w:rsidRPr="00D105C8">
              <w:rPr>
                <w:color w:val="202124"/>
                <w:sz w:val="21"/>
                <w:szCs w:val="21"/>
                <w:shd w:val="clear" w:color="auto" w:fill="FFFFFF"/>
                <w:vertAlign w:val="superscript"/>
              </w:rPr>
              <w:t>de</w:t>
            </w:r>
          </w:p>
        </w:tc>
        <w:tc>
          <w:tcPr>
            <w:tcW w:w="1266" w:type="dxa"/>
            <w:shd w:val="clear" w:color="auto" w:fill="auto"/>
            <w:vAlign w:val="center"/>
          </w:tcPr>
          <w:p w14:paraId="4684AE60" w14:textId="779AB4CE" w:rsidR="00A3545D" w:rsidRPr="00D105C8" w:rsidRDefault="00A3545D" w:rsidP="007510B2">
            <w:pPr>
              <w:jc w:val="center"/>
              <w:rPr>
                <w:sz w:val="21"/>
                <w:szCs w:val="21"/>
                <w:vertAlign w:val="superscript"/>
              </w:rPr>
            </w:pPr>
            <w:r w:rsidRPr="00D105C8">
              <w:rPr>
                <w:color w:val="000000"/>
                <w:sz w:val="21"/>
                <w:szCs w:val="21"/>
              </w:rPr>
              <w:t xml:space="preserve">38.9 </w:t>
            </w:r>
            <w:r w:rsidRPr="00D105C8">
              <w:rPr>
                <w:color w:val="202124"/>
                <w:sz w:val="21"/>
                <w:szCs w:val="21"/>
                <w:shd w:val="clear" w:color="auto" w:fill="FFFFFF"/>
              </w:rPr>
              <w:t>± 4.</w:t>
            </w:r>
            <w:r w:rsidR="00EA2DB4">
              <w:rPr>
                <w:color w:val="202124"/>
                <w:sz w:val="21"/>
                <w:szCs w:val="21"/>
                <w:shd w:val="clear" w:color="auto" w:fill="FFFFFF"/>
              </w:rPr>
              <w:t>6</w:t>
            </w:r>
            <w:r w:rsidRPr="00D105C8">
              <w:rPr>
                <w:color w:val="202124"/>
                <w:sz w:val="21"/>
                <w:szCs w:val="21"/>
                <w:shd w:val="clear" w:color="auto" w:fill="FFFFFF"/>
                <w:vertAlign w:val="superscript"/>
              </w:rPr>
              <w:t>a</w:t>
            </w:r>
          </w:p>
        </w:tc>
        <w:tc>
          <w:tcPr>
            <w:tcW w:w="1266" w:type="dxa"/>
            <w:shd w:val="clear" w:color="auto" w:fill="auto"/>
            <w:vAlign w:val="center"/>
          </w:tcPr>
          <w:p w14:paraId="6B227C87" w14:textId="7CFBAD78" w:rsidR="00A3545D" w:rsidRPr="00D105C8" w:rsidRDefault="00A3545D" w:rsidP="007510B2">
            <w:pPr>
              <w:jc w:val="center"/>
              <w:rPr>
                <w:sz w:val="21"/>
                <w:szCs w:val="21"/>
                <w:vertAlign w:val="superscript"/>
              </w:rPr>
            </w:pPr>
            <w:r w:rsidRPr="00D105C8">
              <w:rPr>
                <w:color w:val="000000"/>
                <w:sz w:val="21"/>
                <w:szCs w:val="21"/>
              </w:rPr>
              <w:t>1.</w:t>
            </w:r>
            <w:r w:rsidR="00EA2DB4">
              <w:rPr>
                <w:color w:val="000000"/>
                <w:sz w:val="21"/>
                <w:szCs w:val="21"/>
              </w:rPr>
              <w:t>1</w:t>
            </w:r>
            <w:r w:rsidRPr="00D105C8">
              <w:rPr>
                <w:color w:val="000000"/>
                <w:sz w:val="21"/>
                <w:szCs w:val="21"/>
              </w:rPr>
              <w:t xml:space="preserve"> </w:t>
            </w:r>
            <w:r w:rsidRPr="00D105C8">
              <w:rPr>
                <w:color w:val="202124"/>
                <w:sz w:val="21"/>
                <w:szCs w:val="21"/>
                <w:shd w:val="clear" w:color="auto" w:fill="FFFFFF"/>
              </w:rPr>
              <w:t>± 0.2</w:t>
            </w:r>
            <w:r w:rsidRPr="00D105C8">
              <w:rPr>
                <w:color w:val="202124"/>
                <w:sz w:val="21"/>
                <w:szCs w:val="21"/>
                <w:shd w:val="clear" w:color="auto" w:fill="FFFFFF"/>
                <w:vertAlign w:val="superscript"/>
              </w:rPr>
              <w:t>h</w:t>
            </w:r>
          </w:p>
        </w:tc>
        <w:tc>
          <w:tcPr>
            <w:tcW w:w="1266" w:type="dxa"/>
            <w:shd w:val="clear" w:color="auto" w:fill="auto"/>
            <w:vAlign w:val="center"/>
          </w:tcPr>
          <w:p w14:paraId="25103736" w14:textId="7110F8B5" w:rsidR="00A3545D" w:rsidRPr="00D105C8" w:rsidRDefault="00A3545D" w:rsidP="007510B2">
            <w:pPr>
              <w:jc w:val="center"/>
              <w:rPr>
                <w:sz w:val="21"/>
                <w:szCs w:val="21"/>
                <w:vertAlign w:val="superscript"/>
              </w:rPr>
            </w:pPr>
            <w:r w:rsidRPr="00D105C8">
              <w:rPr>
                <w:color w:val="000000"/>
                <w:sz w:val="21"/>
                <w:szCs w:val="21"/>
              </w:rPr>
              <w:t xml:space="preserve">2.7 </w:t>
            </w:r>
            <w:r w:rsidRPr="00D105C8">
              <w:rPr>
                <w:color w:val="202124"/>
                <w:sz w:val="21"/>
                <w:szCs w:val="21"/>
                <w:shd w:val="clear" w:color="auto" w:fill="FFFFFF"/>
              </w:rPr>
              <w:t>± 0.</w:t>
            </w:r>
            <w:r w:rsidR="00EA2DB4">
              <w:rPr>
                <w:color w:val="202124"/>
                <w:sz w:val="21"/>
                <w:szCs w:val="21"/>
                <w:shd w:val="clear" w:color="auto" w:fill="FFFFFF"/>
              </w:rPr>
              <w:t>3</w:t>
            </w:r>
            <w:r w:rsidRPr="00D105C8">
              <w:rPr>
                <w:color w:val="202124"/>
                <w:sz w:val="21"/>
                <w:szCs w:val="21"/>
                <w:shd w:val="clear" w:color="auto" w:fill="FFFFFF"/>
                <w:vertAlign w:val="superscript"/>
              </w:rPr>
              <w:t>bcde</w:t>
            </w:r>
          </w:p>
        </w:tc>
        <w:tc>
          <w:tcPr>
            <w:tcW w:w="1267" w:type="dxa"/>
            <w:shd w:val="clear" w:color="auto" w:fill="auto"/>
            <w:vAlign w:val="center"/>
          </w:tcPr>
          <w:p w14:paraId="7A22E94E" w14:textId="274A74CA" w:rsidR="00A3545D" w:rsidRPr="00D105C8" w:rsidRDefault="00A3545D" w:rsidP="007510B2">
            <w:pPr>
              <w:jc w:val="center"/>
              <w:rPr>
                <w:sz w:val="21"/>
                <w:szCs w:val="21"/>
                <w:vertAlign w:val="superscript"/>
              </w:rPr>
            </w:pPr>
            <w:r w:rsidRPr="00D105C8">
              <w:rPr>
                <w:color w:val="000000"/>
                <w:sz w:val="21"/>
                <w:szCs w:val="21"/>
              </w:rPr>
              <w:t xml:space="preserve">3.6 </w:t>
            </w:r>
            <w:r w:rsidRPr="00D105C8">
              <w:rPr>
                <w:color w:val="202124"/>
                <w:sz w:val="21"/>
                <w:szCs w:val="21"/>
                <w:shd w:val="clear" w:color="auto" w:fill="FFFFFF"/>
              </w:rPr>
              <w:t>± 1.</w:t>
            </w:r>
            <w:r w:rsidR="00EA2DB4">
              <w:rPr>
                <w:color w:val="202124"/>
                <w:sz w:val="21"/>
                <w:szCs w:val="21"/>
                <w:shd w:val="clear" w:color="auto" w:fill="FFFFFF"/>
              </w:rPr>
              <w:t>3</w:t>
            </w:r>
            <w:r w:rsidRPr="00D105C8">
              <w:rPr>
                <w:color w:val="202124"/>
                <w:sz w:val="21"/>
                <w:szCs w:val="21"/>
                <w:shd w:val="clear" w:color="auto" w:fill="FFFFFF"/>
                <w:vertAlign w:val="superscript"/>
              </w:rPr>
              <w:t>cde</w:t>
            </w:r>
          </w:p>
        </w:tc>
        <w:tc>
          <w:tcPr>
            <w:tcW w:w="1266" w:type="dxa"/>
            <w:shd w:val="clear" w:color="auto" w:fill="auto"/>
            <w:vAlign w:val="center"/>
          </w:tcPr>
          <w:p w14:paraId="285D5B9C" w14:textId="322B7C1F" w:rsidR="00A3545D" w:rsidRPr="00D105C8" w:rsidRDefault="00A3545D" w:rsidP="007510B2">
            <w:pPr>
              <w:jc w:val="center"/>
              <w:rPr>
                <w:sz w:val="21"/>
                <w:szCs w:val="21"/>
                <w:vertAlign w:val="superscript"/>
              </w:rPr>
            </w:pPr>
            <w:r w:rsidRPr="00D105C8">
              <w:rPr>
                <w:color w:val="000000"/>
                <w:sz w:val="21"/>
                <w:szCs w:val="21"/>
              </w:rPr>
              <w:t>1.</w:t>
            </w:r>
            <w:r w:rsidR="00EA2DB4">
              <w:rPr>
                <w:color w:val="000000"/>
                <w:sz w:val="21"/>
                <w:szCs w:val="21"/>
              </w:rPr>
              <w:t>3</w:t>
            </w:r>
            <w:r w:rsidRPr="00D105C8">
              <w:rPr>
                <w:color w:val="000000"/>
                <w:sz w:val="21"/>
                <w:szCs w:val="21"/>
              </w:rPr>
              <w:t xml:space="preserve"> </w:t>
            </w:r>
            <w:r w:rsidRPr="00D105C8">
              <w:rPr>
                <w:color w:val="202124"/>
                <w:sz w:val="21"/>
                <w:szCs w:val="21"/>
                <w:shd w:val="clear" w:color="auto" w:fill="FFFFFF"/>
              </w:rPr>
              <w:t>± 0.</w:t>
            </w:r>
            <w:r w:rsidR="00EA2DB4">
              <w:rPr>
                <w:color w:val="202124"/>
                <w:sz w:val="21"/>
                <w:szCs w:val="21"/>
                <w:shd w:val="clear" w:color="auto" w:fill="FFFFFF"/>
              </w:rPr>
              <w:t>4</w:t>
            </w:r>
            <w:r w:rsidRPr="00D105C8">
              <w:rPr>
                <w:color w:val="202124"/>
                <w:sz w:val="21"/>
                <w:szCs w:val="21"/>
                <w:shd w:val="clear" w:color="auto" w:fill="FFFFFF"/>
                <w:vertAlign w:val="superscript"/>
              </w:rPr>
              <w:t>gh</w:t>
            </w:r>
          </w:p>
        </w:tc>
        <w:tc>
          <w:tcPr>
            <w:tcW w:w="1266" w:type="dxa"/>
            <w:shd w:val="clear" w:color="auto" w:fill="auto"/>
            <w:vAlign w:val="center"/>
          </w:tcPr>
          <w:p w14:paraId="20903655" w14:textId="1CA5DE27" w:rsidR="00A3545D" w:rsidRPr="00D105C8" w:rsidRDefault="00A3545D" w:rsidP="007510B2">
            <w:pPr>
              <w:jc w:val="center"/>
              <w:rPr>
                <w:sz w:val="21"/>
                <w:szCs w:val="21"/>
                <w:vertAlign w:val="superscript"/>
              </w:rPr>
            </w:pPr>
            <w:r w:rsidRPr="00D105C8">
              <w:rPr>
                <w:color w:val="000000"/>
                <w:sz w:val="21"/>
                <w:szCs w:val="21"/>
              </w:rPr>
              <w:t xml:space="preserve">4.5 </w:t>
            </w:r>
            <w:r w:rsidRPr="00D105C8">
              <w:rPr>
                <w:color w:val="202124"/>
                <w:sz w:val="21"/>
                <w:szCs w:val="21"/>
                <w:shd w:val="clear" w:color="auto" w:fill="FFFFFF"/>
              </w:rPr>
              <w:t>± 0.8</w:t>
            </w:r>
            <w:r w:rsidRPr="00D105C8">
              <w:rPr>
                <w:color w:val="202124"/>
                <w:sz w:val="21"/>
                <w:szCs w:val="21"/>
                <w:shd w:val="clear" w:color="auto" w:fill="FFFFFF"/>
                <w:vertAlign w:val="superscript"/>
              </w:rPr>
              <w:t>abcd</w:t>
            </w:r>
          </w:p>
        </w:tc>
        <w:tc>
          <w:tcPr>
            <w:tcW w:w="1267" w:type="dxa"/>
            <w:shd w:val="clear" w:color="auto" w:fill="auto"/>
            <w:vAlign w:val="center"/>
          </w:tcPr>
          <w:p w14:paraId="5781195E" w14:textId="5AC1E6BC" w:rsidR="00A3545D" w:rsidRPr="00D105C8" w:rsidRDefault="00A3545D" w:rsidP="007510B2">
            <w:pPr>
              <w:jc w:val="center"/>
              <w:rPr>
                <w:sz w:val="21"/>
                <w:szCs w:val="21"/>
                <w:vertAlign w:val="superscript"/>
              </w:rPr>
            </w:pPr>
            <w:r w:rsidRPr="00D105C8">
              <w:rPr>
                <w:color w:val="000000"/>
                <w:sz w:val="21"/>
                <w:szCs w:val="21"/>
              </w:rPr>
              <w:t xml:space="preserve">1.3 </w:t>
            </w:r>
            <w:r w:rsidRPr="00D105C8">
              <w:rPr>
                <w:color w:val="202124"/>
                <w:sz w:val="21"/>
                <w:szCs w:val="21"/>
                <w:shd w:val="clear" w:color="auto" w:fill="FFFFFF"/>
              </w:rPr>
              <w:t>± 0.1</w:t>
            </w:r>
            <w:r w:rsidRPr="00D105C8">
              <w:rPr>
                <w:color w:val="202124"/>
                <w:sz w:val="21"/>
                <w:szCs w:val="21"/>
                <w:shd w:val="clear" w:color="auto" w:fill="FFFFFF"/>
                <w:vertAlign w:val="superscript"/>
              </w:rPr>
              <w:t>h</w:t>
            </w:r>
          </w:p>
        </w:tc>
      </w:tr>
      <w:tr w:rsidR="00A3545D" w14:paraId="02110B58" w14:textId="77777777" w:rsidTr="00A3545D">
        <w:tc>
          <w:tcPr>
            <w:tcW w:w="2547" w:type="dxa"/>
          </w:tcPr>
          <w:p w14:paraId="2115CF41" w14:textId="49A519F6" w:rsidR="00A3545D" w:rsidRDefault="00C56CF3" w:rsidP="007510B2">
            <w:r w:rsidRPr="00C56CF3">
              <w:t>Extractable NO</w:t>
            </w:r>
            <w:r w:rsidRPr="00C56CF3">
              <w:rPr>
                <w:vertAlign w:val="subscript"/>
              </w:rPr>
              <w:t>3</w:t>
            </w:r>
            <w:r w:rsidRPr="00C56CF3">
              <w:rPr>
                <w:vertAlign w:val="superscript"/>
              </w:rPr>
              <w:t>−</w:t>
            </w:r>
            <w:r w:rsidRPr="00C56CF3">
              <w:t xml:space="preserve"> (mg N kg</w:t>
            </w:r>
            <w:r w:rsidRPr="00C56CF3">
              <w:rPr>
                <w:vertAlign w:val="superscript"/>
              </w:rPr>
              <w:t>−1</w:t>
            </w:r>
            <w:r w:rsidRPr="00C56CF3">
              <w:t>)</w:t>
            </w:r>
          </w:p>
        </w:tc>
        <w:tc>
          <w:tcPr>
            <w:tcW w:w="1266" w:type="dxa"/>
            <w:shd w:val="clear" w:color="auto" w:fill="auto"/>
            <w:vAlign w:val="center"/>
          </w:tcPr>
          <w:p w14:paraId="5CBCA92F" w14:textId="7C11AC85" w:rsidR="00A3545D" w:rsidRPr="00D105C8" w:rsidRDefault="00A3545D" w:rsidP="007510B2">
            <w:pPr>
              <w:jc w:val="center"/>
              <w:rPr>
                <w:sz w:val="21"/>
                <w:szCs w:val="21"/>
                <w:vertAlign w:val="superscript"/>
              </w:rPr>
            </w:pPr>
            <w:r w:rsidRPr="00D105C8">
              <w:rPr>
                <w:color w:val="000000"/>
                <w:sz w:val="21"/>
                <w:szCs w:val="21"/>
              </w:rPr>
              <w:t xml:space="preserve">79 </w:t>
            </w:r>
            <w:r w:rsidRPr="00D105C8">
              <w:rPr>
                <w:color w:val="202124"/>
                <w:sz w:val="21"/>
                <w:szCs w:val="21"/>
                <w:shd w:val="clear" w:color="auto" w:fill="FFFFFF"/>
              </w:rPr>
              <w:t xml:space="preserve">± </w:t>
            </w:r>
            <w:r w:rsidR="00EC4D54">
              <w:rPr>
                <w:color w:val="202124"/>
                <w:sz w:val="21"/>
                <w:szCs w:val="21"/>
                <w:shd w:val="clear" w:color="auto" w:fill="FFFFFF"/>
              </w:rPr>
              <w:t>2</w:t>
            </w:r>
            <w:r w:rsidRPr="00D105C8">
              <w:rPr>
                <w:color w:val="202124"/>
                <w:sz w:val="21"/>
                <w:szCs w:val="21"/>
                <w:shd w:val="clear" w:color="auto" w:fill="FFFFFF"/>
                <w:vertAlign w:val="superscript"/>
              </w:rPr>
              <w:t>abcd</w:t>
            </w:r>
          </w:p>
        </w:tc>
        <w:tc>
          <w:tcPr>
            <w:tcW w:w="1266" w:type="dxa"/>
            <w:shd w:val="clear" w:color="auto" w:fill="auto"/>
            <w:vAlign w:val="center"/>
          </w:tcPr>
          <w:p w14:paraId="4CB34F3C" w14:textId="20C8C2C4" w:rsidR="00A3545D" w:rsidRPr="00D105C8" w:rsidRDefault="00A3545D" w:rsidP="007510B2">
            <w:pPr>
              <w:jc w:val="center"/>
              <w:rPr>
                <w:sz w:val="21"/>
                <w:szCs w:val="21"/>
                <w:vertAlign w:val="superscript"/>
              </w:rPr>
            </w:pPr>
            <w:r w:rsidRPr="00D105C8">
              <w:rPr>
                <w:color w:val="000000"/>
                <w:sz w:val="21"/>
                <w:szCs w:val="21"/>
              </w:rPr>
              <w:t>7</w:t>
            </w:r>
            <w:r w:rsidR="00EC4D54">
              <w:rPr>
                <w:color w:val="000000"/>
                <w:sz w:val="21"/>
                <w:szCs w:val="21"/>
              </w:rPr>
              <w:t>8</w:t>
            </w:r>
            <w:r w:rsidRPr="00D105C8">
              <w:rPr>
                <w:color w:val="000000"/>
                <w:sz w:val="21"/>
                <w:szCs w:val="21"/>
              </w:rPr>
              <w:t xml:space="preserve"> </w:t>
            </w:r>
            <w:r w:rsidRPr="00D105C8">
              <w:rPr>
                <w:color w:val="202124"/>
                <w:sz w:val="21"/>
                <w:szCs w:val="21"/>
                <w:shd w:val="clear" w:color="auto" w:fill="FFFFFF"/>
              </w:rPr>
              <w:t>± 5</w:t>
            </w:r>
            <w:r w:rsidRPr="00D105C8">
              <w:rPr>
                <w:color w:val="202124"/>
                <w:sz w:val="21"/>
                <w:szCs w:val="21"/>
                <w:shd w:val="clear" w:color="auto" w:fill="FFFFFF"/>
                <w:vertAlign w:val="superscript"/>
              </w:rPr>
              <w:t>abcde</w:t>
            </w:r>
          </w:p>
        </w:tc>
        <w:tc>
          <w:tcPr>
            <w:tcW w:w="1266" w:type="dxa"/>
            <w:shd w:val="clear" w:color="auto" w:fill="auto"/>
            <w:vAlign w:val="center"/>
          </w:tcPr>
          <w:p w14:paraId="15F37E80" w14:textId="41BB9B92" w:rsidR="00A3545D" w:rsidRPr="00D105C8" w:rsidRDefault="00A3545D" w:rsidP="007510B2">
            <w:pPr>
              <w:jc w:val="center"/>
              <w:rPr>
                <w:sz w:val="21"/>
                <w:szCs w:val="21"/>
                <w:vertAlign w:val="superscript"/>
              </w:rPr>
            </w:pPr>
            <w:r w:rsidRPr="00D105C8">
              <w:rPr>
                <w:color w:val="000000"/>
                <w:sz w:val="21"/>
                <w:szCs w:val="21"/>
              </w:rPr>
              <w:t>14</w:t>
            </w:r>
            <w:r w:rsidR="00EC4D54">
              <w:rPr>
                <w:color w:val="000000"/>
                <w:sz w:val="21"/>
                <w:szCs w:val="21"/>
              </w:rPr>
              <w:t>7</w:t>
            </w:r>
            <w:r w:rsidRPr="00D105C8">
              <w:rPr>
                <w:color w:val="000000"/>
                <w:sz w:val="21"/>
                <w:szCs w:val="21"/>
              </w:rPr>
              <w:t xml:space="preserve"> </w:t>
            </w:r>
            <w:r w:rsidRPr="00D105C8">
              <w:rPr>
                <w:color w:val="202124"/>
                <w:sz w:val="21"/>
                <w:szCs w:val="21"/>
                <w:shd w:val="clear" w:color="auto" w:fill="FFFFFF"/>
              </w:rPr>
              <w:t>± 30</w:t>
            </w:r>
            <w:r w:rsidRPr="00D105C8">
              <w:rPr>
                <w:color w:val="202124"/>
                <w:sz w:val="21"/>
                <w:szCs w:val="21"/>
                <w:shd w:val="clear" w:color="auto" w:fill="FFFFFF"/>
                <w:vertAlign w:val="superscript"/>
              </w:rPr>
              <w:t>abc</w:t>
            </w:r>
          </w:p>
        </w:tc>
        <w:tc>
          <w:tcPr>
            <w:tcW w:w="1267" w:type="dxa"/>
            <w:shd w:val="clear" w:color="auto" w:fill="auto"/>
            <w:vAlign w:val="center"/>
          </w:tcPr>
          <w:p w14:paraId="3948B5D7" w14:textId="5E552EBD" w:rsidR="00A3545D" w:rsidRPr="00D105C8" w:rsidRDefault="00A3545D" w:rsidP="007510B2">
            <w:pPr>
              <w:jc w:val="center"/>
              <w:rPr>
                <w:sz w:val="21"/>
                <w:szCs w:val="21"/>
                <w:vertAlign w:val="superscript"/>
              </w:rPr>
            </w:pPr>
            <w:r w:rsidRPr="00D105C8">
              <w:rPr>
                <w:color w:val="000000"/>
                <w:sz w:val="21"/>
                <w:szCs w:val="21"/>
              </w:rPr>
              <w:t>16</w:t>
            </w:r>
            <w:r w:rsidR="00EC4D54">
              <w:rPr>
                <w:color w:val="000000"/>
                <w:sz w:val="21"/>
                <w:szCs w:val="21"/>
              </w:rPr>
              <w:t>9</w:t>
            </w:r>
            <w:r w:rsidRPr="00D105C8">
              <w:rPr>
                <w:color w:val="000000"/>
                <w:sz w:val="21"/>
                <w:szCs w:val="21"/>
              </w:rPr>
              <w:t xml:space="preserve"> </w:t>
            </w:r>
            <w:r w:rsidRPr="00D105C8">
              <w:rPr>
                <w:color w:val="202124"/>
                <w:sz w:val="21"/>
                <w:szCs w:val="21"/>
                <w:shd w:val="clear" w:color="auto" w:fill="FFFFFF"/>
              </w:rPr>
              <w:t xml:space="preserve">± </w:t>
            </w:r>
            <w:r w:rsidR="00EC4D54">
              <w:rPr>
                <w:color w:val="202124"/>
                <w:sz w:val="21"/>
                <w:szCs w:val="21"/>
                <w:shd w:val="clear" w:color="auto" w:fill="FFFFFF"/>
              </w:rPr>
              <w:t>5</w:t>
            </w:r>
            <w:r w:rsidRPr="00D105C8">
              <w:rPr>
                <w:color w:val="202124"/>
                <w:sz w:val="21"/>
                <w:szCs w:val="21"/>
                <w:shd w:val="clear" w:color="auto" w:fill="FFFFFF"/>
                <w:vertAlign w:val="superscript"/>
              </w:rPr>
              <w:t>ab</w:t>
            </w:r>
          </w:p>
        </w:tc>
        <w:tc>
          <w:tcPr>
            <w:tcW w:w="1266" w:type="dxa"/>
            <w:shd w:val="clear" w:color="auto" w:fill="auto"/>
            <w:vAlign w:val="center"/>
          </w:tcPr>
          <w:p w14:paraId="3574BB91" w14:textId="604DE24D" w:rsidR="00A3545D" w:rsidRPr="00D105C8" w:rsidRDefault="00A3545D" w:rsidP="007510B2">
            <w:pPr>
              <w:jc w:val="center"/>
              <w:rPr>
                <w:sz w:val="21"/>
                <w:szCs w:val="21"/>
                <w:vertAlign w:val="superscript"/>
              </w:rPr>
            </w:pPr>
            <w:r w:rsidRPr="00D105C8">
              <w:rPr>
                <w:color w:val="000000"/>
                <w:sz w:val="21"/>
                <w:szCs w:val="21"/>
              </w:rPr>
              <w:t>4</w:t>
            </w:r>
            <w:r w:rsidR="00EC4D54">
              <w:rPr>
                <w:color w:val="000000"/>
                <w:sz w:val="21"/>
                <w:szCs w:val="21"/>
              </w:rPr>
              <w:t>8</w:t>
            </w:r>
            <w:r w:rsidRPr="00D105C8">
              <w:rPr>
                <w:color w:val="000000"/>
                <w:sz w:val="21"/>
                <w:szCs w:val="21"/>
              </w:rPr>
              <w:t xml:space="preserve"> </w:t>
            </w:r>
            <w:r w:rsidRPr="00D105C8">
              <w:rPr>
                <w:color w:val="202124"/>
                <w:sz w:val="21"/>
                <w:szCs w:val="21"/>
                <w:shd w:val="clear" w:color="auto" w:fill="FFFFFF"/>
              </w:rPr>
              <w:t>± 9</w:t>
            </w:r>
            <w:r w:rsidRPr="00D105C8">
              <w:rPr>
                <w:color w:val="202124"/>
                <w:sz w:val="21"/>
                <w:szCs w:val="21"/>
                <w:shd w:val="clear" w:color="auto" w:fill="FFFFFF"/>
                <w:vertAlign w:val="superscript"/>
              </w:rPr>
              <w:t>defg</w:t>
            </w:r>
          </w:p>
        </w:tc>
        <w:tc>
          <w:tcPr>
            <w:tcW w:w="1266" w:type="dxa"/>
            <w:shd w:val="clear" w:color="auto" w:fill="auto"/>
            <w:vAlign w:val="center"/>
          </w:tcPr>
          <w:p w14:paraId="5A4C87EF" w14:textId="03E8289C" w:rsidR="00A3545D" w:rsidRPr="00D105C8" w:rsidRDefault="00A3545D" w:rsidP="007510B2">
            <w:pPr>
              <w:jc w:val="center"/>
              <w:rPr>
                <w:sz w:val="21"/>
                <w:szCs w:val="21"/>
                <w:vertAlign w:val="superscript"/>
              </w:rPr>
            </w:pPr>
            <w:r w:rsidRPr="00D105C8">
              <w:rPr>
                <w:color w:val="000000"/>
                <w:sz w:val="21"/>
                <w:szCs w:val="21"/>
              </w:rPr>
              <w:t xml:space="preserve">40 </w:t>
            </w:r>
            <w:r w:rsidRPr="00D105C8">
              <w:rPr>
                <w:color w:val="202124"/>
                <w:sz w:val="21"/>
                <w:szCs w:val="21"/>
                <w:shd w:val="clear" w:color="auto" w:fill="FFFFFF"/>
              </w:rPr>
              <w:t xml:space="preserve">± </w:t>
            </w:r>
            <w:r w:rsidR="00EC4D54">
              <w:rPr>
                <w:color w:val="202124"/>
                <w:sz w:val="21"/>
                <w:szCs w:val="21"/>
                <w:shd w:val="clear" w:color="auto" w:fill="FFFFFF"/>
              </w:rPr>
              <w:t>2</w:t>
            </w:r>
            <w:r w:rsidRPr="00D105C8">
              <w:rPr>
                <w:color w:val="202124"/>
                <w:sz w:val="21"/>
                <w:szCs w:val="21"/>
                <w:shd w:val="clear" w:color="auto" w:fill="FFFFFF"/>
                <w:vertAlign w:val="superscript"/>
              </w:rPr>
              <w:t>efg</w:t>
            </w:r>
          </w:p>
        </w:tc>
        <w:tc>
          <w:tcPr>
            <w:tcW w:w="1266" w:type="dxa"/>
            <w:shd w:val="clear" w:color="auto" w:fill="auto"/>
            <w:vAlign w:val="center"/>
          </w:tcPr>
          <w:p w14:paraId="4507C8FF" w14:textId="1EB36979" w:rsidR="00A3545D" w:rsidRPr="00D105C8" w:rsidRDefault="00A3545D" w:rsidP="007510B2">
            <w:pPr>
              <w:jc w:val="center"/>
              <w:rPr>
                <w:sz w:val="21"/>
                <w:szCs w:val="21"/>
                <w:vertAlign w:val="superscript"/>
              </w:rPr>
            </w:pPr>
            <w:r w:rsidRPr="00D105C8">
              <w:rPr>
                <w:color w:val="000000"/>
                <w:sz w:val="21"/>
                <w:szCs w:val="21"/>
              </w:rPr>
              <w:t xml:space="preserve">63 </w:t>
            </w:r>
            <w:r w:rsidRPr="00D105C8">
              <w:rPr>
                <w:color w:val="202124"/>
                <w:sz w:val="21"/>
                <w:szCs w:val="21"/>
                <w:shd w:val="clear" w:color="auto" w:fill="FFFFFF"/>
              </w:rPr>
              <w:t>± 12</w:t>
            </w:r>
            <w:r w:rsidRPr="00D105C8">
              <w:rPr>
                <w:color w:val="202124"/>
                <w:sz w:val="21"/>
                <w:szCs w:val="21"/>
                <w:shd w:val="clear" w:color="auto" w:fill="FFFFFF"/>
                <w:vertAlign w:val="superscript"/>
              </w:rPr>
              <w:t>cdef</w:t>
            </w:r>
          </w:p>
        </w:tc>
        <w:tc>
          <w:tcPr>
            <w:tcW w:w="1267" w:type="dxa"/>
            <w:shd w:val="clear" w:color="auto" w:fill="auto"/>
            <w:vAlign w:val="center"/>
          </w:tcPr>
          <w:p w14:paraId="56B6AB10" w14:textId="72A9DF74" w:rsidR="00A3545D" w:rsidRPr="00D105C8" w:rsidRDefault="00A3545D" w:rsidP="007510B2">
            <w:pPr>
              <w:jc w:val="center"/>
              <w:rPr>
                <w:sz w:val="21"/>
                <w:szCs w:val="21"/>
                <w:vertAlign w:val="superscript"/>
              </w:rPr>
            </w:pPr>
            <w:r w:rsidRPr="00D105C8">
              <w:rPr>
                <w:color w:val="000000"/>
                <w:sz w:val="21"/>
                <w:szCs w:val="21"/>
              </w:rPr>
              <w:t xml:space="preserve">79 </w:t>
            </w:r>
            <w:r w:rsidRPr="00D105C8">
              <w:rPr>
                <w:color w:val="202124"/>
                <w:sz w:val="21"/>
                <w:szCs w:val="21"/>
                <w:shd w:val="clear" w:color="auto" w:fill="FFFFFF"/>
              </w:rPr>
              <w:t>± 1</w:t>
            </w:r>
            <w:r w:rsidR="00EC4D54">
              <w:rPr>
                <w:color w:val="202124"/>
                <w:sz w:val="21"/>
                <w:szCs w:val="21"/>
                <w:shd w:val="clear" w:color="auto" w:fill="FFFFFF"/>
              </w:rPr>
              <w:t>7</w:t>
            </w:r>
            <w:r w:rsidRPr="00D105C8">
              <w:rPr>
                <w:color w:val="202124"/>
                <w:sz w:val="21"/>
                <w:szCs w:val="21"/>
                <w:shd w:val="clear" w:color="auto" w:fill="FFFFFF"/>
                <w:vertAlign w:val="superscript"/>
              </w:rPr>
              <w:t>abcde</w:t>
            </w:r>
          </w:p>
        </w:tc>
        <w:tc>
          <w:tcPr>
            <w:tcW w:w="1266" w:type="dxa"/>
            <w:shd w:val="clear" w:color="auto" w:fill="auto"/>
            <w:vAlign w:val="center"/>
          </w:tcPr>
          <w:p w14:paraId="38CD6924" w14:textId="49903444" w:rsidR="00A3545D" w:rsidRPr="00D105C8" w:rsidRDefault="00A3545D" w:rsidP="007510B2">
            <w:pPr>
              <w:jc w:val="center"/>
              <w:rPr>
                <w:sz w:val="21"/>
                <w:szCs w:val="21"/>
                <w:vertAlign w:val="superscript"/>
              </w:rPr>
            </w:pPr>
            <w:r w:rsidRPr="00D105C8">
              <w:rPr>
                <w:color w:val="000000"/>
                <w:sz w:val="21"/>
                <w:szCs w:val="21"/>
              </w:rPr>
              <w:t xml:space="preserve">189 </w:t>
            </w:r>
            <w:r w:rsidRPr="00D105C8">
              <w:rPr>
                <w:color w:val="202124"/>
                <w:sz w:val="21"/>
                <w:szCs w:val="21"/>
                <w:shd w:val="clear" w:color="auto" w:fill="FFFFFF"/>
              </w:rPr>
              <w:t xml:space="preserve">± </w:t>
            </w:r>
            <w:r w:rsidR="00EC4D54">
              <w:rPr>
                <w:color w:val="202124"/>
                <w:sz w:val="21"/>
                <w:szCs w:val="21"/>
                <w:shd w:val="clear" w:color="auto" w:fill="FFFFFF"/>
              </w:rPr>
              <w:t>3</w:t>
            </w:r>
            <w:r w:rsidRPr="00D105C8">
              <w:rPr>
                <w:color w:val="202124"/>
                <w:sz w:val="21"/>
                <w:szCs w:val="21"/>
                <w:shd w:val="clear" w:color="auto" w:fill="FFFFFF"/>
                <w:vertAlign w:val="superscript"/>
              </w:rPr>
              <w:t>a</w:t>
            </w:r>
          </w:p>
        </w:tc>
        <w:tc>
          <w:tcPr>
            <w:tcW w:w="1266" w:type="dxa"/>
            <w:shd w:val="clear" w:color="auto" w:fill="auto"/>
            <w:vAlign w:val="center"/>
          </w:tcPr>
          <w:p w14:paraId="3B476C3C" w14:textId="653F7DA5" w:rsidR="00A3545D" w:rsidRPr="00D105C8" w:rsidRDefault="00A3545D" w:rsidP="007510B2">
            <w:pPr>
              <w:jc w:val="center"/>
              <w:rPr>
                <w:sz w:val="21"/>
                <w:szCs w:val="21"/>
                <w:vertAlign w:val="superscript"/>
              </w:rPr>
            </w:pPr>
            <w:r w:rsidRPr="00D105C8">
              <w:rPr>
                <w:color w:val="000000"/>
                <w:sz w:val="21"/>
                <w:szCs w:val="21"/>
              </w:rPr>
              <w:t xml:space="preserve">17 </w:t>
            </w:r>
            <w:r w:rsidRPr="00D105C8">
              <w:rPr>
                <w:color w:val="202124"/>
                <w:sz w:val="21"/>
                <w:szCs w:val="21"/>
                <w:shd w:val="clear" w:color="auto" w:fill="FFFFFF"/>
              </w:rPr>
              <w:t xml:space="preserve">± </w:t>
            </w:r>
            <w:r w:rsidR="00EC4D54">
              <w:rPr>
                <w:color w:val="202124"/>
                <w:sz w:val="21"/>
                <w:szCs w:val="21"/>
                <w:shd w:val="clear" w:color="auto" w:fill="FFFFFF"/>
              </w:rPr>
              <w:t>2</w:t>
            </w:r>
            <w:r w:rsidRPr="00D105C8">
              <w:rPr>
                <w:color w:val="202124"/>
                <w:sz w:val="21"/>
                <w:szCs w:val="21"/>
                <w:shd w:val="clear" w:color="auto" w:fill="FFFFFF"/>
                <w:vertAlign w:val="superscript"/>
              </w:rPr>
              <w:t>g</w:t>
            </w:r>
          </w:p>
        </w:tc>
        <w:tc>
          <w:tcPr>
            <w:tcW w:w="1266" w:type="dxa"/>
            <w:shd w:val="clear" w:color="auto" w:fill="auto"/>
            <w:vAlign w:val="center"/>
          </w:tcPr>
          <w:p w14:paraId="3E1011B0" w14:textId="306E6C2B" w:rsidR="00A3545D" w:rsidRPr="00D105C8" w:rsidRDefault="00A3545D" w:rsidP="007510B2">
            <w:pPr>
              <w:jc w:val="center"/>
              <w:rPr>
                <w:sz w:val="21"/>
                <w:szCs w:val="21"/>
                <w:vertAlign w:val="superscript"/>
              </w:rPr>
            </w:pPr>
            <w:r w:rsidRPr="00D105C8">
              <w:rPr>
                <w:color w:val="000000"/>
                <w:sz w:val="21"/>
                <w:szCs w:val="21"/>
              </w:rPr>
              <w:t>3</w:t>
            </w:r>
            <w:r w:rsidR="00EC4D54">
              <w:rPr>
                <w:color w:val="000000"/>
                <w:sz w:val="21"/>
                <w:szCs w:val="21"/>
              </w:rPr>
              <w:t>4</w:t>
            </w:r>
            <w:r w:rsidRPr="00D105C8">
              <w:rPr>
                <w:color w:val="000000"/>
                <w:sz w:val="21"/>
                <w:szCs w:val="21"/>
              </w:rPr>
              <w:t xml:space="preserve"> </w:t>
            </w:r>
            <w:r w:rsidRPr="00D105C8">
              <w:rPr>
                <w:color w:val="202124"/>
                <w:sz w:val="21"/>
                <w:szCs w:val="21"/>
                <w:shd w:val="clear" w:color="auto" w:fill="FFFFFF"/>
              </w:rPr>
              <w:t>± 5</w:t>
            </w:r>
            <w:r w:rsidRPr="00D105C8">
              <w:rPr>
                <w:color w:val="202124"/>
                <w:sz w:val="21"/>
                <w:szCs w:val="21"/>
                <w:shd w:val="clear" w:color="auto" w:fill="FFFFFF"/>
                <w:vertAlign w:val="superscript"/>
              </w:rPr>
              <w:t>fg</w:t>
            </w:r>
          </w:p>
        </w:tc>
        <w:tc>
          <w:tcPr>
            <w:tcW w:w="1267" w:type="dxa"/>
            <w:shd w:val="clear" w:color="auto" w:fill="auto"/>
            <w:vAlign w:val="center"/>
          </w:tcPr>
          <w:p w14:paraId="09836941" w14:textId="6E838D9B" w:rsidR="00A3545D" w:rsidRPr="00D105C8" w:rsidRDefault="00A3545D" w:rsidP="007510B2">
            <w:pPr>
              <w:jc w:val="center"/>
              <w:rPr>
                <w:sz w:val="21"/>
                <w:szCs w:val="21"/>
                <w:vertAlign w:val="superscript"/>
              </w:rPr>
            </w:pPr>
            <w:r w:rsidRPr="00D105C8">
              <w:rPr>
                <w:color w:val="000000"/>
                <w:sz w:val="21"/>
                <w:szCs w:val="21"/>
              </w:rPr>
              <w:t xml:space="preserve">39 </w:t>
            </w:r>
            <w:r w:rsidRPr="00D105C8">
              <w:rPr>
                <w:color w:val="202124"/>
                <w:sz w:val="21"/>
                <w:szCs w:val="21"/>
                <w:shd w:val="clear" w:color="auto" w:fill="FFFFFF"/>
              </w:rPr>
              <w:t>± 5</w:t>
            </w:r>
            <w:r w:rsidRPr="00D105C8">
              <w:rPr>
                <w:color w:val="202124"/>
                <w:sz w:val="21"/>
                <w:szCs w:val="21"/>
                <w:shd w:val="clear" w:color="auto" w:fill="FFFFFF"/>
                <w:vertAlign w:val="superscript"/>
              </w:rPr>
              <w:t>efg</w:t>
            </w:r>
          </w:p>
        </w:tc>
        <w:tc>
          <w:tcPr>
            <w:tcW w:w="1266" w:type="dxa"/>
            <w:shd w:val="clear" w:color="auto" w:fill="auto"/>
            <w:vAlign w:val="center"/>
          </w:tcPr>
          <w:p w14:paraId="11698DB3" w14:textId="6D990DBC" w:rsidR="00A3545D" w:rsidRPr="00D105C8" w:rsidRDefault="00A3545D" w:rsidP="007510B2">
            <w:pPr>
              <w:jc w:val="center"/>
              <w:rPr>
                <w:sz w:val="21"/>
                <w:szCs w:val="21"/>
                <w:vertAlign w:val="superscript"/>
              </w:rPr>
            </w:pPr>
            <w:r w:rsidRPr="00D105C8">
              <w:rPr>
                <w:color w:val="000000"/>
                <w:sz w:val="21"/>
                <w:szCs w:val="21"/>
              </w:rPr>
              <w:t xml:space="preserve">56 </w:t>
            </w:r>
            <w:r w:rsidRPr="00D105C8">
              <w:rPr>
                <w:color w:val="202124"/>
                <w:sz w:val="21"/>
                <w:szCs w:val="21"/>
                <w:shd w:val="clear" w:color="auto" w:fill="FFFFFF"/>
              </w:rPr>
              <w:t>± 2</w:t>
            </w:r>
            <w:r w:rsidRPr="00D105C8">
              <w:rPr>
                <w:color w:val="202124"/>
                <w:sz w:val="21"/>
                <w:szCs w:val="21"/>
                <w:shd w:val="clear" w:color="auto" w:fill="FFFFFF"/>
                <w:vertAlign w:val="superscript"/>
              </w:rPr>
              <w:t>defg</w:t>
            </w:r>
          </w:p>
        </w:tc>
        <w:tc>
          <w:tcPr>
            <w:tcW w:w="1266" w:type="dxa"/>
            <w:shd w:val="clear" w:color="auto" w:fill="auto"/>
            <w:vAlign w:val="center"/>
          </w:tcPr>
          <w:p w14:paraId="196DD084" w14:textId="18B67081" w:rsidR="00A3545D" w:rsidRPr="00D105C8" w:rsidRDefault="00EC4D54" w:rsidP="007510B2">
            <w:pPr>
              <w:jc w:val="center"/>
              <w:rPr>
                <w:sz w:val="21"/>
                <w:szCs w:val="21"/>
                <w:vertAlign w:val="superscript"/>
              </w:rPr>
            </w:pPr>
            <w:r>
              <w:rPr>
                <w:color w:val="000000"/>
                <w:sz w:val="21"/>
                <w:szCs w:val="21"/>
              </w:rPr>
              <w:t>80</w:t>
            </w:r>
            <w:r w:rsidR="00A3545D" w:rsidRPr="00D105C8">
              <w:rPr>
                <w:color w:val="000000"/>
                <w:sz w:val="21"/>
                <w:szCs w:val="21"/>
              </w:rPr>
              <w:t xml:space="preserve"> </w:t>
            </w:r>
            <w:r w:rsidR="00A3545D" w:rsidRPr="00D105C8">
              <w:rPr>
                <w:color w:val="202124"/>
                <w:sz w:val="21"/>
                <w:szCs w:val="21"/>
                <w:shd w:val="clear" w:color="auto" w:fill="FFFFFF"/>
              </w:rPr>
              <w:t>± 4</w:t>
            </w:r>
            <w:r w:rsidR="00A3545D" w:rsidRPr="00D105C8">
              <w:rPr>
                <w:color w:val="202124"/>
                <w:sz w:val="21"/>
                <w:szCs w:val="21"/>
                <w:shd w:val="clear" w:color="auto" w:fill="FFFFFF"/>
                <w:vertAlign w:val="superscript"/>
              </w:rPr>
              <w:t>abcde</w:t>
            </w:r>
          </w:p>
        </w:tc>
        <w:tc>
          <w:tcPr>
            <w:tcW w:w="1267" w:type="dxa"/>
            <w:shd w:val="clear" w:color="auto" w:fill="auto"/>
            <w:vAlign w:val="center"/>
          </w:tcPr>
          <w:p w14:paraId="24E50C2E" w14:textId="5F816BC6" w:rsidR="00A3545D" w:rsidRPr="00D105C8" w:rsidRDefault="00A3545D" w:rsidP="007510B2">
            <w:pPr>
              <w:jc w:val="center"/>
              <w:rPr>
                <w:sz w:val="21"/>
                <w:szCs w:val="21"/>
                <w:vertAlign w:val="superscript"/>
              </w:rPr>
            </w:pPr>
            <w:r w:rsidRPr="00D105C8">
              <w:rPr>
                <w:color w:val="000000"/>
                <w:sz w:val="21"/>
                <w:szCs w:val="21"/>
              </w:rPr>
              <w:t xml:space="preserve">77 </w:t>
            </w:r>
            <w:r w:rsidRPr="00D105C8">
              <w:rPr>
                <w:color w:val="202124"/>
                <w:sz w:val="21"/>
                <w:szCs w:val="21"/>
                <w:shd w:val="clear" w:color="auto" w:fill="FFFFFF"/>
              </w:rPr>
              <w:t>± 7</w:t>
            </w:r>
            <w:r w:rsidRPr="00D105C8">
              <w:rPr>
                <w:color w:val="202124"/>
                <w:sz w:val="21"/>
                <w:szCs w:val="21"/>
                <w:shd w:val="clear" w:color="auto" w:fill="FFFFFF"/>
                <w:vertAlign w:val="superscript"/>
              </w:rPr>
              <w:t>bcde</w:t>
            </w:r>
          </w:p>
        </w:tc>
      </w:tr>
      <w:tr w:rsidR="00A3545D" w14:paraId="190F9525" w14:textId="77777777" w:rsidTr="00A3545D">
        <w:tc>
          <w:tcPr>
            <w:tcW w:w="2547" w:type="dxa"/>
          </w:tcPr>
          <w:p w14:paraId="62ECDF25" w14:textId="7E41C11F" w:rsidR="00A3545D" w:rsidRDefault="00C56CF3" w:rsidP="007510B2">
            <w:r w:rsidRPr="00C56CF3">
              <w:t>Extractable P (mg P kg</w:t>
            </w:r>
            <w:r w:rsidRPr="00E91387">
              <w:rPr>
                <w:vertAlign w:val="superscript"/>
              </w:rPr>
              <w:t>−1</w:t>
            </w:r>
            <w:r w:rsidRPr="00C56CF3">
              <w:t>)</w:t>
            </w:r>
          </w:p>
        </w:tc>
        <w:tc>
          <w:tcPr>
            <w:tcW w:w="1266" w:type="dxa"/>
            <w:shd w:val="clear" w:color="auto" w:fill="auto"/>
            <w:vAlign w:val="center"/>
          </w:tcPr>
          <w:p w14:paraId="343986C8" w14:textId="6D7FE225" w:rsidR="00A3545D" w:rsidRPr="00D105C8" w:rsidRDefault="00A3545D" w:rsidP="007510B2">
            <w:pPr>
              <w:jc w:val="center"/>
              <w:rPr>
                <w:sz w:val="21"/>
                <w:szCs w:val="21"/>
                <w:vertAlign w:val="superscript"/>
              </w:rPr>
            </w:pPr>
            <w:r w:rsidRPr="00D105C8">
              <w:rPr>
                <w:color w:val="000000"/>
                <w:sz w:val="21"/>
                <w:szCs w:val="21"/>
              </w:rPr>
              <w:t xml:space="preserve">19.3 </w:t>
            </w:r>
            <w:r w:rsidRPr="00D105C8">
              <w:rPr>
                <w:color w:val="202124"/>
                <w:sz w:val="21"/>
                <w:szCs w:val="21"/>
                <w:shd w:val="clear" w:color="auto" w:fill="FFFFFF"/>
              </w:rPr>
              <w:t>± 1.7</w:t>
            </w:r>
            <w:r w:rsidRPr="00D105C8">
              <w:rPr>
                <w:color w:val="202124"/>
                <w:sz w:val="21"/>
                <w:szCs w:val="21"/>
                <w:shd w:val="clear" w:color="auto" w:fill="FFFFFF"/>
                <w:vertAlign w:val="superscript"/>
              </w:rPr>
              <w:t>ab</w:t>
            </w:r>
          </w:p>
        </w:tc>
        <w:tc>
          <w:tcPr>
            <w:tcW w:w="1266" w:type="dxa"/>
            <w:shd w:val="clear" w:color="auto" w:fill="auto"/>
            <w:vAlign w:val="center"/>
          </w:tcPr>
          <w:p w14:paraId="1DF46633" w14:textId="2CDC1522" w:rsidR="00A3545D" w:rsidRPr="00D105C8" w:rsidRDefault="00A3545D" w:rsidP="007510B2">
            <w:pPr>
              <w:jc w:val="center"/>
              <w:rPr>
                <w:sz w:val="21"/>
                <w:szCs w:val="21"/>
                <w:vertAlign w:val="superscript"/>
              </w:rPr>
            </w:pPr>
            <w:r w:rsidRPr="00D105C8">
              <w:rPr>
                <w:color w:val="000000"/>
                <w:sz w:val="21"/>
                <w:szCs w:val="21"/>
              </w:rPr>
              <w:t>4.</w:t>
            </w:r>
            <w:r w:rsidR="00EA2DB4">
              <w:rPr>
                <w:color w:val="000000"/>
                <w:sz w:val="21"/>
                <w:szCs w:val="21"/>
              </w:rPr>
              <w:t>9</w:t>
            </w:r>
            <w:r w:rsidRPr="00D105C8">
              <w:rPr>
                <w:color w:val="000000"/>
                <w:sz w:val="21"/>
                <w:szCs w:val="21"/>
              </w:rPr>
              <w:t xml:space="preserve"> </w:t>
            </w:r>
            <w:r w:rsidRPr="00D105C8">
              <w:rPr>
                <w:color w:val="202124"/>
                <w:sz w:val="21"/>
                <w:szCs w:val="21"/>
                <w:shd w:val="clear" w:color="auto" w:fill="FFFFFF"/>
              </w:rPr>
              <w:t>± 0.</w:t>
            </w:r>
            <w:r w:rsidR="00EA2DB4">
              <w:rPr>
                <w:color w:val="202124"/>
                <w:sz w:val="21"/>
                <w:szCs w:val="21"/>
                <w:shd w:val="clear" w:color="auto" w:fill="FFFFFF"/>
              </w:rPr>
              <w:t>2</w:t>
            </w:r>
            <w:r w:rsidRPr="00D105C8">
              <w:rPr>
                <w:color w:val="202124"/>
                <w:sz w:val="21"/>
                <w:szCs w:val="21"/>
                <w:shd w:val="clear" w:color="auto" w:fill="FFFFFF"/>
                <w:vertAlign w:val="superscript"/>
              </w:rPr>
              <w:t>abcd</w:t>
            </w:r>
          </w:p>
        </w:tc>
        <w:tc>
          <w:tcPr>
            <w:tcW w:w="1266" w:type="dxa"/>
            <w:shd w:val="clear" w:color="auto" w:fill="auto"/>
            <w:vAlign w:val="center"/>
          </w:tcPr>
          <w:p w14:paraId="44016734" w14:textId="7071764A" w:rsidR="00A3545D" w:rsidRPr="00D105C8" w:rsidRDefault="00A3545D" w:rsidP="007510B2">
            <w:pPr>
              <w:jc w:val="center"/>
              <w:rPr>
                <w:sz w:val="21"/>
                <w:szCs w:val="21"/>
                <w:vertAlign w:val="superscript"/>
              </w:rPr>
            </w:pPr>
            <w:r w:rsidRPr="00D105C8">
              <w:rPr>
                <w:color w:val="000000"/>
                <w:sz w:val="21"/>
                <w:szCs w:val="21"/>
              </w:rPr>
              <w:t>28.</w:t>
            </w:r>
            <w:r w:rsidR="00EA2DB4">
              <w:rPr>
                <w:color w:val="000000"/>
                <w:sz w:val="21"/>
                <w:szCs w:val="21"/>
              </w:rPr>
              <w:t>2</w:t>
            </w:r>
            <w:r w:rsidRPr="00D105C8">
              <w:rPr>
                <w:color w:val="000000"/>
                <w:sz w:val="21"/>
                <w:szCs w:val="21"/>
              </w:rPr>
              <w:t xml:space="preserve"> </w:t>
            </w:r>
            <w:r w:rsidRPr="00D105C8">
              <w:rPr>
                <w:color w:val="202124"/>
                <w:sz w:val="21"/>
                <w:szCs w:val="21"/>
                <w:shd w:val="clear" w:color="auto" w:fill="FFFFFF"/>
              </w:rPr>
              <w:t>± 1.</w:t>
            </w:r>
            <w:r w:rsidR="00EA2DB4">
              <w:rPr>
                <w:color w:val="202124"/>
                <w:sz w:val="21"/>
                <w:szCs w:val="21"/>
                <w:shd w:val="clear" w:color="auto" w:fill="FFFFFF"/>
              </w:rPr>
              <w:t>6</w:t>
            </w:r>
            <w:r w:rsidRPr="00D105C8">
              <w:rPr>
                <w:color w:val="202124"/>
                <w:sz w:val="21"/>
                <w:szCs w:val="21"/>
                <w:shd w:val="clear" w:color="auto" w:fill="FFFFFF"/>
                <w:vertAlign w:val="superscript"/>
              </w:rPr>
              <w:t>a</w:t>
            </w:r>
          </w:p>
        </w:tc>
        <w:tc>
          <w:tcPr>
            <w:tcW w:w="1267" w:type="dxa"/>
            <w:shd w:val="clear" w:color="auto" w:fill="auto"/>
            <w:vAlign w:val="center"/>
          </w:tcPr>
          <w:p w14:paraId="04E103F8" w14:textId="5697DCF8" w:rsidR="00A3545D" w:rsidRPr="00D105C8" w:rsidRDefault="00A3545D" w:rsidP="007510B2">
            <w:pPr>
              <w:jc w:val="center"/>
              <w:rPr>
                <w:sz w:val="21"/>
                <w:szCs w:val="21"/>
                <w:vertAlign w:val="superscript"/>
              </w:rPr>
            </w:pPr>
            <w:r w:rsidRPr="00D105C8">
              <w:rPr>
                <w:color w:val="000000"/>
                <w:sz w:val="21"/>
                <w:szCs w:val="21"/>
              </w:rPr>
              <w:t>4.</w:t>
            </w:r>
            <w:r w:rsidR="00EA2DB4">
              <w:rPr>
                <w:color w:val="000000"/>
                <w:sz w:val="21"/>
                <w:szCs w:val="21"/>
              </w:rPr>
              <w:t xml:space="preserve">4 </w:t>
            </w:r>
            <w:r w:rsidRPr="00D105C8">
              <w:rPr>
                <w:color w:val="202124"/>
                <w:sz w:val="21"/>
                <w:szCs w:val="21"/>
                <w:shd w:val="clear" w:color="auto" w:fill="FFFFFF"/>
              </w:rPr>
              <w:t>± 0.</w:t>
            </w:r>
            <w:r w:rsidR="00EA2DB4">
              <w:rPr>
                <w:color w:val="202124"/>
                <w:sz w:val="21"/>
                <w:szCs w:val="21"/>
                <w:shd w:val="clear" w:color="auto" w:fill="FFFFFF"/>
              </w:rPr>
              <w:t>2</w:t>
            </w:r>
            <w:r w:rsidRPr="00D105C8">
              <w:rPr>
                <w:color w:val="202124"/>
                <w:sz w:val="21"/>
                <w:szCs w:val="21"/>
                <w:shd w:val="clear" w:color="auto" w:fill="FFFFFF"/>
                <w:vertAlign w:val="superscript"/>
              </w:rPr>
              <w:t>de</w:t>
            </w:r>
          </w:p>
        </w:tc>
        <w:tc>
          <w:tcPr>
            <w:tcW w:w="1266" w:type="dxa"/>
            <w:shd w:val="clear" w:color="auto" w:fill="auto"/>
            <w:vAlign w:val="center"/>
          </w:tcPr>
          <w:p w14:paraId="4761FEE9" w14:textId="4177042F" w:rsidR="00A3545D" w:rsidRPr="00D105C8" w:rsidRDefault="00A3545D" w:rsidP="007510B2">
            <w:pPr>
              <w:jc w:val="center"/>
              <w:rPr>
                <w:sz w:val="21"/>
                <w:szCs w:val="21"/>
                <w:vertAlign w:val="superscript"/>
              </w:rPr>
            </w:pPr>
            <w:r w:rsidRPr="00D105C8">
              <w:rPr>
                <w:color w:val="000000"/>
                <w:sz w:val="21"/>
                <w:szCs w:val="21"/>
              </w:rPr>
              <w:t xml:space="preserve">4.0 </w:t>
            </w:r>
            <w:r w:rsidRPr="00D105C8">
              <w:rPr>
                <w:color w:val="202124"/>
                <w:sz w:val="21"/>
                <w:szCs w:val="21"/>
                <w:shd w:val="clear" w:color="auto" w:fill="FFFFFF"/>
              </w:rPr>
              <w:t>± 0.1</w:t>
            </w:r>
            <w:r w:rsidRPr="00D105C8">
              <w:rPr>
                <w:color w:val="202124"/>
                <w:sz w:val="21"/>
                <w:szCs w:val="21"/>
                <w:shd w:val="clear" w:color="auto" w:fill="FFFFFF"/>
                <w:vertAlign w:val="superscript"/>
              </w:rPr>
              <w:t>de</w:t>
            </w:r>
          </w:p>
        </w:tc>
        <w:tc>
          <w:tcPr>
            <w:tcW w:w="1266" w:type="dxa"/>
            <w:shd w:val="clear" w:color="auto" w:fill="auto"/>
            <w:vAlign w:val="center"/>
          </w:tcPr>
          <w:p w14:paraId="157D04DE" w14:textId="301E5342" w:rsidR="00A3545D" w:rsidRPr="00D105C8" w:rsidRDefault="00A3545D" w:rsidP="007510B2">
            <w:pPr>
              <w:jc w:val="center"/>
              <w:rPr>
                <w:sz w:val="21"/>
                <w:szCs w:val="21"/>
                <w:vertAlign w:val="superscript"/>
              </w:rPr>
            </w:pPr>
            <w:r w:rsidRPr="00D105C8">
              <w:rPr>
                <w:color w:val="000000"/>
                <w:sz w:val="21"/>
                <w:szCs w:val="21"/>
              </w:rPr>
              <w:t>3.</w:t>
            </w:r>
            <w:r w:rsidR="00EA2DB4">
              <w:rPr>
                <w:color w:val="000000"/>
                <w:sz w:val="21"/>
                <w:szCs w:val="21"/>
              </w:rPr>
              <w:t>9</w:t>
            </w:r>
            <w:r w:rsidRPr="00D105C8">
              <w:rPr>
                <w:color w:val="000000"/>
                <w:sz w:val="21"/>
                <w:szCs w:val="21"/>
              </w:rPr>
              <w:t xml:space="preserve"> </w:t>
            </w:r>
            <w:r w:rsidRPr="00D105C8">
              <w:rPr>
                <w:color w:val="202124"/>
                <w:sz w:val="21"/>
                <w:szCs w:val="21"/>
                <w:shd w:val="clear" w:color="auto" w:fill="FFFFFF"/>
              </w:rPr>
              <w:t>± 0.</w:t>
            </w:r>
            <w:r w:rsidR="00EA2DB4">
              <w:rPr>
                <w:color w:val="202124"/>
                <w:sz w:val="21"/>
                <w:szCs w:val="21"/>
                <w:shd w:val="clear" w:color="auto" w:fill="FFFFFF"/>
              </w:rPr>
              <w:t>1</w:t>
            </w:r>
            <w:r w:rsidRPr="00D105C8">
              <w:rPr>
                <w:color w:val="202124"/>
                <w:sz w:val="21"/>
                <w:szCs w:val="21"/>
                <w:shd w:val="clear" w:color="auto" w:fill="FFFFFF"/>
                <w:vertAlign w:val="superscript"/>
              </w:rPr>
              <w:t>e</w:t>
            </w:r>
          </w:p>
        </w:tc>
        <w:tc>
          <w:tcPr>
            <w:tcW w:w="1266" w:type="dxa"/>
            <w:shd w:val="clear" w:color="auto" w:fill="auto"/>
            <w:vAlign w:val="center"/>
          </w:tcPr>
          <w:p w14:paraId="7830726A" w14:textId="6857722C" w:rsidR="00A3545D" w:rsidRPr="00D105C8" w:rsidRDefault="00A3545D" w:rsidP="007510B2">
            <w:pPr>
              <w:jc w:val="center"/>
              <w:rPr>
                <w:sz w:val="21"/>
                <w:szCs w:val="21"/>
                <w:vertAlign w:val="superscript"/>
              </w:rPr>
            </w:pPr>
            <w:r w:rsidRPr="00D105C8">
              <w:rPr>
                <w:color w:val="000000"/>
                <w:sz w:val="21"/>
                <w:szCs w:val="21"/>
              </w:rPr>
              <w:t>1</w:t>
            </w:r>
            <w:r w:rsidR="00EA2DB4">
              <w:rPr>
                <w:color w:val="000000"/>
                <w:sz w:val="21"/>
                <w:szCs w:val="21"/>
              </w:rPr>
              <w:t>1.0</w:t>
            </w:r>
            <w:r w:rsidRPr="00D105C8">
              <w:rPr>
                <w:color w:val="000000"/>
                <w:sz w:val="21"/>
                <w:szCs w:val="21"/>
              </w:rPr>
              <w:t xml:space="preserve"> </w:t>
            </w:r>
            <w:r w:rsidRPr="00D105C8">
              <w:rPr>
                <w:color w:val="202124"/>
                <w:sz w:val="21"/>
                <w:szCs w:val="21"/>
                <w:shd w:val="clear" w:color="auto" w:fill="FFFFFF"/>
              </w:rPr>
              <w:t>± 3.</w:t>
            </w:r>
            <w:r w:rsidR="00EA2DB4">
              <w:rPr>
                <w:color w:val="202124"/>
                <w:sz w:val="21"/>
                <w:szCs w:val="21"/>
                <w:shd w:val="clear" w:color="auto" w:fill="FFFFFF"/>
              </w:rPr>
              <w:t>2</w:t>
            </w:r>
            <w:r w:rsidRPr="00D105C8">
              <w:rPr>
                <w:color w:val="202124"/>
                <w:sz w:val="21"/>
                <w:szCs w:val="21"/>
                <w:shd w:val="clear" w:color="auto" w:fill="FFFFFF"/>
                <w:vertAlign w:val="superscript"/>
              </w:rPr>
              <w:t>abc</w:t>
            </w:r>
          </w:p>
        </w:tc>
        <w:tc>
          <w:tcPr>
            <w:tcW w:w="1267" w:type="dxa"/>
            <w:shd w:val="clear" w:color="auto" w:fill="auto"/>
            <w:vAlign w:val="center"/>
          </w:tcPr>
          <w:p w14:paraId="75A24E6E" w14:textId="24E352A7" w:rsidR="00A3545D" w:rsidRPr="00D105C8" w:rsidRDefault="00A3545D" w:rsidP="007510B2">
            <w:pPr>
              <w:jc w:val="center"/>
              <w:rPr>
                <w:sz w:val="21"/>
                <w:szCs w:val="21"/>
                <w:vertAlign w:val="superscript"/>
              </w:rPr>
            </w:pPr>
            <w:r w:rsidRPr="00D105C8">
              <w:rPr>
                <w:color w:val="000000"/>
                <w:sz w:val="21"/>
                <w:szCs w:val="21"/>
              </w:rPr>
              <w:t>7.</w:t>
            </w:r>
            <w:r w:rsidR="00EA2DB4">
              <w:rPr>
                <w:color w:val="000000"/>
                <w:sz w:val="21"/>
                <w:szCs w:val="21"/>
              </w:rPr>
              <w:t>3</w:t>
            </w:r>
            <w:r w:rsidRPr="00D105C8">
              <w:rPr>
                <w:color w:val="000000"/>
                <w:sz w:val="21"/>
                <w:szCs w:val="21"/>
              </w:rPr>
              <w:t xml:space="preserve"> </w:t>
            </w:r>
            <w:r w:rsidRPr="00D105C8">
              <w:rPr>
                <w:color w:val="202124"/>
                <w:sz w:val="21"/>
                <w:szCs w:val="21"/>
                <w:shd w:val="clear" w:color="auto" w:fill="FFFFFF"/>
              </w:rPr>
              <w:t>± 0.7</w:t>
            </w:r>
            <w:r w:rsidRPr="00D105C8">
              <w:rPr>
                <w:color w:val="202124"/>
                <w:sz w:val="21"/>
                <w:szCs w:val="21"/>
                <w:shd w:val="clear" w:color="auto" w:fill="FFFFFF"/>
                <w:vertAlign w:val="superscript"/>
              </w:rPr>
              <w:t>abc</w:t>
            </w:r>
          </w:p>
        </w:tc>
        <w:tc>
          <w:tcPr>
            <w:tcW w:w="1266" w:type="dxa"/>
            <w:shd w:val="clear" w:color="auto" w:fill="auto"/>
            <w:vAlign w:val="center"/>
          </w:tcPr>
          <w:p w14:paraId="6EA7D0F6" w14:textId="479CD69A" w:rsidR="00A3545D" w:rsidRPr="00D105C8" w:rsidRDefault="00A3545D" w:rsidP="007510B2">
            <w:pPr>
              <w:jc w:val="center"/>
              <w:rPr>
                <w:sz w:val="21"/>
                <w:szCs w:val="21"/>
                <w:vertAlign w:val="superscript"/>
              </w:rPr>
            </w:pPr>
            <w:r w:rsidRPr="00D105C8">
              <w:rPr>
                <w:color w:val="000000"/>
                <w:sz w:val="21"/>
                <w:szCs w:val="21"/>
              </w:rPr>
              <w:t>4.</w:t>
            </w:r>
            <w:r w:rsidR="00EA2DB4">
              <w:rPr>
                <w:color w:val="000000"/>
                <w:sz w:val="21"/>
                <w:szCs w:val="21"/>
              </w:rPr>
              <w:t>3</w:t>
            </w:r>
            <w:r w:rsidRPr="00D105C8">
              <w:rPr>
                <w:color w:val="000000"/>
                <w:sz w:val="21"/>
                <w:szCs w:val="21"/>
              </w:rPr>
              <w:t xml:space="preserve"> </w:t>
            </w:r>
            <w:r w:rsidRPr="00D105C8">
              <w:rPr>
                <w:color w:val="202124"/>
                <w:sz w:val="21"/>
                <w:szCs w:val="21"/>
                <w:shd w:val="clear" w:color="auto" w:fill="FFFFFF"/>
              </w:rPr>
              <w:t>± 0.2</w:t>
            </w:r>
            <w:r w:rsidRPr="00D105C8">
              <w:rPr>
                <w:color w:val="202124"/>
                <w:sz w:val="21"/>
                <w:szCs w:val="21"/>
                <w:shd w:val="clear" w:color="auto" w:fill="FFFFFF"/>
                <w:vertAlign w:val="superscript"/>
              </w:rPr>
              <w:t>de</w:t>
            </w:r>
          </w:p>
        </w:tc>
        <w:tc>
          <w:tcPr>
            <w:tcW w:w="1266" w:type="dxa"/>
            <w:shd w:val="clear" w:color="auto" w:fill="auto"/>
            <w:vAlign w:val="center"/>
          </w:tcPr>
          <w:p w14:paraId="37086913" w14:textId="657A9647" w:rsidR="00A3545D" w:rsidRPr="00D105C8" w:rsidRDefault="00A3545D" w:rsidP="007510B2">
            <w:pPr>
              <w:jc w:val="center"/>
              <w:rPr>
                <w:sz w:val="21"/>
                <w:szCs w:val="21"/>
                <w:vertAlign w:val="superscript"/>
              </w:rPr>
            </w:pPr>
            <w:r w:rsidRPr="00D105C8">
              <w:rPr>
                <w:color w:val="000000"/>
                <w:sz w:val="21"/>
                <w:szCs w:val="21"/>
              </w:rPr>
              <w:t>4.</w:t>
            </w:r>
            <w:r w:rsidR="00EA2DB4">
              <w:rPr>
                <w:color w:val="000000"/>
                <w:sz w:val="21"/>
                <w:szCs w:val="21"/>
              </w:rPr>
              <w:t>5</w:t>
            </w:r>
            <w:r w:rsidRPr="00D105C8">
              <w:rPr>
                <w:color w:val="000000"/>
                <w:sz w:val="21"/>
                <w:szCs w:val="21"/>
              </w:rPr>
              <w:t xml:space="preserve"> </w:t>
            </w:r>
            <w:r w:rsidRPr="00D105C8">
              <w:rPr>
                <w:color w:val="202124"/>
                <w:sz w:val="21"/>
                <w:szCs w:val="21"/>
                <w:shd w:val="clear" w:color="auto" w:fill="FFFFFF"/>
              </w:rPr>
              <w:t>± 0.1</w:t>
            </w:r>
            <w:r w:rsidRPr="00D105C8">
              <w:rPr>
                <w:color w:val="202124"/>
                <w:sz w:val="21"/>
                <w:szCs w:val="21"/>
                <w:shd w:val="clear" w:color="auto" w:fill="FFFFFF"/>
                <w:vertAlign w:val="superscript"/>
              </w:rPr>
              <w:t>cde</w:t>
            </w:r>
          </w:p>
        </w:tc>
        <w:tc>
          <w:tcPr>
            <w:tcW w:w="1266" w:type="dxa"/>
            <w:shd w:val="clear" w:color="auto" w:fill="auto"/>
            <w:vAlign w:val="center"/>
          </w:tcPr>
          <w:p w14:paraId="58B3D38B" w14:textId="026333BE" w:rsidR="00A3545D" w:rsidRPr="00D105C8" w:rsidRDefault="00A3545D" w:rsidP="007510B2">
            <w:pPr>
              <w:jc w:val="center"/>
              <w:rPr>
                <w:sz w:val="21"/>
                <w:szCs w:val="21"/>
                <w:vertAlign w:val="superscript"/>
              </w:rPr>
            </w:pPr>
            <w:r w:rsidRPr="00D105C8">
              <w:rPr>
                <w:color w:val="000000"/>
                <w:sz w:val="21"/>
                <w:szCs w:val="21"/>
              </w:rPr>
              <w:t>4.</w:t>
            </w:r>
            <w:r w:rsidR="00EA2DB4">
              <w:rPr>
                <w:color w:val="000000"/>
                <w:sz w:val="21"/>
                <w:szCs w:val="21"/>
              </w:rPr>
              <w:t>9</w:t>
            </w:r>
            <w:r w:rsidRPr="00D105C8">
              <w:rPr>
                <w:color w:val="000000"/>
                <w:sz w:val="21"/>
                <w:szCs w:val="21"/>
              </w:rPr>
              <w:t xml:space="preserve"> </w:t>
            </w:r>
            <w:r w:rsidRPr="00D105C8">
              <w:rPr>
                <w:color w:val="202124"/>
                <w:sz w:val="21"/>
                <w:szCs w:val="21"/>
                <w:shd w:val="clear" w:color="auto" w:fill="FFFFFF"/>
              </w:rPr>
              <w:t>± 0.</w:t>
            </w:r>
            <w:r w:rsidR="00EA2DB4">
              <w:rPr>
                <w:color w:val="202124"/>
                <w:sz w:val="21"/>
                <w:szCs w:val="21"/>
                <w:shd w:val="clear" w:color="auto" w:fill="FFFFFF"/>
              </w:rPr>
              <w:t>4</w:t>
            </w:r>
            <w:r w:rsidRPr="00D105C8">
              <w:rPr>
                <w:color w:val="202124"/>
                <w:sz w:val="21"/>
                <w:szCs w:val="21"/>
                <w:shd w:val="clear" w:color="auto" w:fill="FFFFFF"/>
                <w:vertAlign w:val="superscript"/>
              </w:rPr>
              <w:t>bcde</w:t>
            </w:r>
          </w:p>
        </w:tc>
        <w:tc>
          <w:tcPr>
            <w:tcW w:w="1267" w:type="dxa"/>
            <w:shd w:val="clear" w:color="auto" w:fill="auto"/>
            <w:vAlign w:val="center"/>
          </w:tcPr>
          <w:p w14:paraId="05C76CF1" w14:textId="563D63FC" w:rsidR="00A3545D" w:rsidRPr="00D105C8" w:rsidRDefault="00A3545D" w:rsidP="007510B2">
            <w:pPr>
              <w:jc w:val="center"/>
              <w:rPr>
                <w:sz w:val="21"/>
                <w:szCs w:val="21"/>
                <w:vertAlign w:val="superscript"/>
              </w:rPr>
            </w:pPr>
            <w:r w:rsidRPr="00D105C8">
              <w:rPr>
                <w:color w:val="000000"/>
                <w:sz w:val="21"/>
                <w:szCs w:val="21"/>
              </w:rPr>
              <w:t>5.</w:t>
            </w:r>
            <w:r w:rsidR="00EA2DB4">
              <w:rPr>
                <w:color w:val="000000"/>
                <w:sz w:val="21"/>
                <w:szCs w:val="21"/>
              </w:rPr>
              <w:t>1</w:t>
            </w:r>
            <w:r w:rsidRPr="00D105C8">
              <w:rPr>
                <w:color w:val="000000"/>
                <w:sz w:val="21"/>
                <w:szCs w:val="21"/>
              </w:rPr>
              <w:t xml:space="preserve"> </w:t>
            </w:r>
            <w:r w:rsidRPr="00D105C8">
              <w:rPr>
                <w:color w:val="202124"/>
                <w:sz w:val="21"/>
                <w:szCs w:val="21"/>
                <w:shd w:val="clear" w:color="auto" w:fill="FFFFFF"/>
              </w:rPr>
              <w:t>± 0.</w:t>
            </w:r>
            <w:r w:rsidR="00EA2DB4">
              <w:rPr>
                <w:color w:val="202124"/>
                <w:sz w:val="21"/>
                <w:szCs w:val="21"/>
                <w:shd w:val="clear" w:color="auto" w:fill="FFFFFF"/>
              </w:rPr>
              <w:t>3</w:t>
            </w:r>
            <w:r w:rsidRPr="00D105C8">
              <w:rPr>
                <w:color w:val="202124"/>
                <w:sz w:val="21"/>
                <w:szCs w:val="21"/>
                <w:shd w:val="clear" w:color="auto" w:fill="FFFFFF"/>
                <w:vertAlign w:val="superscript"/>
              </w:rPr>
              <w:t>abcd</w:t>
            </w:r>
          </w:p>
        </w:tc>
        <w:tc>
          <w:tcPr>
            <w:tcW w:w="1266" w:type="dxa"/>
            <w:shd w:val="clear" w:color="auto" w:fill="auto"/>
            <w:vAlign w:val="center"/>
          </w:tcPr>
          <w:p w14:paraId="4EAB0D2D" w14:textId="3E6AD01F" w:rsidR="00A3545D" w:rsidRPr="00D105C8" w:rsidRDefault="00A3545D" w:rsidP="007510B2">
            <w:pPr>
              <w:jc w:val="center"/>
              <w:rPr>
                <w:sz w:val="21"/>
                <w:szCs w:val="21"/>
                <w:vertAlign w:val="superscript"/>
              </w:rPr>
            </w:pPr>
            <w:r w:rsidRPr="00D105C8">
              <w:rPr>
                <w:color w:val="000000"/>
                <w:sz w:val="21"/>
                <w:szCs w:val="21"/>
              </w:rPr>
              <w:t>5.</w:t>
            </w:r>
            <w:r w:rsidR="00EA2DB4">
              <w:rPr>
                <w:color w:val="000000"/>
                <w:sz w:val="21"/>
                <w:szCs w:val="21"/>
              </w:rPr>
              <w:t>2</w:t>
            </w:r>
            <w:r w:rsidRPr="00D105C8">
              <w:rPr>
                <w:color w:val="000000"/>
                <w:sz w:val="21"/>
                <w:szCs w:val="21"/>
              </w:rPr>
              <w:t xml:space="preserve"> </w:t>
            </w:r>
            <w:r w:rsidRPr="00D105C8">
              <w:rPr>
                <w:color w:val="202124"/>
                <w:sz w:val="21"/>
                <w:szCs w:val="21"/>
                <w:shd w:val="clear" w:color="auto" w:fill="FFFFFF"/>
              </w:rPr>
              <w:t>± 0.</w:t>
            </w:r>
            <w:r w:rsidR="00EA2DB4">
              <w:rPr>
                <w:color w:val="202124"/>
                <w:sz w:val="21"/>
                <w:szCs w:val="21"/>
                <w:shd w:val="clear" w:color="auto" w:fill="FFFFFF"/>
              </w:rPr>
              <w:t>6</w:t>
            </w:r>
            <w:r w:rsidRPr="00D105C8">
              <w:rPr>
                <w:color w:val="202124"/>
                <w:sz w:val="21"/>
                <w:szCs w:val="21"/>
                <w:shd w:val="clear" w:color="auto" w:fill="FFFFFF"/>
                <w:vertAlign w:val="superscript"/>
              </w:rPr>
              <w:t>abcd</w:t>
            </w:r>
          </w:p>
        </w:tc>
        <w:tc>
          <w:tcPr>
            <w:tcW w:w="1266" w:type="dxa"/>
            <w:shd w:val="clear" w:color="auto" w:fill="auto"/>
            <w:vAlign w:val="center"/>
          </w:tcPr>
          <w:p w14:paraId="132556F6" w14:textId="6F5025FC" w:rsidR="00A3545D" w:rsidRPr="00D105C8" w:rsidRDefault="00A3545D" w:rsidP="007510B2">
            <w:pPr>
              <w:jc w:val="center"/>
              <w:rPr>
                <w:sz w:val="21"/>
                <w:szCs w:val="21"/>
                <w:vertAlign w:val="superscript"/>
              </w:rPr>
            </w:pPr>
            <w:r w:rsidRPr="00D105C8">
              <w:rPr>
                <w:color w:val="000000"/>
                <w:sz w:val="21"/>
                <w:szCs w:val="21"/>
              </w:rPr>
              <w:t>4.</w:t>
            </w:r>
            <w:r w:rsidR="00EA2DB4">
              <w:rPr>
                <w:color w:val="000000"/>
                <w:sz w:val="21"/>
                <w:szCs w:val="21"/>
              </w:rPr>
              <w:t>5</w:t>
            </w:r>
            <w:r w:rsidRPr="00D105C8">
              <w:rPr>
                <w:color w:val="000000"/>
                <w:sz w:val="21"/>
                <w:szCs w:val="21"/>
              </w:rPr>
              <w:t xml:space="preserve"> </w:t>
            </w:r>
            <w:r w:rsidRPr="00D105C8">
              <w:rPr>
                <w:color w:val="202124"/>
                <w:sz w:val="21"/>
                <w:szCs w:val="21"/>
                <w:shd w:val="clear" w:color="auto" w:fill="FFFFFF"/>
              </w:rPr>
              <w:t>± 0.2</w:t>
            </w:r>
            <w:r w:rsidRPr="00D105C8">
              <w:rPr>
                <w:color w:val="202124"/>
                <w:sz w:val="21"/>
                <w:szCs w:val="21"/>
                <w:shd w:val="clear" w:color="auto" w:fill="FFFFFF"/>
                <w:vertAlign w:val="superscript"/>
              </w:rPr>
              <w:t>cde</w:t>
            </w:r>
          </w:p>
        </w:tc>
        <w:tc>
          <w:tcPr>
            <w:tcW w:w="1267" w:type="dxa"/>
            <w:shd w:val="clear" w:color="auto" w:fill="auto"/>
            <w:vAlign w:val="center"/>
          </w:tcPr>
          <w:p w14:paraId="1A85C627" w14:textId="2962AE35" w:rsidR="00A3545D" w:rsidRPr="00D105C8" w:rsidRDefault="00A3545D" w:rsidP="007510B2">
            <w:pPr>
              <w:jc w:val="center"/>
              <w:rPr>
                <w:sz w:val="21"/>
                <w:szCs w:val="21"/>
                <w:vertAlign w:val="superscript"/>
              </w:rPr>
            </w:pPr>
            <w:r w:rsidRPr="00D105C8">
              <w:rPr>
                <w:color w:val="000000"/>
                <w:sz w:val="21"/>
                <w:szCs w:val="21"/>
              </w:rPr>
              <w:t>4.</w:t>
            </w:r>
            <w:r w:rsidR="00EA2DB4">
              <w:rPr>
                <w:color w:val="000000"/>
                <w:sz w:val="21"/>
                <w:szCs w:val="21"/>
              </w:rPr>
              <w:t>6</w:t>
            </w:r>
            <w:r w:rsidRPr="00D105C8">
              <w:rPr>
                <w:color w:val="000000"/>
                <w:sz w:val="21"/>
                <w:szCs w:val="21"/>
              </w:rPr>
              <w:t xml:space="preserve"> </w:t>
            </w:r>
            <w:r w:rsidRPr="00D105C8">
              <w:rPr>
                <w:color w:val="202124"/>
                <w:sz w:val="21"/>
                <w:szCs w:val="21"/>
                <w:shd w:val="clear" w:color="auto" w:fill="FFFFFF"/>
              </w:rPr>
              <w:t>± 0.</w:t>
            </w:r>
            <w:r w:rsidR="00EA2DB4">
              <w:rPr>
                <w:color w:val="202124"/>
                <w:sz w:val="21"/>
                <w:szCs w:val="21"/>
                <w:shd w:val="clear" w:color="auto" w:fill="FFFFFF"/>
              </w:rPr>
              <w:t>4</w:t>
            </w:r>
            <w:r w:rsidRPr="00D105C8">
              <w:rPr>
                <w:color w:val="202124"/>
                <w:sz w:val="21"/>
                <w:szCs w:val="21"/>
                <w:shd w:val="clear" w:color="auto" w:fill="FFFFFF"/>
                <w:vertAlign w:val="superscript"/>
              </w:rPr>
              <w:t>de</w:t>
            </w:r>
          </w:p>
        </w:tc>
      </w:tr>
      <w:tr w:rsidR="00A3545D" w14:paraId="269F24F7" w14:textId="77777777" w:rsidTr="00A3545D">
        <w:tc>
          <w:tcPr>
            <w:tcW w:w="2547" w:type="dxa"/>
          </w:tcPr>
          <w:p w14:paraId="05D97128" w14:textId="6735ABCB" w:rsidR="00A3545D" w:rsidRDefault="005E682B" w:rsidP="007510B2">
            <w:r w:rsidRPr="005E682B">
              <w:t>C:N ratio</w:t>
            </w:r>
          </w:p>
        </w:tc>
        <w:tc>
          <w:tcPr>
            <w:tcW w:w="1266" w:type="dxa"/>
            <w:shd w:val="clear" w:color="auto" w:fill="auto"/>
            <w:vAlign w:val="center"/>
          </w:tcPr>
          <w:p w14:paraId="01D6AE4D" w14:textId="15E9B653" w:rsidR="00A3545D" w:rsidRPr="00D105C8" w:rsidRDefault="00A3545D" w:rsidP="007510B2">
            <w:pPr>
              <w:jc w:val="center"/>
              <w:rPr>
                <w:sz w:val="21"/>
                <w:szCs w:val="21"/>
                <w:vertAlign w:val="superscript"/>
              </w:rPr>
            </w:pPr>
            <w:r w:rsidRPr="00D105C8">
              <w:rPr>
                <w:color w:val="000000"/>
                <w:sz w:val="21"/>
                <w:szCs w:val="21"/>
              </w:rPr>
              <w:t xml:space="preserve">12 </w:t>
            </w:r>
            <w:r w:rsidRPr="00D105C8">
              <w:rPr>
                <w:color w:val="202124"/>
                <w:sz w:val="21"/>
                <w:szCs w:val="21"/>
                <w:shd w:val="clear" w:color="auto" w:fill="FFFFFF"/>
              </w:rPr>
              <w:t xml:space="preserve">± </w:t>
            </w:r>
            <w:r w:rsidR="003A57C9">
              <w:rPr>
                <w:color w:val="202124"/>
                <w:sz w:val="21"/>
                <w:szCs w:val="21"/>
                <w:shd w:val="clear" w:color="auto" w:fill="FFFFFF"/>
              </w:rPr>
              <w:t>1</w:t>
            </w:r>
            <w:r w:rsidRPr="00D105C8">
              <w:rPr>
                <w:color w:val="202124"/>
                <w:sz w:val="21"/>
                <w:szCs w:val="21"/>
                <w:shd w:val="clear" w:color="auto" w:fill="FFFFFF"/>
                <w:vertAlign w:val="superscript"/>
              </w:rPr>
              <w:t>a</w:t>
            </w:r>
          </w:p>
        </w:tc>
        <w:tc>
          <w:tcPr>
            <w:tcW w:w="1266" w:type="dxa"/>
            <w:shd w:val="clear" w:color="auto" w:fill="auto"/>
            <w:vAlign w:val="center"/>
          </w:tcPr>
          <w:p w14:paraId="23E97E3D" w14:textId="425CAF05" w:rsidR="00A3545D" w:rsidRPr="00D105C8" w:rsidRDefault="00A3545D" w:rsidP="007510B2">
            <w:pPr>
              <w:jc w:val="center"/>
              <w:rPr>
                <w:sz w:val="21"/>
                <w:szCs w:val="21"/>
                <w:vertAlign w:val="superscript"/>
              </w:rPr>
            </w:pPr>
            <w:r w:rsidRPr="00D105C8">
              <w:rPr>
                <w:color w:val="000000"/>
                <w:sz w:val="21"/>
                <w:szCs w:val="21"/>
              </w:rPr>
              <w:t xml:space="preserve">10 </w:t>
            </w:r>
            <w:r w:rsidRPr="00D105C8">
              <w:rPr>
                <w:color w:val="202124"/>
                <w:sz w:val="21"/>
                <w:szCs w:val="21"/>
                <w:shd w:val="clear" w:color="auto" w:fill="FFFFFF"/>
              </w:rPr>
              <w:t>± 0</w:t>
            </w:r>
            <w:r w:rsidRPr="00D105C8">
              <w:rPr>
                <w:color w:val="202124"/>
                <w:sz w:val="21"/>
                <w:szCs w:val="21"/>
                <w:shd w:val="clear" w:color="auto" w:fill="FFFFFF"/>
                <w:vertAlign w:val="superscript"/>
              </w:rPr>
              <w:t>abc</w:t>
            </w:r>
          </w:p>
        </w:tc>
        <w:tc>
          <w:tcPr>
            <w:tcW w:w="1266" w:type="dxa"/>
            <w:shd w:val="clear" w:color="auto" w:fill="auto"/>
            <w:vAlign w:val="center"/>
          </w:tcPr>
          <w:p w14:paraId="4F9CC1D4" w14:textId="62B71EAF" w:rsidR="00A3545D" w:rsidRPr="00D105C8" w:rsidRDefault="003A57C9" w:rsidP="007510B2">
            <w:pPr>
              <w:jc w:val="center"/>
              <w:rPr>
                <w:sz w:val="21"/>
                <w:szCs w:val="21"/>
                <w:vertAlign w:val="superscript"/>
              </w:rPr>
            </w:pPr>
            <w:r>
              <w:rPr>
                <w:color w:val="000000"/>
                <w:sz w:val="21"/>
                <w:szCs w:val="21"/>
              </w:rPr>
              <w:t>10</w:t>
            </w:r>
            <w:r w:rsidR="00A3545D" w:rsidRPr="00D105C8">
              <w:rPr>
                <w:color w:val="000000"/>
                <w:sz w:val="21"/>
                <w:szCs w:val="21"/>
              </w:rPr>
              <w:t xml:space="preserve"> </w:t>
            </w:r>
            <w:r w:rsidR="00A3545D" w:rsidRPr="00D105C8">
              <w:rPr>
                <w:color w:val="202124"/>
                <w:sz w:val="21"/>
                <w:szCs w:val="21"/>
                <w:shd w:val="clear" w:color="auto" w:fill="FFFFFF"/>
              </w:rPr>
              <w:t>± 0</w:t>
            </w:r>
            <w:r w:rsidR="00A3545D" w:rsidRPr="00D105C8">
              <w:rPr>
                <w:color w:val="202124"/>
                <w:sz w:val="21"/>
                <w:szCs w:val="21"/>
                <w:shd w:val="clear" w:color="auto" w:fill="FFFFFF"/>
                <w:vertAlign w:val="superscript"/>
              </w:rPr>
              <w:t>bc</w:t>
            </w:r>
          </w:p>
        </w:tc>
        <w:tc>
          <w:tcPr>
            <w:tcW w:w="1267" w:type="dxa"/>
            <w:shd w:val="clear" w:color="auto" w:fill="auto"/>
            <w:vAlign w:val="center"/>
          </w:tcPr>
          <w:p w14:paraId="4BC4C06D" w14:textId="68B022DD" w:rsidR="00A3545D" w:rsidRPr="00D105C8" w:rsidRDefault="00A3545D" w:rsidP="007510B2">
            <w:pPr>
              <w:jc w:val="center"/>
              <w:rPr>
                <w:sz w:val="21"/>
                <w:szCs w:val="21"/>
                <w:vertAlign w:val="superscript"/>
              </w:rPr>
            </w:pPr>
            <w:r w:rsidRPr="00D105C8">
              <w:rPr>
                <w:color w:val="000000"/>
                <w:sz w:val="21"/>
                <w:szCs w:val="21"/>
              </w:rPr>
              <w:t xml:space="preserve">10 </w:t>
            </w:r>
            <w:r w:rsidRPr="00D105C8">
              <w:rPr>
                <w:color w:val="202124"/>
                <w:sz w:val="21"/>
                <w:szCs w:val="21"/>
                <w:shd w:val="clear" w:color="auto" w:fill="FFFFFF"/>
              </w:rPr>
              <w:t>± 0</w:t>
            </w:r>
            <w:r w:rsidRPr="00D105C8">
              <w:rPr>
                <w:color w:val="202124"/>
                <w:sz w:val="21"/>
                <w:szCs w:val="21"/>
                <w:shd w:val="clear" w:color="auto" w:fill="FFFFFF"/>
                <w:vertAlign w:val="superscript"/>
              </w:rPr>
              <w:t>abc</w:t>
            </w:r>
          </w:p>
        </w:tc>
        <w:tc>
          <w:tcPr>
            <w:tcW w:w="1266" w:type="dxa"/>
            <w:shd w:val="clear" w:color="auto" w:fill="auto"/>
            <w:vAlign w:val="center"/>
          </w:tcPr>
          <w:p w14:paraId="5616EA57" w14:textId="01F8283B" w:rsidR="00A3545D" w:rsidRPr="00D105C8" w:rsidRDefault="00A3545D" w:rsidP="007510B2">
            <w:pPr>
              <w:jc w:val="center"/>
              <w:rPr>
                <w:sz w:val="21"/>
                <w:szCs w:val="21"/>
                <w:vertAlign w:val="superscript"/>
              </w:rPr>
            </w:pPr>
            <w:r w:rsidRPr="00D105C8">
              <w:rPr>
                <w:color w:val="000000"/>
                <w:sz w:val="21"/>
                <w:szCs w:val="21"/>
              </w:rPr>
              <w:t xml:space="preserve">10 </w:t>
            </w:r>
            <w:r w:rsidRPr="00D105C8">
              <w:rPr>
                <w:color w:val="202124"/>
                <w:sz w:val="21"/>
                <w:szCs w:val="21"/>
                <w:shd w:val="clear" w:color="auto" w:fill="FFFFFF"/>
              </w:rPr>
              <w:t>± 0</w:t>
            </w:r>
            <w:r w:rsidRPr="00D105C8">
              <w:rPr>
                <w:color w:val="202124"/>
                <w:sz w:val="21"/>
                <w:szCs w:val="21"/>
                <w:shd w:val="clear" w:color="auto" w:fill="FFFFFF"/>
                <w:vertAlign w:val="superscript"/>
              </w:rPr>
              <w:t>abc</w:t>
            </w:r>
          </w:p>
        </w:tc>
        <w:tc>
          <w:tcPr>
            <w:tcW w:w="1266" w:type="dxa"/>
            <w:shd w:val="clear" w:color="auto" w:fill="auto"/>
            <w:vAlign w:val="center"/>
          </w:tcPr>
          <w:p w14:paraId="4828F627" w14:textId="178FE13D" w:rsidR="00A3545D" w:rsidRPr="00D105C8" w:rsidRDefault="003A57C9" w:rsidP="007510B2">
            <w:pPr>
              <w:jc w:val="center"/>
              <w:rPr>
                <w:sz w:val="21"/>
                <w:szCs w:val="21"/>
                <w:vertAlign w:val="superscript"/>
              </w:rPr>
            </w:pPr>
            <w:r>
              <w:rPr>
                <w:color w:val="000000"/>
                <w:sz w:val="21"/>
                <w:szCs w:val="21"/>
              </w:rPr>
              <w:t>10</w:t>
            </w:r>
            <w:r w:rsidR="00A3545D" w:rsidRPr="00D105C8">
              <w:rPr>
                <w:color w:val="000000"/>
                <w:sz w:val="21"/>
                <w:szCs w:val="21"/>
              </w:rPr>
              <w:t xml:space="preserve"> </w:t>
            </w:r>
            <w:r w:rsidR="00A3545D" w:rsidRPr="00D105C8">
              <w:rPr>
                <w:color w:val="202124"/>
                <w:sz w:val="21"/>
                <w:szCs w:val="21"/>
                <w:shd w:val="clear" w:color="auto" w:fill="FFFFFF"/>
              </w:rPr>
              <w:t>± 0</w:t>
            </w:r>
            <w:r w:rsidR="00A3545D" w:rsidRPr="00D105C8">
              <w:rPr>
                <w:color w:val="202124"/>
                <w:sz w:val="21"/>
                <w:szCs w:val="21"/>
                <w:shd w:val="clear" w:color="auto" w:fill="FFFFFF"/>
                <w:vertAlign w:val="superscript"/>
              </w:rPr>
              <w:t>bc</w:t>
            </w:r>
          </w:p>
        </w:tc>
        <w:tc>
          <w:tcPr>
            <w:tcW w:w="1266" w:type="dxa"/>
            <w:shd w:val="clear" w:color="auto" w:fill="auto"/>
            <w:vAlign w:val="center"/>
          </w:tcPr>
          <w:p w14:paraId="66781B3F" w14:textId="2E624FE0" w:rsidR="00A3545D" w:rsidRPr="00D105C8" w:rsidRDefault="00A3545D" w:rsidP="007510B2">
            <w:pPr>
              <w:jc w:val="center"/>
              <w:rPr>
                <w:sz w:val="21"/>
                <w:szCs w:val="21"/>
                <w:vertAlign w:val="superscript"/>
              </w:rPr>
            </w:pPr>
            <w:r w:rsidRPr="00D105C8">
              <w:rPr>
                <w:color w:val="000000"/>
                <w:sz w:val="21"/>
                <w:szCs w:val="21"/>
              </w:rPr>
              <w:t>10</w:t>
            </w:r>
            <w:r w:rsidRPr="00D105C8">
              <w:rPr>
                <w:color w:val="202124"/>
                <w:sz w:val="21"/>
                <w:szCs w:val="21"/>
                <w:shd w:val="clear" w:color="auto" w:fill="FFFFFF"/>
              </w:rPr>
              <w:t>± 0</w:t>
            </w:r>
            <w:r w:rsidRPr="00D105C8">
              <w:rPr>
                <w:color w:val="202124"/>
                <w:sz w:val="21"/>
                <w:szCs w:val="21"/>
                <w:shd w:val="clear" w:color="auto" w:fill="FFFFFF"/>
                <w:vertAlign w:val="superscript"/>
              </w:rPr>
              <w:t>abc</w:t>
            </w:r>
          </w:p>
        </w:tc>
        <w:tc>
          <w:tcPr>
            <w:tcW w:w="1267" w:type="dxa"/>
            <w:shd w:val="clear" w:color="auto" w:fill="auto"/>
            <w:vAlign w:val="center"/>
          </w:tcPr>
          <w:p w14:paraId="28BA1B00" w14:textId="6EA9171F" w:rsidR="00A3545D" w:rsidRPr="00D105C8" w:rsidRDefault="00A3545D" w:rsidP="007510B2">
            <w:pPr>
              <w:jc w:val="center"/>
              <w:rPr>
                <w:sz w:val="21"/>
                <w:szCs w:val="21"/>
                <w:vertAlign w:val="superscript"/>
              </w:rPr>
            </w:pPr>
            <w:r w:rsidRPr="00D105C8">
              <w:rPr>
                <w:color w:val="000000"/>
                <w:sz w:val="21"/>
                <w:szCs w:val="21"/>
              </w:rPr>
              <w:t>1</w:t>
            </w:r>
            <w:r w:rsidR="003A57C9">
              <w:rPr>
                <w:color w:val="000000"/>
                <w:sz w:val="21"/>
                <w:szCs w:val="21"/>
              </w:rPr>
              <w:t>1</w:t>
            </w:r>
            <w:r w:rsidRPr="00D105C8">
              <w:rPr>
                <w:color w:val="000000"/>
                <w:sz w:val="21"/>
                <w:szCs w:val="21"/>
              </w:rPr>
              <w:t xml:space="preserve"> </w:t>
            </w:r>
            <w:r w:rsidRPr="00D105C8">
              <w:rPr>
                <w:color w:val="202124"/>
                <w:sz w:val="21"/>
                <w:szCs w:val="21"/>
                <w:shd w:val="clear" w:color="auto" w:fill="FFFFFF"/>
              </w:rPr>
              <w:t>± 0</w:t>
            </w:r>
            <w:r w:rsidRPr="00D105C8">
              <w:rPr>
                <w:color w:val="202124"/>
                <w:sz w:val="21"/>
                <w:szCs w:val="21"/>
                <w:shd w:val="clear" w:color="auto" w:fill="FFFFFF"/>
                <w:vertAlign w:val="superscript"/>
              </w:rPr>
              <w:t>abc</w:t>
            </w:r>
          </w:p>
        </w:tc>
        <w:tc>
          <w:tcPr>
            <w:tcW w:w="1266" w:type="dxa"/>
            <w:shd w:val="clear" w:color="auto" w:fill="auto"/>
            <w:vAlign w:val="center"/>
          </w:tcPr>
          <w:p w14:paraId="06AAA40C" w14:textId="47874909" w:rsidR="00A3545D" w:rsidRPr="00D105C8" w:rsidRDefault="00A3545D" w:rsidP="007510B2">
            <w:pPr>
              <w:jc w:val="center"/>
              <w:rPr>
                <w:sz w:val="21"/>
                <w:szCs w:val="21"/>
                <w:vertAlign w:val="superscript"/>
              </w:rPr>
            </w:pPr>
            <w:r w:rsidRPr="00D105C8">
              <w:rPr>
                <w:color w:val="000000"/>
                <w:sz w:val="21"/>
                <w:szCs w:val="21"/>
              </w:rPr>
              <w:t xml:space="preserve">9 </w:t>
            </w:r>
            <w:r w:rsidRPr="00D105C8">
              <w:rPr>
                <w:color w:val="202124"/>
                <w:sz w:val="21"/>
                <w:szCs w:val="21"/>
                <w:shd w:val="clear" w:color="auto" w:fill="FFFFFF"/>
              </w:rPr>
              <w:t>± 0</w:t>
            </w:r>
            <w:r w:rsidRPr="00D105C8">
              <w:rPr>
                <w:color w:val="202124"/>
                <w:sz w:val="21"/>
                <w:szCs w:val="21"/>
                <w:shd w:val="clear" w:color="auto" w:fill="FFFFFF"/>
                <w:vertAlign w:val="superscript"/>
              </w:rPr>
              <w:t>c</w:t>
            </w:r>
          </w:p>
        </w:tc>
        <w:tc>
          <w:tcPr>
            <w:tcW w:w="1266" w:type="dxa"/>
            <w:shd w:val="clear" w:color="auto" w:fill="auto"/>
            <w:vAlign w:val="center"/>
          </w:tcPr>
          <w:p w14:paraId="5B641A0E" w14:textId="23312651" w:rsidR="00A3545D" w:rsidRPr="00D105C8" w:rsidRDefault="00A3545D" w:rsidP="007510B2">
            <w:pPr>
              <w:jc w:val="center"/>
              <w:rPr>
                <w:sz w:val="21"/>
                <w:szCs w:val="21"/>
                <w:vertAlign w:val="superscript"/>
              </w:rPr>
            </w:pPr>
            <w:r w:rsidRPr="00D105C8">
              <w:rPr>
                <w:color w:val="000000"/>
                <w:sz w:val="21"/>
                <w:szCs w:val="21"/>
              </w:rPr>
              <w:t>1</w:t>
            </w:r>
            <w:r w:rsidR="003A57C9">
              <w:rPr>
                <w:color w:val="000000"/>
                <w:sz w:val="21"/>
                <w:szCs w:val="21"/>
              </w:rPr>
              <w:t>1</w:t>
            </w:r>
            <w:r w:rsidRPr="00D105C8">
              <w:rPr>
                <w:color w:val="000000"/>
                <w:sz w:val="21"/>
                <w:szCs w:val="21"/>
              </w:rPr>
              <w:t xml:space="preserve"> </w:t>
            </w:r>
            <w:r w:rsidRPr="00D105C8">
              <w:rPr>
                <w:color w:val="202124"/>
                <w:sz w:val="21"/>
                <w:szCs w:val="21"/>
                <w:shd w:val="clear" w:color="auto" w:fill="FFFFFF"/>
              </w:rPr>
              <w:t>± 0</w:t>
            </w:r>
            <w:r w:rsidRPr="00D105C8">
              <w:rPr>
                <w:color w:val="202124"/>
                <w:sz w:val="21"/>
                <w:szCs w:val="21"/>
                <w:shd w:val="clear" w:color="auto" w:fill="FFFFFF"/>
                <w:vertAlign w:val="superscript"/>
              </w:rPr>
              <w:t>a</w:t>
            </w:r>
          </w:p>
        </w:tc>
        <w:tc>
          <w:tcPr>
            <w:tcW w:w="1266" w:type="dxa"/>
            <w:shd w:val="clear" w:color="auto" w:fill="auto"/>
            <w:vAlign w:val="center"/>
          </w:tcPr>
          <w:p w14:paraId="2A485FAE" w14:textId="5F933352" w:rsidR="00A3545D" w:rsidRPr="00D105C8" w:rsidRDefault="00A3545D" w:rsidP="007510B2">
            <w:pPr>
              <w:jc w:val="center"/>
              <w:rPr>
                <w:sz w:val="21"/>
                <w:szCs w:val="21"/>
                <w:vertAlign w:val="superscript"/>
              </w:rPr>
            </w:pPr>
            <w:r w:rsidRPr="00D105C8">
              <w:rPr>
                <w:color w:val="000000"/>
                <w:sz w:val="21"/>
                <w:szCs w:val="21"/>
              </w:rPr>
              <w:t>1</w:t>
            </w:r>
            <w:r w:rsidR="003A57C9">
              <w:rPr>
                <w:color w:val="000000"/>
                <w:sz w:val="21"/>
                <w:szCs w:val="21"/>
              </w:rPr>
              <w:t>1</w:t>
            </w:r>
            <w:r w:rsidRPr="00D105C8">
              <w:rPr>
                <w:color w:val="000000"/>
                <w:sz w:val="21"/>
                <w:szCs w:val="21"/>
              </w:rPr>
              <w:t xml:space="preserve"> </w:t>
            </w:r>
            <w:r w:rsidRPr="00D105C8">
              <w:rPr>
                <w:color w:val="202124"/>
                <w:sz w:val="21"/>
                <w:szCs w:val="21"/>
                <w:shd w:val="clear" w:color="auto" w:fill="FFFFFF"/>
              </w:rPr>
              <w:t>± 0</w:t>
            </w:r>
            <w:r w:rsidRPr="00D105C8">
              <w:rPr>
                <w:color w:val="202124"/>
                <w:sz w:val="21"/>
                <w:szCs w:val="21"/>
                <w:shd w:val="clear" w:color="auto" w:fill="FFFFFF"/>
                <w:vertAlign w:val="superscript"/>
              </w:rPr>
              <w:t>ab</w:t>
            </w:r>
          </w:p>
        </w:tc>
        <w:tc>
          <w:tcPr>
            <w:tcW w:w="1267" w:type="dxa"/>
            <w:shd w:val="clear" w:color="auto" w:fill="auto"/>
            <w:vAlign w:val="center"/>
          </w:tcPr>
          <w:p w14:paraId="358B72D3" w14:textId="5681D94E" w:rsidR="00A3545D" w:rsidRPr="00D105C8" w:rsidRDefault="00A3545D" w:rsidP="007510B2">
            <w:pPr>
              <w:jc w:val="center"/>
              <w:rPr>
                <w:sz w:val="21"/>
                <w:szCs w:val="21"/>
                <w:vertAlign w:val="superscript"/>
              </w:rPr>
            </w:pPr>
            <w:r w:rsidRPr="00D105C8">
              <w:rPr>
                <w:color w:val="000000"/>
                <w:sz w:val="21"/>
                <w:szCs w:val="21"/>
              </w:rPr>
              <w:t xml:space="preserve">10 </w:t>
            </w:r>
            <w:r w:rsidRPr="00D105C8">
              <w:rPr>
                <w:color w:val="202124"/>
                <w:sz w:val="21"/>
                <w:szCs w:val="21"/>
                <w:shd w:val="clear" w:color="auto" w:fill="FFFFFF"/>
              </w:rPr>
              <w:t>± 0</w:t>
            </w:r>
            <w:r w:rsidRPr="00D105C8">
              <w:rPr>
                <w:color w:val="202124"/>
                <w:sz w:val="21"/>
                <w:szCs w:val="21"/>
                <w:shd w:val="clear" w:color="auto" w:fill="FFFFFF"/>
                <w:vertAlign w:val="superscript"/>
              </w:rPr>
              <w:t>abc</w:t>
            </w:r>
          </w:p>
        </w:tc>
        <w:tc>
          <w:tcPr>
            <w:tcW w:w="1266" w:type="dxa"/>
            <w:shd w:val="clear" w:color="auto" w:fill="auto"/>
            <w:vAlign w:val="center"/>
          </w:tcPr>
          <w:p w14:paraId="41C0CF9C" w14:textId="05668DA1" w:rsidR="00A3545D" w:rsidRPr="00D105C8" w:rsidRDefault="00A3545D" w:rsidP="007510B2">
            <w:pPr>
              <w:jc w:val="center"/>
              <w:rPr>
                <w:sz w:val="21"/>
                <w:szCs w:val="21"/>
                <w:vertAlign w:val="superscript"/>
              </w:rPr>
            </w:pPr>
            <w:r w:rsidRPr="00D105C8">
              <w:rPr>
                <w:color w:val="000000"/>
                <w:sz w:val="21"/>
                <w:szCs w:val="21"/>
              </w:rPr>
              <w:t xml:space="preserve">10 </w:t>
            </w:r>
            <w:r w:rsidRPr="00D105C8">
              <w:rPr>
                <w:color w:val="202124"/>
                <w:sz w:val="21"/>
                <w:szCs w:val="21"/>
                <w:shd w:val="clear" w:color="auto" w:fill="FFFFFF"/>
              </w:rPr>
              <w:t>± 0</w:t>
            </w:r>
            <w:r w:rsidRPr="00D105C8">
              <w:rPr>
                <w:color w:val="202124"/>
                <w:sz w:val="21"/>
                <w:szCs w:val="21"/>
                <w:shd w:val="clear" w:color="auto" w:fill="FFFFFF"/>
                <w:vertAlign w:val="superscript"/>
              </w:rPr>
              <w:t>abc</w:t>
            </w:r>
          </w:p>
        </w:tc>
        <w:tc>
          <w:tcPr>
            <w:tcW w:w="1266" w:type="dxa"/>
            <w:shd w:val="clear" w:color="auto" w:fill="auto"/>
            <w:vAlign w:val="center"/>
          </w:tcPr>
          <w:p w14:paraId="1CE96E0A" w14:textId="1B1C85C5" w:rsidR="00A3545D" w:rsidRPr="00D105C8" w:rsidRDefault="00A3545D" w:rsidP="007510B2">
            <w:pPr>
              <w:jc w:val="center"/>
              <w:rPr>
                <w:sz w:val="21"/>
                <w:szCs w:val="21"/>
                <w:vertAlign w:val="superscript"/>
              </w:rPr>
            </w:pPr>
            <w:r w:rsidRPr="00D105C8">
              <w:rPr>
                <w:color w:val="000000"/>
                <w:sz w:val="21"/>
                <w:szCs w:val="21"/>
              </w:rPr>
              <w:t>10</w:t>
            </w:r>
            <w:r w:rsidR="003A57C9">
              <w:rPr>
                <w:color w:val="000000"/>
                <w:sz w:val="21"/>
                <w:szCs w:val="21"/>
              </w:rPr>
              <w:t xml:space="preserve"> </w:t>
            </w:r>
            <w:r w:rsidRPr="00D105C8">
              <w:rPr>
                <w:color w:val="202124"/>
                <w:sz w:val="21"/>
                <w:szCs w:val="21"/>
                <w:shd w:val="clear" w:color="auto" w:fill="FFFFFF"/>
              </w:rPr>
              <w:t>± 0</w:t>
            </w:r>
            <w:r w:rsidRPr="00D105C8">
              <w:rPr>
                <w:color w:val="202124"/>
                <w:sz w:val="21"/>
                <w:szCs w:val="21"/>
                <w:shd w:val="clear" w:color="auto" w:fill="FFFFFF"/>
                <w:vertAlign w:val="superscript"/>
              </w:rPr>
              <w:t>abc</w:t>
            </w:r>
          </w:p>
        </w:tc>
        <w:tc>
          <w:tcPr>
            <w:tcW w:w="1267" w:type="dxa"/>
            <w:shd w:val="clear" w:color="auto" w:fill="auto"/>
            <w:vAlign w:val="center"/>
          </w:tcPr>
          <w:p w14:paraId="422F2B5B" w14:textId="61D0D80E" w:rsidR="00A3545D" w:rsidRPr="00D105C8" w:rsidRDefault="00A3545D" w:rsidP="007510B2">
            <w:pPr>
              <w:jc w:val="center"/>
              <w:rPr>
                <w:sz w:val="21"/>
                <w:szCs w:val="21"/>
                <w:vertAlign w:val="superscript"/>
              </w:rPr>
            </w:pPr>
            <w:r w:rsidRPr="00D105C8">
              <w:rPr>
                <w:color w:val="000000"/>
                <w:sz w:val="21"/>
                <w:szCs w:val="21"/>
              </w:rPr>
              <w:t xml:space="preserve">10 </w:t>
            </w:r>
            <w:r w:rsidRPr="00D105C8">
              <w:rPr>
                <w:color w:val="202124"/>
                <w:sz w:val="21"/>
                <w:szCs w:val="21"/>
                <w:shd w:val="clear" w:color="auto" w:fill="FFFFFF"/>
              </w:rPr>
              <w:t>± 0</w:t>
            </w:r>
            <w:r w:rsidRPr="00D105C8">
              <w:rPr>
                <w:color w:val="202124"/>
                <w:sz w:val="21"/>
                <w:szCs w:val="21"/>
                <w:shd w:val="clear" w:color="auto" w:fill="FFFFFF"/>
                <w:vertAlign w:val="superscript"/>
              </w:rPr>
              <w:t>abc</w:t>
            </w:r>
          </w:p>
        </w:tc>
      </w:tr>
      <w:tr w:rsidR="00A3545D" w14:paraId="086F71A4" w14:textId="77777777" w:rsidTr="00A3545D">
        <w:tc>
          <w:tcPr>
            <w:tcW w:w="2547" w:type="dxa"/>
          </w:tcPr>
          <w:p w14:paraId="4259E894" w14:textId="6D2CD6A6" w:rsidR="00A3545D" w:rsidRDefault="009929F3" w:rsidP="007510B2">
            <w:r w:rsidRPr="009929F3">
              <w:t>Dissolved organic C (mg C kg</w:t>
            </w:r>
            <w:r w:rsidRPr="009929F3">
              <w:rPr>
                <w:vertAlign w:val="superscript"/>
              </w:rPr>
              <w:t>−1</w:t>
            </w:r>
            <w:r w:rsidRPr="009929F3">
              <w:t>)</w:t>
            </w:r>
          </w:p>
        </w:tc>
        <w:tc>
          <w:tcPr>
            <w:tcW w:w="1266" w:type="dxa"/>
            <w:shd w:val="clear" w:color="auto" w:fill="auto"/>
            <w:vAlign w:val="center"/>
          </w:tcPr>
          <w:p w14:paraId="0E3C4F3C" w14:textId="1A62CE9C" w:rsidR="00A3545D" w:rsidRPr="00D105C8" w:rsidRDefault="00A3545D" w:rsidP="007510B2">
            <w:pPr>
              <w:jc w:val="center"/>
              <w:rPr>
                <w:sz w:val="21"/>
                <w:szCs w:val="21"/>
                <w:vertAlign w:val="superscript"/>
              </w:rPr>
            </w:pPr>
            <w:r w:rsidRPr="00D105C8">
              <w:rPr>
                <w:color w:val="000000"/>
                <w:sz w:val="21"/>
                <w:szCs w:val="21"/>
              </w:rPr>
              <w:t xml:space="preserve">154 </w:t>
            </w:r>
            <w:r w:rsidRPr="00D105C8">
              <w:rPr>
                <w:color w:val="202124"/>
                <w:sz w:val="21"/>
                <w:szCs w:val="21"/>
                <w:shd w:val="clear" w:color="auto" w:fill="FFFFFF"/>
              </w:rPr>
              <w:t>± 5</w:t>
            </w:r>
            <w:r w:rsidRPr="00D105C8">
              <w:rPr>
                <w:color w:val="202124"/>
                <w:sz w:val="21"/>
                <w:szCs w:val="21"/>
                <w:shd w:val="clear" w:color="auto" w:fill="FFFFFF"/>
                <w:vertAlign w:val="superscript"/>
              </w:rPr>
              <w:t>bcde</w:t>
            </w:r>
          </w:p>
        </w:tc>
        <w:tc>
          <w:tcPr>
            <w:tcW w:w="1266" w:type="dxa"/>
            <w:shd w:val="clear" w:color="auto" w:fill="auto"/>
            <w:vAlign w:val="center"/>
          </w:tcPr>
          <w:p w14:paraId="3AB85FA1" w14:textId="05AFF95D" w:rsidR="00A3545D" w:rsidRPr="00D105C8" w:rsidRDefault="00A3545D" w:rsidP="007510B2">
            <w:pPr>
              <w:jc w:val="center"/>
              <w:rPr>
                <w:sz w:val="21"/>
                <w:szCs w:val="21"/>
                <w:vertAlign w:val="superscript"/>
              </w:rPr>
            </w:pPr>
            <w:r w:rsidRPr="00D105C8">
              <w:rPr>
                <w:color w:val="000000"/>
                <w:sz w:val="21"/>
                <w:szCs w:val="21"/>
              </w:rPr>
              <w:t xml:space="preserve">132 </w:t>
            </w:r>
            <w:r w:rsidRPr="00D105C8">
              <w:rPr>
                <w:color w:val="202124"/>
                <w:sz w:val="21"/>
                <w:szCs w:val="21"/>
                <w:shd w:val="clear" w:color="auto" w:fill="FFFFFF"/>
              </w:rPr>
              <w:t>± 10</w:t>
            </w:r>
            <w:r w:rsidRPr="00D105C8">
              <w:rPr>
                <w:color w:val="202124"/>
                <w:sz w:val="21"/>
                <w:szCs w:val="21"/>
                <w:shd w:val="clear" w:color="auto" w:fill="FFFFFF"/>
                <w:vertAlign w:val="superscript"/>
              </w:rPr>
              <w:t>cde</w:t>
            </w:r>
          </w:p>
        </w:tc>
        <w:tc>
          <w:tcPr>
            <w:tcW w:w="1266" w:type="dxa"/>
            <w:shd w:val="clear" w:color="auto" w:fill="auto"/>
            <w:vAlign w:val="center"/>
          </w:tcPr>
          <w:p w14:paraId="4E396B1F" w14:textId="4D80AD7C" w:rsidR="00A3545D" w:rsidRPr="00D105C8" w:rsidRDefault="00A3545D" w:rsidP="007510B2">
            <w:pPr>
              <w:jc w:val="center"/>
              <w:rPr>
                <w:sz w:val="21"/>
                <w:szCs w:val="21"/>
                <w:vertAlign w:val="superscript"/>
              </w:rPr>
            </w:pPr>
            <w:r w:rsidRPr="00D105C8">
              <w:rPr>
                <w:color w:val="000000"/>
                <w:sz w:val="21"/>
                <w:szCs w:val="21"/>
              </w:rPr>
              <w:t xml:space="preserve">213 </w:t>
            </w:r>
            <w:r w:rsidRPr="00D105C8">
              <w:rPr>
                <w:color w:val="202124"/>
                <w:sz w:val="21"/>
                <w:szCs w:val="21"/>
                <w:shd w:val="clear" w:color="auto" w:fill="FFFFFF"/>
              </w:rPr>
              <w:t>± 22</w:t>
            </w:r>
            <w:r w:rsidRPr="00D105C8">
              <w:rPr>
                <w:color w:val="202124"/>
                <w:sz w:val="21"/>
                <w:szCs w:val="21"/>
                <w:shd w:val="clear" w:color="auto" w:fill="FFFFFF"/>
                <w:vertAlign w:val="superscript"/>
              </w:rPr>
              <w:t>abcde</w:t>
            </w:r>
          </w:p>
        </w:tc>
        <w:tc>
          <w:tcPr>
            <w:tcW w:w="1267" w:type="dxa"/>
            <w:shd w:val="clear" w:color="auto" w:fill="auto"/>
            <w:vAlign w:val="center"/>
          </w:tcPr>
          <w:p w14:paraId="0BCF509E" w14:textId="69831BBB" w:rsidR="00A3545D" w:rsidRPr="00D105C8" w:rsidRDefault="00A3545D" w:rsidP="007510B2">
            <w:pPr>
              <w:jc w:val="center"/>
              <w:rPr>
                <w:sz w:val="21"/>
                <w:szCs w:val="21"/>
                <w:vertAlign w:val="superscript"/>
              </w:rPr>
            </w:pPr>
            <w:r w:rsidRPr="00D105C8">
              <w:rPr>
                <w:color w:val="000000"/>
                <w:sz w:val="21"/>
                <w:szCs w:val="21"/>
              </w:rPr>
              <w:t xml:space="preserve">250. </w:t>
            </w:r>
            <w:r w:rsidRPr="00D105C8">
              <w:rPr>
                <w:color w:val="202124"/>
                <w:sz w:val="21"/>
                <w:szCs w:val="21"/>
                <w:shd w:val="clear" w:color="auto" w:fill="FFFFFF"/>
              </w:rPr>
              <w:t>± 30</w:t>
            </w:r>
            <w:r w:rsidRPr="00D105C8">
              <w:rPr>
                <w:color w:val="202124"/>
                <w:sz w:val="21"/>
                <w:szCs w:val="21"/>
                <w:shd w:val="clear" w:color="auto" w:fill="FFFFFF"/>
                <w:vertAlign w:val="superscript"/>
              </w:rPr>
              <w:t>abc</w:t>
            </w:r>
          </w:p>
        </w:tc>
        <w:tc>
          <w:tcPr>
            <w:tcW w:w="1266" w:type="dxa"/>
            <w:shd w:val="clear" w:color="auto" w:fill="auto"/>
            <w:vAlign w:val="center"/>
          </w:tcPr>
          <w:p w14:paraId="2B547466" w14:textId="439363AC" w:rsidR="00A3545D" w:rsidRPr="00D105C8" w:rsidRDefault="00A3545D" w:rsidP="007510B2">
            <w:pPr>
              <w:jc w:val="center"/>
              <w:rPr>
                <w:sz w:val="21"/>
                <w:szCs w:val="21"/>
                <w:vertAlign w:val="superscript"/>
              </w:rPr>
            </w:pPr>
            <w:r w:rsidRPr="00D105C8">
              <w:rPr>
                <w:color w:val="000000"/>
                <w:sz w:val="21"/>
                <w:szCs w:val="21"/>
              </w:rPr>
              <w:t xml:space="preserve">242 </w:t>
            </w:r>
            <w:r w:rsidRPr="00D105C8">
              <w:rPr>
                <w:color w:val="202124"/>
                <w:sz w:val="21"/>
                <w:szCs w:val="21"/>
                <w:shd w:val="clear" w:color="auto" w:fill="FFFFFF"/>
              </w:rPr>
              <w:t xml:space="preserve">± </w:t>
            </w:r>
            <w:r w:rsidR="0003125E">
              <w:rPr>
                <w:color w:val="202124"/>
                <w:sz w:val="21"/>
                <w:szCs w:val="21"/>
                <w:shd w:val="clear" w:color="auto" w:fill="FFFFFF"/>
              </w:rPr>
              <w:t>8</w:t>
            </w:r>
            <w:r w:rsidRPr="00D105C8">
              <w:rPr>
                <w:color w:val="202124"/>
                <w:sz w:val="21"/>
                <w:szCs w:val="21"/>
                <w:shd w:val="clear" w:color="auto" w:fill="FFFFFF"/>
                <w:vertAlign w:val="superscript"/>
              </w:rPr>
              <w:t>abcd</w:t>
            </w:r>
          </w:p>
        </w:tc>
        <w:tc>
          <w:tcPr>
            <w:tcW w:w="1266" w:type="dxa"/>
            <w:shd w:val="clear" w:color="auto" w:fill="auto"/>
            <w:vAlign w:val="center"/>
          </w:tcPr>
          <w:p w14:paraId="62022CF7" w14:textId="677B9D10" w:rsidR="00A3545D" w:rsidRPr="00D105C8" w:rsidRDefault="00A3545D" w:rsidP="007510B2">
            <w:pPr>
              <w:jc w:val="center"/>
              <w:rPr>
                <w:sz w:val="21"/>
                <w:szCs w:val="21"/>
                <w:vertAlign w:val="superscript"/>
              </w:rPr>
            </w:pPr>
            <w:r w:rsidRPr="00D105C8">
              <w:rPr>
                <w:color w:val="000000"/>
                <w:sz w:val="21"/>
                <w:szCs w:val="21"/>
              </w:rPr>
              <w:t xml:space="preserve">284 </w:t>
            </w:r>
            <w:r w:rsidRPr="00D105C8">
              <w:rPr>
                <w:color w:val="202124"/>
                <w:sz w:val="21"/>
                <w:szCs w:val="21"/>
                <w:shd w:val="clear" w:color="auto" w:fill="FFFFFF"/>
              </w:rPr>
              <w:t>± 2</w:t>
            </w:r>
            <w:r w:rsidR="0003125E">
              <w:rPr>
                <w:color w:val="202124"/>
                <w:sz w:val="21"/>
                <w:szCs w:val="21"/>
                <w:shd w:val="clear" w:color="auto" w:fill="FFFFFF"/>
              </w:rPr>
              <w:t>6</w:t>
            </w:r>
            <w:r w:rsidRPr="00D105C8">
              <w:rPr>
                <w:color w:val="202124"/>
                <w:sz w:val="21"/>
                <w:szCs w:val="21"/>
                <w:shd w:val="clear" w:color="auto" w:fill="FFFFFF"/>
                <w:vertAlign w:val="superscript"/>
              </w:rPr>
              <w:t>ab</w:t>
            </w:r>
          </w:p>
        </w:tc>
        <w:tc>
          <w:tcPr>
            <w:tcW w:w="1266" w:type="dxa"/>
            <w:shd w:val="clear" w:color="auto" w:fill="auto"/>
            <w:vAlign w:val="center"/>
          </w:tcPr>
          <w:p w14:paraId="0883FD9D" w14:textId="2D81EA1C" w:rsidR="00A3545D" w:rsidRPr="00D105C8" w:rsidRDefault="00A3545D" w:rsidP="007510B2">
            <w:pPr>
              <w:jc w:val="center"/>
              <w:rPr>
                <w:sz w:val="21"/>
                <w:szCs w:val="21"/>
                <w:vertAlign w:val="superscript"/>
              </w:rPr>
            </w:pPr>
            <w:r w:rsidRPr="00D105C8">
              <w:rPr>
                <w:color w:val="000000"/>
                <w:sz w:val="21"/>
                <w:szCs w:val="21"/>
              </w:rPr>
              <w:t>27</w:t>
            </w:r>
            <w:r w:rsidR="0003125E">
              <w:rPr>
                <w:color w:val="000000"/>
                <w:sz w:val="21"/>
                <w:szCs w:val="21"/>
              </w:rPr>
              <w:t>9</w:t>
            </w:r>
            <w:r w:rsidRPr="00D105C8">
              <w:rPr>
                <w:color w:val="000000"/>
                <w:sz w:val="21"/>
                <w:szCs w:val="21"/>
              </w:rPr>
              <w:t xml:space="preserve"> </w:t>
            </w:r>
            <w:r w:rsidRPr="00D105C8">
              <w:rPr>
                <w:color w:val="202124"/>
                <w:sz w:val="21"/>
                <w:szCs w:val="21"/>
                <w:shd w:val="clear" w:color="auto" w:fill="FFFFFF"/>
              </w:rPr>
              <w:t xml:space="preserve">± </w:t>
            </w:r>
            <w:r w:rsidR="0003125E">
              <w:rPr>
                <w:color w:val="202124"/>
                <w:sz w:val="21"/>
                <w:szCs w:val="21"/>
                <w:shd w:val="clear" w:color="auto" w:fill="FFFFFF"/>
              </w:rPr>
              <w:t>9</w:t>
            </w:r>
            <w:r w:rsidRPr="00D105C8">
              <w:rPr>
                <w:color w:val="202124"/>
                <w:sz w:val="21"/>
                <w:szCs w:val="21"/>
                <w:shd w:val="clear" w:color="auto" w:fill="FFFFFF"/>
                <w:vertAlign w:val="superscript"/>
              </w:rPr>
              <w:t>ab</w:t>
            </w:r>
          </w:p>
        </w:tc>
        <w:tc>
          <w:tcPr>
            <w:tcW w:w="1267" w:type="dxa"/>
            <w:shd w:val="clear" w:color="auto" w:fill="auto"/>
            <w:vAlign w:val="center"/>
          </w:tcPr>
          <w:p w14:paraId="4AA52981" w14:textId="4AAD4F45" w:rsidR="00A3545D" w:rsidRPr="00D105C8" w:rsidRDefault="00A3545D" w:rsidP="007510B2">
            <w:pPr>
              <w:jc w:val="center"/>
              <w:rPr>
                <w:sz w:val="21"/>
                <w:szCs w:val="21"/>
                <w:vertAlign w:val="superscript"/>
              </w:rPr>
            </w:pPr>
            <w:r w:rsidRPr="00D105C8">
              <w:rPr>
                <w:color w:val="000000"/>
                <w:sz w:val="21"/>
                <w:szCs w:val="21"/>
              </w:rPr>
              <w:t>26</w:t>
            </w:r>
            <w:r w:rsidR="0003125E">
              <w:rPr>
                <w:color w:val="000000"/>
                <w:sz w:val="21"/>
                <w:szCs w:val="21"/>
              </w:rPr>
              <w:t>5</w:t>
            </w:r>
            <w:r w:rsidRPr="00D105C8">
              <w:rPr>
                <w:color w:val="000000"/>
                <w:sz w:val="21"/>
                <w:szCs w:val="21"/>
              </w:rPr>
              <w:t xml:space="preserve"> </w:t>
            </w:r>
            <w:r w:rsidRPr="00D105C8">
              <w:rPr>
                <w:color w:val="202124"/>
                <w:sz w:val="21"/>
                <w:szCs w:val="21"/>
                <w:shd w:val="clear" w:color="auto" w:fill="FFFFFF"/>
              </w:rPr>
              <w:t xml:space="preserve">± </w:t>
            </w:r>
            <w:r w:rsidR="0003125E">
              <w:rPr>
                <w:color w:val="202124"/>
                <w:sz w:val="21"/>
                <w:szCs w:val="21"/>
                <w:shd w:val="clear" w:color="auto" w:fill="FFFFFF"/>
              </w:rPr>
              <w:t>9</w:t>
            </w:r>
            <w:r w:rsidRPr="00D105C8">
              <w:rPr>
                <w:color w:val="202124"/>
                <w:sz w:val="21"/>
                <w:szCs w:val="21"/>
                <w:shd w:val="clear" w:color="auto" w:fill="FFFFFF"/>
                <w:vertAlign w:val="superscript"/>
              </w:rPr>
              <w:t>abc</w:t>
            </w:r>
          </w:p>
        </w:tc>
        <w:tc>
          <w:tcPr>
            <w:tcW w:w="1266" w:type="dxa"/>
            <w:shd w:val="clear" w:color="auto" w:fill="auto"/>
            <w:vAlign w:val="center"/>
          </w:tcPr>
          <w:p w14:paraId="3D361FEB" w14:textId="066FBE1D" w:rsidR="00A3545D" w:rsidRPr="00D105C8" w:rsidRDefault="00A3545D" w:rsidP="007510B2">
            <w:pPr>
              <w:jc w:val="center"/>
              <w:rPr>
                <w:sz w:val="21"/>
                <w:szCs w:val="21"/>
                <w:vertAlign w:val="superscript"/>
              </w:rPr>
            </w:pPr>
            <w:r w:rsidRPr="00D105C8">
              <w:rPr>
                <w:color w:val="000000"/>
                <w:sz w:val="21"/>
                <w:szCs w:val="21"/>
              </w:rPr>
              <w:t>231</w:t>
            </w:r>
            <w:r w:rsidR="00165D38">
              <w:rPr>
                <w:color w:val="000000"/>
                <w:sz w:val="21"/>
                <w:szCs w:val="21"/>
              </w:rPr>
              <w:t xml:space="preserve"> </w:t>
            </w:r>
            <w:r w:rsidRPr="00D105C8">
              <w:rPr>
                <w:color w:val="202124"/>
                <w:sz w:val="21"/>
                <w:szCs w:val="21"/>
                <w:shd w:val="clear" w:color="auto" w:fill="FFFFFF"/>
              </w:rPr>
              <w:t>± 12</w:t>
            </w:r>
            <w:r w:rsidRPr="00D105C8">
              <w:rPr>
                <w:color w:val="202124"/>
                <w:sz w:val="21"/>
                <w:szCs w:val="21"/>
                <w:shd w:val="clear" w:color="auto" w:fill="FFFFFF"/>
                <w:vertAlign w:val="superscript"/>
              </w:rPr>
              <w:t>abcd</w:t>
            </w:r>
          </w:p>
        </w:tc>
        <w:tc>
          <w:tcPr>
            <w:tcW w:w="1266" w:type="dxa"/>
            <w:shd w:val="clear" w:color="auto" w:fill="auto"/>
            <w:vAlign w:val="center"/>
          </w:tcPr>
          <w:p w14:paraId="60733CFB" w14:textId="16118739" w:rsidR="00A3545D" w:rsidRPr="00D105C8" w:rsidRDefault="00A3545D" w:rsidP="007510B2">
            <w:pPr>
              <w:jc w:val="center"/>
              <w:rPr>
                <w:sz w:val="21"/>
                <w:szCs w:val="21"/>
                <w:vertAlign w:val="superscript"/>
              </w:rPr>
            </w:pPr>
            <w:r w:rsidRPr="00D105C8">
              <w:rPr>
                <w:color w:val="000000"/>
                <w:sz w:val="21"/>
                <w:szCs w:val="21"/>
              </w:rPr>
              <w:t>29</w:t>
            </w:r>
            <w:r w:rsidR="00165D38">
              <w:rPr>
                <w:color w:val="000000"/>
                <w:sz w:val="21"/>
                <w:szCs w:val="21"/>
              </w:rPr>
              <w:t>5</w:t>
            </w:r>
            <w:r w:rsidRPr="00D105C8">
              <w:rPr>
                <w:color w:val="000000"/>
                <w:sz w:val="21"/>
                <w:szCs w:val="21"/>
              </w:rPr>
              <w:t xml:space="preserve"> </w:t>
            </w:r>
            <w:r w:rsidRPr="00D105C8">
              <w:rPr>
                <w:color w:val="202124"/>
                <w:sz w:val="21"/>
                <w:szCs w:val="21"/>
                <w:shd w:val="clear" w:color="auto" w:fill="FFFFFF"/>
              </w:rPr>
              <w:t>± 13</w:t>
            </w:r>
            <w:r w:rsidRPr="00D105C8">
              <w:rPr>
                <w:color w:val="202124"/>
                <w:sz w:val="21"/>
                <w:szCs w:val="21"/>
                <w:shd w:val="clear" w:color="auto" w:fill="FFFFFF"/>
                <w:vertAlign w:val="superscript"/>
              </w:rPr>
              <w:t>a</w:t>
            </w:r>
          </w:p>
        </w:tc>
        <w:tc>
          <w:tcPr>
            <w:tcW w:w="1266" w:type="dxa"/>
            <w:shd w:val="clear" w:color="auto" w:fill="auto"/>
            <w:vAlign w:val="center"/>
          </w:tcPr>
          <w:p w14:paraId="3FF75561" w14:textId="37347373" w:rsidR="00A3545D" w:rsidRPr="00D105C8" w:rsidRDefault="00A3545D" w:rsidP="007510B2">
            <w:pPr>
              <w:jc w:val="center"/>
              <w:rPr>
                <w:sz w:val="21"/>
                <w:szCs w:val="21"/>
                <w:vertAlign w:val="superscript"/>
              </w:rPr>
            </w:pPr>
            <w:r w:rsidRPr="00D105C8">
              <w:rPr>
                <w:color w:val="000000"/>
                <w:sz w:val="21"/>
                <w:szCs w:val="21"/>
              </w:rPr>
              <w:t xml:space="preserve">310 </w:t>
            </w:r>
            <w:r w:rsidRPr="00D105C8">
              <w:rPr>
                <w:color w:val="202124"/>
                <w:sz w:val="21"/>
                <w:szCs w:val="21"/>
                <w:shd w:val="clear" w:color="auto" w:fill="FFFFFF"/>
              </w:rPr>
              <w:t>± 1</w:t>
            </w:r>
            <w:r w:rsidR="00165D38">
              <w:rPr>
                <w:color w:val="202124"/>
                <w:sz w:val="21"/>
                <w:szCs w:val="21"/>
                <w:shd w:val="clear" w:color="auto" w:fill="FFFFFF"/>
              </w:rPr>
              <w:t>3</w:t>
            </w:r>
            <w:r w:rsidRPr="00D105C8">
              <w:rPr>
                <w:color w:val="202124"/>
                <w:sz w:val="21"/>
                <w:szCs w:val="21"/>
                <w:shd w:val="clear" w:color="auto" w:fill="FFFFFF"/>
                <w:vertAlign w:val="superscript"/>
              </w:rPr>
              <w:t>a</w:t>
            </w:r>
          </w:p>
        </w:tc>
        <w:tc>
          <w:tcPr>
            <w:tcW w:w="1267" w:type="dxa"/>
            <w:shd w:val="clear" w:color="auto" w:fill="auto"/>
            <w:vAlign w:val="center"/>
          </w:tcPr>
          <w:p w14:paraId="0E934F2C" w14:textId="580C8256" w:rsidR="00A3545D" w:rsidRPr="00D105C8" w:rsidRDefault="00A3545D" w:rsidP="007510B2">
            <w:pPr>
              <w:jc w:val="center"/>
              <w:rPr>
                <w:sz w:val="21"/>
                <w:szCs w:val="21"/>
                <w:vertAlign w:val="superscript"/>
              </w:rPr>
            </w:pPr>
            <w:r w:rsidRPr="00D105C8">
              <w:rPr>
                <w:color w:val="000000"/>
                <w:sz w:val="21"/>
                <w:szCs w:val="21"/>
              </w:rPr>
              <w:t xml:space="preserve">295 </w:t>
            </w:r>
            <w:r w:rsidRPr="00D105C8">
              <w:rPr>
                <w:color w:val="202124"/>
                <w:sz w:val="21"/>
                <w:szCs w:val="21"/>
                <w:shd w:val="clear" w:color="auto" w:fill="FFFFFF"/>
              </w:rPr>
              <w:t>±</w:t>
            </w:r>
            <w:r w:rsidR="00165D38">
              <w:rPr>
                <w:color w:val="202124"/>
                <w:sz w:val="21"/>
                <w:szCs w:val="21"/>
                <w:shd w:val="clear" w:color="auto" w:fill="FFFFFF"/>
              </w:rPr>
              <w:t xml:space="preserve"> 10</w:t>
            </w:r>
            <w:r w:rsidRPr="00D105C8">
              <w:rPr>
                <w:color w:val="202124"/>
                <w:sz w:val="21"/>
                <w:szCs w:val="21"/>
                <w:shd w:val="clear" w:color="auto" w:fill="FFFFFF"/>
                <w:vertAlign w:val="superscript"/>
              </w:rPr>
              <w:t>a</w:t>
            </w:r>
          </w:p>
        </w:tc>
        <w:tc>
          <w:tcPr>
            <w:tcW w:w="1266" w:type="dxa"/>
            <w:shd w:val="clear" w:color="auto" w:fill="auto"/>
            <w:vAlign w:val="center"/>
          </w:tcPr>
          <w:p w14:paraId="4450F1CC" w14:textId="7DD280D4" w:rsidR="00A3545D" w:rsidRPr="00D105C8" w:rsidRDefault="00A3545D" w:rsidP="007510B2">
            <w:pPr>
              <w:jc w:val="center"/>
              <w:rPr>
                <w:sz w:val="21"/>
                <w:szCs w:val="21"/>
                <w:vertAlign w:val="superscript"/>
              </w:rPr>
            </w:pPr>
            <w:r w:rsidRPr="00D105C8">
              <w:rPr>
                <w:color w:val="000000"/>
                <w:sz w:val="21"/>
                <w:szCs w:val="21"/>
              </w:rPr>
              <w:t xml:space="preserve">167 </w:t>
            </w:r>
            <w:r w:rsidRPr="00D105C8">
              <w:rPr>
                <w:color w:val="202124"/>
                <w:sz w:val="21"/>
                <w:szCs w:val="21"/>
                <w:shd w:val="clear" w:color="auto" w:fill="FFFFFF"/>
              </w:rPr>
              <w:t>± 96</w:t>
            </w:r>
            <w:r w:rsidRPr="00D105C8">
              <w:rPr>
                <w:color w:val="202124"/>
                <w:sz w:val="21"/>
                <w:szCs w:val="21"/>
                <w:shd w:val="clear" w:color="auto" w:fill="FFFFFF"/>
                <w:vertAlign w:val="superscript"/>
              </w:rPr>
              <w:t>abcd</w:t>
            </w:r>
          </w:p>
        </w:tc>
        <w:tc>
          <w:tcPr>
            <w:tcW w:w="1266" w:type="dxa"/>
            <w:shd w:val="clear" w:color="auto" w:fill="auto"/>
            <w:vAlign w:val="center"/>
          </w:tcPr>
          <w:p w14:paraId="7058FC64" w14:textId="2CCF033A" w:rsidR="00A3545D" w:rsidRPr="00D105C8" w:rsidRDefault="00756548" w:rsidP="007510B2">
            <w:pPr>
              <w:jc w:val="center"/>
              <w:rPr>
                <w:sz w:val="21"/>
                <w:szCs w:val="21"/>
                <w:vertAlign w:val="superscript"/>
              </w:rPr>
            </w:pPr>
            <w:r>
              <w:rPr>
                <w:color w:val="000000"/>
                <w:sz w:val="21"/>
                <w:szCs w:val="21"/>
              </w:rPr>
              <w:t>2</w:t>
            </w:r>
            <w:r w:rsidR="00A3545D" w:rsidRPr="00D105C8">
              <w:rPr>
                <w:color w:val="000000"/>
                <w:sz w:val="21"/>
                <w:szCs w:val="21"/>
              </w:rPr>
              <w:t xml:space="preserve"> </w:t>
            </w:r>
            <w:r w:rsidR="00A3545D" w:rsidRPr="00D105C8">
              <w:rPr>
                <w:color w:val="202124"/>
                <w:sz w:val="21"/>
                <w:szCs w:val="21"/>
                <w:shd w:val="clear" w:color="auto" w:fill="FFFFFF"/>
              </w:rPr>
              <w:t>± 0</w:t>
            </w:r>
            <w:r w:rsidR="00A3545D" w:rsidRPr="00D105C8">
              <w:rPr>
                <w:color w:val="202124"/>
                <w:sz w:val="21"/>
                <w:szCs w:val="21"/>
                <w:shd w:val="clear" w:color="auto" w:fill="FFFFFF"/>
                <w:vertAlign w:val="superscript"/>
              </w:rPr>
              <w:t>de</w:t>
            </w:r>
          </w:p>
        </w:tc>
        <w:tc>
          <w:tcPr>
            <w:tcW w:w="1267" w:type="dxa"/>
            <w:shd w:val="clear" w:color="auto" w:fill="auto"/>
            <w:vAlign w:val="center"/>
          </w:tcPr>
          <w:p w14:paraId="20D78E01" w14:textId="3FF9D708" w:rsidR="00A3545D" w:rsidRPr="00D105C8" w:rsidRDefault="00756548" w:rsidP="007510B2">
            <w:pPr>
              <w:jc w:val="center"/>
              <w:rPr>
                <w:sz w:val="21"/>
                <w:szCs w:val="21"/>
                <w:vertAlign w:val="superscript"/>
              </w:rPr>
            </w:pPr>
            <w:r>
              <w:rPr>
                <w:color w:val="000000"/>
                <w:sz w:val="21"/>
                <w:szCs w:val="21"/>
              </w:rPr>
              <w:t xml:space="preserve">2 </w:t>
            </w:r>
            <w:r w:rsidR="00A3545D" w:rsidRPr="00D105C8">
              <w:rPr>
                <w:color w:val="202124"/>
                <w:sz w:val="21"/>
                <w:szCs w:val="21"/>
                <w:shd w:val="clear" w:color="auto" w:fill="FFFFFF"/>
              </w:rPr>
              <w:t>± 0</w:t>
            </w:r>
            <w:r w:rsidR="00A3545D" w:rsidRPr="00D105C8">
              <w:rPr>
                <w:color w:val="202124"/>
                <w:sz w:val="21"/>
                <w:szCs w:val="21"/>
                <w:shd w:val="clear" w:color="auto" w:fill="FFFFFF"/>
                <w:vertAlign w:val="superscript"/>
              </w:rPr>
              <w:t>e</w:t>
            </w:r>
          </w:p>
        </w:tc>
      </w:tr>
      <w:tr w:rsidR="00A3545D" w14:paraId="2F14A197" w14:textId="77777777" w:rsidTr="00A3545D">
        <w:tc>
          <w:tcPr>
            <w:tcW w:w="2547" w:type="dxa"/>
          </w:tcPr>
          <w:p w14:paraId="366759AD" w14:textId="38357B7A" w:rsidR="00A3545D" w:rsidRDefault="00E63247" w:rsidP="007510B2">
            <w:r w:rsidRPr="00E63247">
              <w:t>Microbial PLFA biomass (μmol PLFA kg</w:t>
            </w:r>
            <w:r w:rsidRPr="00E63247">
              <w:rPr>
                <w:vertAlign w:val="superscript"/>
              </w:rPr>
              <w:t>−1</w:t>
            </w:r>
            <w:r w:rsidRPr="00E63247">
              <w:t>)</w:t>
            </w:r>
          </w:p>
        </w:tc>
        <w:tc>
          <w:tcPr>
            <w:tcW w:w="1266" w:type="dxa"/>
            <w:shd w:val="clear" w:color="auto" w:fill="auto"/>
            <w:vAlign w:val="center"/>
          </w:tcPr>
          <w:p w14:paraId="35E8050F" w14:textId="39DE6698" w:rsidR="00A3545D" w:rsidRPr="00D105C8" w:rsidRDefault="00A3545D" w:rsidP="007510B2">
            <w:pPr>
              <w:jc w:val="center"/>
              <w:rPr>
                <w:sz w:val="21"/>
                <w:szCs w:val="21"/>
                <w:vertAlign w:val="superscript"/>
              </w:rPr>
            </w:pPr>
            <w:r w:rsidRPr="00D105C8">
              <w:rPr>
                <w:color w:val="000000"/>
                <w:sz w:val="21"/>
                <w:szCs w:val="21"/>
              </w:rPr>
              <w:t>20</w:t>
            </w:r>
            <w:r w:rsidR="00EC4D54">
              <w:rPr>
                <w:color w:val="000000"/>
                <w:sz w:val="21"/>
                <w:szCs w:val="21"/>
              </w:rPr>
              <w:t>2</w:t>
            </w:r>
            <w:r w:rsidRPr="00D105C8">
              <w:rPr>
                <w:color w:val="000000"/>
                <w:sz w:val="21"/>
                <w:szCs w:val="21"/>
              </w:rPr>
              <w:t xml:space="preserve"> </w:t>
            </w:r>
            <w:r w:rsidRPr="00D105C8">
              <w:rPr>
                <w:color w:val="202124"/>
                <w:sz w:val="21"/>
                <w:szCs w:val="21"/>
                <w:shd w:val="clear" w:color="auto" w:fill="FFFFFF"/>
              </w:rPr>
              <w:t xml:space="preserve">± </w:t>
            </w:r>
            <w:r w:rsidR="00EC4D54">
              <w:rPr>
                <w:color w:val="202124"/>
                <w:sz w:val="21"/>
                <w:szCs w:val="21"/>
                <w:shd w:val="clear" w:color="auto" w:fill="FFFFFF"/>
              </w:rPr>
              <w:t>4</w:t>
            </w:r>
            <w:r w:rsidRPr="00D105C8">
              <w:rPr>
                <w:color w:val="202124"/>
                <w:sz w:val="21"/>
                <w:szCs w:val="21"/>
                <w:shd w:val="clear" w:color="auto" w:fill="FFFFFF"/>
                <w:vertAlign w:val="superscript"/>
              </w:rPr>
              <w:t>cdef</w:t>
            </w:r>
          </w:p>
        </w:tc>
        <w:tc>
          <w:tcPr>
            <w:tcW w:w="1266" w:type="dxa"/>
            <w:shd w:val="clear" w:color="auto" w:fill="auto"/>
            <w:vAlign w:val="center"/>
          </w:tcPr>
          <w:p w14:paraId="2116E7AB" w14:textId="7C3CFF55" w:rsidR="00A3545D" w:rsidRPr="00D105C8" w:rsidRDefault="00A3545D" w:rsidP="007510B2">
            <w:pPr>
              <w:jc w:val="center"/>
              <w:rPr>
                <w:sz w:val="21"/>
                <w:szCs w:val="21"/>
                <w:vertAlign w:val="superscript"/>
              </w:rPr>
            </w:pPr>
            <w:r w:rsidRPr="00D105C8">
              <w:rPr>
                <w:color w:val="000000"/>
                <w:sz w:val="21"/>
                <w:szCs w:val="21"/>
              </w:rPr>
              <w:t xml:space="preserve">173 </w:t>
            </w:r>
            <w:r w:rsidRPr="00D105C8">
              <w:rPr>
                <w:color w:val="202124"/>
                <w:sz w:val="21"/>
                <w:szCs w:val="21"/>
                <w:shd w:val="clear" w:color="auto" w:fill="FFFFFF"/>
              </w:rPr>
              <w:t>± 2</w:t>
            </w:r>
            <w:r w:rsidRPr="00D105C8">
              <w:rPr>
                <w:color w:val="202124"/>
                <w:sz w:val="21"/>
                <w:szCs w:val="21"/>
                <w:shd w:val="clear" w:color="auto" w:fill="FFFFFF"/>
                <w:vertAlign w:val="superscript"/>
              </w:rPr>
              <w:t>gh</w:t>
            </w:r>
          </w:p>
        </w:tc>
        <w:tc>
          <w:tcPr>
            <w:tcW w:w="1266" w:type="dxa"/>
            <w:shd w:val="clear" w:color="auto" w:fill="auto"/>
            <w:vAlign w:val="center"/>
          </w:tcPr>
          <w:p w14:paraId="06C24F16" w14:textId="1AB2F68C" w:rsidR="00A3545D" w:rsidRPr="00D105C8" w:rsidRDefault="00A3545D" w:rsidP="007510B2">
            <w:pPr>
              <w:jc w:val="center"/>
              <w:rPr>
                <w:sz w:val="21"/>
                <w:szCs w:val="21"/>
                <w:vertAlign w:val="superscript"/>
              </w:rPr>
            </w:pPr>
            <w:r w:rsidRPr="00D105C8">
              <w:rPr>
                <w:color w:val="000000"/>
                <w:sz w:val="21"/>
                <w:szCs w:val="21"/>
              </w:rPr>
              <w:t xml:space="preserve">206 </w:t>
            </w:r>
            <w:r w:rsidRPr="00D105C8">
              <w:rPr>
                <w:color w:val="202124"/>
                <w:sz w:val="21"/>
                <w:szCs w:val="21"/>
                <w:shd w:val="clear" w:color="auto" w:fill="FFFFFF"/>
              </w:rPr>
              <w:t>± 1</w:t>
            </w:r>
            <w:r w:rsidRPr="00D105C8">
              <w:rPr>
                <w:color w:val="202124"/>
                <w:sz w:val="21"/>
                <w:szCs w:val="21"/>
                <w:shd w:val="clear" w:color="auto" w:fill="FFFFFF"/>
                <w:vertAlign w:val="superscript"/>
              </w:rPr>
              <w:t>bcde</w:t>
            </w:r>
          </w:p>
        </w:tc>
        <w:tc>
          <w:tcPr>
            <w:tcW w:w="1267" w:type="dxa"/>
            <w:shd w:val="clear" w:color="auto" w:fill="auto"/>
            <w:vAlign w:val="center"/>
          </w:tcPr>
          <w:p w14:paraId="6760A8CD" w14:textId="19BD8937" w:rsidR="00A3545D" w:rsidRPr="00D105C8" w:rsidRDefault="00A3545D" w:rsidP="007510B2">
            <w:pPr>
              <w:jc w:val="center"/>
              <w:rPr>
                <w:sz w:val="21"/>
                <w:szCs w:val="21"/>
                <w:vertAlign w:val="superscript"/>
              </w:rPr>
            </w:pPr>
            <w:r w:rsidRPr="00D105C8">
              <w:rPr>
                <w:color w:val="000000"/>
                <w:sz w:val="21"/>
                <w:szCs w:val="21"/>
              </w:rPr>
              <w:t>17</w:t>
            </w:r>
            <w:r w:rsidR="00EC4D54">
              <w:rPr>
                <w:color w:val="000000"/>
                <w:sz w:val="21"/>
                <w:szCs w:val="21"/>
              </w:rPr>
              <w:t>7</w:t>
            </w:r>
            <w:r w:rsidRPr="00D105C8">
              <w:rPr>
                <w:color w:val="000000"/>
                <w:sz w:val="21"/>
                <w:szCs w:val="21"/>
              </w:rPr>
              <w:t xml:space="preserve"> </w:t>
            </w:r>
            <w:r w:rsidRPr="00D105C8">
              <w:rPr>
                <w:color w:val="202124"/>
                <w:sz w:val="21"/>
                <w:szCs w:val="21"/>
                <w:shd w:val="clear" w:color="auto" w:fill="FFFFFF"/>
              </w:rPr>
              <w:t>± 1</w:t>
            </w:r>
            <w:r w:rsidRPr="00D105C8">
              <w:rPr>
                <w:color w:val="202124"/>
                <w:sz w:val="21"/>
                <w:szCs w:val="21"/>
                <w:shd w:val="clear" w:color="auto" w:fill="FFFFFF"/>
                <w:vertAlign w:val="superscript"/>
              </w:rPr>
              <w:t>fgh</w:t>
            </w:r>
          </w:p>
        </w:tc>
        <w:tc>
          <w:tcPr>
            <w:tcW w:w="1266" w:type="dxa"/>
            <w:shd w:val="clear" w:color="auto" w:fill="auto"/>
            <w:vAlign w:val="center"/>
          </w:tcPr>
          <w:p w14:paraId="0238A7F4" w14:textId="6883D787" w:rsidR="00A3545D" w:rsidRPr="00D105C8" w:rsidRDefault="00A3545D" w:rsidP="007510B2">
            <w:pPr>
              <w:jc w:val="center"/>
              <w:rPr>
                <w:sz w:val="21"/>
                <w:szCs w:val="21"/>
                <w:vertAlign w:val="superscript"/>
              </w:rPr>
            </w:pPr>
            <w:r w:rsidRPr="00D105C8">
              <w:rPr>
                <w:color w:val="000000"/>
                <w:sz w:val="21"/>
                <w:szCs w:val="21"/>
              </w:rPr>
              <w:t xml:space="preserve">211 </w:t>
            </w:r>
            <w:r w:rsidRPr="00D105C8">
              <w:rPr>
                <w:color w:val="202124"/>
                <w:sz w:val="21"/>
                <w:szCs w:val="21"/>
                <w:shd w:val="clear" w:color="auto" w:fill="FFFFFF"/>
              </w:rPr>
              <w:t>± 4</w:t>
            </w:r>
            <w:r w:rsidRPr="00D105C8">
              <w:rPr>
                <w:color w:val="202124"/>
                <w:sz w:val="21"/>
                <w:szCs w:val="21"/>
                <w:shd w:val="clear" w:color="auto" w:fill="FFFFFF"/>
                <w:vertAlign w:val="superscript"/>
              </w:rPr>
              <w:t>abcd</w:t>
            </w:r>
          </w:p>
        </w:tc>
        <w:tc>
          <w:tcPr>
            <w:tcW w:w="1266" w:type="dxa"/>
            <w:shd w:val="clear" w:color="auto" w:fill="auto"/>
            <w:vAlign w:val="center"/>
          </w:tcPr>
          <w:p w14:paraId="528FE932" w14:textId="3001C4E7" w:rsidR="00A3545D" w:rsidRPr="00D105C8" w:rsidRDefault="00A3545D" w:rsidP="007510B2">
            <w:pPr>
              <w:jc w:val="center"/>
              <w:rPr>
                <w:sz w:val="21"/>
                <w:szCs w:val="21"/>
                <w:vertAlign w:val="superscript"/>
              </w:rPr>
            </w:pPr>
            <w:r w:rsidRPr="00D105C8">
              <w:rPr>
                <w:color w:val="000000"/>
                <w:sz w:val="21"/>
                <w:szCs w:val="21"/>
              </w:rPr>
              <w:t xml:space="preserve">199 </w:t>
            </w:r>
            <w:r w:rsidRPr="00D105C8">
              <w:rPr>
                <w:color w:val="202124"/>
                <w:sz w:val="21"/>
                <w:szCs w:val="21"/>
                <w:shd w:val="clear" w:color="auto" w:fill="FFFFFF"/>
              </w:rPr>
              <w:t>± 2</w:t>
            </w:r>
            <w:r w:rsidRPr="00D105C8">
              <w:rPr>
                <w:color w:val="202124"/>
                <w:sz w:val="21"/>
                <w:szCs w:val="21"/>
                <w:shd w:val="clear" w:color="auto" w:fill="FFFFFF"/>
                <w:vertAlign w:val="superscript"/>
              </w:rPr>
              <w:t>defg</w:t>
            </w:r>
          </w:p>
        </w:tc>
        <w:tc>
          <w:tcPr>
            <w:tcW w:w="1266" w:type="dxa"/>
            <w:shd w:val="clear" w:color="auto" w:fill="auto"/>
            <w:vAlign w:val="center"/>
          </w:tcPr>
          <w:p w14:paraId="75F20DC9" w14:textId="3D6919DB" w:rsidR="00A3545D" w:rsidRPr="00D105C8" w:rsidRDefault="00A3545D" w:rsidP="007510B2">
            <w:pPr>
              <w:jc w:val="center"/>
              <w:rPr>
                <w:sz w:val="21"/>
                <w:szCs w:val="21"/>
                <w:vertAlign w:val="superscript"/>
              </w:rPr>
            </w:pPr>
            <w:r w:rsidRPr="00D105C8">
              <w:rPr>
                <w:color w:val="000000"/>
                <w:sz w:val="21"/>
                <w:szCs w:val="21"/>
              </w:rPr>
              <w:t>20</w:t>
            </w:r>
            <w:r w:rsidR="00EC4D54">
              <w:rPr>
                <w:color w:val="000000"/>
                <w:sz w:val="21"/>
                <w:szCs w:val="21"/>
              </w:rPr>
              <w:t>4</w:t>
            </w:r>
            <w:r w:rsidRPr="00D105C8">
              <w:rPr>
                <w:color w:val="000000"/>
                <w:sz w:val="21"/>
                <w:szCs w:val="21"/>
              </w:rPr>
              <w:t xml:space="preserve"> </w:t>
            </w:r>
            <w:r w:rsidRPr="00D105C8">
              <w:rPr>
                <w:color w:val="202124"/>
                <w:sz w:val="21"/>
                <w:szCs w:val="21"/>
                <w:shd w:val="clear" w:color="auto" w:fill="FFFFFF"/>
              </w:rPr>
              <w:t xml:space="preserve">± </w:t>
            </w:r>
            <w:r w:rsidR="00EC4D54">
              <w:rPr>
                <w:color w:val="202124"/>
                <w:sz w:val="21"/>
                <w:szCs w:val="21"/>
                <w:shd w:val="clear" w:color="auto" w:fill="FFFFFF"/>
              </w:rPr>
              <w:t>6</w:t>
            </w:r>
            <w:r w:rsidRPr="00D105C8">
              <w:rPr>
                <w:color w:val="202124"/>
                <w:sz w:val="21"/>
                <w:szCs w:val="21"/>
                <w:shd w:val="clear" w:color="auto" w:fill="FFFFFF"/>
                <w:vertAlign w:val="superscript"/>
              </w:rPr>
              <w:t>cde</w:t>
            </w:r>
          </w:p>
        </w:tc>
        <w:tc>
          <w:tcPr>
            <w:tcW w:w="1267" w:type="dxa"/>
            <w:shd w:val="clear" w:color="auto" w:fill="auto"/>
            <w:vAlign w:val="center"/>
          </w:tcPr>
          <w:p w14:paraId="6207DB11" w14:textId="34C4A09F" w:rsidR="00A3545D" w:rsidRPr="00D105C8" w:rsidRDefault="00A3545D" w:rsidP="007510B2">
            <w:pPr>
              <w:jc w:val="center"/>
              <w:rPr>
                <w:sz w:val="21"/>
                <w:szCs w:val="21"/>
                <w:vertAlign w:val="superscript"/>
              </w:rPr>
            </w:pPr>
            <w:r w:rsidRPr="00D105C8">
              <w:rPr>
                <w:color w:val="000000"/>
                <w:sz w:val="21"/>
                <w:szCs w:val="21"/>
              </w:rPr>
              <w:t xml:space="preserve">215 </w:t>
            </w:r>
            <w:r w:rsidRPr="00D105C8">
              <w:rPr>
                <w:color w:val="202124"/>
                <w:sz w:val="21"/>
                <w:szCs w:val="21"/>
                <w:shd w:val="clear" w:color="auto" w:fill="FFFFFF"/>
              </w:rPr>
              <w:t>± 5</w:t>
            </w:r>
            <w:r w:rsidRPr="00D105C8">
              <w:rPr>
                <w:color w:val="202124"/>
                <w:sz w:val="21"/>
                <w:szCs w:val="21"/>
                <w:shd w:val="clear" w:color="auto" w:fill="FFFFFF"/>
                <w:vertAlign w:val="superscript"/>
              </w:rPr>
              <w:t>abcd</w:t>
            </w:r>
          </w:p>
        </w:tc>
        <w:tc>
          <w:tcPr>
            <w:tcW w:w="1266" w:type="dxa"/>
            <w:shd w:val="clear" w:color="auto" w:fill="auto"/>
            <w:vAlign w:val="center"/>
          </w:tcPr>
          <w:p w14:paraId="626C0F8A" w14:textId="50E4ECEE" w:rsidR="00A3545D" w:rsidRPr="00D105C8" w:rsidRDefault="00A3545D" w:rsidP="007510B2">
            <w:pPr>
              <w:jc w:val="center"/>
              <w:rPr>
                <w:sz w:val="21"/>
                <w:szCs w:val="21"/>
                <w:vertAlign w:val="superscript"/>
              </w:rPr>
            </w:pPr>
            <w:r w:rsidRPr="00D105C8">
              <w:rPr>
                <w:color w:val="000000"/>
                <w:sz w:val="21"/>
                <w:szCs w:val="21"/>
              </w:rPr>
              <w:t>17</w:t>
            </w:r>
            <w:r w:rsidR="00EC4D54">
              <w:rPr>
                <w:color w:val="000000"/>
                <w:sz w:val="21"/>
                <w:szCs w:val="21"/>
              </w:rPr>
              <w:t>3</w:t>
            </w:r>
            <w:r w:rsidRPr="00D105C8">
              <w:rPr>
                <w:color w:val="000000"/>
                <w:sz w:val="21"/>
                <w:szCs w:val="21"/>
              </w:rPr>
              <w:t xml:space="preserve"> </w:t>
            </w:r>
            <w:r w:rsidRPr="00D105C8">
              <w:rPr>
                <w:color w:val="202124"/>
                <w:sz w:val="21"/>
                <w:szCs w:val="21"/>
                <w:shd w:val="clear" w:color="auto" w:fill="FFFFFF"/>
              </w:rPr>
              <w:t>± 5</w:t>
            </w:r>
            <w:r w:rsidRPr="00D105C8">
              <w:rPr>
                <w:color w:val="202124"/>
                <w:sz w:val="21"/>
                <w:szCs w:val="21"/>
                <w:shd w:val="clear" w:color="auto" w:fill="FFFFFF"/>
                <w:vertAlign w:val="superscript"/>
              </w:rPr>
              <w:t>h</w:t>
            </w:r>
          </w:p>
        </w:tc>
        <w:tc>
          <w:tcPr>
            <w:tcW w:w="1266" w:type="dxa"/>
            <w:shd w:val="clear" w:color="auto" w:fill="auto"/>
            <w:vAlign w:val="center"/>
          </w:tcPr>
          <w:p w14:paraId="669CFE57" w14:textId="4A662ED7" w:rsidR="00A3545D" w:rsidRPr="00D105C8" w:rsidRDefault="00A3545D" w:rsidP="007510B2">
            <w:pPr>
              <w:jc w:val="center"/>
              <w:rPr>
                <w:sz w:val="21"/>
                <w:szCs w:val="21"/>
                <w:vertAlign w:val="superscript"/>
              </w:rPr>
            </w:pPr>
            <w:r w:rsidRPr="00D105C8">
              <w:rPr>
                <w:color w:val="000000"/>
                <w:sz w:val="21"/>
                <w:szCs w:val="21"/>
              </w:rPr>
              <w:t xml:space="preserve">218 </w:t>
            </w:r>
            <w:r w:rsidRPr="00D105C8">
              <w:rPr>
                <w:color w:val="202124"/>
                <w:sz w:val="21"/>
                <w:szCs w:val="21"/>
                <w:shd w:val="clear" w:color="auto" w:fill="FFFFFF"/>
              </w:rPr>
              <w:t>± 3</w:t>
            </w:r>
            <w:r w:rsidRPr="00D105C8">
              <w:rPr>
                <w:color w:val="202124"/>
                <w:sz w:val="21"/>
                <w:szCs w:val="21"/>
                <w:shd w:val="clear" w:color="auto" w:fill="FFFFFF"/>
                <w:vertAlign w:val="superscript"/>
              </w:rPr>
              <w:t>abc</w:t>
            </w:r>
          </w:p>
        </w:tc>
        <w:tc>
          <w:tcPr>
            <w:tcW w:w="1266" w:type="dxa"/>
            <w:shd w:val="clear" w:color="auto" w:fill="auto"/>
            <w:vAlign w:val="center"/>
          </w:tcPr>
          <w:p w14:paraId="2FD64E4F" w14:textId="28037BFC" w:rsidR="00A3545D" w:rsidRPr="00D105C8" w:rsidRDefault="00A3545D" w:rsidP="007510B2">
            <w:pPr>
              <w:jc w:val="center"/>
              <w:rPr>
                <w:sz w:val="21"/>
                <w:szCs w:val="21"/>
                <w:vertAlign w:val="superscript"/>
              </w:rPr>
            </w:pPr>
            <w:r w:rsidRPr="00D105C8">
              <w:rPr>
                <w:color w:val="000000"/>
                <w:sz w:val="21"/>
                <w:szCs w:val="21"/>
              </w:rPr>
              <w:t>23</w:t>
            </w:r>
            <w:r w:rsidR="00EC4D54">
              <w:rPr>
                <w:color w:val="000000"/>
                <w:sz w:val="21"/>
                <w:szCs w:val="21"/>
              </w:rPr>
              <w:t>2</w:t>
            </w:r>
            <w:r w:rsidRPr="00D105C8">
              <w:rPr>
                <w:color w:val="000000"/>
                <w:sz w:val="21"/>
                <w:szCs w:val="21"/>
              </w:rPr>
              <w:t xml:space="preserve"> </w:t>
            </w:r>
            <w:r w:rsidRPr="00D105C8">
              <w:rPr>
                <w:color w:val="202124"/>
                <w:sz w:val="21"/>
                <w:szCs w:val="21"/>
                <w:shd w:val="clear" w:color="auto" w:fill="FFFFFF"/>
              </w:rPr>
              <w:t>± 3</w:t>
            </w:r>
            <w:r w:rsidRPr="00D105C8">
              <w:rPr>
                <w:color w:val="202124"/>
                <w:sz w:val="21"/>
                <w:szCs w:val="21"/>
                <w:shd w:val="clear" w:color="auto" w:fill="FFFFFF"/>
                <w:vertAlign w:val="superscript"/>
              </w:rPr>
              <w:t>a</w:t>
            </w:r>
          </w:p>
        </w:tc>
        <w:tc>
          <w:tcPr>
            <w:tcW w:w="1267" w:type="dxa"/>
            <w:shd w:val="clear" w:color="auto" w:fill="auto"/>
            <w:vAlign w:val="center"/>
          </w:tcPr>
          <w:p w14:paraId="4B870C75" w14:textId="3E52066D" w:rsidR="00A3545D" w:rsidRPr="00D105C8" w:rsidRDefault="00A3545D" w:rsidP="007510B2">
            <w:pPr>
              <w:jc w:val="center"/>
              <w:rPr>
                <w:sz w:val="21"/>
                <w:szCs w:val="21"/>
                <w:vertAlign w:val="superscript"/>
              </w:rPr>
            </w:pPr>
            <w:r w:rsidRPr="00D105C8">
              <w:rPr>
                <w:color w:val="000000"/>
                <w:sz w:val="21"/>
                <w:szCs w:val="21"/>
              </w:rPr>
              <w:t>22</w:t>
            </w:r>
            <w:r w:rsidR="00EC4D54">
              <w:rPr>
                <w:color w:val="000000"/>
                <w:sz w:val="21"/>
                <w:szCs w:val="21"/>
              </w:rPr>
              <w:t>6</w:t>
            </w:r>
            <w:r w:rsidRPr="00D105C8">
              <w:rPr>
                <w:color w:val="000000"/>
                <w:sz w:val="21"/>
                <w:szCs w:val="21"/>
              </w:rPr>
              <w:t xml:space="preserve"> </w:t>
            </w:r>
            <w:r w:rsidRPr="00D105C8">
              <w:rPr>
                <w:color w:val="202124"/>
                <w:sz w:val="21"/>
                <w:szCs w:val="21"/>
                <w:shd w:val="clear" w:color="auto" w:fill="FFFFFF"/>
              </w:rPr>
              <w:t>± 7</w:t>
            </w:r>
            <w:r w:rsidRPr="00D105C8">
              <w:rPr>
                <w:color w:val="202124"/>
                <w:sz w:val="21"/>
                <w:szCs w:val="21"/>
                <w:shd w:val="clear" w:color="auto" w:fill="FFFFFF"/>
                <w:vertAlign w:val="superscript"/>
              </w:rPr>
              <w:t>ab</w:t>
            </w:r>
          </w:p>
        </w:tc>
        <w:tc>
          <w:tcPr>
            <w:tcW w:w="1266" w:type="dxa"/>
            <w:shd w:val="clear" w:color="auto" w:fill="auto"/>
            <w:vAlign w:val="center"/>
          </w:tcPr>
          <w:p w14:paraId="16F5C397" w14:textId="3FDCCAFD" w:rsidR="00A3545D" w:rsidRPr="00D105C8" w:rsidRDefault="00A3545D" w:rsidP="007510B2">
            <w:pPr>
              <w:jc w:val="center"/>
              <w:rPr>
                <w:sz w:val="21"/>
                <w:szCs w:val="21"/>
                <w:vertAlign w:val="superscript"/>
              </w:rPr>
            </w:pPr>
            <w:r w:rsidRPr="00D105C8">
              <w:rPr>
                <w:color w:val="000000"/>
                <w:sz w:val="21"/>
                <w:szCs w:val="21"/>
              </w:rPr>
              <w:t>24</w:t>
            </w:r>
            <w:r w:rsidR="00EC4D54">
              <w:rPr>
                <w:color w:val="000000"/>
                <w:sz w:val="21"/>
                <w:szCs w:val="21"/>
              </w:rPr>
              <w:t>5</w:t>
            </w:r>
            <w:r w:rsidRPr="00D105C8">
              <w:rPr>
                <w:color w:val="000000"/>
                <w:sz w:val="21"/>
                <w:szCs w:val="21"/>
              </w:rPr>
              <w:t xml:space="preserve"> </w:t>
            </w:r>
            <w:r w:rsidRPr="00D105C8">
              <w:rPr>
                <w:color w:val="202124"/>
                <w:sz w:val="21"/>
                <w:szCs w:val="21"/>
                <w:shd w:val="clear" w:color="auto" w:fill="FFFFFF"/>
              </w:rPr>
              <w:t>± 1</w:t>
            </w:r>
            <w:r w:rsidR="00EC4D54">
              <w:rPr>
                <w:color w:val="202124"/>
                <w:sz w:val="21"/>
                <w:szCs w:val="21"/>
                <w:shd w:val="clear" w:color="auto" w:fill="FFFFFF"/>
              </w:rPr>
              <w:t>4</w:t>
            </w:r>
            <w:r w:rsidRPr="00D105C8">
              <w:rPr>
                <w:color w:val="202124"/>
                <w:sz w:val="21"/>
                <w:szCs w:val="21"/>
                <w:shd w:val="clear" w:color="auto" w:fill="FFFFFF"/>
                <w:vertAlign w:val="superscript"/>
              </w:rPr>
              <w:t>a</w:t>
            </w:r>
          </w:p>
        </w:tc>
        <w:tc>
          <w:tcPr>
            <w:tcW w:w="1266" w:type="dxa"/>
            <w:shd w:val="clear" w:color="auto" w:fill="auto"/>
            <w:vAlign w:val="center"/>
          </w:tcPr>
          <w:p w14:paraId="6D5D3E96" w14:textId="62EBF2B1" w:rsidR="00A3545D" w:rsidRPr="00D105C8" w:rsidRDefault="00A3545D" w:rsidP="007510B2">
            <w:pPr>
              <w:jc w:val="center"/>
              <w:rPr>
                <w:sz w:val="21"/>
                <w:szCs w:val="21"/>
                <w:vertAlign w:val="superscript"/>
              </w:rPr>
            </w:pPr>
            <w:r w:rsidRPr="00D105C8">
              <w:rPr>
                <w:color w:val="000000"/>
                <w:sz w:val="21"/>
                <w:szCs w:val="21"/>
              </w:rPr>
              <w:t xml:space="preserve">231 </w:t>
            </w:r>
            <w:r w:rsidRPr="00D105C8">
              <w:rPr>
                <w:color w:val="202124"/>
                <w:sz w:val="21"/>
                <w:szCs w:val="21"/>
                <w:shd w:val="clear" w:color="auto" w:fill="FFFFFF"/>
              </w:rPr>
              <w:t xml:space="preserve">± </w:t>
            </w:r>
            <w:r w:rsidR="00EC4D54">
              <w:rPr>
                <w:color w:val="202124"/>
                <w:sz w:val="21"/>
                <w:szCs w:val="21"/>
                <w:shd w:val="clear" w:color="auto" w:fill="FFFFFF"/>
              </w:rPr>
              <w:t>4</w:t>
            </w:r>
            <w:r w:rsidRPr="00D105C8">
              <w:rPr>
                <w:color w:val="202124"/>
                <w:sz w:val="21"/>
                <w:szCs w:val="21"/>
                <w:shd w:val="clear" w:color="auto" w:fill="FFFFFF"/>
                <w:vertAlign w:val="superscript"/>
              </w:rPr>
              <w:t>a</w:t>
            </w:r>
          </w:p>
        </w:tc>
        <w:tc>
          <w:tcPr>
            <w:tcW w:w="1267" w:type="dxa"/>
            <w:shd w:val="clear" w:color="auto" w:fill="auto"/>
            <w:vAlign w:val="center"/>
          </w:tcPr>
          <w:p w14:paraId="2D36EC51" w14:textId="40F49A6A" w:rsidR="00A3545D" w:rsidRPr="00D105C8" w:rsidRDefault="00A3545D" w:rsidP="007510B2">
            <w:pPr>
              <w:jc w:val="center"/>
              <w:rPr>
                <w:sz w:val="21"/>
                <w:szCs w:val="21"/>
                <w:vertAlign w:val="superscript"/>
              </w:rPr>
            </w:pPr>
            <w:r w:rsidRPr="00D105C8">
              <w:rPr>
                <w:color w:val="000000"/>
                <w:sz w:val="21"/>
                <w:szCs w:val="21"/>
              </w:rPr>
              <w:t>19</w:t>
            </w:r>
            <w:r w:rsidR="00EC4D54">
              <w:rPr>
                <w:color w:val="000000"/>
                <w:sz w:val="21"/>
                <w:szCs w:val="21"/>
              </w:rPr>
              <w:t>5</w:t>
            </w:r>
            <w:r w:rsidRPr="00D105C8">
              <w:rPr>
                <w:color w:val="000000"/>
                <w:sz w:val="21"/>
                <w:szCs w:val="21"/>
              </w:rPr>
              <w:t xml:space="preserve"> </w:t>
            </w:r>
            <w:r w:rsidRPr="00D105C8">
              <w:rPr>
                <w:color w:val="202124"/>
                <w:sz w:val="21"/>
                <w:szCs w:val="21"/>
                <w:shd w:val="clear" w:color="auto" w:fill="FFFFFF"/>
              </w:rPr>
              <w:t>± 2</w:t>
            </w:r>
            <w:r w:rsidRPr="00D105C8">
              <w:rPr>
                <w:color w:val="202124"/>
                <w:sz w:val="21"/>
                <w:szCs w:val="21"/>
                <w:shd w:val="clear" w:color="auto" w:fill="FFFFFF"/>
                <w:vertAlign w:val="superscript"/>
              </w:rPr>
              <w:t>efgh</w:t>
            </w:r>
          </w:p>
        </w:tc>
      </w:tr>
      <w:tr w:rsidR="00A3545D" w14:paraId="5B1F6C1B" w14:textId="77777777" w:rsidTr="00A3545D">
        <w:tc>
          <w:tcPr>
            <w:tcW w:w="2547" w:type="dxa"/>
          </w:tcPr>
          <w:p w14:paraId="4587E03E" w14:textId="77777777" w:rsidR="00A3545D" w:rsidRDefault="00A3545D" w:rsidP="007510B2"/>
        </w:tc>
        <w:tc>
          <w:tcPr>
            <w:tcW w:w="1266" w:type="dxa"/>
            <w:shd w:val="clear" w:color="auto" w:fill="auto"/>
            <w:vAlign w:val="center"/>
          </w:tcPr>
          <w:p w14:paraId="08B281D2" w14:textId="77777777" w:rsidR="00A3545D" w:rsidRPr="00D105C8" w:rsidRDefault="00A3545D" w:rsidP="007510B2">
            <w:pPr>
              <w:jc w:val="center"/>
              <w:rPr>
                <w:color w:val="000000"/>
                <w:sz w:val="21"/>
                <w:szCs w:val="21"/>
              </w:rPr>
            </w:pPr>
          </w:p>
        </w:tc>
        <w:tc>
          <w:tcPr>
            <w:tcW w:w="1266" w:type="dxa"/>
            <w:shd w:val="clear" w:color="auto" w:fill="auto"/>
            <w:vAlign w:val="center"/>
          </w:tcPr>
          <w:p w14:paraId="432AF9DB" w14:textId="77777777" w:rsidR="00A3545D" w:rsidRPr="00D105C8" w:rsidRDefault="00A3545D" w:rsidP="007510B2">
            <w:pPr>
              <w:jc w:val="center"/>
              <w:rPr>
                <w:color w:val="000000"/>
                <w:sz w:val="21"/>
                <w:szCs w:val="21"/>
              </w:rPr>
            </w:pPr>
          </w:p>
        </w:tc>
        <w:tc>
          <w:tcPr>
            <w:tcW w:w="1266" w:type="dxa"/>
            <w:shd w:val="clear" w:color="auto" w:fill="auto"/>
            <w:vAlign w:val="center"/>
          </w:tcPr>
          <w:p w14:paraId="62C0129C" w14:textId="77777777" w:rsidR="00A3545D" w:rsidRPr="00D105C8" w:rsidRDefault="00A3545D" w:rsidP="007510B2">
            <w:pPr>
              <w:jc w:val="center"/>
              <w:rPr>
                <w:color w:val="000000"/>
                <w:sz w:val="21"/>
                <w:szCs w:val="21"/>
              </w:rPr>
            </w:pPr>
          </w:p>
        </w:tc>
        <w:tc>
          <w:tcPr>
            <w:tcW w:w="1267" w:type="dxa"/>
            <w:shd w:val="clear" w:color="auto" w:fill="auto"/>
            <w:vAlign w:val="center"/>
          </w:tcPr>
          <w:p w14:paraId="7D96D285" w14:textId="77777777" w:rsidR="00A3545D" w:rsidRPr="00D105C8" w:rsidRDefault="00A3545D" w:rsidP="007510B2">
            <w:pPr>
              <w:jc w:val="center"/>
              <w:rPr>
                <w:color w:val="000000"/>
                <w:sz w:val="21"/>
                <w:szCs w:val="21"/>
              </w:rPr>
            </w:pPr>
          </w:p>
        </w:tc>
        <w:tc>
          <w:tcPr>
            <w:tcW w:w="1266" w:type="dxa"/>
            <w:shd w:val="clear" w:color="auto" w:fill="auto"/>
            <w:vAlign w:val="center"/>
          </w:tcPr>
          <w:p w14:paraId="1E172F15" w14:textId="77777777" w:rsidR="00A3545D" w:rsidRPr="00D105C8" w:rsidRDefault="00A3545D" w:rsidP="007510B2">
            <w:pPr>
              <w:jc w:val="center"/>
              <w:rPr>
                <w:color w:val="000000"/>
                <w:sz w:val="21"/>
                <w:szCs w:val="21"/>
              </w:rPr>
            </w:pPr>
          </w:p>
        </w:tc>
        <w:tc>
          <w:tcPr>
            <w:tcW w:w="1266" w:type="dxa"/>
            <w:shd w:val="clear" w:color="auto" w:fill="auto"/>
            <w:vAlign w:val="center"/>
          </w:tcPr>
          <w:p w14:paraId="7A75E85B" w14:textId="77777777" w:rsidR="00A3545D" w:rsidRPr="00D105C8" w:rsidRDefault="00A3545D" w:rsidP="007510B2">
            <w:pPr>
              <w:jc w:val="center"/>
              <w:rPr>
                <w:color w:val="000000"/>
                <w:sz w:val="21"/>
                <w:szCs w:val="21"/>
              </w:rPr>
            </w:pPr>
          </w:p>
        </w:tc>
        <w:tc>
          <w:tcPr>
            <w:tcW w:w="1266" w:type="dxa"/>
            <w:shd w:val="clear" w:color="auto" w:fill="auto"/>
            <w:vAlign w:val="center"/>
          </w:tcPr>
          <w:p w14:paraId="185FDFF3" w14:textId="77777777" w:rsidR="00A3545D" w:rsidRPr="00D105C8" w:rsidRDefault="00A3545D" w:rsidP="007510B2">
            <w:pPr>
              <w:jc w:val="center"/>
              <w:rPr>
                <w:color w:val="000000"/>
                <w:sz w:val="21"/>
                <w:szCs w:val="21"/>
              </w:rPr>
            </w:pPr>
          </w:p>
        </w:tc>
        <w:tc>
          <w:tcPr>
            <w:tcW w:w="1267" w:type="dxa"/>
            <w:shd w:val="clear" w:color="auto" w:fill="auto"/>
            <w:vAlign w:val="center"/>
          </w:tcPr>
          <w:p w14:paraId="311F2E8B" w14:textId="77777777" w:rsidR="00A3545D" w:rsidRPr="00D105C8" w:rsidRDefault="00A3545D" w:rsidP="007510B2">
            <w:pPr>
              <w:jc w:val="center"/>
              <w:rPr>
                <w:color w:val="000000"/>
                <w:sz w:val="21"/>
                <w:szCs w:val="21"/>
              </w:rPr>
            </w:pPr>
          </w:p>
        </w:tc>
        <w:tc>
          <w:tcPr>
            <w:tcW w:w="1266" w:type="dxa"/>
            <w:shd w:val="clear" w:color="auto" w:fill="auto"/>
            <w:vAlign w:val="center"/>
          </w:tcPr>
          <w:p w14:paraId="144945FE" w14:textId="77777777" w:rsidR="00A3545D" w:rsidRPr="00D105C8" w:rsidRDefault="00A3545D" w:rsidP="007510B2">
            <w:pPr>
              <w:jc w:val="center"/>
              <w:rPr>
                <w:color w:val="000000"/>
                <w:sz w:val="21"/>
                <w:szCs w:val="21"/>
              </w:rPr>
            </w:pPr>
          </w:p>
        </w:tc>
        <w:tc>
          <w:tcPr>
            <w:tcW w:w="1266" w:type="dxa"/>
            <w:shd w:val="clear" w:color="auto" w:fill="auto"/>
            <w:vAlign w:val="center"/>
          </w:tcPr>
          <w:p w14:paraId="5A0EDD4A" w14:textId="77777777" w:rsidR="00A3545D" w:rsidRPr="00D105C8" w:rsidRDefault="00A3545D" w:rsidP="007510B2">
            <w:pPr>
              <w:jc w:val="center"/>
              <w:rPr>
                <w:color w:val="000000"/>
                <w:sz w:val="21"/>
                <w:szCs w:val="21"/>
              </w:rPr>
            </w:pPr>
          </w:p>
        </w:tc>
        <w:tc>
          <w:tcPr>
            <w:tcW w:w="1266" w:type="dxa"/>
            <w:shd w:val="clear" w:color="auto" w:fill="auto"/>
            <w:vAlign w:val="center"/>
          </w:tcPr>
          <w:p w14:paraId="074C4CAF" w14:textId="77777777" w:rsidR="00A3545D" w:rsidRPr="00D105C8" w:rsidRDefault="00A3545D" w:rsidP="007510B2">
            <w:pPr>
              <w:jc w:val="center"/>
              <w:rPr>
                <w:color w:val="000000"/>
                <w:sz w:val="21"/>
                <w:szCs w:val="21"/>
              </w:rPr>
            </w:pPr>
          </w:p>
        </w:tc>
        <w:tc>
          <w:tcPr>
            <w:tcW w:w="1267" w:type="dxa"/>
            <w:shd w:val="clear" w:color="auto" w:fill="auto"/>
            <w:vAlign w:val="center"/>
          </w:tcPr>
          <w:p w14:paraId="15267F2A" w14:textId="77777777" w:rsidR="00A3545D" w:rsidRPr="00D105C8" w:rsidRDefault="00A3545D" w:rsidP="007510B2">
            <w:pPr>
              <w:jc w:val="center"/>
              <w:rPr>
                <w:color w:val="000000"/>
                <w:sz w:val="21"/>
                <w:szCs w:val="21"/>
              </w:rPr>
            </w:pPr>
          </w:p>
        </w:tc>
        <w:tc>
          <w:tcPr>
            <w:tcW w:w="1266" w:type="dxa"/>
            <w:shd w:val="clear" w:color="auto" w:fill="auto"/>
            <w:vAlign w:val="center"/>
          </w:tcPr>
          <w:p w14:paraId="00E91A78" w14:textId="77777777" w:rsidR="00A3545D" w:rsidRPr="00D105C8" w:rsidRDefault="00A3545D" w:rsidP="007510B2">
            <w:pPr>
              <w:jc w:val="center"/>
              <w:rPr>
                <w:color w:val="000000"/>
                <w:sz w:val="21"/>
                <w:szCs w:val="21"/>
              </w:rPr>
            </w:pPr>
          </w:p>
        </w:tc>
        <w:tc>
          <w:tcPr>
            <w:tcW w:w="1266" w:type="dxa"/>
            <w:shd w:val="clear" w:color="auto" w:fill="auto"/>
            <w:vAlign w:val="center"/>
          </w:tcPr>
          <w:p w14:paraId="09A92784" w14:textId="77777777" w:rsidR="00A3545D" w:rsidRPr="00D105C8" w:rsidRDefault="00A3545D" w:rsidP="007510B2">
            <w:pPr>
              <w:jc w:val="center"/>
              <w:rPr>
                <w:color w:val="000000"/>
                <w:sz w:val="21"/>
                <w:szCs w:val="21"/>
              </w:rPr>
            </w:pPr>
          </w:p>
        </w:tc>
        <w:tc>
          <w:tcPr>
            <w:tcW w:w="1267" w:type="dxa"/>
            <w:shd w:val="clear" w:color="auto" w:fill="auto"/>
            <w:vAlign w:val="center"/>
          </w:tcPr>
          <w:p w14:paraId="395DB617" w14:textId="77777777" w:rsidR="00A3545D" w:rsidRPr="00D105C8" w:rsidRDefault="00A3545D" w:rsidP="007510B2">
            <w:pPr>
              <w:jc w:val="center"/>
              <w:rPr>
                <w:color w:val="000000"/>
                <w:sz w:val="21"/>
                <w:szCs w:val="21"/>
              </w:rPr>
            </w:pPr>
          </w:p>
        </w:tc>
      </w:tr>
      <w:tr w:rsidR="00A3545D" w14:paraId="533490B1" w14:textId="77777777" w:rsidTr="00A3545D">
        <w:tc>
          <w:tcPr>
            <w:tcW w:w="2547" w:type="dxa"/>
          </w:tcPr>
          <w:p w14:paraId="5F831E93" w14:textId="77777777" w:rsidR="00A3545D" w:rsidRDefault="00A3545D" w:rsidP="007510B2"/>
        </w:tc>
        <w:tc>
          <w:tcPr>
            <w:tcW w:w="18994" w:type="dxa"/>
            <w:gridSpan w:val="15"/>
          </w:tcPr>
          <w:p w14:paraId="4438D447" w14:textId="77777777" w:rsidR="00A3545D" w:rsidRPr="00D105C8" w:rsidRDefault="00A3545D" w:rsidP="007510B2">
            <w:pPr>
              <w:jc w:val="center"/>
              <w:rPr>
                <w:b/>
                <w:bCs/>
                <w:sz w:val="21"/>
                <w:szCs w:val="21"/>
              </w:rPr>
            </w:pPr>
            <w:r w:rsidRPr="00D105C8">
              <w:rPr>
                <w:b/>
                <w:bCs/>
                <w:sz w:val="21"/>
                <w:szCs w:val="21"/>
              </w:rPr>
              <w:t>Real priming soil</w:t>
            </w:r>
          </w:p>
        </w:tc>
      </w:tr>
      <w:tr w:rsidR="00A3545D" w14:paraId="3CD71DCE" w14:textId="77777777" w:rsidTr="00A3545D">
        <w:tc>
          <w:tcPr>
            <w:tcW w:w="2547" w:type="dxa"/>
          </w:tcPr>
          <w:p w14:paraId="229FBB88" w14:textId="77777777" w:rsidR="00A3545D" w:rsidRDefault="00A3545D" w:rsidP="007510B2"/>
        </w:tc>
        <w:tc>
          <w:tcPr>
            <w:tcW w:w="1266" w:type="dxa"/>
          </w:tcPr>
          <w:p w14:paraId="64EA1317" w14:textId="77777777" w:rsidR="00A3545D" w:rsidRPr="00D105C8" w:rsidRDefault="00A3545D" w:rsidP="007510B2">
            <w:pPr>
              <w:jc w:val="center"/>
              <w:rPr>
                <w:b/>
                <w:bCs/>
                <w:sz w:val="21"/>
                <w:szCs w:val="21"/>
              </w:rPr>
            </w:pPr>
            <w:r w:rsidRPr="00D105C8">
              <w:rPr>
                <w:b/>
                <w:bCs/>
                <w:sz w:val="21"/>
                <w:szCs w:val="21"/>
              </w:rPr>
              <w:t>Biochar</w:t>
            </w:r>
          </w:p>
        </w:tc>
        <w:tc>
          <w:tcPr>
            <w:tcW w:w="1266" w:type="dxa"/>
          </w:tcPr>
          <w:p w14:paraId="02EB4C86" w14:textId="77777777" w:rsidR="00A3545D" w:rsidRPr="00D105C8" w:rsidRDefault="00A3545D" w:rsidP="007510B2">
            <w:pPr>
              <w:jc w:val="center"/>
              <w:rPr>
                <w:b/>
                <w:bCs/>
                <w:sz w:val="21"/>
                <w:szCs w:val="21"/>
              </w:rPr>
            </w:pPr>
            <w:r w:rsidRPr="00D105C8">
              <w:rPr>
                <w:b/>
                <w:bCs/>
                <w:sz w:val="21"/>
                <w:szCs w:val="21"/>
              </w:rPr>
              <w:t>Wood ash</w:t>
            </w:r>
          </w:p>
        </w:tc>
        <w:tc>
          <w:tcPr>
            <w:tcW w:w="1266" w:type="dxa"/>
          </w:tcPr>
          <w:p w14:paraId="17E36B20" w14:textId="77777777" w:rsidR="00A3545D" w:rsidRPr="00D105C8" w:rsidRDefault="00A3545D" w:rsidP="007510B2">
            <w:pPr>
              <w:jc w:val="center"/>
              <w:rPr>
                <w:b/>
                <w:bCs/>
                <w:sz w:val="21"/>
                <w:szCs w:val="21"/>
              </w:rPr>
            </w:pPr>
            <w:r w:rsidRPr="00D105C8">
              <w:rPr>
                <w:b/>
                <w:bCs/>
                <w:sz w:val="21"/>
                <w:szCs w:val="21"/>
              </w:rPr>
              <w:t>Amino acids</w:t>
            </w:r>
          </w:p>
        </w:tc>
        <w:tc>
          <w:tcPr>
            <w:tcW w:w="1267" w:type="dxa"/>
          </w:tcPr>
          <w:p w14:paraId="0A91782F" w14:textId="797CC684" w:rsidR="00A3545D" w:rsidRPr="00D105C8" w:rsidRDefault="00D93F76" w:rsidP="007510B2">
            <w:pPr>
              <w:jc w:val="center"/>
              <w:rPr>
                <w:b/>
                <w:bCs/>
                <w:sz w:val="21"/>
                <w:szCs w:val="21"/>
              </w:rPr>
            </w:pPr>
            <w:r>
              <w:rPr>
                <w:b/>
                <w:bCs/>
              </w:rPr>
              <w:t>Protein</w:t>
            </w:r>
          </w:p>
        </w:tc>
        <w:tc>
          <w:tcPr>
            <w:tcW w:w="1266" w:type="dxa"/>
          </w:tcPr>
          <w:p w14:paraId="09BC471E" w14:textId="77777777" w:rsidR="00A3545D" w:rsidRPr="00D105C8" w:rsidRDefault="00A3545D" w:rsidP="007510B2">
            <w:pPr>
              <w:jc w:val="center"/>
              <w:rPr>
                <w:b/>
                <w:bCs/>
                <w:sz w:val="21"/>
                <w:szCs w:val="21"/>
              </w:rPr>
            </w:pPr>
            <w:r w:rsidRPr="00D105C8">
              <w:rPr>
                <w:b/>
                <w:bCs/>
                <w:sz w:val="21"/>
                <w:szCs w:val="21"/>
              </w:rPr>
              <w:t>Glucose</w:t>
            </w:r>
          </w:p>
        </w:tc>
        <w:tc>
          <w:tcPr>
            <w:tcW w:w="1266" w:type="dxa"/>
          </w:tcPr>
          <w:p w14:paraId="17010B8A" w14:textId="77777777" w:rsidR="00A3545D" w:rsidRPr="00D105C8" w:rsidRDefault="00A3545D" w:rsidP="007510B2">
            <w:pPr>
              <w:jc w:val="center"/>
              <w:rPr>
                <w:b/>
                <w:bCs/>
                <w:sz w:val="21"/>
                <w:szCs w:val="21"/>
              </w:rPr>
            </w:pPr>
            <w:r w:rsidRPr="00D105C8">
              <w:rPr>
                <w:b/>
                <w:bCs/>
                <w:sz w:val="21"/>
                <w:szCs w:val="21"/>
              </w:rPr>
              <w:t>Cellulose</w:t>
            </w:r>
          </w:p>
        </w:tc>
        <w:tc>
          <w:tcPr>
            <w:tcW w:w="1266" w:type="dxa"/>
          </w:tcPr>
          <w:p w14:paraId="1E24651B" w14:textId="0629ECB3" w:rsidR="00A3545D" w:rsidRPr="00D105C8" w:rsidRDefault="004762C9" w:rsidP="007510B2">
            <w:pPr>
              <w:jc w:val="center"/>
              <w:rPr>
                <w:b/>
                <w:bCs/>
                <w:sz w:val="21"/>
                <w:szCs w:val="21"/>
              </w:rPr>
            </w:pPr>
            <w:r>
              <w:rPr>
                <w:b/>
                <w:bCs/>
                <w:sz w:val="21"/>
                <w:szCs w:val="21"/>
              </w:rPr>
              <w:t>FYM</w:t>
            </w:r>
          </w:p>
        </w:tc>
        <w:tc>
          <w:tcPr>
            <w:tcW w:w="1267" w:type="dxa"/>
          </w:tcPr>
          <w:p w14:paraId="75478A95" w14:textId="77777777" w:rsidR="00A3545D" w:rsidRPr="00D105C8" w:rsidRDefault="00A3545D" w:rsidP="007510B2">
            <w:pPr>
              <w:jc w:val="center"/>
              <w:rPr>
                <w:b/>
                <w:bCs/>
                <w:sz w:val="21"/>
                <w:szCs w:val="21"/>
              </w:rPr>
            </w:pPr>
            <w:r w:rsidRPr="00D105C8">
              <w:rPr>
                <w:b/>
                <w:bCs/>
                <w:sz w:val="21"/>
                <w:szCs w:val="21"/>
              </w:rPr>
              <w:t>Slurry</w:t>
            </w:r>
          </w:p>
        </w:tc>
        <w:tc>
          <w:tcPr>
            <w:tcW w:w="1266" w:type="dxa"/>
          </w:tcPr>
          <w:p w14:paraId="549C64CC" w14:textId="77777777" w:rsidR="00A3545D" w:rsidRPr="00D105C8" w:rsidRDefault="00A3545D" w:rsidP="007510B2">
            <w:pPr>
              <w:jc w:val="center"/>
              <w:rPr>
                <w:b/>
                <w:bCs/>
                <w:sz w:val="21"/>
                <w:szCs w:val="21"/>
              </w:rPr>
            </w:pPr>
            <w:r w:rsidRPr="00D105C8">
              <w:rPr>
                <w:b/>
                <w:bCs/>
                <w:sz w:val="21"/>
                <w:szCs w:val="21"/>
              </w:rPr>
              <w:t>Inorganic N</w:t>
            </w:r>
          </w:p>
        </w:tc>
        <w:tc>
          <w:tcPr>
            <w:tcW w:w="1266" w:type="dxa"/>
          </w:tcPr>
          <w:p w14:paraId="0ED3CAE4" w14:textId="77777777" w:rsidR="00A3545D" w:rsidRPr="00D105C8" w:rsidRDefault="00A3545D" w:rsidP="007510B2">
            <w:pPr>
              <w:jc w:val="center"/>
              <w:rPr>
                <w:b/>
                <w:bCs/>
                <w:sz w:val="21"/>
                <w:szCs w:val="21"/>
              </w:rPr>
            </w:pPr>
            <w:r w:rsidRPr="00D105C8">
              <w:rPr>
                <w:b/>
                <w:bCs/>
                <w:sz w:val="21"/>
                <w:szCs w:val="21"/>
              </w:rPr>
              <w:t>100/0</w:t>
            </w:r>
          </w:p>
        </w:tc>
        <w:tc>
          <w:tcPr>
            <w:tcW w:w="1266" w:type="dxa"/>
          </w:tcPr>
          <w:p w14:paraId="6E1B4C11" w14:textId="77777777" w:rsidR="00A3545D" w:rsidRPr="00D105C8" w:rsidRDefault="00A3545D" w:rsidP="007510B2">
            <w:pPr>
              <w:jc w:val="center"/>
              <w:rPr>
                <w:b/>
                <w:bCs/>
                <w:sz w:val="21"/>
                <w:szCs w:val="21"/>
              </w:rPr>
            </w:pPr>
            <w:r w:rsidRPr="00D105C8">
              <w:rPr>
                <w:b/>
                <w:bCs/>
                <w:sz w:val="21"/>
                <w:szCs w:val="21"/>
              </w:rPr>
              <w:t>75/25</w:t>
            </w:r>
          </w:p>
        </w:tc>
        <w:tc>
          <w:tcPr>
            <w:tcW w:w="1267" w:type="dxa"/>
          </w:tcPr>
          <w:p w14:paraId="28420DB5" w14:textId="77777777" w:rsidR="00A3545D" w:rsidRPr="00D105C8" w:rsidRDefault="00A3545D" w:rsidP="007510B2">
            <w:pPr>
              <w:jc w:val="center"/>
              <w:rPr>
                <w:b/>
                <w:bCs/>
                <w:sz w:val="21"/>
                <w:szCs w:val="21"/>
              </w:rPr>
            </w:pPr>
            <w:r w:rsidRPr="00D105C8">
              <w:rPr>
                <w:b/>
                <w:bCs/>
                <w:sz w:val="21"/>
                <w:szCs w:val="21"/>
              </w:rPr>
              <w:t>50/50</w:t>
            </w:r>
          </w:p>
        </w:tc>
        <w:tc>
          <w:tcPr>
            <w:tcW w:w="1266" w:type="dxa"/>
          </w:tcPr>
          <w:p w14:paraId="09149107" w14:textId="77777777" w:rsidR="00A3545D" w:rsidRPr="00D105C8" w:rsidRDefault="00A3545D" w:rsidP="007510B2">
            <w:pPr>
              <w:jc w:val="center"/>
              <w:rPr>
                <w:b/>
                <w:bCs/>
                <w:sz w:val="21"/>
                <w:szCs w:val="21"/>
              </w:rPr>
            </w:pPr>
            <w:r w:rsidRPr="00D105C8">
              <w:rPr>
                <w:b/>
                <w:bCs/>
                <w:sz w:val="21"/>
                <w:szCs w:val="21"/>
              </w:rPr>
              <w:t>25/75</w:t>
            </w:r>
          </w:p>
        </w:tc>
        <w:tc>
          <w:tcPr>
            <w:tcW w:w="1266" w:type="dxa"/>
          </w:tcPr>
          <w:p w14:paraId="750C7CD3" w14:textId="77777777" w:rsidR="00A3545D" w:rsidRPr="00D105C8" w:rsidRDefault="00A3545D" w:rsidP="007510B2">
            <w:pPr>
              <w:jc w:val="center"/>
              <w:rPr>
                <w:b/>
                <w:bCs/>
                <w:sz w:val="21"/>
                <w:szCs w:val="21"/>
              </w:rPr>
            </w:pPr>
            <w:r w:rsidRPr="00D105C8">
              <w:rPr>
                <w:b/>
                <w:bCs/>
                <w:sz w:val="21"/>
                <w:szCs w:val="21"/>
              </w:rPr>
              <w:t>0/100</w:t>
            </w:r>
          </w:p>
        </w:tc>
        <w:tc>
          <w:tcPr>
            <w:tcW w:w="1267" w:type="dxa"/>
          </w:tcPr>
          <w:p w14:paraId="7B1DAF32" w14:textId="77777777" w:rsidR="00A3545D" w:rsidRPr="00D105C8" w:rsidRDefault="00A3545D" w:rsidP="007510B2">
            <w:pPr>
              <w:jc w:val="center"/>
              <w:rPr>
                <w:b/>
                <w:bCs/>
                <w:sz w:val="21"/>
                <w:szCs w:val="21"/>
              </w:rPr>
            </w:pPr>
            <w:r w:rsidRPr="00D105C8">
              <w:rPr>
                <w:b/>
                <w:bCs/>
                <w:sz w:val="21"/>
                <w:szCs w:val="21"/>
              </w:rPr>
              <w:t>Control</w:t>
            </w:r>
          </w:p>
        </w:tc>
      </w:tr>
      <w:tr w:rsidR="00921E18" w14:paraId="6CC0451F" w14:textId="77777777" w:rsidTr="00A3545D">
        <w:tc>
          <w:tcPr>
            <w:tcW w:w="2547" w:type="dxa"/>
          </w:tcPr>
          <w:p w14:paraId="239F3F6E" w14:textId="52089BE9" w:rsidR="00921E18" w:rsidRDefault="00921E18" w:rsidP="007510B2">
            <w:r w:rsidRPr="00921E18">
              <w:t>pH</w:t>
            </w:r>
          </w:p>
        </w:tc>
        <w:tc>
          <w:tcPr>
            <w:tcW w:w="1266" w:type="dxa"/>
            <w:shd w:val="clear" w:color="auto" w:fill="auto"/>
            <w:vAlign w:val="center"/>
          </w:tcPr>
          <w:p w14:paraId="2F511F67" w14:textId="77777777" w:rsidR="00921E18" w:rsidRPr="00D105C8" w:rsidRDefault="00921E18" w:rsidP="007510B2">
            <w:pPr>
              <w:jc w:val="center"/>
              <w:rPr>
                <w:sz w:val="21"/>
                <w:szCs w:val="21"/>
                <w:vertAlign w:val="superscript"/>
              </w:rPr>
            </w:pPr>
            <w:r w:rsidRPr="00D105C8">
              <w:rPr>
                <w:color w:val="000000"/>
                <w:sz w:val="21"/>
                <w:szCs w:val="21"/>
              </w:rPr>
              <w:t xml:space="preserve">6.37 </w:t>
            </w:r>
            <w:r w:rsidRPr="00D105C8">
              <w:rPr>
                <w:color w:val="202124"/>
                <w:sz w:val="21"/>
                <w:szCs w:val="21"/>
                <w:shd w:val="clear" w:color="auto" w:fill="FFFFFF"/>
              </w:rPr>
              <w:t>± 0.03</w:t>
            </w:r>
            <w:r w:rsidRPr="00D105C8">
              <w:rPr>
                <w:color w:val="202124"/>
                <w:sz w:val="21"/>
                <w:szCs w:val="21"/>
                <w:shd w:val="clear" w:color="auto" w:fill="FFFFFF"/>
                <w:vertAlign w:val="superscript"/>
              </w:rPr>
              <w:t>a</w:t>
            </w:r>
          </w:p>
        </w:tc>
        <w:tc>
          <w:tcPr>
            <w:tcW w:w="1266" w:type="dxa"/>
            <w:shd w:val="clear" w:color="auto" w:fill="auto"/>
            <w:vAlign w:val="center"/>
          </w:tcPr>
          <w:p w14:paraId="562E6DFC" w14:textId="77777777" w:rsidR="00921E18" w:rsidRPr="00D105C8" w:rsidRDefault="00921E18" w:rsidP="007510B2">
            <w:pPr>
              <w:jc w:val="center"/>
              <w:rPr>
                <w:sz w:val="21"/>
                <w:szCs w:val="21"/>
                <w:vertAlign w:val="superscript"/>
              </w:rPr>
            </w:pPr>
            <w:r w:rsidRPr="00D105C8">
              <w:rPr>
                <w:color w:val="000000"/>
                <w:sz w:val="21"/>
                <w:szCs w:val="21"/>
              </w:rPr>
              <w:t xml:space="preserve">5.55 </w:t>
            </w:r>
            <w:r w:rsidRPr="00D105C8">
              <w:rPr>
                <w:color w:val="202124"/>
                <w:sz w:val="21"/>
                <w:szCs w:val="21"/>
                <w:shd w:val="clear" w:color="auto" w:fill="FFFFFF"/>
              </w:rPr>
              <w:t>± 0.06</w:t>
            </w:r>
            <w:r w:rsidRPr="00D105C8">
              <w:rPr>
                <w:color w:val="202124"/>
                <w:sz w:val="21"/>
                <w:szCs w:val="21"/>
                <w:shd w:val="clear" w:color="auto" w:fill="FFFFFF"/>
                <w:vertAlign w:val="superscript"/>
              </w:rPr>
              <w:t>cd</w:t>
            </w:r>
          </w:p>
        </w:tc>
        <w:tc>
          <w:tcPr>
            <w:tcW w:w="1266" w:type="dxa"/>
            <w:shd w:val="clear" w:color="auto" w:fill="auto"/>
            <w:vAlign w:val="center"/>
          </w:tcPr>
          <w:p w14:paraId="4E3E45E5" w14:textId="77777777" w:rsidR="00921E18" w:rsidRPr="00D105C8" w:rsidRDefault="00921E18" w:rsidP="007510B2">
            <w:pPr>
              <w:jc w:val="center"/>
              <w:rPr>
                <w:sz w:val="21"/>
                <w:szCs w:val="21"/>
                <w:vertAlign w:val="superscript"/>
              </w:rPr>
            </w:pPr>
            <w:r w:rsidRPr="00D105C8">
              <w:rPr>
                <w:color w:val="000000"/>
                <w:sz w:val="21"/>
                <w:szCs w:val="21"/>
              </w:rPr>
              <w:t xml:space="preserve">5.69 </w:t>
            </w:r>
            <w:r w:rsidRPr="00D105C8">
              <w:rPr>
                <w:color w:val="202124"/>
                <w:sz w:val="21"/>
                <w:szCs w:val="21"/>
                <w:shd w:val="clear" w:color="auto" w:fill="FFFFFF"/>
              </w:rPr>
              <w:t>± 0.14</w:t>
            </w:r>
            <w:r w:rsidRPr="00D105C8">
              <w:rPr>
                <w:color w:val="202124"/>
                <w:sz w:val="21"/>
                <w:szCs w:val="21"/>
                <w:shd w:val="clear" w:color="auto" w:fill="FFFFFF"/>
                <w:vertAlign w:val="superscript"/>
              </w:rPr>
              <w:t>bc</w:t>
            </w:r>
          </w:p>
        </w:tc>
        <w:tc>
          <w:tcPr>
            <w:tcW w:w="1267" w:type="dxa"/>
            <w:shd w:val="clear" w:color="auto" w:fill="auto"/>
            <w:vAlign w:val="center"/>
          </w:tcPr>
          <w:p w14:paraId="460C4ADE" w14:textId="77777777" w:rsidR="00921E18" w:rsidRPr="00D105C8" w:rsidRDefault="00921E18" w:rsidP="007510B2">
            <w:pPr>
              <w:jc w:val="center"/>
              <w:rPr>
                <w:sz w:val="21"/>
                <w:szCs w:val="21"/>
                <w:vertAlign w:val="superscript"/>
              </w:rPr>
            </w:pPr>
            <w:r w:rsidRPr="00D105C8">
              <w:rPr>
                <w:color w:val="000000"/>
                <w:sz w:val="21"/>
                <w:szCs w:val="21"/>
              </w:rPr>
              <w:t xml:space="preserve">4.80 </w:t>
            </w:r>
            <w:r w:rsidRPr="00D105C8">
              <w:rPr>
                <w:color w:val="202124"/>
                <w:sz w:val="21"/>
                <w:szCs w:val="21"/>
                <w:shd w:val="clear" w:color="auto" w:fill="FFFFFF"/>
              </w:rPr>
              <w:t>± 0.02</w:t>
            </w:r>
            <w:r w:rsidRPr="00D105C8">
              <w:rPr>
                <w:color w:val="202124"/>
                <w:sz w:val="21"/>
                <w:szCs w:val="21"/>
                <w:shd w:val="clear" w:color="auto" w:fill="FFFFFF"/>
                <w:vertAlign w:val="superscript"/>
              </w:rPr>
              <w:t>e</w:t>
            </w:r>
          </w:p>
        </w:tc>
        <w:tc>
          <w:tcPr>
            <w:tcW w:w="1266" w:type="dxa"/>
            <w:shd w:val="clear" w:color="auto" w:fill="auto"/>
            <w:vAlign w:val="center"/>
          </w:tcPr>
          <w:p w14:paraId="60A0F6F8" w14:textId="77777777" w:rsidR="00921E18" w:rsidRPr="00D105C8" w:rsidRDefault="00921E18" w:rsidP="007510B2">
            <w:pPr>
              <w:jc w:val="center"/>
              <w:rPr>
                <w:sz w:val="21"/>
                <w:szCs w:val="21"/>
                <w:vertAlign w:val="superscript"/>
              </w:rPr>
            </w:pPr>
            <w:r w:rsidRPr="00D105C8">
              <w:rPr>
                <w:color w:val="000000"/>
                <w:sz w:val="21"/>
                <w:szCs w:val="21"/>
              </w:rPr>
              <w:t xml:space="preserve">6.00 </w:t>
            </w:r>
            <w:r w:rsidRPr="00D105C8">
              <w:rPr>
                <w:color w:val="202124"/>
                <w:sz w:val="21"/>
                <w:szCs w:val="21"/>
                <w:shd w:val="clear" w:color="auto" w:fill="FFFFFF"/>
              </w:rPr>
              <w:t>± 0.06</w:t>
            </w:r>
            <w:r w:rsidRPr="00D105C8">
              <w:rPr>
                <w:color w:val="202124"/>
                <w:sz w:val="21"/>
                <w:szCs w:val="21"/>
                <w:shd w:val="clear" w:color="auto" w:fill="FFFFFF"/>
                <w:vertAlign w:val="superscript"/>
              </w:rPr>
              <w:t>ab</w:t>
            </w:r>
          </w:p>
        </w:tc>
        <w:tc>
          <w:tcPr>
            <w:tcW w:w="1266" w:type="dxa"/>
            <w:shd w:val="clear" w:color="auto" w:fill="auto"/>
            <w:vAlign w:val="center"/>
          </w:tcPr>
          <w:p w14:paraId="1A2F7D82" w14:textId="77777777" w:rsidR="00921E18" w:rsidRPr="00D105C8" w:rsidRDefault="00921E18" w:rsidP="007510B2">
            <w:pPr>
              <w:jc w:val="center"/>
              <w:rPr>
                <w:sz w:val="21"/>
                <w:szCs w:val="21"/>
                <w:vertAlign w:val="superscript"/>
              </w:rPr>
            </w:pPr>
            <w:r w:rsidRPr="00D105C8">
              <w:rPr>
                <w:color w:val="000000"/>
                <w:sz w:val="21"/>
                <w:szCs w:val="21"/>
              </w:rPr>
              <w:t xml:space="preserve">5.87 </w:t>
            </w:r>
            <w:r w:rsidRPr="00D105C8">
              <w:rPr>
                <w:color w:val="202124"/>
                <w:sz w:val="21"/>
                <w:szCs w:val="21"/>
                <w:shd w:val="clear" w:color="auto" w:fill="FFFFFF"/>
              </w:rPr>
              <w:t>± 0.06</w:t>
            </w:r>
            <w:r w:rsidRPr="00D105C8">
              <w:rPr>
                <w:color w:val="202124"/>
                <w:sz w:val="21"/>
                <w:szCs w:val="21"/>
                <w:shd w:val="clear" w:color="auto" w:fill="FFFFFF"/>
                <w:vertAlign w:val="superscript"/>
              </w:rPr>
              <w:t>ab</w:t>
            </w:r>
          </w:p>
        </w:tc>
        <w:tc>
          <w:tcPr>
            <w:tcW w:w="1266" w:type="dxa"/>
            <w:shd w:val="clear" w:color="auto" w:fill="auto"/>
            <w:vAlign w:val="center"/>
          </w:tcPr>
          <w:p w14:paraId="2AEEAFE8" w14:textId="77777777" w:rsidR="00921E18" w:rsidRPr="00D105C8" w:rsidRDefault="00921E18" w:rsidP="007510B2">
            <w:pPr>
              <w:jc w:val="center"/>
              <w:rPr>
                <w:sz w:val="21"/>
                <w:szCs w:val="21"/>
                <w:vertAlign w:val="superscript"/>
              </w:rPr>
            </w:pPr>
            <w:r w:rsidRPr="00D105C8">
              <w:rPr>
                <w:color w:val="000000"/>
                <w:sz w:val="21"/>
                <w:szCs w:val="21"/>
              </w:rPr>
              <w:t xml:space="preserve">5.74 </w:t>
            </w:r>
            <w:r w:rsidRPr="00D105C8">
              <w:rPr>
                <w:color w:val="202124"/>
                <w:sz w:val="21"/>
                <w:szCs w:val="21"/>
                <w:shd w:val="clear" w:color="auto" w:fill="FFFFFF"/>
              </w:rPr>
              <w:t>± 0.04</w:t>
            </w:r>
            <w:r w:rsidRPr="00D105C8">
              <w:rPr>
                <w:color w:val="202124"/>
                <w:sz w:val="21"/>
                <w:szCs w:val="21"/>
                <w:shd w:val="clear" w:color="auto" w:fill="FFFFFF"/>
                <w:vertAlign w:val="superscript"/>
              </w:rPr>
              <w:t>abc</w:t>
            </w:r>
          </w:p>
        </w:tc>
        <w:tc>
          <w:tcPr>
            <w:tcW w:w="1267" w:type="dxa"/>
            <w:shd w:val="clear" w:color="auto" w:fill="auto"/>
            <w:vAlign w:val="center"/>
          </w:tcPr>
          <w:p w14:paraId="21DF1C4B" w14:textId="77777777" w:rsidR="00921E18" w:rsidRPr="00D105C8" w:rsidRDefault="00921E18" w:rsidP="007510B2">
            <w:pPr>
              <w:jc w:val="center"/>
              <w:rPr>
                <w:sz w:val="21"/>
                <w:szCs w:val="21"/>
                <w:vertAlign w:val="superscript"/>
              </w:rPr>
            </w:pPr>
            <w:r w:rsidRPr="00D105C8">
              <w:rPr>
                <w:color w:val="000000"/>
                <w:sz w:val="21"/>
                <w:szCs w:val="21"/>
              </w:rPr>
              <w:t xml:space="preserve">5.70 </w:t>
            </w:r>
            <w:r w:rsidRPr="00D105C8">
              <w:rPr>
                <w:color w:val="202124"/>
                <w:sz w:val="21"/>
                <w:szCs w:val="21"/>
                <w:shd w:val="clear" w:color="auto" w:fill="FFFFFF"/>
              </w:rPr>
              <w:t>± 0.06</w:t>
            </w:r>
            <w:r w:rsidRPr="00D105C8">
              <w:rPr>
                <w:color w:val="202124"/>
                <w:sz w:val="21"/>
                <w:szCs w:val="21"/>
                <w:shd w:val="clear" w:color="auto" w:fill="FFFFFF"/>
                <w:vertAlign w:val="superscript"/>
              </w:rPr>
              <w:t>bc</w:t>
            </w:r>
          </w:p>
        </w:tc>
        <w:tc>
          <w:tcPr>
            <w:tcW w:w="1266" w:type="dxa"/>
            <w:shd w:val="clear" w:color="auto" w:fill="auto"/>
            <w:vAlign w:val="center"/>
          </w:tcPr>
          <w:p w14:paraId="074D27E4" w14:textId="77777777" w:rsidR="00921E18" w:rsidRPr="00D105C8" w:rsidRDefault="00921E18" w:rsidP="007510B2">
            <w:pPr>
              <w:jc w:val="center"/>
              <w:rPr>
                <w:sz w:val="21"/>
                <w:szCs w:val="21"/>
                <w:vertAlign w:val="superscript"/>
              </w:rPr>
            </w:pPr>
            <w:r w:rsidRPr="00D105C8">
              <w:rPr>
                <w:color w:val="000000"/>
                <w:sz w:val="21"/>
                <w:szCs w:val="21"/>
              </w:rPr>
              <w:t xml:space="preserve">5.10 </w:t>
            </w:r>
            <w:r w:rsidRPr="00D105C8">
              <w:rPr>
                <w:color w:val="202124"/>
                <w:sz w:val="21"/>
                <w:szCs w:val="21"/>
                <w:shd w:val="clear" w:color="auto" w:fill="FFFFFF"/>
              </w:rPr>
              <w:t>± 0.20</w:t>
            </w:r>
            <w:r w:rsidRPr="00D105C8">
              <w:rPr>
                <w:color w:val="202124"/>
                <w:sz w:val="21"/>
                <w:szCs w:val="21"/>
                <w:shd w:val="clear" w:color="auto" w:fill="FFFFFF"/>
                <w:vertAlign w:val="superscript"/>
              </w:rPr>
              <w:t>de</w:t>
            </w:r>
          </w:p>
        </w:tc>
        <w:tc>
          <w:tcPr>
            <w:tcW w:w="1266" w:type="dxa"/>
            <w:shd w:val="clear" w:color="auto" w:fill="auto"/>
            <w:vAlign w:val="center"/>
          </w:tcPr>
          <w:p w14:paraId="3600039C" w14:textId="77777777" w:rsidR="00921E18" w:rsidRPr="00D105C8" w:rsidRDefault="00921E18" w:rsidP="007510B2">
            <w:pPr>
              <w:jc w:val="center"/>
              <w:rPr>
                <w:sz w:val="21"/>
                <w:szCs w:val="21"/>
                <w:vertAlign w:val="superscript"/>
              </w:rPr>
            </w:pPr>
            <w:r w:rsidRPr="00D105C8">
              <w:rPr>
                <w:color w:val="000000"/>
                <w:sz w:val="21"/>
                <w:szCs w:val="21"/>
              </w:rPr>
              <w:t xml:space="preserve">5.70 </w:t>
            </w:r>
            <w:r w:rsidRPr="00D105C8">
              <w:rPr>
                <w:color w:val="202124"/>
                <w:sz w:val="21"/>
                <w:szCs w:val="21"/>
                <w:shd w:val="clear" w:color="auto" w:fill="FFFFFF"/>
              </w:rPr>
              <w:t>± 0.02</w:t>
            </w:r>
            <w:r w:rsidRPr="00D105C8">
              <w:rPr>
                <w:color w:val="202124"/>
                <w:sz w:val="21"/>
                <w:szCs w:val="21"/>
                <w:shd w:val="clear" w:color="auto" w:fill="FFFFFF"/>
                <w:vertAlign w:val="superscript"/>
              </w:rPr>
              <w:t>bc</w:t>
            </w:r>
          </w:p>
        </w:tc>
        <w:tc>
          <w:tcPr>
            <w:tcW w:w="1266" w:type="dxa"/>
            <w:shd w:val="clear" w:color="auto" w:fill="auto"/>
            <w:vAlign w:val="center"/>
          </w:tcPr>
          <w:p w14:paraId="399750D6" w14:textId="77777777" w:rsidR="00921E18" w:rsidRPr="00D105C8" w:rsidRDefault="00921E18" w:rsidP="007510B2">
            <w:pPr>
              <w:jc w:val="center"/>
              <w:rPr>
                <w:sz w:val="21"/>
                <w:szCs w:val="21"/>
                <w:vertAlign w:val="superscript"/>
              </w:rPr>
            </w:pPr>
            <w:r w:rsidRPr="00D105C8">
              <w:rPr>
                <w:color w:val="000000"/>
                <w:sz w:val="21"/>
                <w:szCs w:val="21"/>
              </w:rPr>
              <w:t xml:space="preserve">5.73 </w:t>
            </w:r>
            <w:r w:rsidRPr="00D105C8">
              <w:rPr>
                <w:color w:val="202124"/>
                <w:sz w:val="21"/>
                <w:szCs w:val="21"/>
                <w:shd w:val="clear" w:color="auto" w:fill="FFFFFF"/>
              </w:rPr>
              <w:t>± 0.02</w:t>
            </w:r>
            <w:r w:rsidRPr="00D105C8">
              <w:rPr>
                <w:color w:val="202124"/>
                <w:sz w:val="21"/>
                <w:szCs w:val="21"/>
                <w:shd w:val="clear" w:color="auto" w:fill="FFFFFF"/>
                <w:vertAlign w:val="superscript"/>
              </w:rPr>
              <w:t>abc</w:t>
            </w:r>
          </w:p>
        </w:tc>
        <w:tc>
          <w:tcPr>
            <w:tcW w:w="1267" w:type="dxa"/>
            <w:shd w:val="clear" w:color="auto" w:fill="auto"/>
            <w:vAlign w:val="center"/>
          </w:tcPr>
          <w:p w14:paraId="7D05016C" w14:textId="77777777" w:rsidR="00921E18" w:rsidRPr="00D105C8" w:rsidRDefault="00921E18" w:rsidP="007510B2">
            <w:pPr>
              <w:jc w:val="center"/>
              <w:rPr>
                <w:sz w:val="21"/>
                <w:szCs w:val="21"/>
                <w:vertAlign w:val="superscript"/>
              </w:rPr>
            </w:pPr>
            <w:r w:rsidRPr="00D105C8">
              <w:rPr>
                <w:color w:val="000000"/>
                <w:sz w:val="21"/>
                <w:szCs w:val="21"/>
              </w:rPr>
              <w:t xml:space="preserve">5.41 </w:t>
            </w:r>
            <w:r w:rsidRPr="00D105C8">
              <w:rPr>
                <w:color w:val="202124"/>
                <w:sz w:val="21"/>
                <w:szCs w:val="21"/>
                <w:shd w:val="clear" w:color="auto" w:fill="FFFFFF"/>
              </w:rPr>
              <w:t>± 0.04</w:t>
            </w:r>
            <w:r w:rsidRPr="00D105C8">
              <w:rPr>
                <w:color w:val="202124"/>
                <w:sz w:val="21"/>
                <w:szCs w:val="21"/>
                <w:shd w:val="clear" w:color="auto" w:fill="FFFFFF"/>
                <w:vertAlign w:val="superscript"/>
              </w:rPr>
              <w:t>cde</w:t>
            </w:r>
          </w:p>
        </w:tc>
        <w:tc>
          <w:tcPr>
            <w:tcW w:w="1266" w:type="dxa"/>
            <w:shd w:val="clear" w:color="auto" w:fill="auto"/>
            <w:vAlign w:val="center"/>
          </w:tcPr>
          <w:p w14:paraId="44148AB7" w14:textId="77777777" w:rsidR="00921E18" w:rsidRPr="00D105C8" w:rsidRDefault="00921E18" w:rsidP="007510B2">
            <w:pPr>
              <w:jc w:val="center"/>
              <w:rPr>
                <w:sz w:val="21"/>
                <w:szCs w:val="21"/>
                <w:vertAlign w:val="superscript"/>
              </w:rPr>
            </w:pPr>
            <w:r w:rsidRPr="00D105C8">
              <w:rPr>
                <w:color w:val="000000"/>
                <w:sz w:val="21"/>
                <w:szCs w:val="21"/>
              </w:rPr>
              <w:t xml:space="preserve">5.39 </w:t>
            </w:r>
            <w:r w:rsidRPr="00D105C8">
              <w:rPr>
                <w:color w:val="202124"/>
                <w:sz w:val="21"/>
                <w:szCs w:val="21"/>
                <w:shd w:val="clear" w:color="auto" w:fill="FFFFFF"/>
              </w:rPr>
              <w:t>± 0.01</w:t>
            </w:r>
            <w:r w:rsidRPr="00D105C8">
              <w:rPr>
                <w:color w:val="202124"/>
                <w:sz w:val="21"/>
                <w:szCs w:val="21"/>
                <w:shd w:val="clear" w:color="auto" w:fill="FFFFFF"/>
                <w:vertAlign w:val="superscript"/>
              </w:rPr>
              <w:t>cde</w:t>
            </w:r>
          </w:p>
        </w:tc>
        <w:tc>
          <w:tcPr>
            <w:tcW w:w="1266" w:type="dxa"/>
            <w:shd w:val="clear" w:color="auto" w:fill="auto"/>
            <w:vAlign w:val="center"/>
          </w:tcPr>
          <w:p w14:paraId="631A5955" w14:textId="77777777" w:rsidR="00921E18" w:rsidRPr="00D105C8" w:rsidRDefault="00921E18" w:rsidP="007510B2">
            <w:pPr>
              <w:jc w:val="center"/>
              <w:rPr>
                <w:sz w:val="21"/>
                <w:szCs w:val="21"/>
                <w:vertAlign w:val="superscript"/>
              </w:rPr>
            </w:pPr>
            <w:r w:rsidRPr="00D105C8">
              <w:rPr>
                <w:color w:val="000000"/>
                <w:sz w:val="21"/>
                <w:szCs w:val="21"/>
              </w:rPr>
              <w:t xml:space="preserve">5.44 </w:t>
            </w:r>
            <w:r w:rsidRPr="00D105C8">
              <w:rPr>
                <w:color w:val="202124"/>
                <w:sz w:val="21"/>
                <w:szCs w:val="21"/>
                <w:shd w:val="clear" w:color="auto" w:fill="FFFFFF"/>
              </w:rPr>
              <w:t>± 0.13</w:t>
            </w:r>
            <w:r w:rsidRPr="00D105C8">
              <w:rPr>
                <w:color w:val="202124"/>
                <w:sz w:val="21"/>
                <w:szCs w:val="21"/>
                <w:shd w:val="clear" w:color="auto" w:fill="FFFFFF"/>
                <w:vertAlign w:val="superscript"/>
              </w:rPr>
              <w:t>cd</w:t>
            </w:r>
          </w:p>
        </w:tc>
        <w:tc>
          <w:tcPr>
            <w:tcW w:w="1267" w:type="dxa"/>
            <w:shd w:val="clear" w:color="auto" w:fill="auto"/>
            <w:vAlign w:val="center"/>
          </w:tcPr>
          <w:p w14:paraId="04E1FD54" w14:textId="77777777" w:rsidR="00921E18" w:rsidRPr="00D105C8" w:rsidRDefault="00921E18" w:rsidP="007510B2">
            <w:pPr>
              <w:jc w:val="center"/>
              <w:rPr>
                <w:sz w:val="21"/>
                <w:szCs w:val="21"/>
                <w:vertAlign w:val="superscript"/>
              </w:rPr>
            </w:pPr>
            <w:r w:rsidRPr="00D105C8">
              <w:rPr>
                <w:color w:val="000000"/>
                <w:sz w:val="21"/>
                <w:szCs w:val="21"/>
              </w:rPr>
              <w:t xml:space="preserve">5.19 </w:t>
            </w:r>
            <w:r w:rsidRPr="00D105C8">
              <w:rPr>
                <w:color w:val="202124"/>
                <w:sz w:val="21"/>
                <w:szCs w:val="21"/>
                <w:shd w:val="clear" w:color="auto" w:fill="FFFFFF"/>
              </w:rPr>
              <w:t>± 0.01</w:t>
            </w:r>
            <w:r w:rsidRPr="00D105C8">
              <w:rPr>
                <w:color w:val="202124"/>
                <w:sz w:val="21"/>
                <w:szCs w:val="21"/>
                <w:shd w:val="clear" w:color="auto" w:fill="FFFFFF"/>
                <w:vertAlign w:val="superscript"/>
              </w:rPr>
              <w:t>de</w:t>
            </w:r>
          </w:p>
        </w:tc>
      </w:tr>
      <w:tr w:rsidR="00921E18" w14:paraId="0D35C4AC" w14:textId="77777777" w:rsidTr="00A3545D">
        <w:tc>
          <w:tcPr>
            <w:tcW w:w="2547" w:type="dxa"/>
          </w:tcPr>
          <w:p w14:paraId="2728ACA6" w14:textId="7DD02A8A" w:rsidR="00921E18" w:rsidRDefault="00921E18" w:rsidP="007510B2">
            <w:r w:rsidRPr="004D4122">
              <w:t>EC (</w:t>
            </w:r>
            <w:proofErr w:type="spellStart"/>
            <w:r w:rsidRPr="004D4122">
              <w:t>μS</w:t>
            </w:r>
            <w:proofErr w:type="spellEnd"/>
            <w:r w:rsidRPr="004D4122">
              <w:t xml:space="preserve"> cm</w:t>
            </w:r>
            <w:r w:rsidRPr="004D4122">
              <w:rPr>
                <w:vertAlign w:val="superscript"/>
              </w:rPr>
              <w:t>−1</w:t>
            </w:r>
            <w:r w:rsidRPr="004D4122">
              <w:t>)</w:t>
            </w:r>
          </w:p>
        </w:tc>
        <w:tc>
          <w:tcPr>
            <w:tcW w:w="1266" w:type="dxa"/>
            <w:shd w:val="clear" w:color="auto" w:fill="auto"/>
            <w:vAlign w:val="center"/>
          </w:tcPr>
          <w:p w14:paraId="5E7435D8" w14:textId="60715242" w:rsidR="00921E18" w:rsidRPr="00D105C8" w:rsidRDefault="00921E18" w:rsidP="007510B2">
            <w:pPr>
              <w:jc w:val="center"/>
              <w:rPr>
                <w:sz w:val="21"/>
                <w:szCs w:val="21"/>
                <w:vertAlign w:val="superscript"/>
              </w:rPr>
            </w:pPr>
            <w:r w:rsidRPr="00D105C8">
              <w:rPr>
                <w:color w:val="000000"/>
                <w:sz w:val="21"/>
                <w:szCs w:val="21"/>
              </w:rPr>
              <w:t>26</w:t>
            </w:r>
            <w:r w:rsidR="00091C54">
              <w:rPr>
                <w:color w:val="000000"/>
                <w:sz w:val="21"/>
                <w:szCs w:val="21"/>
              </w:rPr>
              <w:t>1</w:t>
            </w:r>
            <w:r w:rsidRPr="00D105C8">
              <w:rPr>
                <w:color w:val="000000"/>
                <w:sz w:val="21"/>
                <w:szCs w:val="21"/>
              </w:rPr>
              <w:t xml:space="preserve"> </w:t>
            </w:r>
            <w:r w:rsidRPr="00D105C8">
              <w:rPr>
                <w:color w:val="202124"/>
                <w:sz w:val="21"/>
                <w:szCs w:val="21"/>
                <w:shd w:val="clear" w:color="auto" w:fill="FFFFFF"/>
              </w:rPr>
              <w:t xml:space="preserve">± </w:t>
            </w:r>
            <w:r w:rsidR="003E1E39">
              <w:rPr>
                <w:color w:val="202124"/>
                <w:sz w:val="21"/>
                <w:szCs w:val="21"/>
                <w:shd w:val="clear" w:color="auto" w:fill="FFFFFF"/>
              </w:rPr>
              <w:t>7</w:t>
            </w:r>
            <w:r w:rsidRPr="00D105C8">
              <w:rPr>
                <w:color w:val="202124"/>
                <w:sz w:val="21"/>
                <w:szCs w:val="21"/>
                <w:shd w:val="clear" w:color="auto" w:fill="FFFFFF"/>
                <w:vertAlign w:val="superscript"/>
              </w:rPr>
              <w:t>ab</w:t>
            </w:r>
          </w:p>
        </w:tc>
        <w:tc>
          <w:tcPr>
            <w:tcW w:w="1266" w:type="dxa"/>
            <w:shd w:val="clear" w:color="auto" w:fill="auto"/>
            <w:vAlign w:val="center"/>
          </w:tcPr>
          <w:p w14:paraId="2B427BA2" w14:textId="65740C9D" w:rsidR="00921E18" w:rsidRPr="00D105C8" w:rsidRDefault="00921E18" w:rsidP="007510B2">
            <w:pPr>
              <w:jc w:val="center"/>
              <w:rPr>
                <w:sz w:val="21"/>
                <w:szCs w:val="21"/>
                <w:vertAlign w:val="superscript"/>
              </w:rPr>
            </w:pPr>
            <w:r w:rsidRPr="00D105C8">
              <w:rPr>
                <w:color w:val="000000"/>
                <w:sz w:val="21"/>
                <w:szCs w:val="21"/>
              </w:rPr>
              <w:t>21</w:t>
            </w:r>
            <w:r w:rsidR="003E1E39">
              <w:rPr>
                <w:color w:val="000000"/>
                <w:sz w:val="21"/>
                <w:szCs w:val="21"/>
              </w:rPr>
              <w:t>6</w:t>
            </w:r>
            <w:r w:rsidRPr="00D105C8">
              <w:rPr>
                <w:color w:val="000000"/>
                <w:sz w:val="21"/>
                <w:szCs w:val="21"/>
              </w:rPr>
              <w:t xml:space="preserve"> </w:t>
            </w:r>
            <w:r w:rsidRPr="00D105C8">
              <w:rPr>
                <w:color w:val="202124"/>
                <w:sz w:val="21"/>
                <w:szCs w:val="21"/>
                <w:shd w:val="clear" w:color="auto" w:fill="FFFFFF"/>
              </w:rPr>
              <w:t xml:space="preserve">± </w:t>
            </w:r>
            <w:r w:rsidR="003E1E39">
              <w:rPr>
                <w:color w:val="202124"/>
                <w:sz w:val="21"/>
                <w:szCs w:val="21"/>
                <w:shd w:val="clear" w:color="auto" w:fill="FFFFFF"/>
              </w:rPr>
              <w:t>7</w:t>
            </w:r>
            <w:r w:rsidRPr="00D105C8">
              <w:rPr>
                <w:color w:val="202124"/>
                <w:sz w:val="21"/>
                <w:szCs w:val="21"/>
                <w:shd w:val="clear" w:color="auto" w:fill="FFFFFF"/>
                <w:vertAlign w:val="superscript"/>
              </w:rPr>
              <w:t>abc</w:t>
            </w:r>
          </w:p>
        </w:tc>
        <w:tc>
          <w:tcPr>
            <w:tcW w:w="1266" w:type="dxa"/>
            <w:shd w:val="clear" w:color="auto" w:fill="auto"/>
            <w:vAlign w:val="center"/>
          </w:tcPr>
          <w:p w14:paraId="308DB95D" w14:textId="4AD6A8B7" w:rsidR="00921E18" w:rsidRPr="00D105C8" w:rsidRDefault="00921E18" w:rsidP="007510B2">
            <w:pPr>
              <w:jc w:val="center"/>
              <w:rPr>
                <w:sz w:val="21"/>
                <w:szCs w:val="21"/>
                <w:vertAlign w:val="superscript"/>
              </w:rPr>
            </w:pPr>
            <w:r w:rsidRPr="00D105C8">
              <w:rPr>
                <w:color w:val="000000"/>
                <w:sz w:val="21"/>
                <w:szCs w:val="21"/>
              </w:rPr>
              <w:t xml:space="preserve">144 </w:t>
            </w:r>
            <w:r w:rsidRPr="00D105C8">
              <w:rPr>
                <w:color w:val="202124"/>
                <w:sz w:val="21"/>
                <w:szCs w:val="21"/>
                <w:shd w:val="clear" w:color="auto" w:fill="FFFFFF"/>
              </w:rPr>
              <w:t>± 27</w:t>
            </w:r>
            <w:r w:rsidRPr="00D105C8">
              <w:rPr>
                <w:color w:val="202124"/>
                <w:sz w:val="21"/>
                <w:szCs w:val="21"/>
                <w:shd w:val="clear" w:color="auto" w:fill="FFFFFF"/>
                <w:vertAlign w:val="superscript"/>
              </w:rPr>
              <w:t>cde</w:t>
            </w:r>
          </w:p>
        </w:tc>
        <w:tc>
          <w:tcPr>
            <w:tcW w:w="1267" w:type="dxa"/>
            <w:shd w:val="clear" w:color="auto" w:fill="auto"/>
            <w:vAlign w:val="center"/>
          </w:tcPr>
          <w:p w14:paraId="480CF183" w14:textId="24566F3C" w:rsidR="00921E18" w:rsidRPr="00D105C8" w:rsidRDefault="00921E18" w:rsidP="007510B2">
            <w:pPr>
              <w:jc w:val="center"/>
              <w:rPr>
                <w:sz w:val="21"/>
                <w:szCs w:val="21"/>
                <w:vertAlign w:val="superscript"/>
              </w:rPr>
            </w:pPr>
            <w:r w:rsidRPr="00D105C8">
              <w:rPr>
                <w:color w:val="000000"/>
                <w:sz w:val="21"/>
                <w:szCs w:val="21"/>
              </w:rPr>
              <w:t>42</w:t>
            </w:r>
            <w:r w:rsidR="003E1E39">
              <w:rPr>
                <w:color w:val="000000"/>
                <w:sz w:val="21"/>
                <w:szCs w:val="21"/>
              </w:rPr>
              <w:t>8</w:t>
            </w:r>
            <w:r w:rsidRPr="00D105C8">
              <w:rPr>
                <w:color w:val="000000"/>
                <w:sz w:val="21"/>
                <w:szCs w:val="21"/>
              </w:rPr>
              <w:t xml:space="preserve"> </w:t>
            </w:r>
            <w:r w:rsidRPr="00D105C8">
              <w:rPr>
                <w:color w:val="202124"/>
                <w:sz w:val="21"/>
                <w:szCs w:val="21"/>
                <w:shd w:val="clear" w:color="auto" w:fill="FFFFFF"/>
              </w:rPr>
              <w:t>± 1</w:t>
            </w:r>
            <w:r w:rsidR="003E1E39">
              <w:rPr>
                <w:color w:val="202124"/>
                <w:sz w:val="21"/>
                <w:szCs w:val="21"/>
                <w:shd w:val="clear" w:color="auto" w:fill="FFFFFF"/>
              </w:rPr>
              <w:t>7</w:t>
            </w:r>
            <w:r w:rsidRPr="00D105C8">
              <w:rPr>
                <w:color w:val="202124"/>
                <w:sz w:val="21"/>
                <w:szCs w:val="21"/>
                <w:shd w:val="clear" w:color="auto" w:fill="FFFFFF"/>
                <w:vertAlign w:val="superscript"/>
              </w:rPr>
              <w:t>a</w:t>
            </w:r>
          </w:p>
        </w:tc>
        <w:tc>
          <w:tcPr>
            <w:tcW w:w="1266" w:type="dxa"/>
            <w:shd w:val="clear" w:color="auto" w:fill="auto"/>
            <w:vAlign w:val="center"/>
          </w:tcPr>
          <w:p w14:paraId="339A086E" w14:textId="25959545" w:rsidR="00921E18" w:rsidRPr="00D105C8" w:rsidRDefault="00921E18" w:rsidP="007510B2">
            <w:pPr>
              <w:jc w:val="center"/>
              <w:rPr>
                <w:sz w:val="21"/>
                <w:szCs w:val="21"/>
                <w:vertAlign w:val="superscript"/>
              </w:rPr>
            </w:pPr>
            <w:r w:rsidRPr="00D105C8">
              <w:rPr>
                <w:color w:val="000000"/>
                <w:sz w:val="21"/>
                <w:szCs w:val="21"/>
              </w:rPr>
              <w:t>5</w:t>
            </w:r>
            <w:r w:rsidR="003E1E39">
              <w:rPr>
                <w:color w:val="000000"/>
                <w:sz w:val="21"/>
                <w:szCs w:val="21"/>
              </w:rPr>
              <w:t>3</w:t>
            </w:r>
            <w:r w:rsidRPr="00D105C8">
              <w:rPr>
                <w:color w:val="000000"/>
                <w:sz w:val="21"/>
                <w:szCs w:val="21"/>
              </w:rPr>
              <w:t xml:space="preserve"> </w:t>
            </w:r>
            <w:r w:rsidRPr="00D105C8">
              <w:rPr>
                <w:color w:val="202124"/>
                <w:sz w:val="21"/>
                <w:szCs w:val="21"/>
                <w:shd w:val="clear" w:color="auto" w:fill="FFFFFF"/>
              </w:rPr>
              <w:t>± 4</w:t>
            </w:r>
            <w:r w:rsidRPr="00D105C8">
              <w:rPr>
                <w:color w:val="202124"/>
                <w:sz w:val="21"/>
                <w:szCs w:val="21"/>
                <w:shd w:val="clear" w:color="auto" w:fill="FFFFFF"/>
                <w:vertAlign w:val="superscript"/>
              </w:rPr>
              <w:t>f</w:t>
            </w:r>
          </w:p>
        </w:tc>
        <w:tc>
          <w:tcPr>
            <w:tcW w:w="1266" w:type="dxa"/>
            <w:shd w:val="clear" w:color="auto" w:fill="auto"/>
            <w:vAlign w:val="center"/>
          </w:tcPr>
          <w:p w14:paraId="374235A2" w14:textId="1DE8A7F1" w:rsidR="00921E18" w:rsidRPr="00D105C8" w:rsidRDefault="00921E18" w:rsidP="007510B2">
            <w:pPr>
              <w:jc w:val="center"/>
              <w:rPr>
                <w:sz w:val="21"/>
                <w:szCs w:val="21"/>
                <w:vertAlign w:val="superscript"/>
              </w:rPr>
            </w:pPr>
            <w:r w:rsidRPr="00D105C8">
              <w:rPr>
                <w:color w:val="000000"/>
                <w:sz w:val="21"/>
                <w:szCs w:val="21"/>
              </w:rPr>
              <w:t>5</w:t>
            </w:r>
            <w:r w:rsidR="003E1E39">
              <w:rPr>
                <w:color w:val="000000"/>
                <w:sz w:val="21"/>
                <w:szCs w:val="21"/>
              </w:rPr>
              <w:t>7</w:t>
            </w:r>
            <w:r w:rsidRPr="00D105C8">
              <w:rPr>
                <w:color w:val="000000"/>
                <w:sz w:val="21"/>
                <w:szCs w:val="21"/>
              </w:rPr>
              <w:t xml:space="preserve"> </w:t>
            </w:r>
            <w:r w:rsidRPr="00D105C8">
              <w:rPr>
                <w:color w:val="202124"/>
                <w:sz w:val="21"/>
                <w:szCs w:val="21"/>
                <w:shd w:val="clear" w:color="auto" w:fill="FFFFFF"/>
              </w:rPr>
              <w:t>± 4</w:t>
            </w:r>
            <w:r w:rsidRPr="00D105C8">
              <w:rPr>
                <w:color w:val="202124"/>
                <w:sz w:val="21"/>
                <w:szCs w:val="21"/>
                <w:shd w:val="clear" w:color="auto" w:fill="FFFFFF"/>
                <w:vertAlign w:val="superscript"/>
              </w:rPr>
              <w:t>f</w:t>
            </w:r>
          </w:p>
        </w:tc>
        <w:tc>
          <w:tcPr>
            <w:tcW w:w="1266" w:type="dxa"/>
            <w:shd w:val="clear" w:color="auto" w:fill="auto"/>
            <w:vAlign w:val="center"/>
          </w:tcPr>
          <w:p w14:paraId="0210613F" w14:textId="0EA2E833" w:rsidR="00921E18" w:rsidRPr="00D105C8" w:rsidRDefault="00921E18" w:rsidP="007510B2">
            <w:pPr>
              <w:jc w:val="center"/>
              <w:rPr>
                <w:sz w:val="21"/>
                <w:szCs w:val="21"/>
              </w:rPr>
            </w:pPr>
            <w:r w:rsidRPr="00D105C8">
              <w:rPr>
                <w:color w:val="000000"/>
                <w:sz w:val="21"/>
                <w:szCs w:val="21"/>
              </w:rPr>
              <w:t>18</w:t>
            </w:r>
            <w:r w:rsidR="003401C1">
              <w:rPr>
                <w:color w:val="000000"/>
                <w:sz w:val="21"/>
                <w:szCs w:val="21"/>
              </w:rPr>
              <w:t>4</w:t>
            </w:r>
            <w:r w:rsidRPr="00D105C8">
              <w:rPr>
                <w:color w:val="000000"/>
                <w:sz w:val="21"/>
                <w:szCs w:val="21"/>
              </w:rPr>
              <w:t xml:space="preserve"> </w:t>
            </w:r>
            <w:r w:rsidRPr="00D105C8">
              <w:rPr>
                <w:color w:val="202124"/>
                <w:sz w:val="21"/>
                <w:szCs w:val="21"/>
                <w:shd w:val="clear" w:color="auto" w:fill="FFFFFF"/>
              </w:rPr>
              <w:t xml:space="preserve">± </w:t>
            </w:r>
            <w:r w:rsidR="003401C1">
              <w:rPr>
                <w:color w:val="202124"/>
                <w:sz w:val="21"/>
                <w:szCs w:val="21"/>
                <w:shd w:val="clear" w:color="auto" w:fill="FFFFFF"/>
              </w:rPr>
              <w:t>6</w:t>
            </w:r>
            <w:r w:rsidRPr="00D105C8">
              <w:rPr>
                <w:color w:val="202124"/>
                <w:sz w:val="21"/>
                <w:szCs w:val="21"/>
                <w:shd w:val="clear" w:color="auto" w:fill="FFFFFF"/>
                <w:vertAlign w:val="superscript"/>
              </w:rPr>
              <w:t>cd</w:t>
            </w:r>
          </w:p>
        </w:tc>
        <w:tc>
          <w:tcPr>
            <w:tcW w:w="1267" w:type="dxa"/>
            <w:shd w:val="clear" w:color="auto" w:fill="auto"/>
            <w:vAlign w:val="center"/>
          </w:tcPr>
          <w:p w14:paraId="496F55C0" w14:textId="3CD398AC" w:rsidR="00921E18" w:rsidRPr="00D105C8" w:rsidRDefault="00921E18" w:rsidP="007510B2">
            <w:pPr>
              <w:jc w:val="center"/>
              <w:rPr>
                <w:sz w:val="21"/>
                <w:szCs w:val="21"/>
                <w:vertAlign w:val="superscript"/>
              </w:rPr>
            </w:pPr>
            <w:r w:rsidRPr="00D105C8">
              <w:rPr>
                <w:color w:val="000000"/>
                <w:sz w:val="21"/>
                <w:szCs w:val="21"/>
              </w:rPr>
              <w:t>21</w:t>
            </w:r>
            <w:r w:rsidR="003401C1">
              <w:rPr>
                <w:color w:val="000000"/>
                <w:sz w:val="21"/>
                <w:szCs w:val="21"/>
              </w:rPr>
              <w:t>1</w:t>
            </w:r>
            <w:r w:rsidRPr="00D105C8">
              <w:rPr>
                <w:color w:val="000000"/>
                <w:sz w:val="21"/>
                <w:szCs w:val="21"/>
              </w:rPr>
              <w:t xml:space="preserve"> </w:t>
            </w:r>
            <w:r w:rsidRPr="00D105C8">
              <w:rPr>
                <w:color w:val="202124"/>
                <w:sz w:val="21"/>
                <w:szCs w:val="21"/>
                <w:shd w:val="clear" w:color="auto" w:fill="FFFFFF"/>
              </w:rPr>
              <w:t>± 2</w:t>
            </w:r>
            <w:r w:rsidR="003401C1">
              <w:rPr>
                <w:color w:val="202124"/>
                <w:sz w:val="21"/>
                <w:szCs w:val="21"/>
                <w:shd w:val="clear" w:color="auto" w:fill="FFFFFF"/>
              </w:rPr>
              <w:t>7</w:t>
            </w:r>
            <w:r w:rsidRPr="00D105C8">
              <w:rPr>
                <w:color w:val="202124"/>
                <w:sz w:val="21"/>
                <w:szCs w:val="21"/>
                <w:shd w:val="clear" w:color="auto" w:fill="FFFFFF"/>
                <w:vertAlign w:val="superscript"/>
              </w:rPr>
              <w:t>bc</w:t>
            </w:r>
          </w:p>
        </w:tc>
        <w:tc>
          <w:tcPr>
            <w:tcW w:w="1266" w:type="dxa"/>
            <w:shd w:val="clear" w:color="auto" w:fill="auto"/>
            <w:vAlign w:val="center"/>
          </w:tcPr>
          <w:p w14:paraId="4F397281" w14:textId="2C9185E2" w:rsidR="00921E18" w:rsidRPr="00D105C8" w:rsidRDefault="00921E18" w:rsidP="007510B2">
            <w:pPr>
              <w:jc w:val="center"/>
              <w:rPr>
                <w:sz w:val="21"/>
                <w:szCs w:val="21"/>
                <w:vertAlign w:val="superscript"/>
              </w:rPr>
            </w:pPr>
            <w:r w:rsidRPr="00D105C8">
              <w:rPr>
                <w:color w:val="000000"/>
                <w:sz w:val="21"/>
                <w:szCs w:val="21"/>
              </w:rPr>
              <w:t>43</w:t>
            </w:r>
            <w:r w:rsidR="003401C1">
              <w:rPr>
                <w:color w:val="000000"/>
                <w:sz w:val="21"/>
                <w:szCs w:val="21"/>
              </w:rPr>
              <w:t>3</w:t>
            </w:r>
            <w:r w:rsidRPr="00D105C8">
              <w:rPr>
                <w:color w:val="000000"/>
                <w:sz w:val="21"/>
                <w:szCs w:val="21"/>
              </w:rPr>
              <w:t xml:space="preserve"> </w:t>
            </w:r>
            <w:r w:rsidRPr="00D105C8">
              <w:rPr>
                <w:color w:val="202124"/>
                <w:sz w:val="21"/>
                <w:szCs w:val="21"/>
                <w:shd w:val="clear" w:color="auto" w:fill="FFFFFF"/>
              </w:rPr>
              <w:t>± 2</w:t>
            </w:r>
            <w:r w:rsidR="003401C1">
              <w:rPr>
                <w:color w:val="202124"/>
                <w:sz w:val="21"/>
                <w:szCs w:val="21"/>
                <w:shd w:val="clear" w:color="auto" w:fill="FFFFFF"/>
              </w:rPr>
              <w:t>2</w:t>
            </w:r>
            <w:r w:rsidRPr="00D105C8">
              <w:rPr>
                <w:color w:val="202124"/>
                <w:sz w:val="21"/>
                <w:szCs w:val="21"/>
                <w:shd w:val="clear" w:color="auto" w:fill="FFFFFF"/>
                <w:vertAlign w:val="superscript"/>
              </w:rPr>
              <w:t>a</w:t>
            </w:r>
          </w:p>
        </w:tc>
        <w:tc>
          <w:tcPr>
            <w:tcW w:w="1266" w:type="dxa"/>
            <w:shd w:val="clear" w:color="auto" w:fill="auto"/>
            <w:vAlign w:val="center"/>
          </w:tcPr>
          <w:p w14:paraId="69EAA1D7" w14:textId="5837AB04" w:rsidR="00921E18" w:rsidRPr="00D105C8" w:rsidRDefault="00921E18" w:rsidP="007510B2">
            <w:pPr>
              <w:jc w:val="center"/>
              <w:rPr>
                <w:sz w:val="21"/>
                <w:szCs w:val="21"/>
                <w:vertAlign w:val="superscript"/>
              </w:rPr>
            </w:pPr>
            <w:r w:rsidRPr="00D105C8">
              <w:rPr>
                <w:color w:val="000000"/>
                <w:sz w:val="21"/>
                <w:szCs w:val="21"/>
              </w:rPr>
              <w:t xml:space="preserve">72 </w:t>
            </w:r>
            <w:r w:rsidRPr="00D105C8">
              <w:rPr>
                <w:color w:val="202124"/>
                <w:sz w:val="21"/>
                <w:szCs w:val="21"/>
                <w:shd w:val="clear" w:color="auto" w:fill="FFFFFF"/>
              </w:rPr>
              <w:t>± 0</w:t>
            </w:r>
            <w:r w:rsidRPr="00D105C8">
              <w:rPr>
                <w:color w:val="202124"/>
                <w:sz w:val="21"/>
                <w:szCs w:val="21"/>
                <w:shd w:val="clear" w:color="auto" w:fill="FFFFFF"/>
                <w:vertAlign w:val="superscript"/>
              </w:rPr>
              <w:t>ef</w:t>
            </w:r>
          </w:p>
        </w:tc>
        <w:tc>
          <w:tcPr>
            <w:tcW w:w="1266" w:type="dxa"/>
            <w:shd w:val="clear" w:color="auto" w:fill="auto"/>
            <w:vAlign w:val="center"/>
          </w:tcPr>
          <w:p w14:paraId="694FB348" w14:textId="4711270A" w:rsidR="00921E18" w:rsidRPr="00D105C8" w:rsidRDefault="00921E18" w:rsidP="007510B2">
            <w:pPr>
              <w:jc w:val="center"/>
              <w:rPr>
                <w:sz w:val="21"/>
                <w:szCs w:val="21"/>
                <w:vertAlign w:val="superscript"/>
              </w:rPr>
            </w:pPr>
            <w:r w:rsidRPr="00D105C8">
              <w:rPr>
                <w:color w:val="000000"/>
                <w:sz w:val="21"/>
                <w:szCs w:val="21"/>
              </w:rPr>
              <w:t>10</w:t>
            </w:r>
            <w:r w:rsidR="00036A32">
              <w:rPr>
                <w:color w:val="000000"/>
                <w:sz w:val="21"/>
                <w:szCs w:val="21"/>
              </w:rPr>
              <w:t>3</w:t>
            </w:r>
            <w:r w:rsidRPr="00D105C8">
              <w:rPr>
                <w:color w:val="000000"/>
                <w:sz w:val="21"/>
                <w:szCs w:val="21"/>
              </w:rPr>
              <w:t xml:space="preserve"> </w:t>
            </w:r>
            <w:r w:rsidRPr="00D105C8">
              <w:rPr>
                <w:color w:val="202124"/>
                <w:sz w:val="21"/>
                <w:szCs w:val="21"/>
                <w:shd w:val="clear" w:color="auto" w:fill="FFFFFF"/>
              </w:rPr>
              <w:t>± 2</w:t>
            </w:r>
            <w:r w:rsidRPr="00D105C8">
              <w:rPr>
                <w:color w:val="202124"/>
                <w:sz w:val="21"/>
                <w:szCs w:val="21"/>
                <w:shd w:val="clear" w:color="auto" w:fill="FFFFFF"/>
                <w:vertAlign w:val="superscript"/>
              </w:rPr>
              <w:t>def</w:t>
            </w:r>
          </w:p>
        </w:tc>
        <w:tc>
          <w:tcPr>
            <w:tcW w:w="1267" w:type="dxa"/>
            <w:shd w:val="clear" w:color="auto" w:fill="auto"/>
            <w:vAlign w:val="center"/>
          </w:tcPr>
          <w:p w14:paraId="319DCCDD" w14:textId="3DF77980" w:rsidR="00921E18" w:rsidRPr="00D105C8" w:rsidRDefault="00921E18" w:rsidP="007510B2">
            <w:pPr>
              <w:jc w:val="center"/>
              <w:rPr>
                <w:sz w:val="21"/>
                <w:szCs w:val="21"/>
                <w:vertAlign w:val="superscript"/>
              </w:rPr>
            </w:pPr>
            <w:r w:rsidRPr="00D105C8">
              <w:rPr>
                <w:color w:val="000000"/>
                <w:sz w:val="21"/>
                <w:szCs w:val="21"/>
              </w:rPr>
              <w:t>16</w:t>
            </w:r>
            <w:r w:rsidR="00036A32">
              <w:rPr>
                <w:color w:val="000000"/>
                <w:sz w:val="21"/>
                <w:szCs w:val="21"/>
              </w:rPr>
              <w:t>1</w:t>
            </w:r>
            <w:r w:rsidRPr="00D105C8">
              <w:rPr>
                <w:color w:val="000000"/>
                <w:sz w:val="21"/>
                <w:szCs w:val="21"/>
              </w:rPr>
              <w:t xml:space="preserve"> </w:t>
            </w:r>
            <w:r w:rsidRPr="00D105C8">
              <w:rPr>
                <w:color w:val="202124"/>
                <w:sz w:val="21"/>
                <w:szCs w:val="21"/>
                <w:shd w:val="clear" w:color="auto" w:fill="FFFFFF"/>
              </w:rPr>
              <w:t>± 18</w:t>
            </w:r>
            <w:r w:rsidRPr="00D105C8">
              <w:rPr>
                <w:color w:val="202124"/>
                <w:sz w:val="21"/>
                <w:szCs w:val="21"/>
                <w:shd w:val="clear" w:color="auto" w:fill="FFFFFF"/>
                <w:vertAlign w:val="superscript"/>
              </w:rPr>
              <w:t>cde</w:t>
            </w:r>
          </w:p>
        </w:tc>
        <w:tc>
          <w:tcPr>
            <w:tcW w:w="1266" w:type="dxa"/>
            <w:shd w:val="clear" w:color="auto" w:fill="auto"/>
            <w:vAlign w:val="center"/>
          </w:tcPr>
          <w:p w14:paraId="0DC90FDB" w14:textId="4C8A3794" w:rsidR="00921E18" w:rsidRPr="00D105C8" w:rsidRDefault="00921E18" w:rsidP="007510B2">
            <w:pPr>
              <w:jc w:val="center"/>
              <w:rPr>
                <w:sz w:val="21"/>
                <w:szCs w:val="21"/>
                <w:vertAlign w:val="superscript"/>
              </w:rPr>
            </w:pPr>
            <w:r w:rsidRPr="00D105C8">
              <w:rPr>
                <w:color w:val="000000"/>
                <w:sz w:val="21"/>
                <w:szCs w:val="21"/>
              </w:rPr>
              <w:t>17</w:t>
            </w:r>
            <w:r w:rsidR="00036A32">
              <w:rPr>
                <w:color w:val="000000"/>
                <w:sz w:val="21"/>
                <w:szCs w:val="21"/>
              </w:rPr>
              <w:t>9</w:t>
            </w:r>
            <w:r w:rsidRPr="00D105C8">
              <w:rPr>
                <w:color w:val="000000"/>
                <w:sz w:val="21"/>
                <w:szCs w:val="21"/>
              </w:rPr>
              <w:t xml:space="preserve"> </w:t>
            </w:r>
            <w:r w:rsidRPr="00D105C8">
              <w:rPr>
                <w:color w:val="202124"/>
                <w:sz w:val="21"/>
                <w:szCs w:val="21"/>
                <w:shd w:val="clear" w:color="auto" w:fill="FFFFFF"/>
              </w:rPr>
              <w:t>± 23</w:t>
            </w:r>
            <w:r w:rsidRPr="00D105C8">
              <w:rPr>
                <w:color w:val="202124"/>
                <w:sz w:val="21"/>
                <w:szCs w:val="21"/>
                <w:shd w:val="clear" w:color="auto" w:fill="FFFFFF"/>
                <w:vertAlign w:val="superscript"/>
              </w:rPr>
              <w:t>bcd</w:t>
            </w:r>
          </w:p>
        </w:tc>
        <w:tc>
          <w:tcPr>
            <w:tcW w:w="1266" w:type="dxa"/>
            <w:shd w:val="clear" w:color="auto" w:fill="auto"/>
            <w:vAlign w:val="center"/>
          </w:tcPr>
          <w:p w14:paraId="757208AA" w14:textId="7380E6C1" w:rsidR="00921E18" w:rsidRPr="00D105C8" w:rsidRDefault="00921E18" w:rsidP="007510B2">
            <w:pPr>
              <w:jc w:val="center"/>
              <w:rPr>
                <w:sz w:val="21"/>
                <w:szCs w:val="21"/>
                <w:vertAlign w:val="superscript"/>
              </w:rPr>
            </w:pPr>
            <w:r w:rsidRPr="00D105C8">
              <w:rPr>
                <w:color w:val="000000"/>
                <w:sz w:val="21"/>
                <w:szCs w:val="21"/>
              </w:rPr>
              <w:t xml:space="preserve">168 </w:t>
            </w:r>
            <w:r w:rsidRPr="00D105C8">
              <w:rPr>
                <w:color w:val="202124"/>
                <w:sz w:val="21"/>
                <w:szCs w:val="21"/>
                <w:shd w:val="clear" w:color="auto" w:fill="FFFFFF"/>
              </w:rPr>
              <w:t>± 15</w:t>
            </w:r>
            <w:r w:rsidRPr="00D105C8">
              <w:rPr>
                <w:color w:val="202124"/>
                <w:sz w:val="21"/>
                <w:szCs w:val="21"/>
                <w:shd w:val="clear" w:color="auto" w:fill="FFFFFF"/>
                <w:vertAlign w:val="superscript"/>
              </w:rPr>
              <w:t>cde</w:t>
            </w:r>
          </w:p>
        </w:tc>
        <w:tc>
          <w:tcPr>
            <w:tcW w:w="1267" w:type="dxa"/>
            <w:shd w:val="clear" w:color="auto" w:fill="auto"/>
            <w:vAlign w:val="center"/>
          </w:tcPr>
          <w:p w14:paraId="32C3663B" w14:textId="50D9000F" w:rsidR="00921E18" w:rsidRPr="00D105C8" w:rsidRDefault="00921E18" w:rsidP="007510B2">
            <w:pPr>
              <w:jc w:val="center"/>
              <w:rPr>
                <w:sz w:val="21"/>
                <w:szCs w:val="21"/>
                <w:vertAlign w:val="superscript"/>
              </w:rPr>
            </w:pPr>
            <w:r w:rsidRPr="00D105C8">
              <w:rPr>
                <w:color w:val="000000"/>
                <w:sz w:val="21"/>
                <w:szCs w:val="21"/>
              </w:rPr>
              <w:t>20</w:t>
            </w:r>
            <w:r w:rsidR="00036A32">
              <w:rPr>
                <w:color w:val="000000"/>
                <w:sz w:val="21"/>
                <w:szCs w:val="21"/>
              </w:rPr>
              <w:t>7</w:t>
            </w:r>
            <w:r w:rsidRPr="00D105C8">
              <w:rPr>
                <w:color w:val="000000"/>
                <w:sz w:val="21"/>
                <w:szCs w:val="21"/>
              </w:rPr>
              <w:t xml:space="preserve"> </w:t>
            </w:r>
            <w:r w:rsidRPr="00D105C8">
              <w:rPr>
                <w:color w:val="202124"/>
                <w:sz w:val="21"/>
                <w:szCs w:val="21"/>
                <w:shd w:val="clear" w:color="auto" w:fill="FFFFFF"/>
              </w:rPr>
              <w:t>± 3</w:t>
            </w:r>
            <w:r w:rsidRPr="00D105C8">
              <w:rPr>
                <w:color w:val="202124"/>
                <w:sz w:val="21"/>
                <w:szCs w:val="21"/>
                <w:shd w:val="clear" w:color="auto" w:fill="FFFFFF"/>
                <w:vertAlign w:val="superscript"/>
              </w:rPr>
              <w:t>bc</w:t>
            </w:r>
          </w:p>
        </w:tc>
      </w:tr>
      <w:tr w:rsidR="00921E18" w14:paraId="181B60F3" w14:textId="77777777" w:rsidTr="00A3545D">
        <w:tc>
          <w:tcPr>
            <w:tcW w:w="2547" w:type="dxa"/>
          </w:tcPr>
          <w:p w14:paraId="62C6A8CA" w14:textId="4249B440" w:rsidR="00921E18" w:rsidRDefault="00921E18" w:rsidP="007510B2">
            <w:r>
              <w:t>SOM (%)</w:t>
            </w:r>
          </w:p>
        </w:tc>
        <w:tc>
          <w:tcPr>
            <w:tcW w:w="1266" w:type="dxa"/>
            <w:shd w:val="clear" w:color="auto" w:fill="auto"/>
            <w:vAlign w:val="center"/>
          </w:tcPr>
          <w:p w14:paraId="7A4630F6" w14:textId="0D4EFD2C" w:rsidR="00921E18" w:rsidRPr="00D105C8" w:rsidRDefault="00921E18" w:rsidP="007510B2">
            <w:pPr>
              <w:jc w:val="center"/>
              <w:rPr>
                <w:sz w:val="21"/>
                <w:szCs w:val="21"/>
              </w:rPr>
            </w:pPr>
            <w:r w:rsidRPr="00D105C8">
              <w:rPr>
                <w:color w:val="000000"/>
                <w:sz w:val="21"/>
                <w:szCs w:val="21"/>
              </w:rPr>
              <w:t>7.</w:t>
            </w:r>
            <w:r w:rsidR="00036A32">
              <w:rPr>
                <w:color w:val="000000"/>
                <w:sz w:val="21"/>
                <w:szCs w:val="21"/>
              </w:rPr>
              <w:t>4</w:t>
            </w:r>
            <w:r w:rsidRPr="00D105C8">
              <w:rPr>
                <w:color w:val="000000"/>
                <w:sz w:val="21"/>
                <w:szCs w:val="21"/>
              </w:rPr>
              <w:t xml:space="preserve"> </w:t>
            </w:r>
            <w:r w:rsidRPr="00D105C8">
              <w:rPr>
                <w:color w:val="202124"/>
                <w:sz w:val="21"/>
                <w:szCs w:val="21"/>
                <w:shd w:val="clear" w:color="auto" w:fill="FFFFFF"/>
              </w:rPr>
              <w:t>± 0.</w:t>
            </w:r>
            <w:r w:rsidR="00A65301">
              <w:rPr>
                <w:color w:val="202124"/>
                <w:sz w:val="21"/>
                <w:szCs w:val="21"/>
                <w:shd w:val="clear" w:color="auto" w:fill="FFFFFF"/>
              </w:rPr>
              <w:t>2</w:t>
            </w:r>
          </w:p>
        </w:tc>
        <w:tc>
          <w:tcPr>
            <w:tcW w:w="1266" w:type="dxa"/>
            <w:shd w:val="clear" w:color="auto" w:fill="auto"/>
            <w:vAlign w:val="center"/>
          </w:tcPr>
          <w:p w14:paraId="71D13690" w14:textId="42978A6E" w:rsidR="00921E18" w:rsidRPr="00D105C8" w:rsidRDefault="00921E18" w:rsidP="007510B2">
            <w:pPr>
              <w:jc w:val="center"/>
              <w:rPr>
                <w:sz w:val="21"/>
                <w:szCs w:val="21"/>
              </w:rPr>
            </w:pPr>
            <w:r w:rsidRPr="00D105C8">
              <w:rPr>
                <w:color w:val="000000"/>
                <w:sz w:val="21"/>
                <w:szCs w:val="21"/>
              </w:rPr>
              <w:t xml:space="preserve">7.1 </w:t>
            </w:r>
            <w:r w:rsidRPr="00D105C8">
              <w:rPr>
                <w:color w:val="202124"/>
                <w:sz w:val="21"/>
                <w:szCs w:val="21"/>
                <w:shd w:val="clear" w:color="auto" w:fill="FFFFFF"/>
              </w:rPr>
              <w:t>± 0.1</w:t>
            </w:r>
          </w:p>
        </w:tc>
        <w:tc>
          <w:tcPr>
            <w:tcW w:w="1266" w:type="dxa"/>
            <w:shd w:val="clear" w:color="auto" w:fill="auto"/>
            <w:vAlign w:val="center"/>
          </w:tcPr>
          <w:p w14:paraId="0227336B" w14:textId="624CF9CD" w:rsidR="00921E18" w:rsidRPr="00D105C8" w:rsidRDefault="00921E18" w:rsidP="007510B2">
            <w:pPr>
              <w:jc w:val="center"/>
              <w:rPr>
                <w:sz w:val="21"/>
                <w:szCs w:val="21"/>
              </w:rPr>
            </w:pPr>
            <w:r w:rsidRPr="00D105C8">
              <w:rPr>
                <w:color w:val="000000"/>
                <w:sz w:val="21"/>
                <w:szCs w:val="21"/>
              </w:rPr>
              <w:t>7.2</w:t>
            </w:r>
            <w:r w:rsidR="00A65301">
              <w:rPr>
                <w:color w:val="000000"/>
                <w:sz w:val="21"/>
                <w:szCs w:val="21"/>
              </w:rPr>
              <w:t xml:space="preserve"> </w:t>
            </w:r>
            <w:r w:rsidRPr="00D105C8">
              <w:rPr>
                <w:color w:val="202124"/>
                <w:sz w:val="21"/>
                <w:szCs w:val="21"/>
                <w:shd w:val="clear" w:color="auto" w:fill="FFFFFF"/>
              </w:rPr>
              <w:t>± 0.</w:t>
            </w:r>
            <w:r w:rsidR="00A65301">
              <w:rPr>
                <w:color w:val="202124"/>
                <w:sz w:val="21"/>
                <w:szCs w:val="21"/>
                <w:shd w:val="clear" w:color="auto" w:fill="FFFFFF"/>
              </w:rPr>
              <w:t>1</w:t>
            </w:r>
          </w:p>
        </w:tc>
        <w:tc>
          <w:tcPr>
            <w:tcW w:w="1267" w:type="dxa"/>
            <w:shd w:val="clear" w:color="auto" w:fill="auto"/>
            <w:vAlign w:val="center"/>
          </w:tcPr>
          <w:p w14:paraId="34EC4226" w14:textId="47E8FEB7" w:rsidR="00921E18" w:rsidRPr="00D105C8" w:rsidRDefault="00921E18" w:rsidP="007510B2">
            <w:pPr>
              <w:jc w:val="center"/>
              <w:rPr>
                <w:sz w:val="21"/>
                <w:szCs w:val="21"/>
              </w:rPr>
            </w:pPr>
            <w:r w:rsidRPr="00D105C8">
              <w:rPr>
                <w:color w:val="000000"/>
                <w:sz w:val="21"/>
                <w:szCs w:val="21"/>
              </w:rPr>
              <w:t xml:space="preserve">7.7 </w:t>
            </w:r>
            <w:r w:rsidRPr="00D105C8">
              <w:rPr>
                <w:color w:val="202124"/>
                <w:sz w:val="21"/>
                <w:szCs w:val="21"/>
                <w:shd w:val="clear" w:color="auto" w:fill="FFFFFF"/>
              </w:rPr>
              <w:t>± 0.2</w:t>
            </w:r>
          </w:p>
        </w:tc>
        <w:tc>
          <w:tcPr>
            <w:tcW w:w="1266" w:type="dxa"/>
            <w:shd w:val="clear" w:color="auto" w:fill="auto"/>
            <w:vAlign w:val="center"/>
          </w:tcPr>
          <w:p w14:paraId="66B28113" w14:textId="7745F0AA" w:rsidR="00921E18" w:rsidRPr="00D105C8" w:rsidRDefault="00921E18" w:rsidP="007510B2">
            <w:pPr>
              <w:jc w:val="center"/>
              <w:rPr>
                <w:sz w:val="21"/>
                <w:szCs w:val="21"/>
              </w:rPr>
            </w:pPr>
            <w:r w:rsidRPr="00D105C8">
              <w:rPr>
                <w:color w:val="000000"/>
                <w:sz w:val="21"/>
                <w:szCs w:val="21"/>
              </w:rPr>
              <w:t xml:space="preserve">7.5 </w:t>
            </w:r>
            <w:r w:rsidRPr="00D105C8">
              <w:rPr>
                <w:color w:val="202124"/>
                <w:sz w:val="21"/>
                <w:szCs w:val="21"/>
                <w:shd w:val="clear" w:color="auto" w:fill="FFFFFF"/>
              </w:rPr>
              <w:t>± 0.</w:t>
            </w:r>
            <w:r w:rsidR="00A65301">
              <w:rPr>
                <w:color w:val="202124"/>
                <w:sz w:val="21"/>
                <w:szCs w:val="21"/>
                <w:shd w:val="clear" w:color="auto" w:fill="FFFFFF"/>
              </w:rPr>
              <w:t>1</w:t>
            </w:r>
          </w:p>
        </w:tc>
        <w:tc>
          <w:tcPr>
            <w:tcW w:w="1266" w:type="dxa"/>
            <w:shd w:val="clear" w:color="auto" w:fill="auto"/>
            <w:vAlign w:val="center"/>
          </w:tcPr>
          <w:p w14:paraId="690E9B81" w14:textId="669BA572" w:rsidR="00921E18" w:rsidRPr="00D105C8" w:rsidRDefault="00921E18" w:rsidP="007510B2">
            <w:pPr>
              <w:jc w:val="center"/>
              <w:rPr>
                <w:sz w:val="21"/>
                <w:szCs w:val="21"/>
              </w:rPr>
            </w:pPr>
            <w:r w:rsidRPr="00D105C8">
              <w:rPr>
                <w:color w:val="000000"/>
                <w:sz w:val="21"/>
                <w:szCs w:val="21"/>
              </w:rPr>
              <w:t>7.</w:t>
            </w:r>
            <w:r w:rsidR="00A65301">
              <w:rPr>
                <w:color w:val="000000"/>
                <w:sz w:val="21"/>
                <w:szCs w:val="21"/>
              </w:rPr>
              <w:t>7</w:t>
            </w:r>
            <w:r w:rsidRPr="00D105C8">
              <w:rPr>
                <w:color w:val="000000"/>
                <w:sz w:val="21"/>
                <w:szCs w:val="21"/>
              </w:rPr>
              <w:t xml:space="preserve"> </w:t>
            </w:r>
            <w:r w:rsidRPr="00D105C8">
              <w:rPr>
                <w:color w:val="202124"/>
                <w:sz w:val="21"/>
                <w:szCs w:val="21"/>
                <w:shd w:val="clear" w:color="auto" w:fill="FFFFFF"/>
              </w:rPr>
              <w:t>± 0.</w:t>
            </w:r>
            <w:r w:rsidR="00A65301">
              <w:rPr>
                <w:color w:val="202124"/>
                <w:sz w:val="21"/>
                <w:szCs w:val="21"/>
                <w:shd w:val="clear" w:color="auto" w:fill="FFFFFF"/>
              </w:rPr>
              <w:t>1</w:t>
            </w:r>
          </w:p>
        </w:tc>
        <w:tc>
          <w:tcPr>
            <w:tcW w:w="1266" w:type="dxa"/>
            <w:shd w:val="clear" w:color="auto" w:fill="auto"/>
            <w:vAlign w:val="center"/>
          </w:tcPr>
          <w:p w14:paraId="70708963" w14:textId="2EA9724A" w:rsidR="00921E18" w:rsidRPr="00D105C8" w:rsidRDefault="00921E18" w:rsidP="007510B2">
            <w:pPr>
              <w:jc w:val="center"/>
              <w:rPr>
                <w:sz w:val="21"/>
                <w:szCs w:val="21"/>
                <w:vertAlign w:val="superscript"/>
              </w:rPr>
            </w:pPr>
            <w:r w:rsidRPr="00D105C8">
              <w:rPr>
                <w:color w:val="000000"/>
                <w:sz w:val="21"/>
                <w:szCs w:val="21"/>
              </w:rPr>
              <w:t xml:space="preserve">8.1 </w:t>
            </w:r>
            <w:r w:rsidRPr="00D105C8">
              <w:rPr>
                <w:color w:val="202124"/>
                <w:sz w:val="21"/>
                <w:szCs w:val="21"/>
                <w:shd w:val="clear" w:color="auto" w:fill="FFFFFF"/>
              </w:rPr>
              <w:t>± 0.6</w:t>
            </w:r>
          </w:p>
        </w:tc>
        <w:tc>
          <w:tcPr>
            <w:tcW w:w="1267" w:type="dxa"/>
            <w:shd w:val="clear" w:color="auto" w:fill="auto"/>
            <w:vAlign w:val="center"/>
          </w:tcPr>
          <w:p w14:paraId="28539FE4" w14:textId="0783ED3F" w:rsidR="00921E18" w:rsidRPr="00D105C8" w:rsidRDefault="00921E18" w:rsidP="007510B2">
            <w:pPr>
              <w:jc w:val="center"/>
              <w:rPr>
                <w:sz w:val="21"/>
                <w:szCs w:val="21"/>
              </w:rPr>
            </w:pPr>
            <w:r w:rsidRPr="00D105C8">
              <w:rPr>
                <w:color w:val="000000"/>
                <w:sz w:val="21"/>
                <w:szCs w:val="21"/>
              </w:rPr>
              <w:t xml:space="preserve">7.5 </w:t>
            </w:r>
            <w:r w:rsidRPr="00D105C8">
              <w:rPr>
                <w:color w:val="202124"/>
                <w:sz w:val="21"/>
                <w:szCs w:val="21"/>
                <w:shd w:val="clear" w:color="auto" w:fill="FFFFFF"/>
              </w:rPr>
              <w:t>± 0.</w:t>
            </w:r>
            <w:r w:rsidR="00A65301">
              <w:rPr>
                <w:color w:val="202124"/>
                <w:sz w:val="21"/>
                <w:szCs w:val="21"/>
                <w:shd w:val="clear" w:color="auto" w:fill="FFFFFF"/>
              </w:rPr>
              <w:t>2</w:t>
            </w:r>
          </w:p>
        </w:tc>
        <w:tc>
          <w:tcPr>
            <w:tcW w:w="1266" w:type="dxa"/>
            <w:shd w:val="clear" w:color="auto" w:fill="auto"/>
            <w:vAlign w:val="center"/>
          </w:tcPr>
          <w:p w14:paraId="2B29AA4C" w14:textId="6531A739" w:rsidR="00921E18" w:rsidRPr="00D105C8" w:rsidRDefault="00921E18" w:rsidP="007510B2">
            <w:pPr>
              <w:jc w:val="center"/>
              <w:rPr>
                <w:sz w:val="21"/>
                <w:szCs w:val="21"/>
              </w:rPr>
            </w:pPr>
            <w:r w:rsidRPr="00D105C8">
              <w:rPr>
                <w:color w:val="000000"/>
                <w:sz w:val="21"/>
                <w:szCs w:val="21"/>
              </w:rPr>
              <w:t>7.</w:t>
            </w:r>
            <w:r w:rsidR="00A65301">
              <w:rPr>
                <w:color w:val="000000"/>
                <w:sz w:val="21"/>
                <w:szCs w:val="21"/>
              </w:rPr>
              <w:t>6</w:t>
            </w:r>
            <w:r w:rsidRPr="00D105C8">
              <w:rPr>
                <w:color w:val="000000"/>
                <w:sz w:val="21"/>
                <w:szCs w:val="21"/>
              </w:rPr>
              <w:t xml:space="preserve"> </w:t>
            </w:r>
            <w:r w:rsidRPr="00D105C8">
              <w:rPr>
                <w:color w:val="202124"/>
                <w:sz w:val="21"/>
                <w:szCs w:val="21"/>
                <w:shd w:val="clear" w:color="auto" w:fill="FFFFFF"/>
              </w:rPr>
              <w:t>± 0.</w:t>
            </w:r>
            <w:r w:rsidR="00A65301">
              <w:rPr>
                <w:color w:val="202124"/>
                <w:sz w:val="21"/>
                <w:szCs w:val="21"/>
                <w:shd w:val="clear" w:color="auto" w:fill="FFFFFF"/>
              </w:rPr>
              <w:t>1</w:t>
            </w:r>
          </w:p>
        </w:tc>
        <w:tc>
          <w:tcPr>
            <w:tcW w:w="1266" w:type="dxa"/>
            <w:shd w:val="clear" w:color="auto" w:fill="auto"/>
            <w:vAlign w:val="center"/>
          </w:tcPr>
          <w:p w14:paraId="7876EF7C" w14:textId="78494E8E" w:rsidR="00921E18" w:rsidRPr="00D105C8" w:rsidRDefault="00921E18" w:rsidP="007510B2">
            <w:pPr>
              <w:jc w:val="center"/>
              <w:rPr>
                <w:sz w:val="21"/>
                <w:szCs w:val="21"/>
              </w:rPr>
            </w:pPr>
            <w:r w:rsidRPr="00D105C8">
              <w:rPr>
                <w:color w:val="000000"/>
                <w:sz w:val="21"/>
                <w:szCs w:val="21"/>
              </w:rPr>
              <w:t xml:space="preserve">7.5 </w:t>
            </w:r>
            <w:r w:rsidRPr="00D105C8">
              <w:rPr>
                <w:color w:val="202124"/>
                <w:sz w:val="21"/>
                <w:szCs w:val="21"/>
                <w:shd w:val="clear" w:color="auto" w:fill="FFFFFF"/>
              </w:rPr>
              <w:t>± 0.2</w:t>
            </w:r>
          </w:p>
        </w:tc>
        <w:tc>
          <w:tcPr>
            <w:tcW w:w="1266" w:type="dxa"/>
            <w:shd w:val="clear" w:color="auto" w:fill="auto"/>
            <w:vAlign w:val="center"/>
          </w:tcPr>
          <w:p w14:paraId="05CE6C00" w14:textId="76F61F21" w:rsidR="00921E18" w:rsidRPr="00D105C8" w:rsidRDefault="00921E18" w:rsidP="007510B2">
            <w:pPr>
              <w:jc w:val="center"/>
              <w:rPr>
                <w:sz w:val="21"/>
                <w:szCs w:val="21"/>
              </w:rPr>
            </w:pPr>
            <w:r w:rsidRPr="00D105C8">
              <w:rPr>
                <w:color w:val="000000"/>
                <w:sz w:val="21"/>
                <w:szCs w:val="21"/>
              </w:rPr>
              <w:t xml:space="preserve">7.6 </w:t>
            </w:r>
            <w:r w:rsidRPr="00D105C8">
              <w:rPr>
                <w:color w:val="202124"/>
                <w:sz w:val="21"/>
                <w:szCs w:val="21"/>
                <w:shd w:val="clear" w:color="auto" w:fill="FFFFFF"/>
              </w:rPr>
              <w:t>± 0.</w:t>
            </w:r>
            <w:r w:rsidR="00A65301">
              <w:rPr>
                <w:color w:val="202124"/>
                <w:sz w:val="21"/>
                <w:szCs w:val="21"/>
                <w:shd w:val="clear" w:color="auto" w:fill="FFFFFF"/>
              </w:rPr>
              <w:t>1</w:t>
            </w:r>
          </w:p>
        </w:tc>
        <w:tc>
          <w:tcPr>
            <w:tcW w:w="1267" w:type="dxa"/>
            <w:shd w:val="clear" w:color="auto" w:fill="auto"/>
            <w:vAlign w:val="center"/>
          </w:tcPr>
          <w:p w14:paraId="5B11EA87" w14:textId="77090B84" w:rsidR="00921E18" w:rsidRPr="00D105C8" w:rsidRDefault="00921E18" w:rsidP="007510B2">
            <w:pPr>
              <w:jc w:val="center"/>
              <w:rPr>
                <w:sz w:val="21"/>
                <w:szCs w:val="21"/>
              </w:rPr>
            </w:pPr>
            <w:r w:rsidRPr="00D105C8">
              <w:rPr>
                <w:color w:val="000000"/>
                <w:sz w:val="21"/>
                <w:szCs w:val="21"/>
              </w:rPr>
              <w:t xml:space="preserve">7.8 </w:t>
            </w:r>
            <w:r w:rsidRPr="00D105C8">
              <w:rPr>
                <w:color w:val="202124"/>
                <w:sz w:val="21"/>
                <w:szCs w:val="21"/>
                <w:shd w:val="clear" w:color="auto" w:fill="FFFFFF"/>
              </w:rPr>
              <w:t>± 0.</w:t>
            </w:r>
            <w:r w:rsidR="00A65301">
              <w:rPr>
                <w:color w:val="202124"/>
                <w:sz w:val="21"/>
                <w:szCs w:val="21"/>
                <w:shd w:val="clear" w:color="auto" w:fill="FFFFFF"/>
              </w:rPr>
              <w:t>4</w:t>
            </w:r>
          </w:p>
        </w:tc>
        <w:tc>
          <w:tcPr>
            <w:tcW w:w="1266" w:type="dxa"/>
            <w:shd w:val="clear" w:color="auto" w:fill="auto"/>
            <w:vAlign w:val="center"/>
          </w:tcPr>
          <w:p w14:paraId="595F3587" w14:textId="0B1C4760" w:rsidR="00921E18" w:rsidRPr="00D105C8" w:rsidRDefault="00921E18" w:rsidP="007510B2">
            <w:pPr>
              <w:jc w:val="center"/>
              <w:rPr>
                <w:sz w:val="21"/>
                <w:szCs w:val="21"/>
              </w:rPr>
            </w:pPr>
            <w:r w:rsidRPr="00D105C8">
              <w:rPr>
                <w:color w:val="000000"/>
                <w:sz w:val="21"/>
                <w:szCs w:val="21"/>
              </w:rPr>
              <w:t xml:space="preserve">7.3 </w:t>
            </w:r>
            <w:r w:rsidRPr="00D105C8">
              <w:rPr>
                <w:color w:val="202124"/>
                <w:sz w:val="21"/>
                <w:szCs w:val="21"/>
                <w:shd w:val="clear" w:color="auto" w:fill="FFFFFF"/>
              </w:rPr>
              <w:t>± 0.</w:t>
            </w:r>
            <w:r w:rsidR="00A65301">
              <w:rPr>
                <w:color w:val="202124"/>
                <w:sz w:val="21"/>
                <w:szCs w:val="21"/>
                <w:shd w:val="clear" w:color="auto" w:fill="FFFFFF"/>
              </w:rPr>
              <w:t>2</w:t>
            </w:r>
          </w:p>
        </w:tc>
        <w:tc>
          <w:tcPr>
            <w:tcW w:w="1266" w:type="dxa"/>
            <w:shd w:val="clear" w:color="auto" w:fill="auto"/>
            <w:vAlign w:val="center"/>
          </w:tcPr>
          <w:p w14:paraId="349558E1" w14:textId="2E9D7763" w:rsidR="00921E18" w:rsidRPr="00D105C8" w:rsidRDefault="00921E18" w:rsidP="007510B2">
            <w:pPr>
              <w:jc w:val="center"/>
              <w:rPr>
                <w:sz w:val="21"/>
                <w:szCs w:val="21"/>
              </w:rPr>
            </w:pPr>
            <w:r w:rsidRPr="00D105C8">
              <w:rPr>
                <w:color w:val="000000"/>
                <w:sz w:val="21"/>
                <w:szCs w:val="21"/>
              </w:rPr>
              <w:t>7.</w:t>
            </w:r>
            <w:r w:rsidR="00A65301">
              <w:rPr>
                <w:color w:val="000000"/>
                <w:sz w:val="21"/>
                <w:szCs w:val="21"/>
              </w:rPr>
              <w:t>9</w:t>
            </w:r>
            <w:r w:rsidRPr="00D105C8">
              <w:rPr>
                <w:color w:val="000000"/>
                <w:sz w:val="21"/>
                <w:szCs w:val="21"/>
              </w:rPr>
              <w:t xml:space="preserve"> </w:t>
            </w:r>
            <w:r w:rsidRPr="00D105C8">
              <w:rPr>
                <w:color w:val="202124"/>
                <w:sz w:val="21"/>
                <w:szCs w:val="21"/>
                <w:shd w:val="clear" w:color="auto" w:fill="FFFFFF"/>
              </w:rPr>
              <w:t>± 0.2</w:t>
            </w:r>
          </w:p>
        </w:tc>
        <w:tc>
          <w:tcPr>
            <w:tcW w:w="1267" w:type="dxa"/>
            <w:shd w:val="clear" w:color="auto" w:fill="auto"/>
            <w:vAlign w:val="center"/>
          </w:tcPr>
          <w:p w14:paraId="607F8B99" w14:textId="3A0E7C65" w:rsidR="00921E18" w:rsidRPr="00D105C8" w:rsidRDefault="00921E18" w:rsidP="007510B2">
            <w:pPr>
              <w:jc w:val="center"/>
              <w:rPr>
                <w:sz w:val="21"/>
                <w:szCs w:val="21"/>
              </w:rPr>
            </w:pPr>
            <w:r w:rsidRPr="00D105C8">
              <w:rPr>
                <w:color w:val="000000"/>
                <w:sz w:val="21"/>
                <w:szCs w:val="21"/>
              </w:rPr>
              <w:t>7.</w:t>
            </w:r>
            <w:r w:rsidR="00A65301">
              <w:rPr>
                <w:color w:val="000000"/>
                <w:sz w:val="21"/>
                <w:szCs w:val="21"/>
              </w:rPr>
              <w:t>7</w:t>
            </w:r>
            <w:r w:rsidRPr="00D105C8">
              <w:rPr>
                <w:color w:val="000000"/>
                <w:sz w:val="21"/>
                <w:szCs w:val="21"/>
              </w:rPr>
              <w:t xml:space="preserve"> </w:t>
            </w:r>
            <w:r w:rsidRPr="00D105C8">
              <w:rPr>
                <w:color w:val="202124"/>
                <w:sz w:val="21"/>
                <w:szCs w:val="21"/>
                <w:shd w:val="clear" w:color="auto" w:fill="FFFFFF"/>
              </w:rPr>
              <w:t>± 0.</w:t>
            </w:r>
            <w:r w:rsidR="00A65301">
              <w:rPr>
                <w:color w:val="202124"/>
                <w:sz w:val="21"/>
                <w:szCs w:val="21"/>
                <w:shd w:val="clear" w:color="auto" w:fill="FFFFFF"/>
              </w:rPr>
              <w:t>1</w:t>
            </w:r>
          </w:p>
        </w:tc>
      </w:tr>
      <w:tr w:rsidR="00921E18" w14:paraId="288DA141" w14:textId="77777777" w:rsidTr="00A3545D">
        <w:tc>
          <w:tcPr>
            <w:tcW w:w="2547" w:type="dxa"/>
          </w:tcPr>
          <w:p w14:paraId="6D63011F" w14:textId="07DC8F3F" w:rsidR="00921E18" w:rsidRDefault="00921E18" w:rsidP="007510B2">
            <w:r w:rsidRPr="006270E7">
              <w:t>Extractable NH</w:t>
            </w:r>
            <w:r w:rsidRPr="006270E7">
              <w:rPr>
                <w:vertAlign w:val="subscript"/>
              </w:rPr>
              <w:t>4</w:t>
            </w:r>
            <w:r w:rsidRPr="006270E7">
              <w:rPr>
                <w:vertAlign w:val="superscript"/>
              </w:rPr>
              <w:t>+</w:t>
            </w:r>
            <w:r w:rsidRPr="006270E7">
              <w:t xml:space="preserve"> (mg N kg</w:t>
            </w:r>
            <w:r w:rsidRPr="006270E7">
              <w:rPr>
                <w:vertAlign w:val="superscript"/>
              </w:rPr>
              <w:t>−1</w:t>
            </w:r>
            <w:r w:rsidRPr="006270E7">
              <w:t>)</w:t>
            </w:r>
          </w:p>
        </w:tc>
        <w:tc>
          <w:tcPr>
            <w:tcW w:w="1266" w:type="dxa"/>
            <w:shd w:val="clear" w:color="auto" w:fill="auto"/>
            <w:vAlign w:val="center"/>
          </w:tcPr>
          <w:p w14:paraId="0A2F00F8" w14:textId="11C2042C" w:rsidR="00921E18" w:rsidRPr="00D105C8" w:rsidRDefault="00921E18" w:rsidP="007510B2">
            <w:pPr>
              <w:jc w:val="center"/>
              <w:rPr>
                <w:sz w:val="21"/>
                <w:szCs w:val="21"/>
                <w:vertAlign w:val="superscript"/>
              </w:rPr>
            </w:pPr>
            <w:r w:rsidRPr="00D105C8">
              <w:rPr>
                <w:color w:val="000000"/>
                <w:sz w:val="21"/>
                <w:szCs w:val="21"/>
              </w:rPr>
              <w:t>0.</w:t>
            </w:r>
            <w:r w:rsidR="00EA2DB4">
              <w:rPr>
                <w:color w:val="000000"/>
                <w:sz w:val="21"/>
                <w:szCs w:val="21"/>
              </w:rPr>
              <w:t>4</w:t>
            </w:r>
            <w:r w:rsidRPr="00D105C8">
              <w:rPr>
                <w:color w:val="000000"/>
                <w:sz w:val="21"/>
                <w:szCs w:val="21"/>
              </w:rPr>
              <w:t xml:space="preserve"> </w:t>
            </w:r>
            <w:r w:rsidRPr="00D105C8">
              <w:rPr>
                <w:color w:val="202124"/>
                <w:sz w:val="21"/>
                <w:szCs w:val="21"/>
                <w:shd w:val="clear" w:color="auto" w:fill="FFFFFF"/>
              </w:rPr>
              <w:t>± 0.</w:t>
            </w:r>
            <w:r w:rsidR="00EA2DB4">
              <w:rPr>
                <w:color w:val="202124"/>
                <w:sz w:val="21"/>
                <w:szCs w:val="21"/>
                <w:shd w:val="clear" w:color="auto" w:fill="FFFFFF"/>
              </w:rPr>
              <w:t>1</w:t>
            </w:r>
            <w:r w:rsidRPr="00D105C8">
              <w:rPr>
                <w:color w:val="202124"/>
                <w:sz w:val="21"/>
                <w:szCs w:val="21"/>
                <w:shd w:val="clear" w:color="auto" w:fill="FFFFFF"/>
                <w:vertAlign w:val="superscript"/>
              </w:rPr>
              <w:t>cd</w:t>
            </w:r>
          </w:p>
        </w:tc>
        <w:tc>
          <w:tcPr>
            <w:tcW w:w="1266" w:type="dxa"/>
            <w:shd w:val="clear" w:color="auto" w:fill="auto"/>
            <w:vAlign w:val="center"/>
          </w:tcPr>
          <w:p w14:paraId="4844E390" w14:textId="6C82152D" w:rsidR="00921E18" w:rsidRPr="00D105C8" w:rsidRDefault="00921E18" w:rsidP="007510B2">
            <w:pPr>
              <w:jc w:val="center"/>
              <w:rPr>
                <w:sz w:val="21"/>
                <w:szCs w:val="21"/>
                <w:vertAlign w:val="superscript"/>
              </w:rPr>
            </w:pPr>
            <w:r w:rsidRPr="00D105C8">
              <w:rPr>
                <w:color w:val="000000"/>
                <w:sz w:val="21"/>
                <w:szCs w:val="21"/>
              </w:rPr>
              <w:t>0.</w:t>
            </w:r>
            <w:r w:rsidR="00EA2DB4">
              <w:rPr>
                <w:color w:val="000000"/>
                <w:sz w:val="21"/>
                <w:szCs w:val="21"/>
              </w:rPr>
              <w:t>5</w:t>
            </w:r>
            <w:r w:rsidRPr="00D105C8">
              <w:rPr>
                <w:color w:val="000000"/>
                <w:sz w:val="21"/>
                <w:szCs w:val="21"/>
              </w:rPr>
              <w:t xml:space="preserve"> </w:t>
            </w:r>
            <w:r w:rsidRPr="00D105C8">
              <w:rPr>
                <w:color w:val="202124"/>
                <w:sz w:val="21"/>
                <w:szCs w:val="21"/>
                <w:shd w:val="clear" w:color="auto" w:fill="FFFFFF"/>
              </w:rPr>
              <w:t>± 0.</w:t>
            </w:r>
            <w:r w:rsidR="00EA2DB4">
              <w:rPr>
                <w:color w:val="202124"/>
                <w:sz w:val="21"/>
                <w:szCs w:val="21"/>
                <w:shd w:val="clear" w:color="auto" w:fill="FFFFFF"/>
              </w:rPr>
              <w:t>1</w:t>
            </w:r>
            <w:r w:rsidRPr="00D105C8">
              <w:rPr>
                <w:color w:val="202124"/>
                <w:sz w:val="21"/>
                <w:szCs w:val="21"/>
                <w:shd w:val="clear" w:color="auto" w:fill="FFFFFF"/>
                <w:vertAlign w:val="superscript"/>
              </w:rPr>
              <w:t>cd</w:t>
            </w:r>
          </w:p>
        </w:tc>
        <w:tc>
          <w:tcPr>
            <w:tcW w:w="1266" w:type="dxa"/>
            <w:shd w:val="clear" w:color="auto" w:fill="auto"/>
            <w:vAlign w:val="center"/>
          </w:tcPr>
          <w:p w14:paraId="15DAF15E" w14:textId="2157185E" w:rsidR="00921E18" w:rsidRPr="00D105C8" w:rsidRDefault="00921E18" w:rsidP="007510B2">
            <w:pPr>
              <w:jc w:val="center"/>
              <w:rPr>
                <w:sz w:val="21"/>
                <w:szCs w:val="21"/>
                <w:vertAlign w:val="superscript"/>
              </w:rPr>
            </w:pPr>
            <w:r w:rsidRPr="00D105C8">
              <w:rPr>
                <w:color w:val="000000"/>
                <w:sz w:val="21"/>
                <w:szCs w:val="21"/>
              </w:rPr>
              <w:t>19.</w:t>
            </w:r>
            <w:r w:rsidR="00EA2DB4">
              <w:rPr>
                <w:color w:val="000000"/>
                <w:sz w:val="21"/>
                <w:szCs w:val="21"/>
              </w:rPr>
              <w:t>3</w:t>
            </w:r>
            <w:r w:rsidRPr="00D105C8">
              <w:rPr>
                <w:color w:val="000000"/>
                <w:sz w:val="21"/>
                <w:szCs w:val="21"/>
              </w:rPr>
              <w:t xml:space="preserve"> </w:t>
            </w:r>
            <w:r w:rsidRPr="00D105C8">
              <w:rPr>
                <w:color w:val="202124"/>
                <w:sz w:val="21"/>
                <w:szCs w:val="21"/>
                <w:shd w:val="clear" w:color="auto" w:fill="FFFFFF"/>
              </w:rPr>
              <w:t>± 7.</w:t>
            </w:r>
            <w:r w:rsidR="00EA2DB4">
              <w:rPr>
                <w:color w:val="202124"/>
                <w:sz w:val="21"/>
                <w:szCs w:val="21"/>
                <w:shd w:val="clear" w:color="auto" w:fill="FFFFFF"/>
              </w:rPr>
              <w:t>5</w:t>
            </w:r>
            <w:r w:rsidRPr="00D105C8">
              <w:rPr>
                <w:color w:val="202124"/>
                <w:sz w:val="21"/>
                <w:szCs w:val="21"/>
                <w:shd w:val="clear" w:color="auto" w:fill="FFFFFF"/>
                <w:vertAlign w:val="superscript"/>
              </w:rPr>
              <w:t>ab</w:t>
            </w:r>
          </w:p>
        </w:tc>
        <w:tc>
          <w:tcPr>
            <w:tcW w:w="1267" w:type="dxa"/>
            <w:shd w:val="clear" w:color="auto" w:fill="auto"/>
            <w:vAlign w:val="center"/>
          </w:tcPr>
          <w:p w14:paraId="0B6A65C3" w14:textId="0B5B182D" w:rsidR="00921E18" w:rsidRPr="00D105C8" w:rsidRDefault="00921E18" w:rsidP="007510B2">
            <w:pPr>
              <w:jc w:val="center"/>
              <w:rPr>
                <w:sz w:val="21"/>
                <w:szCs w:val="21"/>
                <w:vertAlign w:val="superscript"/>
              </w:rPr>
            </w:pPr>
            <w:r w:rsidRPr="00D105C8">
              <w:rPr>
                <w:color w:val="000000"/>
                <w:sz w:val="21"/>
                <w:szCs w:val="21"/>
              </w:rPr>
              <w:t>4.</w:t>
            </w:r>
            <w:r w:rsidR="00EA2DB4">
              <w:rPr>
                <w:color w:val="000000"/>
                <w:sz w:val="21"/>
                <w:szCs w:val="21"/>
              </w:rPr>
              <w:t>4</w:t>
            </w:r>
            <w:r w:rsidRPr="00D105C8">
              <w:rPr>
                <w:color w:val="000000"/>
                <w:sz w:val="21"/>
                <w:szCs w:val="21"/>
              </w:rPr>
              <w:t xml:space="preserve"> </w:t>
            </w:r>
            <w:r w:rsidRPr="00D105C8">
              <w:rPr>
                <w:color w:val="202124"/>
                <w:sz w:val="21"/>
                <w:szCs w:val="21"/>
                <w:shd w:val="clear" w:color="auto" w:fill="FFFFFF"/>
              </w:rPr>
              <w:t>± 0.</w:t>
            </w:r>
            <w:r w:rsidR="00EA2DB4">
              <w:rPr>
                <w:color w:val="202124"/>
                <w:sz w:val="21"/>
                <w:szCs w:val="21"/>
                <w:shd w:val="clear" w:color="auto" w:fill="FFFFFF"/>
              </w:rPr>
              <w:t>8</w:t>
            </w:r>
            <w:r w:rsidRPr="00D105C8">
              <w:rPr>
                <w:color w:val="202124"/>
                <w:sz w:val="21"/>
                <w:szCs w:val="21"/>
                <w:shd w:val="clear" w:color="auto" w:fill="FFFFFF"/>
                <w:vertAlign w:val="superscript"/>
              </w:rPr>
              <w:t>ab</w:t>
            </w:r>
          </w:p>
        </w:tc>
        <w:tc>
          <w:tcPr>
            <w:tcW w:w="1266" w:type="dxa"/>
            <w:shd w:val="clear" w:color="auto" w:fill="auto"/>
            <w:vAlign w:val="center"/>
          </w:tcPr>
          <w:p w14:paraId="0BCEAFAD" w14:textId="321EED99" w:rsidR="00921E18" w:rsidRPr="00D105C8" w:rsidRDefault="00921E18" w:rsidP="007510B2">
            <w:pPr>
              <w:jc w:val="center"/>
              <w:rPr>
                <w:sz w:val="21"/>
                <w:szCs w:val="21"/>
                <w:vertAlign w:val="superscript"/>
              </w:rPr>
            </w:pPr>
            <w:r w:rsidRPr="00D105C8">
              <w:rPr>
                <w:color w:val="000000"/>
                <w:sz w:val="21"/>
                <w:szCs w:val="21"/>
              </w:rPr>
              <w:t xml:space="preserve">1.8 </w:t>
            </w:r>
            <w:r w:rsidRPr="00D105C8">
              <w:rPr>
                <w:color w:val="202124"/>
                <w:sz w:val="21"/>
                <w:szCs w:val="21"/>
                <w:shd w:val="clear" w:color="auto" w:fill="FFFFFF"/>
              </w:rPr>
              <w:t>± 0.6</w:t>
            </w:r>
            <w:r w:rsidRPr="00D105C8">
              <w:rPr>
                <w:color w:val="202124"/>
                <w:sz w:val="21"/>
                <w:szCs w:val="21"/>
                <w:shd w:val="clear" w:color="auto" w:fill="FFFFFF"/>
                <w:vertAlign w:val="superscript"/>
              </w:rPr>
              <w:t>abc</w:t>
            </w:r>
          </w:p>
        </w:tc>
        <w:tc>
          <w:tcPr>
            <w:tcW w:w="1266" w:type="dxa"/>
            <w:shd w:val="clear" w:color="auto" w:fill="auto"/>
            <w:vAlign w:val="center"/>
          </w:tcPr>
          <w:p w14:paraId="13363E6A" w14:textId="16D783DC" w:rsidR="00921E18" w:rsidRPr="00D105C8" w:rsidRDefault="00921E18" w:rsidP="007510B2">
            <w:pPr>
              <w:jc w:val="center"/>
              <w:rPr>
                <w:sz w:val="21"/>
                <w:szCs w:val="21"/>
              </w:rPr>
            </w:pPr>
            <w:r w:rsidRPr="00D105C8">
              <w:rPr>
                <w:color w:val="000000"/>
                <w:sz w:val="21"/>
                <w:szCs w:val="21"/>
              </w:rPr>
              <w:t>0.</w:t>
            </w:r>
            <w:r w:rsidR="00EA2DB4">
              <w:rPr>
                <w:color w:val="000000"/>
                <w:sz w:val="21"/>
                <w:szCs w:val="21"/>
              </w:rPr>
              <w:t>3</w:t>
            </w:r>
            <w:r w:rsidRPr="00D105C8">
              <w:rPr>
                <w:color w:val="000000"/>
                <w:sz w:val="21"/>
                <w:szCs w:val="21"/>
              </w:rPr>
              <w:t xml:space="preserve"> </w:t>
            </w:r>
            <w:r w:rsidRPr="00D105C8">
              <w:rPr>
                <w:color w:val="202124"/>
                <w:sz w:val="21"/>
                <w:szCs w:val="21"/>
                <w:shd w:val="clear" w:color="auto" w:fill="FFFFFF"/>
              </w:rPr>
              <w:t>± 0.</w:t>
            </w:r>
            <w:r w:rsidR="00EA2DB4">
              <w:rPr>
                <w:color w:val="202124"/>
                <w:sz w:val="21"/>
                <w:szCs w:val="21"/>
                <w:shd w:val="clear" w:color="auto" w:fill="FFFFFF"/>
              </w:rPr>
              <w:t>1</w:t>
            </w:r>
            <w:r w:rsidRPr="00D105C8">
              <w:rPr>
                <w:color w:val="202124"/>
                <w:sz w:val="21"/>
                <w:szCs w:val="21"/>
                <w:shd w:val="clear" w:color="auto" w:fill="FFFFFF"/>
                <w:vertAlign w:val="superscript"/>
              </w:rPr>
              <w:t>d</w:t>
            </w:r>
          </w:p>
        </w:tc>
        <w:tc>
          <w:tcPr>
            <w:tcW w:w="1266" w:type="dxa"/>
            <w:shd w:val="clear" w:color="auto" w:fill="auto"/>
            <w:vAlign w:val="center"/>
          </w:tcPr>
          <w:p w14:paraId="230535B0" w14:textId="56E72F0E" w:rsidR="00921E18" w:rsidRPr="00D105C8" w:rsidRDefault="00921E18" w:rsidP="007510B2">
            <w:pPr>
              <w:jc w:val="center"/>
              <w:rPr>
                <w:sz w:val="21"/>
                <w:szCs w:val="21"/>
              </w:rPr>
            </w:pPr>
            <w:r w:rsidRPr="00D105C8">
              <w:rPr>
                <w:color w:val="000000"/>
                <w:sz w:val="21"/>
                <w:szCs w:val="21"/>
              </w:rPr>
              <w:t>1.</w:t>
            </w:r>
            <w:r w:rsidR="00EA2DB4">
              <w:rPr>
                <w:color w:val="000000"/>
                <w:sz w:val="21"/>
                <w:szCs w:val="21"/>
              </w:rPr>
              <w:t>7</w:t>
            </w:r>
            <w:r w:rsidRPr="00D105C8">
              <w:rPr>
                <w:color w:val="000000"/>
                <w:sz w:val="21"/>
                <w:szCs w:val="21"/>
              </w:rPr>
              <w:t xml:space="preserve"> </w:t>
            </w:r>
            <w:r w:rsidRPr="00D105C8">
              <w:rPr>
                <w:color w:val="202124"/>
                <w:sz w:val="21"/>
                <w:szCs w:val="21"/>
                <w:shd w:val="clear" w:color="auto" w:fill="FFFFFF"/>
              </w:rPr>
              <w:t>± 0.</w:t>
            </w:r>
            <w:r w:rsidR="00EA2DB4">
              <w:rPr>
                <w:color w:val="202124"/>
                <w:sz w:val="21"/>
                <w:szCs w:val="21"/>
                <w:shd w:val="clear" w:color="auto" w:fill="FFFFFF"/>
              </w:rPr>
              <w:t>5</w:t>
            </w:r>
            <w:r w:rsidRPr="00D105C8">
              <w:rPr>
                <w:color w:val="202124"/>
                <w:sz w:val="21"/>
                <w:szCs w:val="21"/>
                <w:shd w:val="clear" w:color="auto" w:fill="FFFFFF"/>
                <w:vertAlign w:val="superscript"/>
              </w:rPr>
              <w:t>abcd</w:t>
            </w:r>
          </w:p>
        </w:tc>
        <w:tc>
          <w:tcPr>
            <w:tcW w:w="1267" w:type="dxa"/>
            <w:shd w:val="clear" w:color="auto" w:fill="auto"/>
            <w:vAlign w:val="center"/>
          </w:tcPr>
          <w:p w14:paraId="19E957DD" w14:textId="184B51FA" w:rsidR="00921E18" w:rsidRPr="00D105C8" w:rsidRDefault="00921E18" w:rsidP="007510B2">
            <w:pPr>
              <w:jc w:val="center"/>
              <w:rPr>
                <w:sz w:val="21"/>
                <w:szCs w:val="21"/>
                <w:vertAlign w:val="superscript"/>
              </w:rPr>
            </w:pPr>
            <w:r w:rsidRPr="00D105C8">
              <w:rPr>
                <w:color w:val="000000"/>
                <w:sz w:val="21"/>
                <w:szCs w:val="21"/>
              </w:rPr>
              <w:t xml:space="preserve">1.0 </w:t>
            </w:r>
            <w:r w:rsidRPr="00D105C8">
              <w:rPr>
                <w:color w:val="202124"/>
                <w:sz w:val="21"/>
                <w:szCs w:val="21"/>
                <w:shd w:val="clear" w:color="auto" w:fill="FFFFFF"/>
              </w:rPr>
              <w:t>± 0.</w:t>
            </w:r>
            <w:r w:rsidR="00EA2DB4">
              <w:rPr>
                <w:color w:val="202124"/>
                <w:sz w:val="21"/>
                <w:szCs w:val="21"/>
                <w:shd w:val="clear" w:color="auto" w:fill="FFFFFF"/>
              </w:rPr>
              <w:t>2</w:t>
            </w:r>
            <w:r w:rsidRPr="00D105C8">
              <w:rPr>
                <w:color w:val="202124"/>
                <w:sz w:val="21"/>
                <w:szCs w:val="21"/>
                <w:shd w:val="clear" w:color="auto" w:fill="FFFFFF"/>
                <w:vertAlign w:val="superscript"/>
              </w:rPr>
              <w:t>abcd</w:t>
            </w:r>
          </w:p>
        </w:tc>
        <w:tc>
          <w:tcPr>
            <w:tcW w:w="1266" w:type="dxa"/>
            <w:shd w:val="clear" w:color="auto" w:fill="auto"/>
            <w:vAlign w:val="center"/>
          </w:tcPr>
          <w:p w14:paraId="27DC723C" w14:textId="57AA5C8A" w:rsidR="00921E18" w:rsidRPr="00D105C8" w:rsidRDefault="00921E18" w:rsidP="007510B2">
            <w:pPr>
              <w:jc w:val="center"/>
              <w:rPr>
                <w:sz w:val="21"/>
                <w:szCs w:val="21"/>
                <w:vertAlign w:val="superscript"/>
              </w:rPr>
            </w:pPr>
            <w:r w:rsidRPr="00D105C8">
              <w:rPr>
                <w:color w:val="000000"/>
                <w:sz w:val="21"/>
                <w:szCs w:val="21"/>
              </w:rPr>
              <w:t xml:space="preserve">20.7 </w:t>
            </w:r>
            <w:r w:rsidRPr="00D105C8">
              <w:rPr>
                <w:color w:val="202124"/>
                <w:sz w:val="21"/>
                <w:szCs w:val="21"/>
                <w:shd w:val="clear" w:color="auto" w:fill="FFFFFF"/>
              </w:rPr>
              <w:t>± 6.</w:t>
            </w:r>
            <w:r w:rsidR="00EA2DB4">
              <w:rPr>
                <w:color w:val="202124"/>
                <w:sz w:val="21"/>
                <w:szCs w:val="21"/>
                <w:shd w:val="clear" w:color="auto" w:fill="FFFFFF"/>
              </w:rPr>
              <w:t>8</w:t>
            </w:r>
            <w:r w:rsidRPr="00D105C8">
              <w:rPr>
                <w:color w:val="202124"/>
                <w:sz w:val="21"/>
                <w:szCs w:val="21"/>
                <w:shd w:val="clear" w:color="auto" w:fill="FFFFFF"/>
                <w:vertAlign w:val="superscript"/>
              </w:rPr>
              <w:t>a</w:t>
            </w:r>
          </w:p>
        </w:tc>
        <w:tc>
          <w:tcPr>
            <w:tcW w:w="1266" w:type="dxa"/>
            <w:shd w:val="clear" w:color="auto" w:fill="auto"/>
            <w:vAlign w:val="center"/>
          </w:tcPr>
          <w:p w14:paraId="4F171D12" w14:textId="01C5A441" w:rsidR="00921E18" w:rsidRPr="00D105C8" w:rsidRDefault="00921E18" w:rsidP="007510B2">
            <w:pPr>
              <w:jc w:val="center"/>
              <w:rPr>
                <w:sz w:val="21"/>
                <w:szCs w:val="21"/>
                <w:vertAlign w:val="superscript"/>
              </w:rPr>
            </w:pPr>
            <w:r w:rsidRPr="00D105C8">
              <w:rPr>
                <w:color w:val="000000"/>
                <w:sz w:val="21"/>
                <w:szCs w:val="21"/>
              </w:rPr>
              <w:t xml:space="preserve">0.9 </w:t>
            </w:r>
            <w:r w:rsidRPr="00D105C8">
              <w:rPr>
                <w:color w:val="202124"/>
                <w:sz w:val="21"/>
                <w:szCs w:val="21"/>
                <w:shd w:val="clear" w:color="auto" w:fill="FFFFFF"/>
              </w:rPr>
              <w:t>± 0.22</w:t>
            </w:r>
            <w:r w:rsidRPr="00D105C8">
              <w:rPr>
                <w:color w:val="202124"/>
                <w:sz w:val="21"/>
                <w:szCs w:val="21"/>
                <w:shd w:val="clear" w:color="auto" w:fill="FFFFFF"/>
                <w:vertAlign w:val="superscript"/>
              </w:rPr>
              <w:t>bcd</w:t>
            </w:r>
          </w:p>
        </w:tc>
        <w:tc>
          <w:tcPr>
            <w:tcW w:w="1266" w:type="dxa"/>
            <w:shd w:val="clear" w:color="auto" w:fill="auto"/>
            <w:vAlign w:val="center"/>
          </w:tcPr>
          <w:p w14:paraId="44C31AFF" w14:textId="5D0ACD30" w:rsidR="00921E18" w:rsidRPr="00D105C8" w:rsidRDefault="00921E18" w:rsidP="007510B2">
            <w:pPr>
              <w:jc w:val="center"/>
              <w:rPr>
                <w:sz w:val="21"/>
                <w:szCs w:val="21"/>
              </w:rPr>
            </w:pPr>
            <w:r w:rsidRPr="00D105C8">
              <w:rPr>
                <w:color w:val="000000"/>
                <w:sz w:val="21"/>
                <w:szCs w:val="21"/>
              </w:rPr>
              <w:t xml:space="preserve">1.37 </w:t>
            </w:r>
            <w:r w:rsidRPr="00D105C8">
              <w:rPr>
                <w:color w:val="202124"/>
                <w:sz w:val="21"/>
                <w:szCs w:val="21"/>
                <w:shd w:val="clear" w:color="auto" w:fill="FFFFFF"/>
              </w:rPr>
              <w:t>± 0.</w:t>
            </w:r>
            <w:r w:rsidR="00EA2DB4">
              <w:rPr>
                <w:color w:val="202124"/>
                <w:sz w:val="21"/>
                <w:szCs w:val="21"/>
                <w:shd w:val="clear" w:color="auto" w:fill="FFFFFF"/>
              </w:rPr>
              <w:t>4</w:t>
            </w:r>
            <w:r w:rsidRPr="00D105C8">
              <w:rPr>
                <w:color w:val="202124"/>
                <w:sz w:val="21"/>
                <w:szCs w:val="21"/>
                <w:shd w:val="clear" w:color="auto" w:fill="FFFFFF"/>
                <w:vertAlign w:val="superscript"/>
              </w:rPr>
              <w:t>abcd</w:t>
            </w:r>
          </w:p>
        </w:tc>
        <w:tc>
          <w:tcPr>
            <w:tcW w:w="1267" w:type="dxa"/>
            <w:shd w:val="clear" w:color="auto" w:fill="auto"/>
            <w:vAlign w:val="center"/>
          </w:tcPr>
          <w:p w14:paraId="0BEF9237" w14:textId="697ACE96" w:rsidR="00921E18" w:rsidRPr="00D105C8" w:rsidRDefault="00921E18" w:rsidP="007510B2">
            <w:pPr>
              <w:jc w:val="center"/>
              <w:rPr>
                <w:sz w:val="21"/>
                <w:szCs w:val="21"/>
                <w:vertAlign w:val="superscript"/>
              </w:rPr>
            </w:pPr>
            <w:r w:rsidRPr="00D105C8">
              <w:rPr>
                <w:color w:val="000000"/>
                <w:sz w:val="21"/>
                <w:szCs w:val="21"/>
              </w:rPr>
              <w:t xml:space="preserve">1.4 </w:t>
            </w:r>
            <w:r w:rsidRPr="00D105C8">
              <w:rPr>
                <w:color w:val="202124"/>
                <w:sz w:val="21"/>
                <w:szCs w:val="21"/>
                <w:shd w:val="clear" w:color="auto" w:fill="FFFFFF"/>
              </w:rPr>
              <w:t>± 0.5</w:t>
            </w:r>
            <w:r w:rsidRPr="00D105C8">
              <w:rPr>
                <w:color w:val="202124"/>
                <w:sz w:val="21"/>
                <w:szCs w:val="21"/>
                <w:shd w:val="clear" w:color="auto" w:fill="FFFFFF"/>
                <w:vertAlign w:val="superscript"/>
              </w:rPr>
              <w:t>abcd</w:t>
            </w:r>
          </w:p>
        </w:tc>
        <w:tc>
          <w:tcPr>
            <w:tcW w:w="1266" w:type="dxa"/>
            <w:shd w:val="clear" w:color="auto" w:fill="auto"/>
            <w:vAlign w:val="center"/>
          </w:tcPr>
          <w:p w14:paraId="00C8F8D7" w14:textId="65EBF27B" w:rsidR="00921E18" w:rsidRPr="00D105C8" w:rsidRDefault="00921E18" w:rsidP="007510B2">
            <w:pPr>
              <w:jc w:val="center"/>
              <w:rPr>
                <w:sz w:val="21"/>
                <w:szCs w:val="21"/>
                <w:vertAlign w:val="superscript"/>
              </w:rPr>
            </w:pPr>
            <w:r w:rsidRPr="00D105C8">
              <w:rPr>
                <w:color w:val="000000"/>
                <w:sz w:val="21"/>
                <w:szCs w:val="21"/>
              </w:rPr>
              <w:t>0.</w:t>
            </w:r>
            <w:r w:rsidR="00EA2DB4">
              <w:rPr>
                <w:color w:val="000000"/>
                <w:sz w:val="21"/>
                <w:szCs w:val="21"/>
              </w:rPr>
              <w:t>5</w:t>
            </w:r>
            <w:r w:rsidRPr="00D105C8">
              <w:rPr>
                <w:color w:val="000000"/>
                <w:sz w:val="21"/>
                <w:szCs w:val="21"/>
              </w:rPr>
              <w:t xml:space="preserve"> </w:t>
            </w:r>
            <w:r w:rsidRPr="00D105C8">
              <w:rPr>
                <w:color w:val="202124"/>
                <w:sz w:val="21"/>
                <w:szCs w:val="21"/>
                <w:shd w:val="clear" w:color="auto" w:fill="FFFFFF"/>
              </w:rPr>
              <w:t>± 0.4</w:t>
            </w:r>
            <w:r w:rsidRPr="00D105C8">
              <w:rPr>
                <w:color w:val="202124"/>
                <w:sz w:val="21"/>
                <w:szCs w:val="21"/>
                <w:shd w:val="clear" w:color="auto" w:fill="FFFFFF"/>
                <w:vertAlign w:val="superscript"/>
              </w:rPr>
              <w:t>cd</w:t>
            </w:r>
          </w:p>
        </w:tc>
        <w:tc>
          <w:tcPr>
            <w:tcW w:w="1266" w:type="dxa"/>
            <w:shd w:val="clear" w:color="auto" w:fill="auto"/>
            <w:vAlign w:val="center"/>
          </w:tcPr>
          <w:p w14:paraId="38FEEDB4" w14:textId="677AFC6F" w:rsidR="00921E18" w:rsidRPr="00D105C8" w:rsidRDefault="00921E18" w:rsidP="007510B2">
            <w:pPr>
              <w:jc w:val="center"/>
              <w:rPr>
                <w:sz w:val="21"/>
                <w:szCs w:val="21"/>
                <w:vertAlign w:val="superscript"/>
              </w:rPr>
            </w:pPr>
            <w:r w:rsidRPr="00D105C8">
              <w:rPr>
                <w:color w:val="000000"/>
                <w:sz w:val="21"/>
                <w:szCs w:val="21"/>
              </w:rPr>
              <w:t>1.</w:t>
            </w:r>
            <w:r w:rsidR="00EA2DB4">
              <w:rPr>
                <w:color w:val="000000"/>
                <w:sz w:val="21"/>
                <w:szCs w:val="21"/>
              </w:rPr>
              <w:t>8</w:t>
            </w:r>
            <w:r w:rsidRPr="00D105C8">
              <w:rPr>
                <w:color w:val="000000"/>
                <w:sz w:val="21"/>
                <w:szCs w:val="21"/>
              </w:rPr>
              <w:t xml:space="preserve"> </w:t>
            </w:r>
            <w:r w:rsidRPr="00D105C8">
              <w:rPr>
                <w:color w:val="202124"/>
                <w:sz w:val="21"/>
                <w:szCs w:val="21"/>
                <w:shd w:val="clear" w:color="auto" w:fill="FFFFFF"/>
              </w:rPr>
              <w:t>± 1.</w:t>
            </w:r>
            <w:r w:rsidR="00EA2DB4">
              <w:rPr>
                <w:color w:val="202124"/>
                <w:sz w:val="21"/>
                <w:szCs w:val="21"/>
                <w:shd w:val="clear" w:color="auto" w:fill="FFFFFF"/>
              </w:rPr>
              <w:t>1</w:t>
            </w:r>
            <w:r w:rsidRPr="00D105C8">
              <w:rPr>
                <w:color w:val="202124"/>
                <w:sz w:val="21"/>
                <w:szCs w:val="21"/>
                <w:shd w:val="clear" w:color="auto" w:fill="FFFFFF"/>
                <w:vertAlign w:val="superscript"/>
              </w:rPr>
              <w:t>abcd</w:t>
            </w:r>
          </w:p>
        </w:tc>
        <w:tc>
          <w:tcPr>
            <w:tcW w:w="1267" w:type="dxa"/>
            <w:shd w:val="clear" w:color="auto" w:fill="auto"/>
            <w:vAlign w:val="center"/>
          </w:tcPr>
          <w:p w14:paraId="26F1E291" w14:textId="5889A549" w:rsidR="00921E18" w:rsidRPr="00D105C8" w:rsidRDefault="00921E18" w:rsidP="007510B2">
            <w:pPr>
              <w:jc w:val="center"/>
              <w:rPr>
                <w:sz w:val="21"/>
                <w:szCs w:val="21"/>
              </w:rPr>
            </w:pPr>
            <w:r w:rsidRPr="00D105C8">
              <w:rPr>
                <w:color w:val="000000"/>
                <w:sz w:val="21"/>
                <w:szCs w:val="21"/>
              </w:rPr>
              <w:t>0.</w:t>
            </w:r>
            <w:r w:rsidR="00EA2DB4">
              <w:rPr>
                <w:color w:val="000000"/>
                <w:sz w:val="21"/>
                <w:szCs w:val="21"/>
              </w:rPr>
              <w:t>7</w:t>
            </w:r>
            <w:r w:rsidRPr="00D105C8">
              <w:rPr>
                <w:color w:val="000000"/>
                <w:sz w:val="21"/>
                <w:szCs w:val="21"/>
              </w:rPr>
              <w:t xml:space="preserve"> </w:t>
            </w:r>
            <w:r w:rsidRPr="00D105C8">
              <w:rPr>
                <w:color w:val="202124"/>
                <w:sz w:val="21"/>
                <w:szCs w:val="21"/>
                <w:shd w:val="clear" w:color="auto" w:fill="FFFFFF"/>
              </w:rPr>
              <w:t>± 0.</w:t>
            </w:r>
            <w:r w:rsidR="00EA2DB4">
              <w:rPr>
                <w:color w:val="202124"/>
                <w:sz w:val="21"/>
                <w:szCs w:val="21"/>
                <w:shd w:val="clear" w:color="auto" w:fill="FFFFFF"/>
              </w:rPr>
              <w:t>2</w:t>
            </w:r>
            <w:r w:rsidRPr="00D105C8">
              <w:rPr>
                <w:color w:val="202124"/>
                <w:sz w:val="21"/>
                <w:szCs w:val="21"/>
                <w:shd w:val="clear" w:color="auto" w:fill="FFFFFF"/>
                <w:vertAlign w:val="superscript"/>
              </w:rPr>
              <w:t>cd</w:t>
            </w:r>
          </w:p>
        </w:tc>
      </w:tr>
      <w:tr w:rsidR="00921E18" w14:paraId="602D42C8" w14:textId="77777777" w:rsidTr="00A3545D">
        <w:tc>
          <w:tcPr>
            <w:tcW w:w="2547" w:type="dxa"/>
          </w:tcPr>
          <w:p w14:paraId="5C700684" w14:textId="70F79D07" w:rsidR="00921E18" w:rsidRDefault="00921E18" w:rsidP="007510B2">
            <w:r w:rsidRPr="00C56CF3">
              <w:t>Extractable NO</w:t>
            </w:r>
            <w:r w:rsidRPr="00C56CF3">
              <w:rPr>
                <w:vertAlign w:val="subscript"/>
              </w:rPr>
              <w:t>3</w:t>
            </w:r>
            <w:r w:rsidRPr="00C56CF3">
              <w:rPr>
                <w:vertAlign w:val="superscript"/>
              </w:rPr>
              <w:t>−</w:t>
            </w:r>
            <w:r w:rsidRPr="00C56CF3">
              <w:t xml:space="preserve"> (mg N kg</w:t>
            </w:r>
            <w:r w:rsidRPr="00C56CF3">
              <w:rPr>
                <w:vertAlign w:val="superscript"/>
              </w:rPr>
              <w:t>−1</w:t>
            </w:r>
            <w:r w:rsidRPr="00C56CF3">
              <w:t>)</w:t>
            </w:r>
          </w:p>
        </w:tc>
        <w:tc>
          <w:tcPr>
            <w:tcW w:w="1266" w:type="dxa"/>
            <w:shd w:val="clear" w:color="auto" w:fill="auto"/>
            <w:vAlign w:val="center"/>
          </w:tcPr>
          <w:p w14:paraId="50B6CFDE" w14:textId="08872B32" w:rsidR="00921E18" w:rsidRPr="00D105C8" w:rsidRDefault="00921E18" w:rsidP="007510B2">
            <w:pPr>
              <w:jc w:val="center"/>
              <w:rPr>
                <w:sz w:val="21"/>
                <w:szCs w:val="21"/>
                <w:vertAlign w:val="superscript"/>
              </w:rPr>
            </w:pPr>
            <w:r w:rsidRPr="00D105C8">
              <w:rPr>
                <w:color w:val="000000"/>
                <w:sz w:val="21"/>
                <w:szCs w:val="21"/>
              </w:rPr>
              <w:t xml:space="preserve">49.0 </w:t>
            </w:r>
            <w:r w:rsidRPr="00D105C8">
              <w:rPr>
                <w:color w:val="202124"/>
                <w:sz w:val="21"/>
                <w:szCs w:val="21"/>
                <w:shd w:val="clear" w:color="auto" w:fill="FFFFFF"/>
              </w:rPr>
              <w:t>± 3.</w:t>
            </w:r>
            <w:r w:rsidR="00EA2DB4">
              <w:rPr>
                <w:color w:val="202124"/>
                <w:sz w:val="21"/>
                <w:szCs w:val="21"/>
                <w:shd w:val="clear" w:color="auto" w:fill="FFFFFF"/>
              </w:rPr>
              <w:t>4</w:t>
            </w:r>
            <w:r w:rsidRPr="00D105C8">
              <w:rPr>
                <w:color w:val="202124"/>
                <w:sz w:val="21"/>
                <w:szCs w:val="21"/>
                <w:shd w:val="clear" w:color="auto" w:fill="FFFFFF"/>
                <w:vertAlign w:val="superscript"/>
              </w:rPr>
              <w:t>abc</w:t>
            </w:r>
          </w:p>
        </w:tc>
        <w:tc>
          <w:tcPr>
            <w:tcW w:w="1266" w:type="dxa"/>
            <w:shd w:val="clear" w:color="auto" w:fill="auto"/>
            <w:vAlign w:val="center"/>
          </w:tcPr>
          <w:p w14:paraId="1051504B" w14:textId="6A3FB74B" w:rsidR="00921E18" w:rsidRPr="00D105C8" w:rsidRDefault="00921E18" w:rsidP="007510B2">
            <w:pPr>
              <w:jc w:val="center"/>
              <w:rPr>
                <w:sz w:val="21"/>
                <w:szCs w:val="21"/>
                <w:vertAlign w:val="superscript"/>
              </w:rPr>
            </w:pPr>
            <w:r w:rsidRPr="00D105C8">
              <w:rPr>
                <w:color w:val="000000"/>
                <w:sz w:val="21"/>
                <w:szCs w:val="21"/>
              </w:rPr>
              <w:t>52.</w:t>
            </w:r>
            <w:r w:rsidR="00EA2DB4">
              <w:rPr>
                <w:color w:val="000000"/>
                <w:sz w:val="21"/>
                <w:szCs w:val="21"/>
              </w:rPr>
              <w:t>8</w:t>
            </w:r>
            <w:r w:rsidRPr="00D105C8">
              <w:rPr>
                <w:color w:val="000000"/>
                <w:sz w:val="21"/>
                <w:szCs w:val="21"/>
              </w:rPr>
              <w:t xml:space="preserve"> </w:t>
            </w:r>
            <w:r w:rsidRPr="00D105C8">
              <w:rPr>
                <w:color w:val="202124"/>
                <w:sz w:val="21"/>
                <w:szCs w:val="21"/>
                <w:shd w:val="clear" w:color="auto" w:fill="FFFFFF"/>
              </w:rPr>
              <w:t>±5.</w:t>
            </w:r>
            <w:r w:rsidR="00EA2DB4">
              <w:rPr>
                <w:color w:val="202124"/>
                <w:sz w:val="21"/>
                <w:szCs w:val="21"/>
                <w:shd w:val="clear" w:color="auto" w:fill="FFFFFF"/>
              </w:rPr>
              <w:t>8</w:t>
            </w:r>
            <w:r w:rsidRPr="00D105C8">
              <w:rPr>
                <w:color w:val="202124"/>
                <w:sz w:val="21"/>
                <w:szCs w:val="21"/>
                <w:shd w:val="clear" w:color="auto" w:fill="FFFFFF"/>
                <w:vertAlign w:val="superscript"/>
              </w:rPr>
              <w:t>ab</w:t>
            </w:r>
          </w:p>
        </w:tc>
        <w:tc>
          <w:tcPr>
            <w:tcW w:w="1266" w:type="dxa"/>
            <w:shd w:val="clear" w:color="auto" w:fill="auto"/>
            <w:vAlign w:val="center"/>
          </w:tcPr>
          <w:p w14:paraId="1A81FC27" w14:textId="30DA01E8" w:rsidR="00921E18" w:rsidRPr="00D105C8" w:rsidRDefault="00921E18" w:rsidP="007510B2">
            <w:pPr>
              <w:jc w:val="center"/>
              <w:rPr>
                <w:sz w:val="21"/>
                <w:szCs w:val="21"/>
                <w:vertAlign w:val="superscript"/>
              </w:rPr>
            </w:pPr>
            <w:r w:rsidRPr="00D105C8">
              <w:rPr>
                <w:color w:val="000000"/>
                <w:sz w:val="21"/>
                <w:szCs w:val="21"/>
              </w:rPr>
              <w:t xml:space="preserve">14.9 </w:t>
            </w:r>
            <w:r w:rsidRPr="00D105C8">
              <w:rPr>
                <w:color w:val="202124"/>
                <w:sz w:val="21"/>
                <w:szCs w:val="21"/>
                <w:shd w:val="clear" w:color="auto" w:fill="FFFFFF"/>
              </w:rPr>
              <w:t>± 7.</w:t>
            </w:r>
            <w:r w:rsidR="00EA2DB4">
              <w:rPr>
                <w:color w:val="202124"/>
                <w:sz w:val="21"/>
                <w:szCs w:val="21"/>
                <w:shd w:val="clear" w:color="auto" w:fill="FFFFFF"/>
              </w:rPr>
              <w:t>3</w:t>
            </w:r>
            <w:r w:rsidRPr="00D105C8">
              <w:rPr>
                <w:color w:val="202124"/>
                <w:sz w:val="21"/>
                <w:szCs w:val="21"/>
                <w:shd w:val="clear" w:color="auto" w:fill="FFFFFF"/>
                <w:vertAlign w:val="superscript"/>
              </w:rPr>
              <w:t>de</w:t>
            </w:r>
          </w:p>
        </w:tc>
        <w:tc>
          <w:tcPr>
            <w:tcW w:w="1267" w:type="dxa"/>
            <w:shd w:val="clear" w:color="auto" w:fill="auto"/>
            <w:vAlign w:val="center"/>
          </w:tcPr>
          <w:p w14:paraId="07B332C6" w14:textId="7294019B" w:rsidR="00921E18" w:rsidRPr="00D105C8" w:rsidRDefault="00921E18" w:rsidP="007510B2">
            <w:pPr>
              <w:jc w:val="center"/>
              <w:rPr>
                <w:sz w:val="21"/>
                <w:szCs w:val="21"/>
                <w:vertAlign w:val="superscript"/>
              </w:rPr>
            </w:pPr>
            <w:r w:rsidRPr="00D105C8">
              <w:rPr>
                <w:color w:val="000000"/>
                <w:sz w:val="21"/>
                <w:szCs w:val="21"/>
              </w:rPr>
              <w:t>100.</w:t>
            </w:r>
            <w:r w:rsidR="00EA2DB4">
              <w:rPr>
                <w:color w:val="000000"/>
                <w:sz w:val="21"/>
                <w:szCs w:val="21"/>
              </w:rPr>
              <w:t>1</w:t>
            </w:r>
            <w:r w:rsidRPr="00D105C8">
              <w:rPr>
                <w:color w:val="000000"/>
                <w:sz w:val="21"/>
                <w:szCs w:val="21"/>
              </w:rPr>
              <w:t xml:space="preserve"> </w:t>
            </w:r>
            <w:r w:rsidRPr="00D105C8">
              <w:rPr>
                <w:color w:val="202124"/>
                <w:sz w:val="21"/>
                <w:szCs w:val="21"/>
                <w:shd w:val="clear" w:color="auto" w:fill="FFFFFF"/>
              </w:rPr>
              <w:t>± 5.</w:t>
            </w:r>
            <w:r w:rsidR="00EA2DB4">
              <w:rPr>
                <w:color w:val="202124"/>
                <w:sz w:val="21"/>
                <w:szCs w:val="21"/>
                <w:shd w:val="clear" w:color="auto" w:fill="FFFFFF"/>
              </w:rPr>
              <w:t>1</w:t>
            </w:r>
            <w:r w:rsidRPr="00D105C8">
              <w:rPr>
                <w:color w:val="202124"/>
                <w:sz w:val="21"/>
                <w:szCs w:val="21"/>
                <w:shd w:val="clear" w:color="auto" w:fill="FFFFFF"/>
                <w:vertAlign w:val="superscript"/>
              </w:rPr>
              <w:t>a</w:t>
            </w:r>
          </w:p>
        </w:tc>
        <w:tc>
          <w:tcPr>
            <w:tcW w:w="1266" w:type="dxa"/>
            <w:shd w:val="clear" w:color="auto" w:fill="auto"/>
            <w:vAlign w:val="center"/>
          </w:tcPr>
          <w:p w14:paraId="00AF77CD" w14:textId="35A730A7" w:rsidR="00921E18" w:rsidRPr="00D105C8" w:rsidRDefault="00921E18" w:rsidP="007510B2">
            <w:pPr>
              <w:jc w:val="center"/>
              <w:rPr>
                <w:sz w:val="21"/>
                <w:szCs w:val="21"/>
                <w:vertAlign w:val="superscript"/>
              </w:rPr>
            </w:pPr>
            <w:r w:rsidRPr="00D105C8">
              <w:rPr>
                <w:color w:val="000000"/>
                <w:sz w:val="21"/>
                <w:szCs w:val="21"/>
              </w:rPr>
              <w:t>2.</w:t>
            </w:r>
            <w:r w:rsidR="00EA2DB4">
              <w:rPr>
                <w:color w:val="000000"/>
                <w:sz w:val="21"/>
                <w:szCs w:val="21"/>
              </w:rPr>
              <w:t>7</w:t>
            </w:r>
            <w:r w:rsidRPr="00D105C8">
              <w:rPr>
                <w:color w:val="000000"/>
                <w:sz w:val="21"/>
                <w:szCs w:val="21"/>
              </w:rPr>
              <w:t xml:space="preserve"> </w:t>
            </w:r>
            <w:r w:rsidRPr="00D105C8">
              <w:rPr>
                <w:color w:val="202124"/>
                <w:sz w:val="21"/>
                <w:szCs w:val="21"/>
                <w:shd w:val="clear" w:color="auto" w:fill="FFFFFF"/>
              </w:rPr>
              <w:t>± 0.</w:t>
            </w:r>
            <w:r w:rsidR="00EA2DB4">
              <w:rPr>
                <w:color w:val="202124"/>
                <w:sz w:val="21"/>
                <w:szCs w:val="21"/>
                <w:shd w:val="clear" w:color="auto" w:fill="FFFFFF"/>
              </w:rPr>
              <w:t>7</w:t>
            </w:r>
            <w:r w:rsidRPr="00D105C8">
              <w:rPr>
                <w:color w:val="202124"/>
                <w:sz w:val="21"/>
                <w:szCs w:val="21"/>
                <w:shd w:val="clear" w:color="auto" w:fill="FFFFFF"/>
                <w:vertAlign w:val="superscript"/>
              </w:rPr>
              <w:t>ef</w:t>
            </w:r>
          </w:p>
        </w:tc>
        <w:tc>
          <w:tcPr>
            <w:tcW w:w="1266" w:type="dxa"/>
            <w:shd w:val="clear" w:color="auto" w:fill="auto"/>
            <w:vAlign w:val="center"/>
          </w:tcPr>
          <w:p w14:paraId="6693AAD8" w14:textId="2A903181" w:rsidR="00921E18" w:rsidRPr="00D105C8" w:rsidRDefault="00921E18" w:rsidP="007510B2">
            <w:pPr>
              <w:jc w:val="center"/>
              <w:rPr>
                <w:sz w:val="21"/>
                <w:szCs w:val="21"/>
                <w:vertAlign w:val="superscript"/>
              </w:rPr>
            </w:pPr>
            <w:r w:rsidRPr="00D105C8">
              <w:rPr>
                <w:color w:val="000000"/>
                <w:sz w:val="21"/>
                <w:szCs w:val="21"/>
              </w:rPr>
              <w:t>4.</w:t>
            </w:r>
            <w:r w:rsidR="00EA2DB4">
              <w:rPr>
                <w:color w:val="000000"/>
                <w:sz w:val="21"/>
                <w:szCs w:val="21"/>
              </w:rPr>
              <w:t>1</w:t>
            </w:r>
            <w:r w:rsidRPr="00D105C8">
              <w:rPr>
                <w:color w:val="000000"/>
                <w:sz w:val="21"/>
                <w:szCs w:val="21"/>
              </w:rPr>
              <w:t xml:space="preserve"> </w:t>
            </w:r>
            <w:r w:rsidRPr="00D105C8">
              <w:rPr>
                <w:color w:val="202124"/>
                <w:sz w:val="21"/>
                <w:szCs w:val="21"/>
                <w:shd w:val="clear" w:color="auto" w:fill="FFFFFF"/>
              </w:rPr>
              <w:t>± 0.</w:t>
            </w:r>
            <w:r w:rsidR="00EA2DB4">
              <w:rPr>
                <w:color w:val="202124"/>
                <w:sz w:val="21"/>
                <w:szCs w:val="21"/>
                <w:shd w:val="clear" w:color="auto" w:fill="FFFFFF"/>
              </w:rPr>
              <w:t>9</w:t>
            </w:r>
            <w:r w:rsidRPr="00D105C8">
              <w:rPr>
                <w:color w:val="202124"/>
                <w:sz w:val="21"/>
                <w:szCs w:val="21"/>
                <w:shd w:val="clear" w:color="auto" w:fill="FFFFFF"/>
                <w:vertAlign w:val="superscript"/>
              </w:rPr>
              <w:t>def</w:t>
            </w:r>
          </w:p>
        </w:tc>
        <w:tc>
          <w:tcPr>
            <w:tcW w:w="1266" w:type="dxa"/>
            <w:shd w:val="clear" w:color="auto" w:fill="auto"/>
            <w:vAlign w:val="center"/>
          </w:tcPr>
          <w:p w14:paraId="4A0E033A" w14:textId="3CD80583" w:rsidR="00921E18" w:rsidRPr="00D105C8" w:rsidRDefault="00EA2DB4" w:rsidP="007510B2">
            <w:pPr>
              <w:jc w:val="center"/>
              <w:rPr>
                <w:sz w:val="21"/>
                <w:szCs w:val="21"/>
                <w:vertAlign w:val="superscript"/>
              </w:rPr>
            </w:pPr>
            <w:r>
              <w:rPr>
                <w:color w:val="000000"/>
                <w:sz w:val="21"/>
                <w:szCs w:val="21"/>
              </w:rPr>
              <w:t>13.0</w:t>
            </w:r>
            <w:r w:rsidR="00921E18" w:rsidRPr="00D105C8">
              <w:rPr>
                <w:color w:val="000000"/>
                <w:sz w:val="21"/>
                <w:szCs w:val="21"/>
              </w:rPr>
              <w:t xml:space="preserve"> </w:t>
            </w:r>
            <w:r w:rsidR="00921E18" w:rsidRPr="00D105C8">
              <w:rPr>
                <w:color w:val="202124"/>
                <w:sz w:val="21"/>
                <w:szCs w:val="21"/>
                <w:shd w:val="clear" w:color="auto" w:fill="FFFFFF"/>
              </w:rPr>
              <w:t>± 2.</w:t>
            </w:r>
            <w:r>
              <w:rPr>
                <w:color w:val="202124"/>
                <w:sz w:val="21"/>
                <w:szCs w:val="21"/>
                <w:shd w:val="clear" w:color="auto" w:fill="FFFFFF"/>
              </w:rPr>
              <w:t>3</w:t>
            </w:r>
            <w:r w:rsidR="00921E18" w:rsidRPr="00D105C8">
              <w:rPr>
                <w:color w:val="202124"/>
                <w:sz w:val="21"/>
                <w:szCs w:val="21"/>
                <w:shd w:val="clear" w:color="auto" w:fill="FFFFFF"/>
                <w:vertAlign w:val="superscript"/>
              </w:rPr>
              <w:t>bcd</w:t>
            </w:r>
          </w:p>
        </w:tc>
        <w:tc>
          <w:tcPr>
            <w:tcW w:w="1267" w:type="dxa"/>
            <w:shd w:val="clear" w:color="auto" w:fill="auto"/>
            <w:vAlign w:val="center"/>
          </w:tcPr>
          <w:p w14:paraId="169E9673" w14:textId="0FF27FFC" w:rsidR="00921E18" w:rsidRPr="00D105C8" w:rsidRDefault="00921E18" w:rsidP="007510B2">
            <w:pPr>
              <w:jc w:val="center"/>
              <w:rPr>
                <w:sz w:val="21"/>
                <w:szCs w:val="21"/>
                <w:vertAlign w:val="superscript"/>
              </w:rPr>
            </w:pPr>
            <w:r w:rsidRPr="00D105C8">
              <w:rPr>
                <w:color w:val="000000"/>
                <w:sz w:val="21"/>
                <w:szCs w:val="21"/>
              </w:rPr>
              <w:t>25.</w:t>
            </w:r>
            <w:r w:rsidR="00EA2DB4">
              <w:rPr>
                <w:color w:val="000000"/>
                <w:sz w:val="21"/>
                <w:szCs w:val="21"/>
              </w:rPr>
              <w:t>8</w:t>
            </w:r>
            <w:r w:rsidRPr="00D105C8">
              <w:rPr>
                <w:color w:val="000000"/>
                <w:sz w:val="21"/>
                <w:szCs w:val="21"/>
              </w:rPr>
              <w:t xml:space="preserve"> </w:t>
            </w:r>
            <w:r w:rsidRPr="00D105C8">
              <w:rPr>
                <w:color w:val="202124"/>
                <w:sz w:val="21"/>
                <w:szCs w:val="21"/>
                <w:shd w:val="clear" w:color="auto" w:fill="FFFFFF"/>
              </w:rPr>
              <w:t>± 9.2</w:t>
            </w:r>
            <w:r w:rsidRPr="00D105C8">
              <w:rPr>
                <w:color w:val="202124"/>
                <w:sz w:val="21"/>
                <w:szCs w:val="21"/>
                <w:shd w:val="clear" w:color="auto" w:fill="FFFFFF"/>
                <w:vertAlign w:val="superscript"/>
              </w:rPr>
              <w:t>bcd</w:t>
            </w:r>
          </w:p>
        </w:tc>
        <w:tc>
          <w:tcPr>
            <w:tcW w:w="1266" w:type="dxa"/>
            <w:shd w:val="clear" w:color="auto" w:fill="auto"/>
            <w:vAlign w:val="center"/>
          </w:tcPr>
          <w:p w14:paraId="5CFE6D1A" w14:textId="2EDD80C7" w:rsidR="00921E18" w:rsidRPr="00D105C8" w:rsidRDefault="00921E18" w:rsidP="007510B2">
            <w:pPr>
              <w:jc w:val="center"/>
              <w:rPr>
                <w:sz w:val="21"/>
                <w:szCs w:val="21"/>
                <w:vertAlign w:val="superscript"/>
              </w:rPr>
            </w:pPr>
            <w:r w:rsidRPr="00D105C8">
              <w:rPr>
                <w:color w:val="000000"/>
                <w:sz w:val="21"/>
                <w:szCs w:val="21"/>
              </w:rPr>
              <w:t>131.</w:t>
            </w:r>
            <w:r w:rsidR="00EA2DB4">
              <w:rPr>
                <w:color w:val="000000"/>
                <w:sz w:val="21"/>
                <w:szCs w:val="21"/>
              </w:rPr>
              <w:t>2</w:t>
            </w:r>
            <w:r w:rsidRPr="00D105C8">
              <w:rPr>
                <w:color w:val="000000"/>
                <w:sz w:val="21"/>
                <w:szCs w:val="21"/>
              </w:rPr>
              <w:t xml:space="preserve"> </w:t>
            </w:r>
            <w:r w:rsidRPr="00D105C8">
              <w:rPr>
                <w:color w:val="202124"/>
                <w:sz w:val="21"/>
                <w:szCs w:val="21"/>
                <w:shd w:val="clear" w:color="auto" w:fill="FFFFFF"/>
              </w:rPr>
              <w:t>± 12.5</w:t>
            </w:r>
            <w:r w:rsidRPr="00D105C8">
              <w:rPr>
                <w:color w:val="202124"/>
                <w:sz w:val="21"/>
                <w:szCs w:val="21"/>
                <w:shd w:val="clear" w:color="auto" w:fill="FFFFFF"/>
                <w:vertAlign w:val="superscript"/>
              </w:rPr>
              <w:t>a</w:t>
            </w:r>
          </w:p>
        </w:tc>
        <w:tc>
          <w:tcPr>
            <w:tcW w:w="1266" w:type="dxa"/>
            <w:shd w:val="clear" w:color="auto" w:fill="auto"/>
            <w:vAlign w:val="center"/>
          </w:tcPr>
          <w:p w14:paraId="27AC688C" w14:textId="0A072724" w:rsidR="00921E18" w:rsidRPr="00D105C8" w:rsidRDefault="00921E18" w:rsidP="007510B2">
            <w:pPr>
              <w:jc w:val="center"/>
              <w:rPr>
                <w:sz w:val="21"/>
                <w:szCs w:val="21"/>
                <w:vertAlign w:val="superscript"/>
              </w:rPr>
            </w:pPr>
            <w:r w:rsidRPr="00D105C8">
              <w:rPr>
                <w:color w:val="000000"/>
                <w:sz w:val="21"/>
                <w:szCs w:val="21"/>
              </w:rPr>
              <w:t>1.</w:t>
            </w:r>
            <w:r w:rsidR="00EA2DB4">
              <w:rPr>
                <w:color w:val="000000"/>
                <w:sz w:val="21"/>
                <w:szCs w:val="21"/>
              </w:rPr>
              <w:t>8</w:t>
            </w:r>
            <w:r w:rsidRPr="00D105C8">
              <w:rPr>
                <w:color w:val="000000"/>
                <w:sz w:val="21"/>
                <w:szCs w:val="21"/>
              </w:rPr>
              <w:t xml:space="preserve"> </w:t>
            </w:r>
            <w:r w:rsidRPr="00D105C8">
              <w:rPr>
                <w:color w:val="202124"/>
                <w:sz w:val="21"/>
                <w:szCs w:val="21"/>
                <w:shd w:val="clear" w:color="auto" w:fill="FFFFFF"/>
              </w:rPr>
              <w:t>± 0.5</w:t>
            </w:r>
            <w:r w:rsidRPr="00D105C8">
              <w:rPr>
                <w:color w:val="202124"/>
                <w:sz w:val="21"/>
                <w:szCs w:val="21"/>
                <w:shd w:val="clear" w:color="auto" w:fill="FFFFFF"/>
                <w:vertAlign w:val="superscript"/>
              </w:rPr>
              <w:t>bcd</w:t>
            </w:r>
          </w:p>
        </w:tc>
        <w:tc>
          <w:tcPr>
            <w:tcW w:w="1266" w:type="dxa"/>
            <w:shd w:val="clear" w:color="auto" w:fill="auto"/>
            <w:vAlign w:val="center"/>
          </w:tcPr>
          <w:p w14:paraId="1C337E21" w14:textId="42BEFE0B" w:rsidR="00921E18" w:rsidRPr="00D105C8" w:rsidRDefault="00EA2DB4" w:rsidP="007510B2">
            <w:pPr>
              <w:jc w:val="center"/>
              <w:rPr>
                <w:sz w:val="21"/>
                <w:szCs w:val="21"/>
                <w:vertAlign w:val="superscript"/>
              </w:rPr>
            </w:pPr>
            <w:r>
              <w:rPr>
                <w:color w:val="000000"/>
                <w:sz w:val="21"/>
                <w:szCs w:val="21"/>
              </w:rPr>
              <w:t>4.0</w:t>
            </w:r>
            <w:r w:rsidR="00921E18" w:rsidRPr="00D105C8">
              <w:rPr>
                <w:color w:val="000000"/>
                <w:sz w:val="21"/>
                <w:szCs w:val="21"/>
              </w:rPr>
              <w:t xml:space="preserve"> </w:t>
            </w:r>
            <w:r w:rsidR="00921E18" w:rsidRPr="00D105C8">
              <w:rPr>
                <w:color w:val="202124"/>
                <w:sz w:val="21"/>
                <w:szCs w:val="21"/>
                <w:shd w:val="clear" w:color="auto" w:fill="FFFFFF"/>
              </w:rPr>
              <w:t>± 0.8</w:t>
            </w:r>
            <w:r w:rsidR="00921E18" w:rsidRPr="00D105C8">
              <w:rPr>
                <w:color w:val="202124"/>
                <w:sz w:val="21"/>
                <w:szCs w:val="21"/>
                <w:shd w:val="clear" w:color="auto" w:fill="FFFFFF"/>
                <w:vertAlign w:val="superscript"/>
              </w:rPr>
              <w:t>def</w:t>
            </w:r>
          </w:p>
        </w:tc>
        <w:tc>
          <w:tcPr>
            <w:tcW w:w="1267" w:type="dxa"/>
            <w:shd w:val="clear" w:color="auto" w:fill="auto"/>
            <w:vAlign w:val="center"/>
          </w:tcPr>
          <w:p w14:paraId="7E7A8576" w14:textId="332DB691" w:rsidR="00921E18" w:rsidRPr="00D105C8" w:rsidRDefault="00921E18" w:rsidP="007510B2">
            <w:pPr>
              <w:jc w:val="center"/>
              <w:rPr>
                <w:sz w:val="21"/>
                <w:szCs w:val="21"/>
                <w:vertAlign w:val="superscript"/>
              </w:rPr>
            </w:pPr>
            <w:r w:rsidRPr="00D105C8">
              <w:rPr>
                <w:color w:val="000000"/>
                <w:sz w:val="21"/>
                <w:szCs w:val="21"/>
              </w:rPr>
              <w:t xml:space="preserve">17.7 </w:t>
            </w:r>
            <w:r w:rsidRPr="00D105C8">
              <w:rPr>
                <w:color w:val="202124"/>
                <w:sz w:val="21"/>
                <w:szCs w:val="21"/>
                <w:shd w:val="clear" w:color="auto" w:fill="FFFFFF"/>
              </w:rPr>
              <w:t>± 8.8</w:t>
            </w:r>
            <w:r w:rsidRPr="00D105C8">
              <w:rPr>
                <w:color w:val="202124"/>
                <w:sz w:val="21"/>
                <w:szCs w:val="21"/>
                <w:shd w:val="clear" w:color="auto" w:fill="FFFFFF"/>
                <w:vertAlign w:val="superscript"/>
              </w:rPr>
              <w:t>cd</w:t>
            </w:r>
          </w:p>
        </w:tc>
        <w:tc>
          <w:tcPr>
            <w:tcW w:w="1266" w:type="dxa"/>
            <w:shd w:val="clear" w:color="auto" w:fill="auto"/>
            <w:vAlign w:val="center"/>
          </w:tcPr>
          <w:p w14:paraId="3D5EF907" w14:textId="47367C52" w:rsidR="00921E18" w:rsidRPr="00D105C8" w:rsidRDefault="00921E18" w:rsidP="007510B2">
            <w:pPr>
              <w:jc w:val="center"/>
              <w:rPr>
                <w:sz w:val="21"/>
                <w:szCs w:val="21"/>
                <w:vertAlign w:val="superscript"/>
              </w:rPr>
            </w:pPr>
            <w:r w:rsidRPr="00D105C8">
              <w:rPr>
                <w:color w:val="000000"/>
                <w:sz w:val="21"/>
                <w:szCs w:val="21"/>
              </w:rPr>
              <w:t xml:space="preserve">24.6 </w:t>
            </w:r>
            <w:r w:rsidRPr="00D105C8">
              <w:rPr>
                <w:color w:val="202124"/>
                <w:sz w:val="21"/>
                <w:szCs w:val="21"/>
                <w:shd w:val="clear" w:color="auto" w:fill="FFFFFF"/>
              </w:rPr>
              <w:t>± 11.6</w:t>
            </w:r>
            <w:r w:rsidRPr="00D105C8">
              <w:rPr>
                <w:color w:val="202124"/>
                <w:sz w:val="21"/>
                <w:szCs w:val="21"/>
                <w:shd w:val="clear" w:color="auto" w:fill="FFFFFF"/>
                <w:vertAlign w:val="superscript"/>
              </w:rPr>
              <w:t>bcd</w:t>
            </w:r>
          </w:p>
        </w:tc>
        <w:tc>
          <w:tcPr>
            <w:tcW w:w="1266" w:type="dxa"/>
            <w:shd w:val="clear" w:color="auto" w:fill="auto"/>
            <w:vAlign w:val="center"/>
          </w:tcPr>
          <w:p w14:paraId="7F845070" w14:textId="3B6122EF" w:rsidR="00921E18" w:rsidRPr="00D105C8" w:rsidRDefault="00921E18" w:rsidP="007510B2">
            <w:pPr>
              <w:jc w:val="center"/>
              <w:rPr>
                <w:sz w:val="21"/>
                <w:szCs w:val="21"/>
                <w:vertAlign w:val="superscript"/>
              </w:rPr>
            </w:pPr>
            <w:r w:rsidRPr="00D105C8">
              <w:rPr>
                <w:color w:val="000000"/>
                <w:sz w:val="21"/>
                <w:szCs w:val="21"/>
              </w:rPr>
              <w:t xml:space="preserve">12.9 </w:t>
            </w:r>
            <w:r w:rsidRPr="00D105C8">
              <w:rPr>
                <w:color w:val="202124"/>
                <w:sz w:val="21"/>
                <w:szCs w:val="21"/>
                <w:shd w:val="clear" w:color="auto" w:fill="FFFFFF"/>
              </w:rPr>
              <w:t>± 2.9</w:t>
            </w:r>
            <w:r w:rsidRPr="00D105C8">
              <w:rPr>
                <w:color w:val="202124"/>
                <w:sz w:val="21"/>
                <w:szCs w:val="21"/>
                <w:shd w:val="clear" w:color="auto" w:fill="FFFFFF"/>
                <w:vertAlign w:val="superscript"/>
              </w:rPr>
              <w:t>f</w:t>
            </w:r>
          </w:p>
        </w:tc>
        <w:tc>
          <w:tcPr>
            <w:tcW w:w="1267" w:type="dxa"/>
            <w:shd w:val="clear" w:color="auto" w:fill="auto"/>
            <w:vAlign w:val="center"/>
          </w:tcPr>
          <w:p w14:paraId="120EE328" w14:textId="7FE0EA9D" w:rsidR="00921E18" w:rsidRPr="00D105C8" w:rsidRDefault="00921E18" w:rsidP="007510B2">
            <w:pPr>
              <w:jc w:val="center"/>
              <w:rPr>
                <w:sz w:val="21"/>
                <w:szCs w:val="21"/>
                <w:vertAlign w:val="superscript"/>
              </w:rPr>
            </w:pPr>
            <w:r w:rsidRPr="00D105C8">
              <w:rPr>
                <w:color w:val="000000"/>
                <w:sz w:val="21"/>
                <w:szCs w:val="21"/>
              </w:rPr>
              <w:t xml:space="preserve">60.5 </w:t>
            </w:r>
            <w:r w:rsidRPr="00D105C8">
              <w:rPr>
                <w:color w:val="202124"/>
                <w:sz w:val="21"/>
                <w:szCs w:val="21"/>
                <w:shd w:val="clear" w:color="auto" w:fill="FFFFFF"/>
              </w:rPr>
              <w:t>± 2.3</w:t>
            </w:r>
            <w:r w:rsidRPr="00D105C8">
              <w:rPr>
                <w:color w:val="202124"/>
                <w:sz w:val="21"/>
                <w:szCs w:val="21"/>
                <w:shd w:val="clear" w:color="auto" w:fill="FFFFFF"/>
                <w:vertAlign w:val="superscript"/>
              </w:rPr>
              <w:t>a</w:t>
            </w:r>
          </w:p>
        </w:tc>
      </w:tr>
      <w:tr w:rsidR="00921E18" w14:paraId="0A2BC323" w14:textId="77777777" w:rsidTr="00A3545D">
        <w:tc>
          <w:tcPr>
            <w:tcW w:w="2547" w:type="dxa"/>
          </w:tcPr>
          <w:p w14:paraId="4367D6E9" w14:textId="5017183D" w:rsidR="00921E18" w:rsidRDefault="00921E18" w:rsidP="007510B2">
            <w:r w:rsidRPr="00C56CF3">
              <w:t>Extractable P (mg P kg</w:t>
            </w:r>
            <w:r w:rsidRPr="00E91387">
              <w:rPr>
                <w:vertAlign w:val="superscript"/>
              </w:rPr>
              <w:t>−1</w:t>
            </w:r>
            <w:r w:rsidRPr="00C56CF3">
              <w:t>)</w:t>
            </w:r>
          </w:p>
        </w:tc>
        <w:tc>
          <w:tcPr>
            <w:tcW w:w="1266" w:type="dxa"/>
            <w:shd w:val="clear" w:color="auto" w:fill="auto"/>
            <w:vAlign w:val="center"/>
          </w:tcPr>
          <w:p w14:paraId="01AC83D6" w14:textId="23D3EB0F" w:rsidR="00921E18" w:rsidRPr="00D105C8" w:rsidRDefault="00921E18" w:rsidP="007510B2">
            <w:pPr>
              <w:jc w:val="center"/>
              <w:rPr>
                <w:sz w:val="21"/>
                <w:szCs w:val="21"/>
                <w:vertAlign w:val="superscript"/>
              </w:rPr>
            </w:pPr>
            <w:r w:rsidRPr="00D105C8">
              <w:rPr>
                <w:color w:val="000000"/>
                <w:sz w:val="21"/>
                <w:szCs w:val="21"/>
              </w:rPr>
              <w:t xml:space="preserve">10.1 </w:t>
            </w:r>
            <w:r w:rsidRPr="00D105C8">
              <w:rPr>
                <w:color w:val="202124"/>
                <w:sz w:val="21"/>
                <w:szCs w:val="21"/>
                <w:shd w:val="clear" w:color="auto" w:fill="FFFFFF"/>
              </w:rPr>
              <w:t>± 2.4</w:t>
            </w:r>
            <w:r w:rsidRPr="00D105C8">
              <w:rPr>
                <w:color w:val="202124"/>
                <w:sz w:val="21"/>
                <w:szCs w:val="21"/>
                <w:shd w:val="clear" w:color="auto" w:fill="FFFFFF"/>
                <w:vertAlign w:val="superscript"/>
              </w:rPr>
              <w:t>a</w:t>
            </w:r>
          </w:p>
        </w:tc>
        <w:tc>
          <w:tcPr>
            <w:tcW w:w="1266" w:type="dxa"/>
            <w:shd w:val="clear" w:color="auto" w:fill="auto"/>
            <w:vAlign w:val="center"/>
          </w:tcPr>
          <w:p w14:paraId="524A5E64" w14:textId="7BCF6B1E" w:rsidR="00921E18" w:rsidRPr="00D105C8" w:rsidRDefault="00EA2DB4" w:rsidP="007510B2">
            <w:pPr>
              <w:jc w:val="center"/>
              <w:rPr>
                <w:sz w:val="21"/>
                <w:szCs w:val="21"/>
                <w:vertAlign w:val="superscript"/>
              </w:rPr>
            </w:pPr>
            <w:r>
              <w:rPr>
                <w:color w:val="000000"/>
                <w:sz w:val="21"/>
                <w:szCs w:val="21"/>
              </w:rPr>
              <w:t>1.0</w:t>
            </w:r>
            <w:r w:rsidR="00921E18" w:rsidRPr="00D105C8">
              <w:rPr>
                <w:color w:val="000000"/>
                <w:sz w:val="21"/>
                <w:szCs w:val="21"/>
              </w:rPr>
              <w:t xml:space="preserve"> </w:t>
            </w:r>
            <w:r w:rsidR="00921E18" w:rsidRPr="00D105C8">
              <w:rPr>
                <w:color w:val="202124"/>
                <w:sz w:val="21"/>
                <w:szCs w:val="21"/>
                <w:shd w:val="clear" w:color="auto" w:fill="FFFFFF"/>
              </w:rPr>
              <w:t>± 0.9</w:t>
            </w:r>
            <w:r w:rsidR="00921E18" w:rsidRPr="00D105C8">
              <w:rPr>
                <w:color w:val="202124"/>
                <w:sz w:val="21"/>
                <w:szCs w:val="21"/>
                <w:shd w:val="clear" w:color="auto" w:fill="FFFFFF"/>
                <w:vertAlign w:val="superscript"/>
              </w:rPr>
              <w:t>abc</w:t>
            </w:r>
          </w:p>
        </w:tc>
        <w:tc>
          <w:tcPr>
            <w:tcW w:w="1266" w:type="dxa"/>
            <w:shd w:val="clear" w:color="auto" w:fill="auto"/>
            <w:vAlign w:val="center"/>
          </w:tcPr>
          <w:p w14:paraId="0A13FE45" w14:textId="4AD6B5A4" w:rsidR="00921E18" w:rsidRPr="00D105C8" w:rsidRDefault="00921E18" w:rsidP="007510B2">
            <w:pPr>
              <w:jc w:val="center"/>
              <w:rPr>
                <w:sz w:val="21"/>
                <w:szCs w:val="21"/>
                <w:vertAlign w:val="superscript"/>
              </w:rPr>
            </w:pPr>
            <w:r w:rsidRPr="00D105C8">
              <w:rPr>
                <w:color w:val="000000"/>
                <w:sz w:val="21"/>
                <w:szCs w:val="21"/>
              </w:rPr>
              <w:t xml:space="preserve">0.0 </w:t>
            </w:r>
            <w:r w:rsidRPr="00D105C8">
              <w:rPr>
                <w:color w:val="202124"/>
                <w:sz w:val="21"/>
                <w:szCs w:val="21"/>
                <w:shd w:val="clear" w:color="auto" w:fill="FFFFFF"/>
              </w:rPr>
              <w:t>± 0.0</w:t>
            </w:r>
            <w:r w:rsidRPr="00D105C8">
              <w:rPr>
                <w:color w:val="202124"/>
                <w:sz w:val="21"/>
                <w:szCs w:val="21"/>
                <w:shd w:val="clear" w:color="auto" w:fill="FFFFFF"/>
                <w:vertAlign w:val="superscript"/>
              </w:rPr>
              <w:t>c</w:t>
            </w:r>
          </w:p>
        </w:tc>
        <w:tc>
          <w:tcPr>
            <w:tcW w:w="1267" w:type="dxa"/>
            <w:shd w:val="clear" w:color="auto" w:fill="auto"/>
            <w:vAlign w:val="center"/>
          </w:tcPr>
          <w:p w14:paraId="3C0E62AD" w14:textId="5149DC90" w:rsidR="00921E18" w:rsidRPr="00D105C8" w:rsidRDefault="00921E18" w:rsidP="007510B2">
            <w:pPr>
              <w:jc w:val="center"/>
              <w:rPr>
                <w:sz w:val="21"/>
                <w:szCs w:val="21"/>
                <w:vertAlign w:val="superscript"/>
              </w:rPr>
            </w:pPr>
            <w:r w:rsidRPr="00D105C8">
              <w:rPr>
                <w:color w:val="000000"/>
                <w:sz w:val="21"/>
                <w:szCs w:val="21"/>
              </w:rPr>
              <w:t xml:space="preserve">1.1 </w:t>
            </w:r>
            <w:r w:rsidRPr="00D105C8">
              <w:rPr>
                <w:color w:val="202124"/>
                <w:sz w:val="21"/>
                <w:szCs w:val="21"/>
                <w:shd w:val="clear" w:color="auto" w:fill="FFFFFF"/>
              </w:rPr>
              <w:t>± 0.</w:t>
            </w:r>
            <w:r w:rsidR="00EA2DB4">
              <w:rPr>
                <w:color w:val="202124"/>
                <w:sz w:val="21"/>
                <w:szCs w:val="21"/>
                <w:shd w:val="clear" w:color="auto" w:fill="FFFFFF"/>
              </w:rPr>
              <w:t>5</w:t>
            </w:r>
            <w:r w:rsidRPr="00D105C8">
              <w:rPr>
                <w:color w:val="202124"/>
                <w:sz w:val="21"/>
                <w:szCs w:val="21"/>
                <w:shd w:val="clear" w:color="auto" w:fill="FFFFFF"/>
                <w:vertAlign w:val="superscript"/>
              </w:rPr>
              <w:t>abc</w:t>
            </w:r>
          </w:p>
        </w:tc>
        <w:tc>
          <w:tcPr>
            <w:tcW w:w="1266" w:type="dxa"/>
            <w:shd w:val="clear" w:color="auto" w:fill="auto"/>
            <w:vAlign w:val="center"/>
          </w:tcPr>
          <w:p w14:paraId="0EEC56E0" w14:textId="2F1AE962" w:rsidR="00921E18" w:rsidRPr="00D105C8" w:rsidRDefault="00921E18" w:rsidP="007510B2">
            <w:pPr>
              <w:jc w:val="center"/>
              <w:rPr>
                <w:sz w:val="21"/>
                <w:szCs w:val="21"/>
                <w:vertAlign w:val="superscript"/>
              </w:rPr>
            </w:pPr>
            <w:r w:rsidRPr="00D105C8">
              <w:rPr>
                <w:color w:val="000000"/>
                <w:sz w:val="21"/>
                <w:szCs w:val="21"/>
              </w:rPr>
              <w:t xml:space="preserve">0.0 </w:t>
            </w:r>
            <w:r w:rsidRPr="00D105C8">
              <w:rPr>
                <w:color w:val="202124"/>
                <w:sz w:val="21"/>
                <w:szCs w:val="21"/>
                <w:shd w:val="clear" w:color="auto" w:fill="FFFFFF"/>
              </w:rPr>
              <w:t>± 0.0</w:t>
            </w:r>
            <w:r w:rsidRPr="00D105C8">
              <w:rPr>
                <w:color w:val="202124"/>
                <w:sz w:val="21"/>
                <w:szCs w:val="21"/>
                <w:shd w:val="clear" w:color="auto" w:fill="FFFFFF"/>
                <w:vertAlign w:val="superscript"/>
              </w:rPr>
              <w:t>c</w:t>
            </w:r>
          </w:p>
        </w:tc>
        <w:tc>
          <w:tcPr>
            <w:tcW w:w="1266" w:type="dxa"/>
            <w:shd w:val="clear" w:color="auto" w:fill="auto"/>
            <w:vAlign w:val="center"/>
          </w:tcPr>
          <w:p w14:paraId="1BCD828E" w14:textId="5331A745" w:rsidR="00921E18" w:rsidRPr="00D105C8" w:rsidRDefault="00921E18" w:rsidP="007510B2">
            <w:pPr>
              <w:jc w:val="center"/>
              <w:rPr>
                <w:sz w:val="21"/>
                <w:szCs w:val="21"/>
                <w:vertAlign w:val="superscript"/>
              </w:rPr>
            </w:pPr>
            <w:r w:rsidRPr="00D105C8">
              <w:rPr>
                <w:color w:val="000000"/>
                <w:sz w:val="21"/>
                <w:szCs w:val="21"/>
              </w:rPr>
              <w:t>0.</w:t>
            </w:r>
            <w:r w:rsidR="00EA2DB4">
              <w:rPr>
                <w:color w:val="000000"/>
                <w:sz w:val="21"/>
                <w:szCs w:val="21"/>
              </w:rPr>
              <w:t>1</w:t>
            </w:r>
            <w:r w:rsidRPr="00D105C8">
              <w:rPr>
                <w:color w:val="000000"/>
                <w:sz w:val="21"/>
                <w:szCs w:val="21"/>
              </w:rPr>
              <w:t xml:space="preserve"> </w:t>
            </w:r>
            <w:r w:rsidRPr="00D105C8">
              <w:rPr>
                <w:color w:val="202124"/>
                <w:sz w:val="21"/>
                <w:szCs w:val="21"/>
                <w:shd w:val="clear" w:color="auto" w:fill="FFFFFF"/>
              </w:rPr>
              <w:t>± 0.</w:t>
            </w:r>
            <w:r w:rsidR="00EA2DB4">
              <w:rPr>
                <w:color w:val="202124"/>
                <w:sz w:val="21"/>
                <w:szCs w:val="21"/>
                <w:shd w:val="clear" w:color="auto" w:fill="FFFFFF"/>
              </w:rPr>
              <w:t>1</w:t>
            </w:r>
            <w:r w:rsidRPr="00D105C8">
              <w:rPr>
                <w:color w:val="202124"/>
                <w:sz w:val="21"/>
                <w:szCs w:val="21"/>
                <w:shd w:val="clear" w:color="auto" w:fill="FFFFFF"/>
                <w:vertAlign w:val="superscript"/>
              </w:rPr>
              <w:t>c</w:t>
            </w:r>
          </w:p>
        </w:tc>
        <w:tc>
          <w:tcPr>
            <w:tcW w:w="1266" w:type="dxa"/>
            <w:shd w:val="clear" w:color="auto" w:fill="auto"/>
            <w:vAlign w:val="center"/>
          </w:tcPr>
          <w:p w14:paraId="36163763" w14:textId="59ACB9C1" w:rsidR="00921E18" w:rsidRPr="00D105C8" w:rsidRDefault="00921E18" w:rsidP="007510B2">
            <w:pPr>
              <w:jc w:val="center"/>
              <w:rPr>
                <w:sz w:val="21"/>
                <w:szCs w:val="21"/>
                <w:vertAlign w:val="superscript"/>
              </w:rPr>
            </w:pPr>
            <w:r w:rsidRPr="00D105C8">
              <w:rPr>
                <w:color w:val="000000"/>
                <w:sz w:val="21"/>
                <w:szCs w:val="21"/>
              </w:rPr>
              <w:t xml:space="preserve">8.1 </w:t>
            </w:r>
            <w:r w:rsidRPr="00D105C8">
              <w:rPr>
                <w:color w:val="202124"/>
                <w:sz w:val="21"/>
                <w:szCs w:val="21"/>
                <w:shd w:val="clear" w:color="auto" w:fill="FFFFFF"/>
              </w:rPr>
              <w:t>± 5.</w:t>
            </w:r>
            <w:r w:rsidR="00EA2DB4">
              <w:rPr>
                <w:color w:val="202124"/>
                <w:sz w:val="21"/>
                <w:szCs w:val="21"/>
                <w:shd w:val="clear" w:color="auto" w:fill="FFFFFF"/>
              </w:rPr>
              <w:t>4</w:t>
            </w:r>
            <w:r w:rsidRPr="00D105C8">
              <w:rPr>
                <w:color w:val="202124"/>
                <w:sz w:val="21"/>
                <w:szCs w:val="21"/>
                <w:shd w:val="clear" w:color="auto" w:fill="FFFFFF"/>
                <w:vertAlign w:val="superscript"/>
              </w:rPr>
              <w:t>ab</w:t>
            </w:r>
          </w:p>
        </w:tc>
        <w:tc>
          <w:tcPr>
            <w:tcW w:w="1267" w:type="dxa"/>
            <w:shd w:val="clear" w:color="auto" w:fill="auto"/>
            <w:vAlign w:val="center"/>
          </w:tcPr>
          <w:p w14:paraId="0D57947B" w14:textId="0108B0DA" w:rsidR="00921E18" w:rsidRPr="00D105C8" w:rsidRDefault="00921E18" w:rsidP="007510B2">
            <w:pPr>
              <w:jc w:val="center"/>
              <w:rPr>
                <w:sz w:val="21"/>
                <w:szCs w:val="21"/>
                <w:vertAlign w:val="superscript"/>
              </w:rPr>
            </w:pPr>
            <w:r w:rsidRPr="00D105C8">
              <w:rPr>
                <w:color w:val="000000"/>
                <w:sz w:val="21"/>
                <w:szCs w:val="21"/>
              </w:rPr>
              <w:t>0.</w:t>
            </w:r>
            <w:r w:rsidR="00EA2DB4">
              <w:rPr>
                <w:color w:val="000000"/>
                <w:sz w:val="21"/>
                <w:szCs w:val="21"/>
              </w:rPr>
              <w:t>5</w:t>
            </w:r>
            <w:r w:rsidRPr="00D105C8">
              <w:rPr>
                <w:color w:val="000000"/>
                <w:sz w:val="21"/>
                <w:szCs w:val="21"/>
              </w:rPr>
              <w:t xml:space="preserve"> </w:t>
            </w:r>
            <w:r w:rsidRPr="00D105C8">
              <w:rPr>
                <w:color w:val="202124"/>
                <w:sz w:val="21"/>
                <w:szCs w:val="21"/>
                <w:shd w:val="clear" w:color="auto" w:fill="FFFFFF"/>
              </w:rPr>
              <w:t>± 0.</w:t>
            </w:r>
            <w:r w:rsidR="00EA2DB4">
              <w:rPr>
                <w:color w:val="202124"/>
                <w:sz w:val="21"/>
                <w:szCs w:val="21"/>
                <w:shd w:val="clear" w:color="auto" w:fill="FFFFFF"/>
              </w:rPr>
              <w:t>4</w:t>
            </w:r>
            <w:r w:rsidRPr="00D105C8">
              <w:rPr>
                <w:color w:val="202124"/>
                <w:sz w:val="21"/>
                <w:szCs w:val="21"/>
                <w:shd w:val="clear" w:color="auto" w:fill="FFFFFF"/>
                <w:vertAlign w:val="superscript"/>
              </w:rPr>
              <w:t>abc</w:t>
            </w:r>
          </w:p>
        </w:tc>
        <w:tc>
          <w:tcPr>
            <w:tcW w:w="1266" w:type="dxa"/>
            <w:shd w:val="clear" w:color="auto" w:fill="auto"/>
            <w:vAlign w:val="center"/>
          </w:tcPr>
          <w:p w14:paraId="73E7D90B" w14:textId="4E19B310" w:rsidR="00921E18" w:rsidRPr="00D105C8" w:rsidRDefault="00921E18" w:rsidP="007510B2">
            <w:pPr>
              <w:jc w:val="center"/>
              <w:rPr>
                <w:sz w:val="21"/>
                <w:szCs w:val="21"/>
                <w:vertAlign w:val="superscript"/>
              </w:rPr>
            </w:pPr>
            <w:r w:rsidRPr="00D105C8">
              <w:rPr>
                <w:color w:val="000000"/>
                <w:sz w:val="21"/>
                <w:szCs w:val="21"/>
              </w:rPr>
              <w:t>0.</w:t>
            </w:r>
            <w:r w:rsidR="00EA2DB4">
              <w:rPr>
                <w:color w:val="000000"/>
                <w:sz w:val="21"/>
                <w:szCs w:val="21"/>
              </w:rPr>
              <w:t>4</w:t>
            </w:r>
            <w:r w:rsidRPr="00D105C8">
              <w:rPr>
                <w:color w:val="000000"/>
                <w:sz w:val="21"/>
                <w:szCs w:val="21"/>
              </w:rPr>
              <w:t xml:space="preserve"> </w:t>
            </w:r>
            <w:r w:rsidRPr="00D105C8">
              <w:rPr>
                <w:color w:val="202124"/>
                <w:sz w:val="21"/>
                <w:szCs w:val="21"/>
                <w:shd w:val="clear" w:color="auto" w:fill="FFFFFF"/>
              </w:rPr>
              <w:t>± 0.</w:t>
            </w:r>
            <w:r w:rsidR="00EA2DB4">
              <w:rPr>
                <w:color w:val="202124"/>
                <w:sz w:val="21"/>
                <w:szCs w:val="21"/>
                <w:shd w:val="clear" w:color="auto" w:fill="FFFFFF"/>
              </w:rPr>
              <w:t>4</w:t>
            </w:r>
            <w:r w:rsidRPr="00D105C8">
              <w:rPr>
                <w:color w:val="202124"/>
                <w:sz w:val="21"/>
                <w:szCs w:val="21"/>
                <w:shd w:val="clear" w:color="auto" w:fill="FFFFFF"/>
                <w:vertAlign w:val="superscript"/>
              </w:rPr>
              <w:t>bc</w:t>
            </w:r>
          </w:p>
        </w:tc>
        <w:tc>
          <w:tcPr>
            <w:tcW w:w="1266" w:type="dxa"/>
            <w:shd w:val="clear" w:color="auto" w:fill="auto"/>
            <w:vAlign w:val="center"/>
          </w:tcPr>
          <w:p w14:paraId="207E7B33" w14:textId="1563169C" w:rsidR="00921E18" w:rsidRPr="00D105C8" w:rsidRDefault="00921E18" w:rsidP="007510B2">
            <w:pPr>
              <w:jc w:val="center"/>
              <w:rPr>
                <w:sz w:val="21"/>
                <w:szCs w:val="21"/>
                <w:vertAlign w:val="superscript"/>
              </w:rPr>
            </w:pPr>
            <w:r w:rsidRPr="00D105C8">
              <w:rPr>
                <w:color w:val="000000"/>
                <w:sz w:val="21"/>
                <w:szCs w:val="21"/>
              </w:rPr>
              <w:t>0.</w:t>
            </w:r>
            <w:r w:rsidR="00EA2DB4">
              <w:rPr>
                <w:color w:val="000000"/>
                <w:sz w:val="21"/>
                <w:szCs w:val="21"/>
              </w:rPr>
              <w:t>3</w:t>
            </w:r>
            <w:r w:rsidRPr="00D105C8">
              <w:rPr>
                <w:color w:val="000000"/>
                <w:sz w:val="21"/>
                <w:szCs w:val="21"/>
              </w:rPr>
              <w:t xml:space="preserve"> </w:t>
            </w:r>
            <w:r w:rsidRPr="00D105C8">
              <w:rPr>
                <w:color w:val="202124"/>
                <w:sz w:val="21"/>
                <w:szCs w:val="21"/>
                <w:shd w:val="clear" w:color="auto" w:fill="FFFFFF"/>
              </w:rPr>
              <w:t>± 0.</w:t>
            </w:r>
            <w:r w:rsidR="00EA2DB4">
              <w:rPr>
                <w:color w:val="202124"/>
                <w:sz w:val="21"/>
                <w:szCs w:val="21"/>
                <w:shd w:val="clear" w:color="auto" w:fill="FFFFFF"/>
              </w:rPr>
              <w:t>3</w:t>
            </w:r>
            <w:r w:rsidRPr="00D105C8">
              <w:rPr>
                <w:color w:val="202124"/>
                <w:sz w:val="21"/>
                <w:szCs w:val="21"/>
                <w:shd w:val="clear" w:color="auto" w:fill="FFFFFF"/>
                <w:vertAlign w:val="superscript"/>
              </w:rPr>
              <w:t>bc</w:t>
            </w:r>
          </w:p>
        </w:tc>
        <w:tc>
          <w:tcPr>
            <w:tcW w:w="1266" w:type="dxa"/>
            <w:shd w:val="clear" w:color="auto" w:fill="auto"/>
            <w:vAlign w:val="center"/>
          </w:tcPr>
          <w:p w14:paraId="2F492547" w14:textId="240A1A8E" w:rsidR="00921E18" w:rsidRPr="00D105C8" w:rsidRDefault="00921E18" w:rsidP="007510B2">
            <w:pPr>
              <w:jc w:val="center"/>
              <w:rPr>
                <w:sz w:val="21"/>
                <w:szCs w:val="21"/>
                <w:vertAlign w:val="superscript"/>
              </w:rPr>
            </w:pPr>
            <w:r w:rsidRPr="00D105C8">
              <w:rPr>
                <w:color w:val="000000"/>
                <w:sz w:val="21"/>
                <w:szCs w:val="21"/>
              </w:rPr>
              <w:t xml:space="preserve">0.3 </w:t>
            </w:r>
            <w:r w:rsidRPr="00D105C8">
              <w:rPr>
                <w:color w:val="202124"/>
                <w:sz w:val="21"/>
                <w:szCs w:val="21"/>
                <w:shd w:val="clear" w:color="auto" w:fill="FFFFFF"/>
              </w:rPr>
              <w:t>± 0.3</w:t>
            </w:r>
            <w:r w:rsidRPr="00D105C8">
              <w:rPr>
                <w:color w:val="202124"/>
                <w:sz w:val="21"/>
                <w:szCs w:val="21"/>
                <w:shd w:val="clear" w:color="auto" w:fill="FFFFFF"/>
                <w:vertAlign w:val="superscript"/>
              </w:rPr>
              <w:t>bc</w:t>
            </w:r>
          </w:p>
        </w:tc>
        <w:tc>
          <w:tcPr>
            <w:tcW w:w="1267" w:type="dxa"/>
            <w:shd w:val="clear" w:color="auto" w:fill="auto"/>
            <w:vAlign w:val="center"/>
          </w:tcPr>
          <w:p w14:paraId="2427CECA" w14:textId="1AC62956" w:rsidR="00921E18" w:rsidRPr="00D105C8" w:rsidRDefault="00921E18" w:rsidP="007510B2">
            <w:pPr>
              <w:jc w:val="center"/>
              <w:rPr>
                <w:color w:val="202124"/>
                <w:sz w:val="21"/>
                <w:szCs w:val="21"/>
                <w:shd w:val="clear" w:color="auto" w:fill="FFFFFF"/>
                <w:vertAlign w:val="superscript"/>
              </w:rPr>
            </w:pPr>
            <w:r w:rsidRPr="00D105C8">
              <w:rPr>
                <w:color w:val="000000"/>
                <w:sz w:val="21"/>
                <w:szCs w:val="21"/>
              </w:rPr>
              <w:t xml:space="preserve">0.0 </w:t>
            </w:r>
            <w:r w:rsidRPr="00D105C8">
              <w:rPr>
                <w:color w:val="202124"/>
                <w:sz w:val="21"/>
                <w:szCs w:val="21"/>
                <w:shd w:val="clear" w:color="auto" w:fill="FFFFFF"/>
              </w:rPr>
              <w:t>± 0.0</w:t>
            </w:r>
            <w:r w:rsidRPr="00D105C8">
              <w:rPr>
                <w:color w:val="202124"/>
                <w:sz w:val="21"/>
                <w:szCs w:val="21"/>
                <w:shd w:val="clear" w:color="auto" w:fill="FFFFFF"/>
                <w:vertAlign w:val="superscript"/>
              </w:rPr>
              <w:t>c</w:t>
            </w:r>
          </w:p>
        </w:tc>
        <w:tc>
          <w:tcPr>
            <w:tcW w:w="1266" w:type="dxa"/>
            <w:shd w:val="clear" w:color="auto" w:fill="auto"/>
            <w:vAlign w:val="center"/>
          </w:tcPr>
          <w:p w14:paraId="2634E57D" w14:textId="32F3CA41" w:rsidR="00921E18" w:rsidRPr="00D105C8" w:rsidRDefault="00921E18" w:rsidP="007510B2">
            <w:pPr>
              <w:jc w:val="center"/>
              <w:rPr>
                <w:sz w:val="21"/>
                <w:szCs w:val="21"/>
                <w:vertAlign w:val="superscript"/>
              </w:rPr>
            </w:pPr>
            <w:r w:rsidRPr="00D105C8">
              <w:rPr>
                <w:color w:val="000000"/>
                <w:sz w:val="21"/>
                <w:szCs w:val="21"/>
              </w:rPr>
              <w:t xml:space="preserve">0.0 </w:t>
            </w:r>
            <w:r w:rsidRPr="00D105C8">
              <w:rPr>
                <w:color w:val="202124"/>
                <w:sz w:val="21"/>
                <w:szCs w:val="21"/>
                <w:shd w:val="clear" w:color="auto" w:fill="FFFFFF"/>
              </w:rPr>
              <w:t>± 0.0</w:t>
            </w:r>
            <w:r w:rsidRPr="00D105C8">
              <w:rPr>
                <w:color w:val="202124"/>
                <w:sz w:val="21"/>
                <w:szCs w:val="21"/>
                <w:shd w:val="clear" w:color="auto" w:fill="FFFFFF"/>
                <w:vertAlign w:val="superscript"/>
              </w:rPr>
              <w:t>c</w:t>
            </w:r>
          </w:p>
        </w:tc>
        <w:tc>
          <w:tcPr>
            <w:tcW w:w="1266" w:type="dxa"/>
            <w:shd w:val="clear" w:color="auto" w:fill="auto"/>
            <w:vAlign w:val="center"/>
          </w:tcPr>
          <w:p w14:paraId="5654B889" w14:textId="1C80CAC0" w:rsidR="00921E18" w:rsidRPr="00D105C8" w:rsidRDefault="00921E18" w:rsidP="007510B2">
            <w:pPr>
              <w:jc w:val="center"/>
              <w:rPr>
                <w:sz w:val="21"/>
                <w:szCs w:val="21"/>
                <w:vertAlign w:val="superscript"/>
              </w:rPr>
            </w:pPr>
            <w:r w:rsidRPr="00D105C8">
              <w:rPr>
                <w:color w:val="000000"/>
                <w:sz w:val="21"/>
                <w:szCs w:val="21"/>
              </w:rPr>
              <w:t xml:space="preserve">0.0 </w:t>
            </w:r>
            <w:r w:rsidRPr="00D105C8">
              <w:rPr>
                <w:color w:val="202124"/>
                <w:sz w:val="21"/>
                <w:szCs w:val="21"/>
                <w:shd w:val="clear" w:color="auto" w:fill="FFFFFF"/>
              </w:rPr>
              <w:t>± 0.0</w:t>
            </w:r>
            <w:r w:rsidRPr="00D105C8">
              <w:rPr>
                <w:color w:val="202124"/>
                <w:sz w:val="21"/>
                <w:szCs w:val="21"/>
                <w:shd w:val="clear" w:color="auto" w:fill="FFFFFF"/>
                <w:vertAlign w:val="superscript"/>
              </w:rPr>
              <w:t>c</w:t>
            </w:r>
          </w:p>
        </w:tc>
        <w:tc>
          <w:tcPr>
            <w:tcW w:w="1267" w:type="dxa"/>
            <w:shd w:val="clear" w:color="auto" w:fill="auto"/>
            <w:vAlign w:val="center"/>
          </w:tcPr>
          <w:p w14:paraId="0B384E98" w14:textId="797A56A0" w:rsidR="00921E18" w:rsidRPr="00D105C8" w:rsidRDefault="00921E18" w:rsidP="007510B2">
            <w:pPr>
              <w:jc w:val="center"/>
              <w:rPr>
                <w:sz w:val="21"/>
                <w:szCs w:val="21"/>
                <w:vertAlign w:val="superscript"/>
              </w:rPr>
            </w:pPr>
            <w:r w:rsidRPr="00D105C8">
              <w:rPr>
                <w:color w:val="000000"/>
                <w:sz w:val="21"/>
                <w:szCs w:val="21"/>
              </w:rPr>
              <w:t>0.</w:t>
            </w:r>
            <w:r w:rsidR="00EA2DB4">
              <w:rPr>
                <w:color w:val="000000"/>
                <w:sz w:val="21"/>
                <w:szCs w:val="21"/>
              </w:rPr>
              <w:t>0</w:t>
            </w:r>
            <w:r w:rsidRPr="00D105C8">
              <w:rPr>
                <w:color w:val="000000"/>
                <w:sz w:val="21"/>
                <w:szCs w:val="21"/>
              </w:rPr>
              <w:t xml:space="preserve"> </w:t>
            </w:r>
            <w:r w:rsidRPr="00D105C8">
              <w:rPr>
                <w:color w:val="202124"/>
                <w:sz w:val="21"/>
                <w:szCs w:val="21"/>
                <w:shd w:val="clear" w:color="auto" w:fill="FFFFFF"/>
              </w:rPr>
              <w:t>± 0.</w:t>
            </w:r>
            <w:r w:rsidR="00EA2DB4">
              <w:rPr>
                <w:color w:val="202124"/>
                <w:sz w:val="21"/>
                <w:szCs w:val="21"/>
                <w:shd w:val="clear" w:color="auto" w:fill="FFFFFF"/>
              </w:rPr>
              <w:t>0</w:t>
            </w:r>
            <w:r w:rsidRPr="00D105C8">
              <w:rPr>
                <w:color w:val="202124"/>
                <w:sz w:val="21"/>
                <w:szCs w:val="21"/>
                <w:shd w:val="clear" w:color="auto" w:fill="FFFFFF"/>
                <w:vertAlign w:val="superscript"/>
              </w:rPr>
              <w:t>c</w:t>
            </w:r>
          </w:p>
        </w:tc>
      </w:tr>
      <w:tr w:rsidR="00921E18" w14:paraId="6ED93BE0" w14:textId="77777777" w:rsidTr="00A3545D">
        <w:tc>
          <w:tcPr>
            <w:tcW w:w="2547" w:type="dxa"/>
          </w:tcPr>
          <w:p w14:paraId="4BE9C5BE" w14:textId="0491645F" w:rsidR="00921E18" w:rsidRDefault="00921E18" w:rsidP="007510B2">
            <w:r w:rsidRPr="005E682B">
              <w:t>C:N ratio</w:t>
            </w:r>
          </w:p>
        </w:tc>
        <w:tc>
          <w:tcPr>
            <w:tcW w:w="1266" w:type="dxa"/>
            <w:shd w:val="clear" w:color="auto" w:fill="auto"/>
            <w:vAlign w:val="center"/>
          </w:tcPr>
          <w:p w14:paraId="6253F46B" w14:textId="715E4266" w:rsidR="00921E18" w:rsidRPr="00D105C8" w:rsidRDefault="00921E18" w:rsidP="007510B2">
            <w:pPr>
              <w:jc w:val="center"/>
              <w:rPr>
                <w:sz w:val="21"/>
                <w:szCs w:val="21"/>
                <w:vertAlign w:val="superscript"/>
              </w:rPr>
            </w:pPr>
            <w:r w:rsidRPr="00D105C8">
              <w:rPr>
                <w:color w:val="000000"/>
                <w:sz w:val="21"/>
                <w:szCs w:val="21"/>
              </w:rPr>
              <w:t>1</w:t>
            </w:r>
            <w:r w:rsidR="00B03183">
              <w:rPr>
                <w:color w:val="000000"/>
                <w:sz w:val="21"/>
                <w:szCs w:val="21"/>
              </w:rPr>
              <w:t>1</w:t>
            </w:r>
            <w:r w:rsidRPr="00D105C8">
              <w:rPr>
                <w:color w:val="000000"/>
                <w:sz w:val="21"/>
                <w:szCs w:val="21"/>
              </w:rPr>
              <w:t xml:space="preserve"> </w:t>
            </w:r>
            <w:r w:rsidRPr="00D105C8">
              <w:rPr>
                <w:color w:val="202124"/>
                <w:sz w:val="21"/>
                <w:szCs w:val="21"/>
                <w:shd w:val="clear" w:color="auto" w:fill="FFFFFF"/>
              </w:rPr>
              <w:t>± 0</w:t>
            </w:r>
            <w:r w:rsidRPr="00D105C8">
              <w:rPr>
                <w:color w:val="202124"/>
                <w:sz w:val="21"/>
                <w:szCs w:val="21"/>
                <w:shd w:val="clear" w:color="auto" w:fill="FFFFFF"/>
                <w:vertAlign w:val="superscript"/>
              </w:rPr>
              <w:t>abc</w:t>
            </w:r>
          </w:p>
        </w:tc>
        <w:tc>
          <w:tcPr>
            <w:tcW w:w="1266" w:type="dxa"/>
            <w:shd w:val="clear" w:color="auto" w:fill="auto"/>
            <w:vAlign w:val="center"/>
          </w:tcPr>
          <w:p w14:paraId="49D4AA60" w14:textId="16389397" w:rsidR="00921E18" w:rsidRPr="00D105C8" w:rsidRDefault="00B03183" w:rsidP="007510B2">
            <w:pPr>
              <w:jc w:val="center"/>
              <w:rPr>
                <w:sz w:val="21"/>
                <w:szCs w:val="21"/>
                <w:vertAlign w:val="superscript"/>
              </w:rPr>
            </w:pPr>
            <w:r>
              <w:rPr>
                <w:color w:val="000000"/>
                <w:sz w:val="21"/>
                <w:szCs w:val="21"/>
              </w:rPr>
              <w:t>10</w:t>
            </w:r>
            <w:r w:rsidR="00921E18" w:rsidRPr="00D105C8">
              <w:rPr>
                <w:color w:val="000000"/>
                <w:sz w:val="21"/>
                <w:szCs w:val="21"/>
              </w:rPr>
              <w:t xml:space="preserve"> </w:t>
            </w:r>
            <w:r w:rsidR="00921E18" w:rsidRPr="00D105C8">
              <w:rPr>
                <w:color w:val="202124"/>
                <w:sz w:val="21"/>
                <w:szCs w:val="21"/>
                <w:shd w:val="clear" w:color="auto" w:fill="FFFFFF"/>
              </w:rPr>
              <w:t>± 0</w:t>
            </w:r>
            <w:r w:rsidR="00921E18" w:rsidRPr="00D105C8">
              <w:rPr>
                <w:color w:val="202124"/>
                <w:sz w:val="21"/>
                <w:szCs w:val="21"/>
                <w:shd w:val="clear" w:color="auto" w:fill="FFFFFF"/>
                <w:vertAlign w:val="superscript"/>
              </w:rPr>
              <w:t>abc</w:t>
            </w:r>
          </w:p>
        </w:tc>
        <w:tc>
          <w:tcPr>
            <w:tcW w:w="1266" w:type="dxa"/>
            <w:shd w:val="clear" w:color="auto" w:fill="auto"/>
            <w:vAlign w:val="center"/>
          </w:tcPr>
          <w:p w14:paraId="7E99083A" w14:textId="6F1F7609" w:rsidR="00921E18" w:rsidRPr="00D105C8" w:rsidRDefault="00764E7E" w:rsidP="007510B2">
            <w:pPr>
              <w:jc w:val="center"/>
              <w:rPr>
                <w:sz w:val="21"/>
                <w:szCs w:val="21"/>
                <w:vertAlign w:val="superscript"/>
              </w:rPr>
            </w:pPr>
            <w:r>
              <w:rPr>
                <w:color w:val="000000"/>
                <w:sz w:val="21"/>
                <w:szCs w:val="21"/>
              </w:rPr>
              <w:t>10</w:t>
            </w:r>
            <w:r w:rsidR="00921E18" w:rsidRPr="00D105C8">
              <w:rPr>
                <w:color w:val="000000"/>
                <w:sz w:val="21"/>
                <w:szCs w:val="21"/>
              </w:rPr>
              <w:t xml:space="preserve"> </w:t>
            </w:r>
            <w:r w:rsidR="00921E18" w:rsidRPr="00D105C8">
              <w:rPr>
                <w:color w:val="202124"/>
                <w:sz w:val="21"/>
                <w:szCs w:val="21"/>
                <w:shd w:val="clear" w:color="auto" w:fill="FFFFFF"/>
              </w:rPr>
              <w:t>± 0</w:t>
            </w:r>
            <w:r w:rsidR="00921E18" w:rsidRPr="00D105C8">
              <w:rPr>
                <w:color w:val="202124"/>
                <w:sz w:val="21"/>
                <w:szCs w:val="21"/>
                <w:shd w:val="clear" w:color="auto" w:fill="FFFFFF"/>
                <w:vertAlign w:val="superscript"/>
              </w:rPr>
              <w:t>bc</w:t>
            </w:r>
          </w:p>
        </w:tc>
        <w:tc>
          <w:tcPr>
            <w:tcW w:w="1267" w:type="dxa"/>
            <w:shd w:val="clear" w:color="auto" w:fill="auto"/>
            <w:vAlign w:val="center"/>
          </w:tcPr>
          <w:p w14:paraId="4FDD93BA" w14:textId="480DFC9A" w:rsidR="00921E18" w:rsidRPr="00D105C8" w:rsidRDefault="00764E7E" w:rsidP="007510B2">
            <w:pPr>
              <w:jc w:val="center"/>
              <w:rPr>
                <w:sz w:val="21"/>
                <w:szCs w:val="21"/>
                <w:vertAlign w:val="superscript"/>
              </w:rPr>
            </w:pPr>
            <w:r>
              <w:rPr>
                <w:color w:val="000000"/>
                <w:sz w:val="21"/>
                <w:szCs w:val="21"/>
              </w:rPr>
              <w:t>10</w:t>
            </w:r>
            <w:r w:rsidR="00921E18" w:rsidRPr="00D105C8">
              <w:rPr>
                <w:color w:val="000000"/>
                <w:sz w:val="21"/>
                <w:szCs w:val="21"/>
              </w:rPr>
              <w:t xml:space="preserve"> </w:t>
            </w:r>
            <w:r w:rsidR="00921E18" w:rsidRPr="00D105C8">
              <w:rPr>
                <w:color w:val="202124"/>
                <w:sz w:val="21"/>
                <w:szCs w:val="21"/>
                <w:shd w:val="clear" w:color="auto" w:fill="FFFFFF"/>
              </w:rPr>
              <w:t>± 0</w:t>
            </w:r>
            <w:r w:rsidR="00921E18" w:rsidRPr="00D105C8">
              <w:rPr>
                <w:color w:val="202124"/>
                <w:sz w:val="21"/>
                <w:szCs w:val="21"/>
                <w:shd w:val="clear" w:color="auto" w:fill="FFFFFF"/>
                <w:vertAlign w:val="superscript"/>
              </w:rPr>
              <w:t>c</w:t>
            </w:r>
          </w:p>
        </w:tc>
        <w:tc>
          <w:tcPr>
            <w:tcW w:w="1266" w:type="dxa"/>
            <w:shd w:val="clear" w:color="auto" w:fill="auto"/>
            <w:vAlign w:val="center"/>
          </w:tcPr>
          <w:p w14:paraId="02792DC0" w14:textId="3D3B94D5" w:rsidR="00921E18" w:rsidRPr="00D105C8" w:rsidRDefault="00921E18" w:rsidP="007510B2">
            <w:pPr>
              <w:jc w:val="center"/>
              <w:rPr>
                <w:sz w:val="21"/>
                <w:szCs w:val="21"/>
                <w:vertAlign w:val="superscript"/>
              </w:rPr>
            </w:pPr>
            <w:r w:rsidRPr="00D105C8">
              <w:rPr>
                <w:color w:val="000000"/>
                <w:sz w:val="21"/>
                <w:szCs w:val="21"/>
              </w:rPr>
              <w:t xml:space="preserve">10 </w:t>
            </w:r>
            <w:r w:rsidRPr="00D105C8">
              <w:rPr>
                <w:color w:val="202124"/>
                <w:sz w:val="21"/>
                <w:szCs w:val="21"/>
                <w:shd w:val="clear" w:color="auto" w:fill="FFFFFF"/>
              </w:rPr>
              <w:t>± 0</w:t>
            </w:r>
            <w:r w:rsidRPr="00D105C8">
              <w:rPr>
                <w:color w:val="202124"/>
                <w:sz w:val="21"/>
                <w:szCs w:val="21"/>
                <w:shd w:val="clear" w:color="auto" w:fill="FFFFFF"/>
                <w:vertAlign w:val="superscript"/>
              </w:rPr>
              <w:t>abc</w:t>
            </w:r>
          </w:p>
        </w:tc>
        <w:tc>
          <w:tcPr>
            <w:tcW w:w="1266" w:type="dxa"/>
            <w:shd w:val="clear" w:color="auto" w:fill="auto"/>
            <w:vAlign w:val="center"/>
          </w:tcPr>
          <w:p w14:paraId="7DDCD6CB" w14:textId="1D3E4BD8" w:rsidR="00921E18" w:rsidRPr="00D105C8" w:rsidRDefault="00764E7E" w:rsidP="007510B2">
            <w:pPr>
              <w:jc w:val="center"/>
              <w:rPr>
                <w:sz w:val="21"/>
                <w:szCs w:val="21"/>
                <w:vertAlign w:val="superscript"/>
              </w:rPr>
            </w:pPr>
            <w:r>
              <w:rPr>
                <w:color w:val="000000"/>
                <w:sz w:val="21"/>
                <w:szCs w:val="21"/>
              </w:rPr>
              <w:t>10</w:t>
            </w:r>
            <w:r w:rsidR="00921E18" w:rsidRPr="00D105C8">
              <w:rPr>
                <w:color w:val="000000"/>
                <w:sz w:val="21"/>
                <w:szCs w:val="21"/>
              </w:rPr>
              <w:t xml:space="preserve"> </w:t>
            </w:r>
            <w:r w:rsidR="00921E18" w:rsidRPr="00D105C8">
              <w:rPr>
                <w:color w:val="202124"/>
                <w:sz w:val="21"/>
                <w:szCs w:val="21"/>
                <w:shd w:val="clear" w:color="auto" w:fill="FFFFFF"/>
              </w:rPr>
              <w:t>± 0</w:t>
            </w:r>
            <w:r w:rsidR="00921E18" w:rsidRPr="00D105C8">
              <w:rPr>
                <w:color w:val="202124"/>
                <w:sz w:val="21"/>
                <w:szCs w:val="21"/>
                <w:shd w:val="clear" w:color="auto" w:fill="FFFFFF"/>
                <w:vertAlign w:val="superscript"/>
              </w:rPr>
              <w:t>abc</w:t>
            </w:r>
          </w:p>
        </w:tc>
        <w:tc>
          <w:tcPr>
            <w:tcW w:w="1266" w:type="dxa"/>
            <w:shd w:val="clear" w:color="auto" w:fill="auto"/>
            <w:vAlign w:val="center"/>
          </w:tcPr>
          <w:p w14:paraId="1C2924DC" w14:textId="2485F7E1" w:rsidR="00921E18" w:rsidRPr="00D105C8" w:rsidRDefault="00921E18" w:rsidP="007510B2">
            <w:pPr>
              <w:jc w:val="center"/>
              <w:rPr>
                <w:sz w:val="21"/>
                <w:szCs w:val="21"/>
                <w:vertAlign w:val="superscript"/>
              </w:rPr>
            </w:pPr>
            <w:r w:rsidRPr="00D105C8">
              <w:rPr>
                <w:color w:val="000000"/>
                <w:sz w:val="21"/>
                <w:szCs w:val="21"/>
              </w:rPr>
              <w:t xml:space="preserve">14 </w:t>
            </w:r>
            <w:r w:rsidRPr="00D105C8">
              <w:rPr>
                <w:color w:val="202124"/>
                <w:sz w:val="21"/>
                <w:szCs w:val="21"/>
                <w:shd w:val="clear" w:color="auto" w:fill="FFFFFF"/>
              </w:rPr>
              <w:t xml:space="preserve">± </w:t>
            </w:r>
            <w:r w:rsidR="00764E7E">
              <w:rPr>
                <w:color w:val="202124"/>
                <w:sz w:val="21"/>
                <w:szCs w:val="21"/>
                <w:shd w:val="clear" w:color="auto" w:fill="FFFFFF"/>
              </w:rPr>
              <w:t>4</w:t>
            </w:r>
            <w:r w:rsidRPr="00D105C8">
              <w:rPr>
                <w:color w:val="202124"/>
                <w:sz w:val="21"/>
                <w:szCs w:val="21"/>
                <w:shd w:val="clear" w:color="auto" w:fill="FFFFFF"/>
                <w:vertAlign w:val="superscript"/>
              </w:rPr>
              <w:t>ab</w:t>
            </w:r>
          </w:p>
        </w:tc>
        <w:tc>
          <w:tcPr>
            <w:tcW w:w="1267" w:type="dxa"/>
            <w:shd w:val="clear" w:color="auto" w:fill="auto"/>
            <w:vAlign w:val="center"/>
          </w:tcPr>
          <w:p w14:paraId="7177C0BE" w14:textId="17D7DEA4" w:rsidR="00921E18" w:rsidRPr="00D105C8" w:rsidRDefault="00921E18" w:rsidP="007510B2">
            <w:pPr>
              <w:jc w:val="center"/>
              <w:rPr>
                <w:sz w:val="21"/>
                <w:szCs w:val="21"/>
                <w:vertAlign w:val="superscript"/>
              </w:rPr>
            </w:pPr>
            <w:r w:rsidRPr="00D105C8">
              <w:rPr>
                <w:color w:val="000000"/>
                <w:sz w:val="21"/>
                <w:szCs w:val="21"/>
              </w:rPr>
              <w:t xml:space="preserve">12 </w:t>
            </w:r>
            <w:r w:rsidRPr="00D105C8">
              <w:rPr>
                <w:color w:val="202124"/>
                <w:sz w:val="21"/>
                <w:szCs w:val="21"/>
                <w:shd w:val="clear" w:color="auto" w:fill="FFFFFF"/>
              </w:rPr>
              <w:t>± 13</w:t>
            </w:r>
            <w:r w:rsidRPr="00D105C8">
              <w:rPr>
                <w:color w:val="202124"/>
                <w:sz w:val="21"/>
                <w:szCs w:val="21"/>
                <w:shd w:val="clear" w:color="auto" w:fill="FFFFFF"/>
                <w:vertAlign w:val="superscript"/>
              </w:rPr>
              <w:t>a</w:t>
            </w:r>
          </w:p>
        </w:tc>
        <w:tc>
          <w:tcPr>
            <w:tcW w:w="1266" w:type="dxa"/>
            <w:shd w:val="clear" w:color="auto" w:fill="auto"/>
            <w:vAlign w:val="center"/>
          </w:tcPr>
          <w:p w14:paraId="1A2A3B67" w14:textId="3D662926" w:rsidR="00921E18" w:rsidRPr="00D105C8" w:rsidRDefault="00764E7E" w:rsidP="007510B2">
            <w:pPr>
              <w:jc w:val="center"/>
              <w:rPr>
                <w:sz w:val="21"/>
                <w:szCs w:val="21"/>
                <w:vertAlign w:val="superscript"/>
              </w:rPr>
            </w:pPr>
            <w:r>
              <w:rPr>
                <w:color w:val="000000"/>
                <w:sz w:val="21"/>
                <w:szCs w:val="21"/>
              </w:rPr>
              <w:t>10</w:t>
            </w:r>
            <w:r w:rsidR="00921E18" w:rsidRPr="00D105C8">
              <w:rPr>
                <w:color w:val="000000"/>
                <w:sz w:val="21"/>
                <w:szCs w:val="21"/>
              </w:rPr>
              <w:t xml:space="preserve"> </w:t>
            </w:r>
            <w:r w:rsidR="00921E18" w:rsidRPr="00D105C8">
              <w:rPr>
                <w:color w:val="202124"/>
                <w:sz w:val="21"/>
                <w:szCs w:val="21"/>
                <w:shd w:val="clear" w:color="auto" w:fill="FFFFFF"/>
              </w:rPr>
              <w:t>± 0</w:t>
            </w:r>
            <w:r w:rsidR="00921E18" w:rsidRPr="00D105C8">
              <w:rPr>
                <w:color w:val="202124"/>
                <w:sz w:val="21"/>
                <w:szCs w:val="21"/>
                <w:shd w:val="clear" w:color="auto" w:fill="FFFFFF"/>
                <w:vertAlign w:val="superscript"/>
              </w:rPr>
              <w:t>bc</w:t>
            </w:r>
          </w:p>
        </w:tc>
        <w:tc>
          <w:tcPr>
            <w:tcW w:w="1266" w:type="dxa"/>
            <w:shd w:val="clear" w:color="auto" w:fill="auto"/>
            <w:vAlign w:val="center"/>
          </w:tcPr>
          <w:p w14:paraId="613593FD" w14:textId="7651F698" w:rsidR="00921E18" w:rsidRPr="00D105C8" w:rsidRDefault="00921E18" w:rsidP="007510B2">
            <w:pPr>
              <w:jc w:val="center"/>
              <w:rPr>
                <w:sz w:val="21"/>
                <w:szCs w:val="21"/>
                <w:vertAlign w:val="superscript"/>
              </w:rPr>
            </w:pPr>
            <w:r w:rsidRPr="00D105C8">
              <w:rPr>
                <w:color w:val="000000"/>
                <w:sz w:val="21"/>
                <w:szCs w:val="21"/>
              </w:rPr>
              <w:t>1</w:t>
            </w:r>
            <w:r w:rsidR="00764E7E">
              <w:rPr>
                <w:color w:val="000000"/>
                <w:sz w:val="21"/>
                <w:szCs w:val="21"/>
              </w:rPr>
              <w:t>2</w:t>
            </w:r>
            <w:r w:rsidRPr="00D105C8">
              <w:rPr>
                <w:color w:val="000000"/>
                <w:sz w:val="21"/>
                <w:szCs w:val="21"/>
              </w:rPr>
              <w:t xml:space="preserve"> </w:t>
            </w:r>
            <w:r w:rsidRPr="00D105C8">
              <w:rPr>
                <w:color w:val="202124"/>
                <w:sz w:val="21"/>
                <w:szCs w:val="21"/>
                <w:shd w:val="clear" w:color="auto" w:fill="FFFFFF"/>
              </w:rPr>
              <w:t xml:space="preserve">± </w:t>
            </w:r>
            <w:r w:rsidR="00764E7E">
              <w:rPr>
                <w:color w:val="202124"/>
                <w:sz w:val="21"/>
                <w:szCs w:val="21"/>
                <w:shd w:val="clear" w:color="auto" w:fill="FFFFFF"/>
              </w:rPr>
              <w:t>1</w:t>
            </w:r>
            <w:r w:rsidRPr="00D105C8">
              <w:rPr>
                <w:color w:val="202124"/>
                <w:sz w:val="21"/>
                <w:szCs w:val="21"/>
                <w:shd w:val="clear" w:color="auto" w:fill="FFFFFF"/>
                <w:vertAlign w:val="superscript"/>
              </w:rPr>
              <w:t>a</w:t>
            </w:r>
          </w:p>
        </w:tc>
        <w:tc>
          <w:tcPr>
            <w:tcW w:w="1266" w:type="dxa"/>
            <w:shd w:val="clear" w:color="auto" w:fill="auto"/>
            <w:vAlign w:val="center"/>
          </w:tcPr>
          <w:p w14:paraId="5F7B4C3E" w14:textId="32CA8AB5" w:rsidR="00921E18" w:rsidRPr="00D105C8" w:rsidRDefault="00921E18" w:rsidP="007510B2">
            <w:pPr>
              <w:jc w:val="center"/>
              <w:rPr>
                <w:sz w:val="21"/>
                <w:szCs w:val="21"/>
                <w:vertAlign w:val="superscript"/>
              </w:rPr>
            </w:pPr>
            <w:r w:rsidRPr="00D105C8">
              <w:rPr>
                <w:color w:val="000000"/>
                <w:sz w:val="21"/>
                <w:szCs w:val="21"/>
              </w:rPr>
              <w:t>1</w:t>
            </w:r>
            <w:r w:rsidR="00764E7E">
              <w:rPr>
                <w:color w:val="000000"/>
                <w:sz w:val="21"/>
                <w:szCs w:val="21"/>
              </w:rPr>
              <w:t>1</w:t>
            </w:r>
            <w:r w:rsidRPr="00D105C8">
              <w:rPr>
                <w:color w:val="000000"/>
                <w:sz w:val="21"/>
                <w:szCs w:val="21"/>
              </w:rPr>
              <w:t xml:space="preserve"> </w:t>
            </w:r>
            <w:r w:rsidRPr="00D105C8">
              <w:rPr>
                <w:color w:val="202124"/>
                <w:sz w:val="21"/>
                <w:szCs w:val="21"/>
                <w:shd w:val="clear" w:color="auto" w:fill="FFFFFF"/>
              </w:rPr>
              <w:t>± 0</w:t>
            </w:r>
            <w:r w:rsidRPr="00D105C8">
              <w:rPr>
                <w:color w:val="202124"/>
                <w:sz w:val="21"/>
                <w:szCs w:val="21"/>
                <w:shd w:val="clear" w:color="auto" w:fill="FFFFFF"/>
                <w:vertAlign w:val="superscript"/>
              </w:rPr>
              <w:t>ab</w:t>
            </w:r>
          </w:p>
        </w:tc>
        <w:tc>
          <w:tcPr>
            <w:tcW w:w="1267" w:type="dxa"/>
            <w:shd w:val="clear" w:color="auto" w:fill="auto"/>
            <w:vAlign w:val="center"/>
          </w:tcPr>
          <w:p w14:paraId="1828BF9E" w14:textId="49165C27" w:rsidR="00921E18" w:rsidRPr="00D105C8" w:rsidRDefault="00921E18" w:rsidP="007510B2">
            <w:pPr>
              <w:jc w:val="center"/>
              <w:rPr>
                <w:sz w:val="21"/>
                <w:szCs w:val="21"/>
                <w:vertAlign w:val="superscript"/>
              </w:rPr>
            </w:pPr>
            <w:r w:rsidRPr="00D105C8">
              <w:rPr>
                <w:color w:val="000000"/>
                <w:sz w:val="21"/>
                <w:szCs w:val="21"/>
              </w:rPr>
              <w:t>1</w:t>
            </w:r>
            <w:r w:rsidR="00764E7E">
              <w:rPr>
                <w:color w:val="000000"/>
                <w:sz w:val="21"/>
                <w:szCs w:val="21"/>
              </w:rPr>
              <w:t>1</w:t>
            </w:r>
            <w:r w:rsidRPr="00D105C8">
              <w:rPr>
                <w:color w:val="000000"/>
                <w:sz w:val="21"/>
                <w:szCs w:val="21"/>
              </w:rPr>
              <w:t xml:space="preserve"> </w:t>
            </w:r>
            <w:r w:rsidRPr="00D105C8">
              <w:rPr>
                <w:color w:val="202124"/>
                <w:sz w:val="21"/>
                <w:szCs w:val="21"/>
                <w:shd w:val="clear" w:color="auto" w:fill="FFFFFF"/>
              </w:rPr>
              <w:t xml:space="preserve">± </w:t>
            </w:r>
            <w:r w:rsidR="00764E7E">
              <w:rPr>
                <w:color w:val="202124"/>
                <w:sz w:val="21"/>
                <w:szCs w:val="21"/>
                <w:shd w:val="clear" w:color="auto" w:fill="FFFFFF"/>
              </w:rPr>
              <w:t>1</w:t>
            </w:r>
            <w:r w:rsidRPr="00D105C8">
              <w:rPr>
                <w:color w:val="202124"/>
                <w:sz w:val="21"/>
                <w:szCs w:val="21"/>
                <w:shd w:val="clear" w:color="auto" w:fill="FFFFFF"/>
                <w:vertAlign w:val="superscript"/>
              </w:rPr>
              <w:t>abc</w:t>
            </w:r>
          </w:p>
        </w:tc>
        <w:tc>
          <w:tcPr>
            <w:tcW w:w="1266" w:type="dxa"/>
            <w:shd w:val="clear" w:color="auto" w:fill="auto"/>
            <w:vAlign w:val="center"/>
          </w:tcPr>
          <w:p w14:paraId="6E4BC2BF" w14:textId="4EA61998" w:rsidR="00921E18" w:rsidRPr="00D105C8" w:rsidRDefault="00921E18" w:rsidP="007510B2">
            <w:pPr>
              <w:jc w:val="center"/>
              <w:rPr>
                <w:sz w:val="21"/>
                <w:szCs w:val="21"/>
                <w:vertAlign w:val="superscript"/>
              </w:rPr>
            </w:pPr>
            <w:r w:rsidRPr="00D105C8">
              <w:rPr>
                <w:color w:val="000000"/>
                <w:sz w:val="21"/>
                <w:szCs w:val="21"/>
              </w:rPr>
              <w:t xml:space="preserve">10 </w:t>
            </w:r>
            <w:r w:rsidRPr="00D105C8">
              <w:rPr>
                <w:color w:val="202124"/>
                <w:sz w:val="21"/>
                <w:szCs w:val="21"/>
                <w:shd w:val="clear" w:color="auto" w:fill="FFFFFF"/>
              </w:rPr>
              <w:t>± 0</w:t>
            </w:r>
            <w:r w:rsidRPr="00D105C8">
              <w:rPr>
                <w:color w:val="202124"/>
                <w:sz w:val="21"/>
                <w:szCs w:val="21"/>
                <w:shd w:val="clear" w:color="auto" w:fill="FFFFFF"/>
                <w:vertAlign w:val="superscript"/>
              </w:rPr>
              <w:t>abc</w:t>
            </w:r>
          </w:p>
        </w:tc>
        <w:tc>
          <w:tcPr>
            <w:tcW w:w="1266" w:type="dxa"/>
            <w:shd w:val="clear" w:color="auto" w:fill="auto"/>
            <w:vAlign w:val="center"/>
          </w:tcPr>
          <w:p w14:paraId="6B7B1BFC" w14:textId="5EA407F0" w:rsidR="00921E18" w:rsidRPr="00D105C8" w:rsidRDefault="00921E18" w:rsidP="007510B2">
            <w:pPr>
              <w:jc w:val="center"/>
              <w:rPr>
                <w:sz w:val="21"/>
                <w:szCs w:val="21"/>
                <w:vertAlign w:val="superscript"/>
              </w:rPr>
            </w:pPr>
            <w:r w:rsidRPr="00D105C8">
              <w:rPr>
                <w:color w:val="000000"/>
                <w:sz w:val="21"/>
                <w:szCs w:val="21"/>
              </w:rPr>
              <w:t xml:space="preserve">10 </w:t>
            </w:r>
            <w:r w:rsidRPr="00D105C8">
              <w:rPr>
                <w:color w:val="202124"/>
                <w:sz w:val="21"/>
                <w:szCs w:val="21"/>
                <w:shd w:val="clear" w:color="auto" w:fill="FFFFFF"/>
              </w:rPr>
              <w:t xml:space="preserve">± </w:t>
            </w:r>
            <w:r w:rsidR="0029717D">
              <w:rPr>
                <w:color w:val="202124"/>
                <w:sz w:val="21"/>
                <w:szCs w:val="21"/>
                <w:shd w:val="clear" w:color="auto" w:fill="FFFFFF"/>
              </w:rPr>
              <w:t>1</w:t>
            </w:r>
            <w:r w:rsidRPr="00D105C8">
              <w:rPr>
                <w:color w:val="202124"/>
                <w:sz w:val="21"/>
                <w:szCs w:val="21"/>
                <w:shd w:val="clear" w:color="auto" w:fill="FFFFFF"/>
                <w:vertAlign w:val="superscript"/>
              </w:rPr>
              <w:t>abc</w:t>
            </w:r>
          </w:p>
        </w:tc>
        <w:tc>
          <w:tcPr>
            <w:tcW w:w="1267" w:type="dxa"/>
            <w:shd w:val="clear" w:color="auto" w:fill="auto"/>
            <w:vAlign w:val="center"/>
          </w:tcPr>
          <w:p w14:paraId="6CED8376" w14:textId="198648A1" w:rsidR="00921E18" w:rsidRPr="00D105C8" w:rsidRDefault="00921E18" w:rsidP="007510B2">
            <w:pPr>
              <w:jc w:val="center"/>
              <w:rPr>
                <w:sz w:val="21"/>
                <w:szCs w:val="21"/>
                <w:vertAlign w:val="superscript"/>
              </w:rPr>
            </w:pPr>
            <w:r w:rsidRPr="00D105C8">
              <w:rPr>
                <w:color w:val="000000"/>
                <w:sz w:val="21"/>
                <w:szCs w:val="21"/>
              </w:rPr>
              <w:t xml:space="preserve">10 </w:t>
            </w:r>
            <w:r w:rsidRPr="00D105C8">
              <w:rPr>
                <w:color w:val="202124"/>
                <w:sz w:val="21"/>
                <w:szCs w:val="21"/>
                <w:shd w:val="clear" w:color="auto" w:fill="FFFFFF"/>
              </w:rPr>
              <w:t>± 0</w:t>
            </w:r>
            <w:r w:rsidRPr="00D105C8">
              <w:rPr>
                <w:color w:val="202124"/>
                <w:sz w:val="21"/>
                <w:szCs w:val="21"/>
                <w:shd w:val="clear" w:color="auto" w:fill="FFFFFF"/>
                <w:vertAlign w:val="superscript"/>
              </w:rPr>
              <w:t>abc</w:t>
            </w:r>
          </w:p>
        </w:tc>
      </w:tr>
      <w:tr w:rsidR="00921E18" w14:paraId="62F8CEBD" w14:textId="77777777" w:rsidTr="00A3545D">
        <w:tc>
          <w:tcPr>
            <w:tcW w:w="2547" w:type="dxa"/>
          </w:tcPr>
          <w:p w14:paraId="1EDB03E0" w14:textId="7CB8EF58" w:rsidR="00921E18" w:rsidRDefault="00921E18" w:rsidP="007510B2">
            <w:r w:rsidRPr="009929F3">
              <w:t>Dissolved organic C (mg C kg</w:t>
            </w:r>
            <w:r w:rsidRPr="009929F3">
              <w:rPr>
                <w:vertAlign w:val="superscript"/>
              </w:rPr>
              <w:t>−1</w:t>
            </w:r>
            <w:r w:rsidRPr="009929F3">
              <w:t>)</w:t>
            </w:r>
          </w:p>
        </w:tc>
        <w:tc>
          <w:tcPr>
            <w:tcW w:w="1266" w:type="dxa"/>
            <w:shd w:val="clear" w:color="auto" w:fill="auto"/>
            <w:vAlign w:val="center"/>
          </w:tcPr>
          <w:p w14:paraId="533079D2" w14:textId="4E2B4E92" w:rsidR="00921E18" w:rsidRPr="00D105C8" w:rsidRDefault="00921E18" w:rsidP="007510B2">
            <w:pPr>
              <w:jc w:val="center"/>
              <w:rPr>
                <w:sz w:val="21"/>
                <w:szCs w:val="21"/>
              </w:rPr>
            </w:pPr>
            <w:r w:rsidRPr="00D105C8">
              <w:rPr>
                <w:color w:val="000000"/>
                <w:sz w:val="21"/>
                <w:szCs w:val="21"/>
              </w:rPr>
              <w:t>126</w:t>
            </w:r>
            <w:r w:rsidR="00EC4D54">
              <w:rPr>
                <w:color w:val="000000"/>
                <w:sz w:val="21"/>
                <w:szCs w:val="21"/>
              </w:rPr>
              <w:t xml:space="preserve"> </w:t>
            </w:r>
            <w:r w:rsidRPr="00D105C8">
              <w:rPr>
                <w:color w:val="202124"/>
                <w:sz w:val="21"/>
                <w:szCs w:val="21"/>
                <w:shd w:val="clear" w:color="auto" w:fill="FFFFFF"/>
              </w:rPr>
              <w:t>± 9</w:t>
            </w:r>
          </w:p>
        </w:tc>
        <w:tc>
          <w:tcPr>
            <w:tcW w:w="1266" w:type="dxa"/>
            <w:shd w:val="clear" w:color="auto" w:fill="auto"/>
            <w:vAlign w:val="center"/>
          </w:tcPr>
          <w:p w14:paraId="05BE5824" w14:textId="222C1024" w:rsidR="00921E18" w:rsidRPr="00D105C8" w:rsidRDefault="00921E18" w:rsidP="007510B2">
            <w:pPr>
              <w:jc w:val="center"/>
              <w:rPr>
                <w:sz w:val="21"/>
                <w:szCs w:val="21"/>
              </w:rPr>
            </w:pPr>
            <w:r w:rsidRPr="00D105C8">
              <w:rPr>
                <w:color w:val="000000"/>
                <w:sz w:val="21"/>
                <w:szCs w:val="21"/>
              </w:rPr>
              <w:t>1</w:t>
            </w:r>
            <w:r w:rsidR="00FC62D3">
              <w:rPr>
                <w:color w:val="000000"/>
                <w:sz w:val="21"/>
                <w:szCs w:val="21"/>
              </w:rPr>
              <w:t>30</w:t>
            </w:r>
            <w:r w:rsidRPr="00D105C8">
              <w:rPr>
                <w:color w:val="000000"/>
                <w:sz w:val="21"/>
                <w:szCs w:val="21"/>
              </w:rPr>
              <w:t xml:space="preserve"> </w:t>
            </w:r>
            <w:r w:rsidRPr="00D105C8">
              <w:rPr>
                <w:color w:val="202124"/>
                <w:sz w:val="21"/>
                <w:szCs w:val="21"/>
                <w:shd w:val="clear" w:color="auto" w:fill="FFFFFF"/>
              </w:rPr>
              <w:t xml:space="preserve">± </w:t>
            </w:r>
            <w:r w:rsidR="00FC62D3">
              <w:rPr>
                <w:color w:val="202124"/>
                <w:sz w:val="21"/>
                <w:szCs w:val="21"/>
                <w:shd w:val="clear" w:color="auto" w:fill="FFFFFF"/>
              </w:rPr>
              <w:t>6</w:t>
            </w:r>
          </w:p>
        </w:tc>
        <w:tc>
          <w:tcPr>
            <w:tcW w:w="1266" w:type="dxa"/>
            <w:shd w:val="clear" w:color="auto" w:fill="auto"/>
            <w:vAlign w:val="center"/>
          </w:tcPr>
          <w:p w14:paraId="7248114D" w14:textId="125A02F8" w:rsidR="00921E18" w:rsidRPr="00D105C8" w:rsidRDefault="00921E18" w:rsidP="007510B2">
            <w:pPr>
              <w:jc w:val="center"/>
              <w:rPr>
                <w:sz w:val="21"/>
                <w:szCs w:val="21"/>
              </w:rPr>
            </w:pPr>
            <w:r w:rsidRPr="00D105C8">
              <w:rPr>
                <w:color w:val="000000"/>
                <w:sz w:val="21"/>
                <w:szCs w:val="21"/>
              </w:rPr>
              <w:t>16</w:t>
            </w:r>
            <w:r w:rsidR="00FC62D3">
              <w:rPr>
                <w:color w:val="000000"/>
                <w:sz w:val="21"/>
                <w:szCs w:val="21"/>
              </w:rPr>
              <w:t>2</w:t>
            </w:r>
            <w:r w:rsidRPr="00D105C8">
              <w:rPr>
                <w:color w:val="000000"/>
                <w:sz w:val="21"/>
                <w:szCs w:val="21"/>
              </w:rPr>
              <w:t xml:space="preserve"> </w:t>
            </w:r>
            <w:r w:rsidRPr="00D105C8">
              <w:rPr>
                <w:color w:val="202124"/>
                <w:sz w:val="21"/>
                <w:szCs w:val="21"/>
                <w:shd w:val="clear" w:color="auto" w:fill="FFFFFF"/>
              </w:rPr>
              <w:t>± 1</w:t>
            </w:r>
            <w:r w:rsidR="00FC62D3">
              <w:rPr>
                <w:color w:val="202124"/>
                <w:sz w:val="21"/>
                <w:szCs w:val="21"/>
                <w:shd w:val="clear" w:color="auto" w:fill="FFFFFF"/>
              </w:rPr>
              <w:t>9</w:t>
            </w:r>
          </w:p>
        </w:tc>
        <w:tc>
          <w:tcPr>
            <w:tcW w:w="1267" w:type="dxa"/>
            <w:shd w:val="clear" w:color="auto" w:fill="auto"/>
            <w:vAlign w:val="center"/>
          </w:tcPr>
          <w:p w14:paraId="51CCA7F7" w14:textId="61BC6DFA" w:rsidR="00921E18" w:rsidRPr="00D105C8" w:rsidRDefault="00921E18" w:rsidP="007510B2">
            <w:pPr>
              <w:jc w:val="center"/>
              <w:rPr>
                <w:sz w:val="21"/>
                <w:szCs w:val="21"/>
              </w:rPr>
            </w:pPr>
            <w:r w:rsidRPr="00D105C8">
              <w:rPr>
                <w:color w:val="000000"/>
                <w:sz w:val="21"/>
                <w:szCs w:val="21"/>
              </w:rPr>
              <w:t>16</w:t>
            </w:r>
            <w:r w:rsidR="00FC62D3">
              <w:rPr>
                <w:color w:val="000000"/>
                <w:sz w:val="21"/>
                <w:szCs w:val="21"/>
              </w:rPr>
              <w:t>6</w:t>
            </w:r>
            <w:r w:rsidRPr="00D105C8">
              <w:rPr>
                <w:color w:val="000000"/>
                <w:sz w:val="21"/>
                <w:szCs w:val="21"/>
              </w:rPr>
              <w:t xml:space="preserve"> </w:t>
            </w:r>
            <w:r w:rsidRPr="00D105C8">
              <w:rPr>
                <w:color w:val="202124"/>
                <w:sz w:val="21"/>
                <w:szCs w:val="21"/>
                <w:shd w:val="clear" w:color="auto" w:fill="FFFFFF"/>
              </w:rPr>
              <w:t>± 8</w:t>
            </w:r>
          </w:p>
        </w:tc>
        <w:tc>
          <w:tcPr>
            <w:tcW w:w="1266" w:type="dxa"/>
            <w:shd w:val="clear" w:color="auto" w:fill="auto"/>
            <w:vAlign w:val="center"/>
          </w:tcPr>
          <w:p w14:paraId="33548546" w14:textId="4182DC02" w:rsidR="00921E18" w:rsidRPr="00D105C8" w:rsidRDefault="00921E18" w:rsidP="007510B2">
            <w:pPr>
              <w:jc w:val="center"/>
              <w:rPr>
                <w:sz w:val="21"/>
                <w:szCs w:val="21"/>
              </w:rPr>
            </w:pPr>
            <w:r w:rsidRPr="00D105C8">
              <w:rPr>
                <w:color w:val="000000"/>
                <w:sz w:val="21"/>
                <w:szCs w:val="21"/>
              </w:rPr>
              <w:t xml:space="preserve">179 </w:t>
            </w:r>
            <w:r w:rsidRPr="00D105C8">
              <w:rPr>
                <w:color w:val="202124"/>
                <w:sz w:val="21"/>
                <w:szCs w:val="21"/>
                <w:shd w:val="clear" w:color="auto" w:fill="FFFFFF"/>
              </w:rPr>
              <w:t>± 19</w:t>
            </w:r>
          </w:p>
        </w:tc>
        <w:tc>
          <w:tcPr>
            <w:tcW w:w="1266" w:type="dxa"/>
            <w:shd w:val="clear" w:color="auto" w:fill="auto"/>
            <w:vAlign w:val="center"/>
          </w:tcPr>
          <w:p w14:paraId="4C89A067" w14:textId="278FB0A3" w:rsidR="00921E18" w:rsidRPr="00D105C8" w:rsidRDefault="00921E18" w:rsidP="007510B2">
            <w:pPr>
              <w:jc w:val="center"/>
              <w:rPr>
                <w:sz w:val="21"/>
                <w:szCs w:val="21"/>
              </w:rPr>
            </w:pPr>
            <w:r w:rsidRPr="00D105C8">
              <w:rPr>
                <w:color w:val="000000"/>
                <w:sz w:val="21"/>
                <w:szCs w:val="21"/>
              </w:rPr>
              <w:t xml:space="preserve">156 </w:t>
            </w:r>
            <w:r w:rsidRPr="00D105C8">
              <w:rPr>
                <w:color w:val="202124"/>
                <w:sz w:val="21"/>
                <w:szCs w:val="21"/>
                <w:shd w:val="clear" w:color="auto" w:fill="FFFFFF"/>
              </w:rPr>
              <w:t xml:space="preserve">± </w:t>
            </w:r>
            <w:r w:rsidR="00FC62D3">
              <w:rPr>
                <w:color w:val="202124"/>
                <w:sz w:val="21"/>
                <w:szCs w:val="21"/>
                <w:shd w:val="clear" w:color="auto" w:fill="FFFFFF"/>
              </w:rPr>
              <w:t>4</w:t>
            </w:r>
          </w:p>
        </w:tc>
        <w:tc>
          <w:tcPr>
            <w:tcW w:w="1266" w:type="dxa"/>
            <w:shd w:val="clear" w:color="auto" w:fill="auto"/>
            <w:vAlign w:val="center"/>
          </w:tcPr>
          <w:p w14:paraId="56DB5E51" w14:textId="21130B1E" w:rsidR="00921E18" w:rsidRPr="00D105C8" w:rsidRDefault="00921E18" w:rsidP="007510B2">
            <w:pPr>
              <w:jc w:val="center"/>
              <w:rPr>
                <w:sz w:val="21"/>
                <w:szCs w:val="21"/>
              </w:rPr>
            </w:pPr>
            <w:r w:rsidRPr="00D105C8">
              <w:rPr>
                <w:color w:val="000000"/>
                <w:sz w:val="21"/>
                <w:szCs w:val="21"/>
              </w:rPr>
              <w:t xml:space="preserve">125 </w:t>
            </w:r>
            <w:r w:rsidRPr="00D105C8">
              <w:rPr>
                <w:color w:val="202124"/>
                <w:sz w:val="21"/>
                <w:szCs w:val="21"/>
                <w:shd w:val="clear" w:color="auto" w:fill="FFFFFF"/>
              </w:rPr>
              <w:t>± 4</w:t>
            </w:r>
          </w:p>
        </w:tc>
        <w:tc>
          <w:tcPr>
            <w:tcW w:w="1267" w:type="dxa"/>
            <w:shd w:val="clear" w:color="auto" w:fill="auto"/>
            <w:vAlign w:val="center"/>
          </w:tcPr>
          <w:p w14:paraId="38BE2D88" w14:textId="679E5975" w:rsidR="00921E18" w:rsidRPr="00D105C8" w:rsidRDefault="00921E18" w:rsidP="007510B2">
            <w:pPr>
              <w:jc w:val="center"/>
              <w:rPr>
                <w:sz w:val="21"/>
                <w:szCs w:val="21"/>
              </w:rPr>
            </w:pPr>
            <w:r w:rsidRPr="00D105C8">
              <w:rPr>
                <w:color w:val="000000"/>
                <w:sz w:val="21"/>
                <w:szCs w:val="21"/>
              </w:rPr>
              <w:t>12</w:t>
            </w:r>
            <w:r w:rsidR="00FC62D3">
              <w:rPr>
                <w:color w:val="000000"/>
                <w:sz w:val="21"/>
                <w:szCs w:val="21"/>
              </w:rPr>
              <w:t>7</w:t>
            </w:r>
            <w:r w:rsidRPr="00D105C8">
              <w:rPr>
                <w:color w:val="000000"/>
                <w:sz w:val="21"/>
                <w:szCs w:val="21"/>
              </w:rPr>
              <w:t xml:space="preserve"> </w:t>
            </w:r>
            <w:r w:rsidRPr="00D105C8">
              <w:rPr>
                <w:color w:val="202124"/>
                <w:sz w:val="21"/>
                <w:szCs w:val="21"/>
                <w:shd w:val="clear" w:color="auto" w:fill="FFFFFF"/>
              </w:rPr>
              <w:t>± 9</w:t>
            </w:r>
          </w:p>
        </w:tc>
        <w:tc>
          <w:tcPr>
            <w:tcW w:w="1266" w:type="dxa"/>
            <w:shd w:val="clear" w:color="auto" w:fill="auto"/>
            <w:vAlign w:val="center"/>
          </w:tcPr>
          <w:p w14:paraId="72E587A8" w14:textId="272C9268" w:rsidR="00921E18" w:rsidRPr="00D105C8" w:rsidRDefault="00921E18" w:rsidP="007510B2">
            <w:pPr>
              <w:jc w:val="center"/>
              <w:rPr>
                <w:sz w:val="21"/>
                <w:szCs w:val="21"/>
              </w:rPr>
            </w:pPr>
            <w:r w:rsidRPr="00D105C8">
              <w:rPr>
                <w:color w:val="000000"/>
                <w:sz w:val="21"/>
                <w:szCs w:val="21"/>
              </w:rPr>
              <w:t>14</w:t>
            </w:r>
            <w:r w:rsidR="00FC62D3">
              <w:rPr>
                <w:color w:val="000000"/>
                <w:sz w:val="21"/>
                <w:szCs w:val="21"/>
              </w:rPr>
              <w:t>7</w:t>
            </w:r>
            <w:r w:rsidRPr="00D105C8">
              <w:rPr>
                <w:color w:val="000000"/>
                <w:sz w:val="21"/>
                <w:szCs w:val="21"/>
              </w:rPr>
              <w:t xml:space="preserve"> </w:t>
            </w:r>
            <w:r w:rsidRPr="00D105C8">
              <w:rPr>
                <w:color w:val="202124"/>
                <w:sz w:val="21"/>
                <w:szCs w:val="21"/>
                <w:shd w:val="clear" w:color="auto" w:fill="FFFFFF"/>
              </w:rPr>
              <w:t xml:space="preserve">± </w:t>
            </w:r>
            <w:r w:rsidR="00FC62D3">
              <w:rPr>
                <w:color w:val="202124"/>
                <w:sz w:val="21"/>
                <w:szCs w:val="21"/>
                <w:shd w:val="clear" w:color="auto" w:fill="FFFFFF"/>
              </w:rPr>
              <w:t>3</w:t>
            </w:r>
          </w:p>
        </w:tc>
        <w:tc>
          <w:tcPr>
            <w:tcW w:w="1266" w:type="dxa"/>
            <w:shd w:val="clear" w:color="auto" w:fill="auto"/>
            <w:vAlign w:val="center"/>
          </w:tcPr>
          <w:p w14:paraId="6A921C48" w14:textId="760318FE" w:rsidR="00921E18" w:rsidRPr="00D105C8" w:rsidRDefault="00921E18" w:rsidP="007510B2">
            <w:pPr>
              <w:jc w:val="center"/>
              <w:rPr>
                <w:sz w:val="21"/>
                <w:szCs w:val="21"/>
              </w:rPr>
            </w:pPr>
            <w:r w:rsidRPr="00D105C8">
              <w:rPr>
                <w:color w:val="000000"/>
                <w:sz w:val="21"/>
                <w:szCs w:val="21"/>
              </w:rPr>
              <w:t xml:space="preserve">157 </w:t>
            </w:r>
            <w:r w:rsidRPr="00D105C8">
              <w:rPr>
                <w:color w:val="202124"/>
                <w:sz w:val="21"/>
                <w:szCs w:val="21"/>
                <w:shd w:val="clear" w:color="auto" w:fill="FFFFFF"/>
              </w:rPr>
              <w:t>± 9</w:t>
            </w:r>
          </w:p>
        </w:tc>
        <w:tc>
          <w:tcPr>
            <w:tcW w:w="1266" w:type="dxa"/>
            <w:shd w:val="clear" w:color="auto" w:fill="auto"/>
            <w:vAlign w:val="center"/>
          </w:tcPr>
          <w:p w14:paraId="0253F7DC" w14:textId="552DB1D5" w:rsidR="00921E18" w:rsidRPr="00D105C8" w:rsidRDefault="00921E18" w:rsidP="007510B2">
            <w:pPr>
              <w:jc w:val="center"/>
              <w:rPr>
                <w:sz w:val="21"/>
                <w:szCs w:val="21"/>
              </w:rPr>
            </w:pPr>
            <w:r w:rsidRPr="00D105C8">
              <w:rPr>
                <w:color w:val="000000"/>
                <w:sz w:val="21"/>
                <w:szCs w:val="21"/>
              </w:rPr>
              <w:t xml:space="preserve">161 </w:t>
            </w:r>
            <w:r w:rsidRPr="00D105C8">
              <w:rPr>
                <w:color w:val="202124"/>
                <w:sz w:val="21"/>
                <w:szCs w:val="21"/>
                <w:shd w:val="clear" w:color="auto" w:fill="FFFFFF"/>
              </w:rPr>
              <w:t xml:space="preserve">± </w:t>
            </w:r>
            <w:r w:rsidR="00FC62D3">
              <w:rPr>
                <w:color w:val="202124"/>
                <w:sz w:val="21"/>
                <w:szCs w:val="21"/>
                <w:shd w:val="clear" w:color="auto" w:fill="FFFFFF"/>
              </w:rPr>
              <w:t>10</w:t>
            </w:r>
          </w:p>
        </w:tc>
        <w:tc>
          <w:tcPr>
            <w:tcW w:w="1267" w:type="dxa"/>
            <w:shd w:val="clear" w:color="auto" w:fill="auto"/>
            <w:vAlign w:val="center"/>
          </w:tcPr>
          <w:p w14:paraId="6A587681" w14:textId="3A3306C7" w:rsidR="00921E18" w:rsidRPr="00D105C8" w:rsidRDefault="00921E18" w:rsidP="007510B2">
            <w:pPr>
              <w:jc w:val="center"/>
              <w:rPr>
                <w:sz w:val="21"/>
                <w:szCs w:val="21"/>
              </w:rPr>
            </w:pPr>
            <w:r w:rsidRPr="00D105C8">
              <w:rPr>
                <w:color w:val="000000"/>
                <w:sz w:val="21"/>
                <w:szCs w:val="21"/>
              </w:rPr>
              <w:t>15</w:t>
            </w:r>
            <w:r w:rsidR="00FC62D3">
              <w:rPr>
                <w:color w:val="000000"/>
                <w:sz w:val="21"/>
                <w:szCs w:val="21"/>
              </w:rPr>
              <w:t>2</w:t>
            </w:r>
            <w:r w:rsidRPr="00D105C8">
              <w:rPr>
                <w:color w:val="000000"/>
                <w:sz w:val="21"/>
                <w:szCs w:val="21"/>
              </w:rPr>
              <w:t xml:space="preserve"> </w:t>
            </w:r>
            <w:r w:rsidRPr="00D105C8">
              <w:rPr>
                <w:color w:val="202124"/>
                <w:sz w:val="21"/>
                <w:szCs w:val="21"/>
                <w:shd w:val="clear" w:color="auto" w:fill="FFFFFF"/>
              </w:rPr>
              <w:t>± 11</w:t>
            </w:r>
          </w:p>
        </w:tc>
        <w:tc>
          <w:tcPr>
            <w:tcW w:w="1266" w:type="dxa"/>
            <w:shd w:val="clear" w:color="auto" w:fill="auto"/>
            <w:vAlign w:val="center"/>
          </w:tcPr>
          <w:p w14:paraId="5EC72CEC" w14:textId="77443C2E" w:rsidR="00921E18" w:rsidRPr="00D105C8" w:rsidRDefault="00921E18" w:rsidP="007510B2">
            <w:pPr>
              <w:jc w:val="center"/>
              <w:rPr>
                <w:sz w:val="21"/>
                <w:szCs w:val="21"/>
              </w:rPr>
            </w:pPr>
            <w:r w:rsidRPr="00D105C8">
              <w:rPr>
                <w:color w:val="000000"/>
                <w:sz w:val="21"/>
                <w:szCs w:val="21"/>
              </w:rPr>
              <w:t>16</w:t>
            </w:r>
            <w:r w:rsidR="00FC62D3">
              <w:rPr>
                <w:color w:val="000000"/>
                <w:sz w:val="21"/>
                <w:szCs w:val="21"/>
              </w:rPr>
              <w:t>6</w:t>
            </w:r>
            <w:r w:rsidRPr="00D105C8">
              <w:rPr>
                <w:color w:val="000000"/>
                <w:sz w:val="21"/>
                <w:szCs w:val="21"/>
              </w:rPr>
              <w:t xml:space="preserve"> </w:t>
            </w:r>
            <w:r w:rsidRPr="00D105C8">
              <w:rPr>
                <w:color w:val="202124"/>
                <w:sz w:val="21"/>
                <w:szCs w:val="21"/>
                <w:shd w:val="clear" w:color="auto" w:fill="FFFFFF"/>
              </w:rPr>
              <w:t>± 2</w:t>
            </w:r>
            <w:r w:rsidR="00FC62D3">
              <w:rPr>
                <w:color w:val="202124"/>
                <w:sz w:val="21"/>
                <w:szCs w:val="21"/>
                <w:shd w:val="clear" w:color="auto" w:fill="FFFFFF"/>
              </w:rPr>
              <w:t>3</w:t>
            </w:r>
          </w:p>
        </w:tc>
        <w:tc>
          <w:tcPr>
            <w:tcW w:w="1266" w:type="dxa"/>
            <w:shd w:val="clear" w:color="auto" w:fill="auto"/>
            <w:vAlign w:val="center"/>
          </w:tcPr>
          <w:p w14:paraId="1A134675" w14:textId="3A09D9A2" w:rsidR="00921E18" w:rsidRPr="00D105C8" w:rsidRDefault="00921E18" w:rsidP="007510B2">
            <w:pPr>
              <w:jc w:val="center"/>
              <w:rPr>
                <w:sz w:val="21"/>
                <w:szCs w:val="21"/>
              </w:rPr>
            </w:pPr>
            <w:r w:rsidRPr="00D105C8">
              <w:rPr>
                <w:color w:val="000000"/>
                <w:sz w:val="21"/>
                <w:szCs w:val="21"/>
              </w:rPr>
              <w:t>13</w:t>
            </w:r>
            <w:r w:rsidR="00FC62D3">
              <w:rPr>
                <w:color w:val="000000"/>
                <w:sz w:val="21"/>
                <w:szCs w:val="21"/>
              </w:rPr>
              <w:t>8</w:t>
            </w:r>
            <w:r w:rsidRPr="00D105C8">
              <w:rPr>
                <w:color w:val="000000"/>
                <w:sz w:val="21"/>
                <w:szCs w:val="21"/>
              </w:rPr>
              <w:t xml:space="preserve"> </w:t>
            </w:r>
            <w:r w:rsidRPr="00D105C8">
              <w:rPr>
                <w:color w:val="202124"/>
                <w:sz w:val="21"/>
                <w:szCs w:val="21"/>
                <w:shd w:val="clear" w:color="auto" w:fill="FFFFFF"/>
              </w:rPr>
              <w:t>± 1</w:t>
            </w:r>
            <w:r w:rsidR="00FC62D3">
              <w:rPr>
                <w:color w:val="202124"/>
                <w:sz w:val="21"/>
                <w:szCs w:val="21"/>
                <w:shd w:val="clear" w:color="auto" w:fill="FFFFFF"/>
              </w:rPr>
              <w:t>2</w:t>
            </w:r>
          </w:p>
        </w:tc>
        <w:tc>
          <w:tcPr>
            <w:tcW w:w="1267" w:type="dxa"/>
            <w:shd w:val="clear" w:color="auto" w:fill="auto"/>
            <w:vAlign w:val="center"/>
          </w:tcPr>
          <w:p w14:paraId="7082BF7B" w14:textId="7ED7407B" w:rsidR="00921E18" w:rsidRPr="00D105C8" w:rsidRDefault="00921E18" w:rsidP="007510B2">
            <w:pPr>
              <w:jc w:val="center"/>
              <w:rPr>
                <w:sz w:val="21"/>
                <w:szCs w:val="21"/>
              </w:rPr>
            </w:pPr>
            <w:r w:rsidRPr="00D105C8">
              <w:rPr>
                <w:color w:val="000000"/>
                <w:sz w:val="21"/>
                <w:szCs w:val="21"/>
              </w:rPr>
              <w:t>13</w:t>
            </w:r>
            <w:r w:rsidR="00FC62D3">
              <w:rPr>
                <w:color w:val="000000"/>
                <w:sz w:val="21"/>
                <w:szCs w:val="21"/>
              </w:rPr>
              <w:t>6</w:t>
            </w:r>
            <w:r w:rsidRPr="00D105C8">
              <w:rPr>
                <w:color w:val="000000"/>
                <w:sz w:val="21"/>
                <w:szCs w:val="21"/>
              </w:rPr>
              <w:t xml:space="preserve"> </w:t>
            </w:r>
            <w:r w:rsidRPr="00D105C8">
              <w:rPr>
                <w:color w:val="202124"/>
                <w:sz w:val="21"/>
                <w:szCs w:val="21"/>
                <w:shd w:val="clear" w:color="auto" w:fill="FFFFFF"/>
              </w:rPr>
              <w:t>± 4</w:t>
            </w:r>
          </w:p>
        </w:tc>
      </w:tr>
      <w:tr w:rsidR="00A3545D" w14:paraId="5863E7DE" w14:textId="77777777" w:rsidTr="00A3545D">
        <w:tc>
          <w:tcPr>
            <w:tcW w:w="2547" w:type="dxa"/>
          </w:tcPr>
          <w:p w14:paraId="7E2008A4" w14:textId="77777777" w:rsidR="00A3545D" w:rsidRDefault="00A3545D" w:rsidP="007510B2"/>
        </w:tc>
        <w:tc>
          <w:tcPr>
            <w:tcW w:w="1266" w:type="dxa"/>
            <w:shd w:val="clear" w:color="auto" w:fill="auto"/>
            <w:vAlign w:val="center"/>
          </w:tcPr>
          <w:p w14:paraId="2DF86F92" w14:textId="77777777" w:rsidR="00A3545D" w:rsidRPr="00D105C8" w:rsidRDefault="00A3545D" w:rsidP="007510B2">
            <w:pPr>
              <w:jc w:val="center"/>
              <w:rPr>
                <w:color w:val="000000"/>
                <w:sz w:val="21"/>
                <w:szCs w:val="21"/>
              </w:rPr>
            </w:pPr>
          </w:p>
        </w:tc>
        <w:tc>
          <w:tcPr>
            <w:tcW w:w="1266" w:type="dxa"/>
            <w:shd w:val="clear" w:color="auto" w:fill="auto"/>
            <w:vAlign w:val="center"/>
          </w:tcPr>
          <w:p w14:paraId="2EDCEE69" w14:textId="77777777" w:rsidR="00A3545D" w:rsidRPr="00D105C8" w:rsidRDefault="00A3545D" w:rsidP="007510B2">
            <w:pPr>
              <w:jc w:val="center"/>
              <w:rPr>
                <w:color w:val="000000"/>
                <w:sz w:val="21"/>
                <w:szCs w:val="21"/>
              </w:rPr>
            </w:pPr>
          </w:p>
        </w:tc>
        <w:tc>
          <w:tcPr>
            <w:tcW w:w="1266" w:type="dxa"/>
            <w:shd w:val="clear" w:color="auto" w:fill="auto"/>
            <w:vAlign w:val="center"/>
          </w:tcPr>
          <w:p w14:paraId="6CB2F8B9" w14:textId="77777777" w:rsidR="00A3545D" w:rsidRPr="00D105C8" w:rsidRDefault="00A3545D" w:rsidP="007510B2">
            <w:pPr>
              <w:jc w:val="center"/>
              <w:rPr>
                <w:color w:val="000000"/>
                <w:sz w:val="21"/>
                <w:szCs w:val="21"/>
              </w:rPr>
            </w:pPr>
          </w:p>
        </w:tc>
        <w:tc>
          <w:tcPr>
            <w:tcW w:w="1267" w:type="dxa"/>
            <w:shd w:val="clear" w:color="auto" w:fill="auto"/>
            <w:vAlign w:val="center"/>
          </w:tcPr>
          <w:p w14:paraId="28FCD575" w14:textId="77777777" w:rsidR="00A3545D" w:rsidRPr="00D105C8" w:rsidRDefault="00A3545D" w:rsidP="007510B2">
            <w:pPr>
              <w:jc w:val="center"/>
              <w:rPr>
                <w:color w:val="000000"/>
                <w:sz w:val="21"/>
                <w:szCs w:val="21"/>
              </w:rPr>
            </w:pPr>
          </w:p>
        </w:tc>
        <w:tc>
          <w:tcPr>
            <w:tcW w:w="1266" w:type="dxa"/>
            <w:shd w:val="clear" w:color="auto" w:fill="auto"/>
            <w:vAlign w:val="center"/>
          </w:tcPr>
          <w:p w14:paraId="0695B3E9" w14:textId="77777777" w:rsidR="00A3545D" w:rsidRPr="00D105C8" w:rsidRDefault="00A3545D" w:rsidP="007510B2">
            <w:pPr>
              <w:jc w:val="center"/>
              <w:rPr>
                <w:color w:val="000000"/>
                <w:sz w:val="21"/>
                <w:szCs w:val="21"/>
              </w:rPr>
            </w:pPr>
          </w:p>
        </w:tc>
        <w:tc>
          <w:tcPr>
            <w:tcW w:w="1266" w:type="dxa"/>
            <w:shd w:val="clear" w:color="auto" w:fill="auto"/>
            <w:vAlign w:val="center"/>
          </w:tcPr>
          <w:p w14:paraId="3823B348" w14:textId="77777777" w:rsidR="00A3545D" w:rsidRPr="00D105C8" w:rsidRDefault="00A3545D" w:rsidP="007510B2">
            <w:pPr>
              <w:jc w:val="center"/>
              <w:rPr>
                <w:color w:val="000000"/>
                <w:sz w:val="21"/>
                <w:szCs w:val="21"/>
              </w:rPr>
            </w:pPr>
          </w:p>
        </w:tc>
        <w:tc>
          <w:tcPr>
            <w:tcW w:w="1266" w:type="dxa"/>
            <w:shd w:val="clear" w:color="auto" w:fill="auto"/>
            <w:vAlign w:val="center"/>
          </w:tcPr>
          <w:p w14:paraId="4CA1AF7E" w14:textId="77777777" w:rsidR="00A3545D" w:rsidRPr="00D105C8" w:rsidRDefault="00A3545D" w:rsidP="007510B2">
            <w:pPr>
              <w:jc w:val="center"/>
              <w:rPr>
                <w:color w:val="000000"/>
                <w:sz w:val="21"/>
                <w:szCs w:val="21"/>
              </w:rPr>
            </w:pPr>
          </w:p>
        </w:tc>
        <w:tc>
          <w:tcPr>
            <w:tcW w:w="1267" w:type="dxa"/>
            <w:shd w:val="clear" w:color="auto" w:fill="auto"/>
            <w:vAlign w:val="center"/>
          </w:tcPr>
          <w:p w14:paraId="71D6428C" w14:textId="77777777" w:rsidR="00A3545D" w:rsidRPr="00D105C8" w:rsidRDefault="00A3545D" w:rsidP="007510B2">
            <w:pPr>
              <w:jc w:val="center"/>
              <w:rPr>
                <w:color w:val="000000"/>
                <w:sz w:val="21"/>
                <w:szCs w:val="21"/>
              </w:rPr>
            </w:pPr>
          </w:p>
        </w:tc>
        <w:tc>
          <w:tcPr>
            <w:tcW w:w="1266" w:type="dxa"/>
            <w:shd w:val="clear" w:color="auto" w:fill="auto"/>
            <w:vAlign w:val="center"/>
          </w:tcPr>
          <w:p w14:paraId="43C3E387" w14:textId="77777777" w:rsidR="00A3545D" w:rsidRPr="00D105C8" w:rsidRDefault="00A3545D" w:rsidP="007510B2">
            <w:pPr>
              <w:jc w:val="center"/>
              <w:rPr>
                <w:color w:val="000000"/>
                <w:sz w:val="21"/>
                <w:szCs w:val="21"/>
              </w:rPr>
            </w:pPr>
          </w:p>
        </w:tc>
        <w:tc>
          <w:tcPr>
            <w:tcW w:w="1266" w:type="dxa"/>
            <w:shd w:val="clear" w:color="auto" w:fill="auto"/>
            <w:vAlign w:val="center"/>
          </w:tcPr>
          <w:p w14:paraId="4CFC96D2" w14:textId="77777777" w:rsidR="00A3545D" w:rsidRPr="00D105C8" w:rsidRDefault="00A3545D" w:rsidP="007510B2">
            <w:pPr>
              <w:jc w:val="center"/>
              <w:rPr>
                <w:color w:val="000000"/>
                <w:sz w:val="21"/>
                <w:szCs w:val="21"/>
              </w:rPr>
            </w:pPr>
          </w:p>
        </w:tc>
        <w:tc>
          <w:tcPr>
            <w:tcW w:w="1266" w:type="dxa"/>
            <w:shd w:val="clear" w:color="auto" w:fill="auto"/>
            <w:vAlign w:val="center"/>
          </w:tcPr>
          <w:p w14:paraId="1132DBE5" w14:textId="77777777" w:rsidR="00A3545D" w:rsidRPr="00D105C8" w:rsidRDefault="00A3545D" w:rsidP="007510B2">
            <w:pPr>
              <w:jc w:val="center"/>
              <w:rPr>
                <w:color w:val="000000"/>
                <w:sz w:val="21"/>
                <w:szCs w:val="21"/>
              </w:rPr>
            </w:pPr>
          </w:p>
        </w:tc>
        <w:tc>
          <w:tcPr>
            <w:tcW w:w="1267" w:type="dxa"/>
            <w:shd w:val="clear" w:color="auto" w:fill="auto"/>
            <w:vAlign w:val="center"/>
          </w:tcPr>
          <w:p w14:paraId="672A9F5B" w14:textId="77777777" w:rsidR="00A3545D" w:rsidRPr="00D105C8" w:rsidRDefault="00A3545D" w:rsidP="007510B2">
            <w:pPr>
              <w:jc w:val="center"/>
              <w:rPr>
                <w:color w:val="000000"/>
                <w:sz w:val="21"/>
                <w:szCs w:val="21"/>
              </w:rPr>
            </w:pPr>
          </w:p>
        </w:tc>
        <w:tc>
          <w:tcPr>
            <w:tcW w:w="1266" w:type="dxa"/>
            <w:shd w:val="clear" w:color="auto" w:fill="auto"/>
            <w:vAlign w:val="center"/>
          </w:tcPr>
          <w:p w14:paraId="6930449E" w14:textId="77777777" w:rsidR="00A3545D" w:rsidRPr="00D105C8" w:rsidRDefault="00A3545D" w:rsidP="007510B2">
            <w:pPr>
              <w:jc w:val="center"/>
              <w:rPr>
                <w:color w:val="000000"/>
                <w:sz w:val="21"/>
                <w:szCs w:val="21"/>
              </w:rPr>
            </w:pPr>
          </w:p>
        </w:tc>
        <w:tc>
          <w:tcPr>
            <w:tcW w:w="1266" w:type="dxa"/>
            <w:shd w:val="clear" w:color="auto" w:fill="auto"/>
            <w:vAlign w:val="center"/>
          </w:tcPr>
          <w:p w14:paraId="7BC54413" w14:textId="77777777" w:rsidR="00A3545D" w:rsidRPr="00D105C8" w:rsidRDefault="00A3545D" w:rsidP="007510B2">
            <w:pPr>
              <w:jc w:val="center"/>
              <w:rPr>
                <w:color w:val="000000"/>
                <w:sz w:val="21"/>
                <w:szCs w:val="21"/>
              </w:rPr>
            </w:pPr>
          </w:p>
        </w:tc>
        <w:tc>
          <w:tcPr>
            <w:tcW w:w="1267" w:type="dxa"/>
            <w:shd w:val="clear" w:color="auto" w:fill="auto"/>
            <w:vAlign w:val="center"/>
          </w:tcPr>
          <w:p w14:paraId="59D19592" w14:textId="77777777" w:rsidR="00A3545D" w:rsidRPr="00D105C8" w:rsidRDefault="00A3545D" w:rsidP="007510B2">
            <w:pPr>
              <w:jc w:val="center"/>
              <w:rPr>
                <w:color w:val="000000"/>
                <w:sz w:val="21"/>
                <w:szCs w:val="21"/>
              </w:rPr>
            </w:pPr>
          </w:p>
        </w:tc>
      </w:tr>
      <w:tr w:rsidR="00A3545D" w14:paraId="6A0D6F6F" w14:textId="77777777" w:rsidTr="00A3545D">
        <w:tc>
          <w:tcPr>
            <w:tcW w:w="2547" w:type="dxa"/>
          </w:tcPr>
          <w:p w14:paraId="0BC303B9" w14:textId="77777777" w:rsidR="00A3545D" w:rsidRDefault="00A3545D" w:rsidP="007510B2"/>
        </w:tc>
        <w:tc>
          <w:tcPr>
            <w:tcW w:w="18994" w:type="dxa"/>
            <w:gridSpan w:val="15"/>
            <w:shd w:val="clear" w:color="auto" w:fill="auto"/>
            <w:vAlign w:val="center"/>
          </w:tcPr>
          <w:p w14:paraId="53727C0A" w14:textId="77777777" w:rsidR="00A3545D" w:rsidRPr="00D105C8" w:rsidRDefault="00A3545D" w:rsidP="007510B2">
            <w:pPr>
              <w:jc w:val="center"/>
              <w:rPr>
                <w:b/>
                <w:bCs/>
                <w:color w:val="000000"/>
                <w:sz w:val="21"/>
                <w:szCs w:val="21"/>
              </w:rPr>
            </w:pPr>
            <w:r w:rsidRPr="00D105C8">
              <w:rPr>
                <w:b/>
                <w:bCs/>
                <w:color w:val="000000"/>
                <w:sz w:val="21"/>
                <w:szCs w:val="21"/>
              </w:rPr>
              <w:t>Treatments</w:t>
            </w:r>
          </w:p>
        </w:tc>
      </w:tr>
      <w:tr w:rsidR="00A3545D" w14:paraId="237F1F9E" w14:textId="77777777" w:rsidTr="00A3545D">
        <w:tc>
          <w:tcPr>
            <w:tcW w:w="2547" w:type="dxa"/>
          </w:tcPr>
          <w:p w14:paraId="2078F36E" w14:textId="77777777" w:rsidR="00A3545D" w:rsidRDefault="00A3545D" w:rsidP="007510B2"/>
        </w:tc>
        <w:tc>
          <w:tcPr>
            <w:tcW w:w="1266" w:type="dxa"/>
          </w:tcPr>
          <w:p w14:paraId="5B1F9156" w14:textId="77777777" w:rsidR="00A3545D" w:rsidRPr="00D105C8" w:rsidRDefault="00A3545D" w:rsidP="007510B2">
            <w:pPr>
              <w:jc w:val="center"/>
              <w:rPr>
                <w:color w:val="000000"/>
                <w:sz w:val="21"/>
                <w:szCs w:val="21"/>
              </w:rPr>
            </w:pPr>
            <w:r w:rsidRPr="00D105C8">
              <w:rPr>
                <w:b/>
                <w:bCs/>
                <w:sz w:val="21"/>
                <w:szCs w:val="21"/>
              </w:rPr>
              <w:t>Biochar</w:t>
            </w:r>
          </w:p>
        </w:tc>
        <w:tc>
          <w:tcPr>
            <w:tcW w:w="1266" w:type="dxa"/>
          </w:tcPr>
          <w:p w14:paraId="651769EE" w14:textId="77777777" w:rsidR="00A3545D" w:rsidRPr="00D105C8" w:rsidRDefault="00A3545D" w:rsidP="007510B2">
            <w:pPr>
              <w:jc w:val="center"/>
              <w:rPr>
                <w:color w:val="000000"/>
                <w:sz w:val="21"/>
                <w:szCs w:val="21"/>
              </w:rPr>
            </w:pPr>
            <w:r w:rsidRPr="00D105C8">
              <w:rPr>
                <w:b/>
                <w:bCs/>
                <w:sz w:val="21"/>
                <w:szCs w:val="21"/>
              </w:rPr>
              <w:t>Wood ash</w:t>
            </w:r>
          </w:p>
        </w:tc>
        <w:tc>
          <w:tcPr>
            <w:tcW w:w="1266" w:type="dxa"/>
          </w:tcPr>
          <w:p w14:paraId="4E47B98F" w14:textId="77777777" w:rsidR="00A3545D" w:rsidRPr="00D105C8" w:rsidRDefault="00A3545D" w:rsidP="007510B2">
            <w:pPr>
              <w:jc w:val="center"/>
              <w:rPr>
                <w:color w:val="000000"/>
                <w:sz w:val="21"/>
                <w:szCs w:val="21"/>
              </w:rPr>
            </w:pPr>
            <w:r w:rsidRPr="00D105C8">
              <w:rPr>
                <w:b/>
                <w:bCs/>
                <w:sz w:val="21"/>
                <w:szCs w:val="21"/>
              </w:rPr>
              <w:t>Amino acids</w:t>
            </w:r>
          </w:p>
        </w:tc>
        <w:tc>
          <w:tcPr>
            <w:tcW w:w="1267" w:type="dxa"/>
          </w:tcPr>
          <w:p w14:paraId="30A68495" w14:textId="326EEB93" w:rsidR="00A3545D" w:rsidRPr="00D105C8" w:rsidRDefault="00D93F76" w:rsidP="007510B2">
            <w:pPr>
              <w:jc w:val="center"/>
              <w:rPr>
                <w:color w:val="000000"/>
                <w:sz w:val="21"/>
                <w:szCs w:val="21"/>
              </w:rPr>
            </w:pPr>
            <w:r>
              <w:rPr>
                <w:b/>
                <w:bCs/>
              </w:rPr>
              <w:t>Protein</w:t>
            </w:r>
          </w:p>
        </w:tc>
        <w:tc>
          <w:tcPr>
            <w:tcW w:w="1266" w:type="dxa"/>
          </w:tcPr>
          <w:p w14:paraId="7F39159A" w14:textId="77777777" w:rsidR="00A3545D" w:rsidRPr="00D105C8" w:rsidRDefault="00A3545D" w:rsidP="007510B2">
            <w:pPr>
              <w:jc w:val="center"/>
              <w:rPr>
                <w:color w:val="000000"/>
                <w:sz w:val="21"/>
                <w:szCs w:val="21"/>
              </w:rPr>
            </w:pPr>
            <w:r w:rsidRPr="00D105C8">
              <w:rPr>
                <w:b/>
                <w:bCs/>
                <w:sz w:val="21"/>
                <w:szCs w:val="21"/>
              </w:rPr>
              <w:t>Glucose</w:t>
            </w:r>
          </w:p>
        </w:tc>
        <w:tc>
          <w:tcPr>
            <w:tcW w:w="1266" w:type="dxa"/>
          </w:tcPr>
          <w:p w14:paraId="4BFEAE1B" w14:textId="77777777" w:rsidR="00A3545D" w:rsidRPr="00D105C8" w:rsidRDefault="00A3545D" w:rsidP="007510B2">
            <w:pPr>
              <w:jc w:val="center"/>
              <w:rPr>
                <w:color w:val="000000"/>
                <w:sz w:val="21"/>
                <w:szCs w:val="21"/>
              </w:rPr>
            </w:pPr>
            <w:r w:rsidRPr="00D105C8">
              <w:rPr>
                <w:b/>
                <w:bCs/>
                <w:sz w:val="21"/>
                <w:szCs w:val="21"/>
              </w:rPr>
              <w:t>Cellulose</w:t>
            </w:r>
          </w:p>
        </w:tc>
        <w:tc>
          <w:tcPr>
            <w:tcW w:w="1266" w:type="dxa"/>
          </w:tcPr>
          <w:p w14:paraId="046A10B6" w14:textId="01E6198F" w:rsidR="00A3545D" w:rsidRPr="00D105C8" w:rsidRDefault="004762C9" w:rsidP="007510B2">
            <w:pPr>
              <w:jc w:val="center"/>
              <w:rPr>
                <w:color w:val="000000"/>
                <w:sz w:val="21"/>
                <w:szCs w:val="21"/>
              </w:rPr>
            </w:pPr>
            <w:r>
              <w:rPr>
                <w:b/>
                <w:bCs/>
                <w:sz w:val="21"/>
                <w:szCs w:val="21"/>
              </w:rPr>
              <w:t>FYM</w:t>
            </w:r>
          </w:p>
        </w:tc>
        <w:tc>
          <w:tcPr>
            <w:tcW w:w="1267" w:type="dxa"/>
          </w:tcPr>
          <w:p w14:paraId="740FD3DB" w14:textId="77777777" w:rsidR="00A3545D" w:rsidRPr="00D105C8" w:rsidRDefault="00A3545D" w:rsidP="007510B2">
            <w:pPr>
              <w:jc w:val="center"/>
              <w:rPr>
                <w:color w:val="000000"/>
                <w:sz w:val="21"/>
                <w:szCs w:val="21"/>
              </w:rPr>
            </w:pPr>
            <w:r w:rsidRPr="00D105C8">
              <w:rPr>
                <w:b/>
                <w:bCs/>
                <w:sz w:val="21"/>
                <w:szCs w:val="21"/>
              </w:rPr>
              <w:t>Slurry</w:t>
            </w:r>
          </w:p>
        </w:tc>
        <w:tc>
          <w:tcPr>
            <w:tcW w:w="1266" w:type="dxa"/>
          </w:tcPr>
          <w:p w14:paraId="1E3F6C2D" w14:textId="77777777" w:rsidR="00A3545D" w:rsidRPr="00D105C8" w:rsidRDefault="00A3545D" w:rsidP="007510B2">
            <w:pPr>
              <w:jc w:val="center"/>
              <w:rPr>
                <w:color w:val="000000"/>
                <w:sz w:val="21"/>
                <w:szCs w:val="21"/>
              </w:rPr>
            </w:pPr>
            <w:r w:rsidRPr="00D105C8">
              <w:rPr>
                <w:b/>
                <w:bCs/>
                <w:sz w:val="21"/>
                <w:szCs w:val="21"/>
              </w:rPr>
              <w:t>Inorganic N</w:t>
            </w:r>
          </w:p>
        </w:tc>
        <w:tc>
          <w:tcPr>
            <w:tcW w:w="1266" w:type="dxa"/>
          </w:tcPr>
          <w:p w14:paraId="0225B851" w14:textId="77777777" w:rsidR="00A3545D" w:rsidRPr="00D105C8" w:rsidRDefault="00A3545D" w:rsidP="007510B2">
            <w:pPr>
              <w:jc w:val="center"/>
              <w:rPr>
                <w:color w:val="000000"/>
                <w:sz w:val="21"/>
                <w:szCs w:val="21"/>
              </w:rPr>
            </w:pPr>
            <w:r w:rsidRPr="00D105C8">
              <w:rPr>
                <w:b/>
                <w:bCs/>
                <w:sz w:val="21"/>
                <w:szCs w:val="21"/>
              </w:rPr>
              <w:t>100/0</w:t>
            </w:r>
          </w:p>
        </w:tc>
        <w:tc>
          <w:tcPr>
            <w:tcW w:w="1266" w:type="dxa"/>
          </w:tcPr>
          <w:p w14:paraId="7C1CB737" w14:textId="77777777" w:rsidR="00A3545D" w:rsidRPr="00D105C8" w:rsidRDefault="00A3545D" w:rsidP="007510B2">
            <w:pPr>
              <w:jc w:val="center"/>
              <w:rPr>
                <w:color w:val="000000"/>
                <w:sz w:val="21"/>
                <w:szCs w:val="21"/>
              </w:rPr>
            </w:pPr>
            <w:r w:rsidRPr="00D105C8">
              <w:rPr>
                <w:b/>
                <w:bCs/>
                <w:sz w:val="21"/>
                <w:szCs w:val="21"/>
              </w:rPr>
              <w:t>75/25</w:t>
            </w:r>
          </w:p>
        </w:tc>
        <w:tc>
          <w:tcPr>
            <w:tcW w:w="1267" w:type="dxa"/>
          </w:tcPr>
          <w:p w14:paraId="74ADB73C" w14:textId="77777777" w:rsidR="00A3545D" w:rsidRPr="00D105C8" w:rsidRDefault="00A3545D" w:rsidP="007510B2">
            <w:pPr>
              <w:jc w:val="center"/>
              <w:rPr>
                <w:color w:val="000000"/>
                <w:sz w:val="21"/>
                <w:szCs w:val="21"/>
              </w:rPr>
            </w:pPr>
            <w:r w:rsidRPr="00D105C8">
              <w:rPr>
                <w:b/>
                <w:bCs/>
                <w:sz w:val="21"/>
                <w:szCs w:val="21"/>
              </w:rPr>
              <w:t>50/50</w:t>
            </w:r>
          </w:p>
        </w:tc>
        <w:tc>
          <w:tcPr>
            <w:tcW w:w="1266" w:type="dxa"/>
          </w:tcPr>
          <w:p w14:paraId="475B6C1D" w14:textId="77777777" w:rsidR="00A3545D" w:rsidRPr="00D105C8" w:rsidRDefault="00A3545D" w:rsidP="007510B2">
            <w:pPr>
              <w:jc w:val="center"/>
              <w:rPr>
                <w:color w:val="000000"/>
                <w:sz w:val="21"/>
                <w:szCs w:val="21"/>
              </w:rPr>
            </w:pPr>
            <w:r w:rsidRPr="00D105C8">
              <w:rPr>
                <w:b/>
                <w:bCs/>
                <w:sz w:val="21"/>
                <w:szCs w:val="21"/>
              </w:rPr>
              <w:t>25/75</w:t>
            </w:r>
          </w:p>
        </w:tc>
        <w:tc>
          <w:tcPr>
            <w:tcW w:w="1266" w:type="dxa"/>
          </w:tcPr>
          <w:p w14:paraId="194F5CFE" w14:textId="77777777" w:rsidR="00A3545D" w:rsidRPr="00D105C8" w:rsidRDefault="00A3545D" w:rsidP="007510B2">
            <w:pPr>
              <w:jc w:val="center"/>
              <w:rPr>
                <w:color w:val="000000"/>
                <w:sz w:val="21"/>
                <w:szCs w:val="21"/>
              </w:rPr>
            </w:pPr>
            <w:r w:rsidRPr="00D105C8">
              <w:rPr>
                <w:b/>
                <w:bCs/>
                <w:sz w:val="21"/>
                <w:szCs w:val="21"/>
              </w:rPr>
              <w:t>0/100</w:t>
            </w:r>
          </w:p>
        </w:tc>
        <w:tc>
          <w:tcPr>
            <w:tcW w:w="1267" w:type="dxa"/>
          </w:tcPr>
          <w:p w14:paraId="14AF488E" w14:textId="77777777" w:rsidR="00A3545D" w:rsidRPr="00D105C8" w:rsidRDefault="00A3545D" w:rsidP="007510B2">
            <w:pPr>
              <w:jc w:val="center"/>
              <w:rPr>
                <w:color w:val="000000"/>
                <w:sz w:val="21"/>
                <w:szCs w:val="21"/>
              </w:rPr>
            </w:pPr>
            <w:r w:rsidRPr="00D105C8">
              <w:rPr>
                <w:b/>
                <w:bCs/>
                <w:sz w:val="21"/>
                <w:szCs w:val="21"/>
              </w:rPr>
              <w:t>Control</w:t>
            </w:r>
          </w:p>
        </w:tc>
      </w:tr>
      <w:tr w:rsidR="00A3545D" w14:paraId="616E03F6" w14:textId="77777777" w:rsidTr="00A3545D">
        <w:tc>
          <w:tcPr>
            <w:tcW w:w="2547" w:type="dxa"/>
          </w:tcPr>
          <w:p w14:paraId="5EECB46F" w14:textId="39C3C994" w:rsidR="00A3545D" w:rsidRDefault="00C1733C" w:rsidP="007510B2">
            <w:r>
              <w:t xml:space="preserve">Initial </w:t>
            </w:r>
            <w:r w:rsidR="00A3545D">
              <w:t xml:space="preserve">C:N ratio </w:t>
            </w:r>
          </w:p>
        </w:tc>
        <w:tc>
          <w:tcPr>
            <w:tcW w:w="1266" w:type="dxa"/>
            <w:shd w:val="clear" w:color="auto" w:fill="auto"/>
            <w:vAlign w:val="bottom"/>
          </w:tcPr>
          <w:p w14:paraId="39D2DD77" w14:textId="4397427B" w:rsidR="00A3545D" w:rsidRPr="00D105C8" w:rsidRDefault="00A3545D" w:rsidP="007510B2">
            <w:pPr>
              <w:jc w:val="center"/>
              <w:rPr>
                <w:b/>
                <w:bCs/>
                <w:sz w:val="21"/>
                <w:szCs w:val="21"/>
              </w:rPr>
            </w:pPr>
            <w:r w:rsidRPr="00D105C8">
              <w:rPr>
                <w:color w:val="000000"/>
                <w:sz w:val="21"/>
                <w:szCs w:val="21"/>
              </w:rPr>
              <w:t>73</w:t>
            </w:r>
          </w:p>
        </w:tc>
        <w:tc>
          <w:tcPr>
            <w:tcW w:w="1266" w:type="dxa"/>
            <w:shd w:val="clear" w:color="auto" w:fill="auto"/>
            <w:vAlign w:val="bottom"/>
          </w:tcPr>
          <w:p w14:paraId="69870195" w14:textId="3126ACCD" w:rsidR="00A3545D" w:rsidRPr="00D105C8" w:rsidRDefault="00A3545D" w:rsidP="007510B2">
            <w:pPr>
              <w:jc w:val="center"/>
              <w:rPr>
                <w:b/>
                <w:bCs/>
                <w:sz w:val="21"/>
                <w:szCs w:val="21"/>
              </w:rPr>
            </w:pPr>
            <w:r w:rsidRPr="00D105C8">
              <w:rPr>
                <w:color w:val="000000"/>
                <w:sz w:val="21"/>
                <w:szCs w:val="21"/>
              </w:rPr>
              <w:t>90</w:t>
            </w:r>
          </w:p>
        </w:tc>
        <w:tc>
          <w:tcPr>
            <w:tcW w:w="1266" w:type="dxa"/>
            <w:shd w:val="clear" w:color="auto" w:fill="auto"/>
            <w:vAlign w:val="bottom"/>
          </w:tcPr>
          <w:p w14:paraId="7B54ABC9" w14:textId="0E21F657" w:rsidR="00A3545D" w:rsidRPr="00D105C8" w:rsidRDefault="00A3545D" w:rsidP="007510B2">
            <w:pPr>
              <w:jc w:val="center"/>
              <w:rPr>
                <w:b/>
                <w:bCs/>
                <w:sz w:val="21"/>
                <w:szCs w:val="21"/>
              </w:rPr>
            </w:pPr>
            <w:r w:rsidRPr="00D105C8">
              <w:rPr>
                <w:color w:val="000000"/>
                <w:sz w:val="21"/>
                <w:szCs w:val="21"/>
              </w:rPr>
              <w:t>3</w:t>
            </w:r>
          </w:p>
        </w:tc>
        <w:tc>
          <w:tcPr>
            <w:tcW w:w="1267" w:type="dxa"/>
            <w:shd w:val="clear" w:color="auto" w:fill="auto"/>
            <w:vAlign w:val="bottom"/>
          </w:tcPr>
          <w:p w14:paraId="7A4F251E" w14:textId="7038D941" w:rsidR="00A3545D" w:rsidRPr="00D105C8" w:rsidRDefault="00A3545D" w:rsidP="007510B2">
            <w:pPr>
              <w:jc w:val="center"/>
              <w:rPr>
                <w:b/>
                <w:bCs/>
                <w:sz w:val="21"/>
                <w:szCs w:val="21"/>
              </w:rPr>
            </w:pPr>
            <w:r w:rsidRPr="00D105C8">
              <w:rPr>
                <w:color w:val="000000"/>
                <w:sz w:val="21"/>
                <w:szCs w:val="21"/>
              </w:rPr>
              <w:t>3</w:t>
            </w:r>
          </w:p>
        </w:tc>
        <w:tc>
          <w:tcPr>
            <w:tcW w:w="1266" w:type="dxa"/>
            <w:shd w:val="clear" w:color="auto" w:fill="auto"/>
            <w:vAlign w:val="bottom"/>
          </w:tcPr>
          <w:p w14:paraId="494FEDB4" w14:textId="77777777" w:rsidR="00A3545D" w:rsidRPr="00D105C8" w:rsidRDefault="00A3545D" w:rsidP="007510B2">
            <w:pPr>
              <w:jc w:val="center"/>
              <w:rPr>
                <w:b/>
                <w:bCs/>
                <w:sz w:val="21"/>
                <w:szCs w:val="21"/>
              </w:rPr>
            </w:pPr>
            <w:r w:rsidRPr="00D105C8">
              <w:rPr>
                <w:color w:val="000000"/>
                <w:sz w:val="21"/>
                <w:szCs w:val="21"/>
              </w:rPr>
              <w:t>0</w:t>
            </w:r>
          </w:p>
        </w:tc>
        <w:tc>
          <w:tcPr>
            <w:tcW w:w="1266" w:type="dxa"/>
            <w:shd w:val="clear" w:color="auto" w:fill="auto"/>
            <w:vAlign w:val="bottom"/>
          </w:tcPr>
          <w:p w14:paraId="1A5EEB55" w14:textId="77777777" w:rsidR="00A3545D" w:rsidRPr="00D105C8" w:rsidRDefault="00A3545D" w:rsidP="007510B2">
            <w:pPr>
              <w:jc w:val="center"/>
              <w:rPr>
                <w:b/>
                <w:bCs/>
                <w:sz w:val="21"/>
                <w:szCs w:val="21"/>
              </w:rPr>
            </w:pPr>
            <w:r w:rsidRPr="00D105C8">
              <w:rPr>
                <w:color w:val="000000"/>
                <w:sz w:val="21"/>
                <w:szCs w:val="21"/>
              </w:rPr>
              <w:t>0</w:t>
            </w:r>
          </w:p>
        </w:tc>
        <w:tc>
          <w:tcPr>
            <w:tcW w:w="1266" w:type="dxa"/>
            <w:shd w:val="clear" w:color="auto" w:fill="auto"/>
            <w:vAlign w:val="bottom"/>
          </w:tcPr>
          <w:p w14:paraId="4676E6A8" w14:textId="035866AE" w:rsidR="00A3545D" w:rsidRPr="00D105C8" w:rsidRDefault="00A3545D" w:rsidP="007510B2">
            <w:pPr>
              <w:jc w:val="center"/>
              <w:rPr>
                <w:b/>
                <w:bCs/>
                <w:sz w:val="21"/>
                <w:szCs w:val="21"/>
              </w:rPr>
            </w:pPr>
            <w:r w:rsidRPr="00D105C8">
              <w:rPr>
                <w:color w:val="000000"/>
                <w:sz w:val="21"/>
                <w:szCs w:val="21"/>
              </w:rPr>
              <w:t>18</w:t>
            </w:r>
          </w:p>
        </w:tc>
        <w:tc>
          <w:tcPr>
            <w:tcW w:w="1267" w:type="dxa"/>
            <w:shd w:val="clear" w:color="auto" w:fill="auto"/>
            <w:vAlign w:val="bottom"/>
          </w:tcPr>
          <w:p w14:paraId="5A7B9F82" w14:textId="612ED9AC" w:rsidR="00A3545D" w:rsidRPr="00D105C8" w:rsidRDefault="00A3545D" w:rsidP="007510B2">
            <w:pPr>
              <w:jc w:val="center"/>
              <w:rPr>
                <w:b/>
                <w:bCs/>
                <w:sz w:val="21"/>
                <w:szCs w:val="21"/>
              </w:rPr>
            </w:pPr>
            <w:r w:rsidRPr="00D105C8">
              <w:rPr>
                <w:color w:val="000000"/>
                <w:sz w:val="21"/>
                <w:szCs w:val="21"/>
              </w:rPr>
              <w:t>1</w:t>
            </w:r>
            <w:r w:rsidR="00103CF8">
              <w:rPr>
                <w:color w:val="000000"/>
                <w:sz w:val="21"/>
                <w:szCs w:val="21"/>
              </w:rPr>
              <w:t>7</w:t>
            </w:r>
          </w:p>
        </w:tc>
        <w:tc>
          <w:tcPr>
            <w:tcW w:w="1266" w:type="dxa"/>
            <w:shd w:val="clear" w:color="auto" w:fill="auto"/>
            <w:vAlign w:val="bottom"/>
          </w:tcPr>
          <w:p w14:paraId="53A32E52" w14:textId="77777777" w:rsidR="00A3545D" w:rsidRPr="00D105C8" w:rsidRDefault="00A3545D" w:rsidP="007510B2">
            <w:pPr>
              <w:jc w:val="center"/>
              <w:rPr>
                <w:b/>
                <w:bCs/>
                <w:sz w:val="21"/>
                <w:szCs w:val="21"/>
              </w:rPr>
            </w:pPr>
            <w:r w:rsidRPr="00D105C8">
              <w:rPr>
                <w:color w:val="000000"/>
                <w:sz w:val="21"/>
                <w:szCs w:val="21"/>
              </w:rPr>
              <w:t>0</w:t>
            </w:r>
          </w:p>
        </w:tc>
        <w:tc>
          <w:tcPr>
            <w:tcW w:w="1266" w:type="dxa"/>
            <w:shd w:val="clear" w:color="auto" w:fill="auto"/>
            <w:vAlign w:val="bottom"/>
          </w:tcPr>
          <w:p w14:paraId="3634CF70" w14:textId="6B39DC2C" w:rsidR="00A3545D" w:rsidRPr="00D105C8" w:rsidRDefault="00A3545D" w:rsidP="007510B2">
            <w:pPr>
              <w:jc w:val="center"/>
              <w:rPr>
                <w:b/>
                <w:bCs/>
                <w:sz w:val="21"/>
                <w:szCs w:val="21"/>
              </w:rPr>
            </w:pPr>
            <w:r w:rsidRPr="00D105C8">
              <w:rPr>
                <w:color w:val="000000"/>
                <w:sz w:val="21"/>
                <w:szCs w:val="21"/>
              </w:rPr>
              <w:t>67</w:t>
            </w:r>
          </w:p>
        </w:tc>
        <w:tc>
          <w:tcPr>
            <w:tcW w:w="1266" w:type="dxa"/>
            <w:shd w:val="clear" w:color="auto" w:fill="auto"/>
            <w:vAlign w:val="bottom"/>
          </w:tcPr>
          <w:p w14:paraId="2306D8C0" w14:textId="3BD3EEE9" w:rsidR="00A3545D" w:rsidRPr="00D105C8" w:rsidRDefault="00A3545D" w:rsidP="007510B2">
            <w:pPr>
              <w:jc w:val="center"/>
              <w:rPr>
                <w:b/>
                <w:bCs/>
                <w:sz w:val="21"/>
                <w:szCs w:val="21"/>
              </w:rPr>
            </w:pPr>
            <w:r w:rsidRPr="00D105C8">
              <w:rPr>
                <w:color w:val="000000"/>
                <w:sz w:val="21"/>
                <w:szCs w:val="21"/>
              </w:rPr>
              <w:t>2</w:t>
            </w:r>
            <w:r w:rsidR="00103CF8">
              <w:rPr>
                <w:color w:val="000000"/>
                <w:sz w:val="21"/>
                <w:szCs w:val="21"/>
              </w:rPr>
              <w:t>6</w:t>
            </w:r>
          </w:p>
        </w:tc>
        <w:tc>
          <w:tcPr>
            <w:tcW w:w="1267" w:type="dxa"/>
            <w:shd w:val="clear" w:color="auto" w:fill="auto"/>
            <w:vAlign w:val="bottom"/>
          </w:tcPr>
          <w:p w14:paraId="58B60827" w14:textId="3F24773C" w:rsidR="00A3545D" w:rsidRPr="00D105C8" w:rsidRDefault="00A3545D" w:rsidP="007510B2">
            <w:pPr>
              <w:jc w:val="center"/>
              <w:rPr>
                <w:b/>
                <w:bCs/>
                <w:sz w:val="21"/>
                <w:szCs w:val="21"/>
              </w:rPr>
            </w:pPr>
            <w:r w:rsidRPr="00D105C8">
              <w:rPr>
                <w:color w:val="000000"/>
                <w:sz w:val="21"/>
                <w:szCs w:val="21"/>
              </w:rPr>
              <w:t>16</w:t>
            </w:r>
          </w:p>
        </w:tc>
        <w:tc>
          <w:tcPr>
            <w:tcW w:w="1266" w:type="dxa"/>
            <w:shd w:val="clear" w:color="auto" w:fill="auto"/>
            <w:vAlign w:val="bottom"/>
          </w:tcPr>
          <w:p w14:paraId="5A63A82B" w14:textId="456A6F2C" w:rsidR="00A3545D" w:rsidRPr="00D105C8" w:rsidRDefault="00A3545D" w:rsidP="007510B2">
            <w:pPr>
              <w:jc w:val="center"/>
              <w:rPr>
                <w:b/>
                <w:bCs/>
                <w:sz w:val="21"/>
                <w:szCs w:val="21"/>
              </w:rPr>
            </w:pPr>
            <w:r w:rsidRPr="00D105C8">
              <w:rPr>
                <w:color w:val="000000"/>
                <w:sz w:val="21"/>
                <w:szCs w:val="21"/>
              </w:rPr>
              <w:t>1</w:t>
            </w:r>
            <w:r w:rsidR="00103CF8">
              <w:rPr>
                <w:color w:val="000000"/>
                <w:sz w:val="21"/>
                <w:szCs w:val="21"/>
              </w:rPr>
              <w:t>2</w:t>
            </w:r>
          </w:p>
        </w:tc>
        <w:tc>
          <w:tcPr>
            <w:tcW w:w="1266" w:type="dxa"/>
            <w:shd w:val="clear" w:color="auto" w:fill="auto"/>
            <w:vAlign w:val="bottom"/>
          </w:tcPr>
          <w:p w14:paraId="3C3757F5" w14:textId="1979A596" w:rsidR="00A3545D" w:rsidRPr="00D105C8" w:rsidRDefault="00103CF8" w:rsidP="007510B2">
            <w:pPr>
              <w:jc w:val="center"/>
              <w:rPr>
                <w:b/>
                <w:bCs/>
                <w:sz w:val="21"/>
                <w:szCs w:val="21"/>
              </w:rPr>
            </w:pPr>
            <w:r>
              <w:rPr>
                <w:color w:val="000000"/>
                <w:sz w:val="21"/>
                <w:szCs w:val="21"/>
              </w:rPr>
              <w:t>10</w:t>
            </w:r>
          </w:p>
        </w:tc>
        <w:tc>
          <w:tcPr>
            <w:tcW w:w="1267" w:type="dxa"/>
          </w:tcPr>
          <w:p w14:paraId="32361FC8" w14:textId="77777777" w:rsidR="00A3545D" w:rsidRPr="00D105C8" w:rsidRDefault="00A3545D" w:rsidP="007510B2">
            <w:pPr>
              <w:jc w:val="center"/>
              <w:rPr>
                <w:sz w:val="21"/>
                <w:szCs w:val="21"/>
              </w:rPr>
            </w:pPr>
            <w:r w:rsidRPr="00D105C8">
              <w:rPr>
                <w:sz w:val="21"/>
                <w:szCs w:val="21"/>
              </w:rPr>
              <w:t>N/A</w:t>
            </w:r>
          </w:p>
        </w:tc>
      </w:tr>
    </w:tbl>
    <w:p w14:paraId="1F744D4A" w14:textId="379A9644" w:rsidR="00C21E1F" w:rsidRDefault="00A3545D" w:rsidP="007510B2">
      <w:pPr>
        <w:spacing w:after="0" w:line="480" w:lineRule="auto"/>
        <w:jc w:val="both"/>
        <w:rPr>
          <w:b/>
          <w:bCs/>
        </w:rPr>
      </w:pPr>
      <w:r>
        <w:rPr>
          <w:b/>
          <w:bCs/>
        </w:rPr>
        <w:t>Table 1.</w:t>
      </w:r>
    </w:p>
    <w:p w14:paraId="40838193" w14:textId="100EBA33" w:rsidR="00A3545D" w:rsidRPr="00A3545D" w:rsidRDefault="00A3545D" w:rsidP="007510B2">
      <w:pPr>
        <w:spacing w:after="0"/>
      </w:pPr>
    </w:p>
    <w:p w14:paraId="5F18A717" w14:textId="4FCF19A9" w:rsidR="00A3545D" w:rsidRPr="00A3545D" w:rsidRDefault="00A3545D" w:rsidP="007510B2">
      <w:pPr>
        <w:spacing w:after="0"/>
      </w:pPr>
    </w:p>
    <w:p w14:paraId="5D23AD27" w14:textId="77777777" w:rsidR="00A3545D" w:rsidRDefault="00A3545D" w:rsidP="007510B2">
      <w:pPr>
        <w:spacing w:after="0"/>
        <w:sectPr w:rsidR="00A3545D" w:rsidSect="00713E45">
          <w:pgSz w:w="23811" w:h="16838" w:orient="landscape" w:code="8"/>
          <w:pgMar w:top="1440" w:right="1440" w:bottom="1440" w:left="1440" w:header="709" w:footer="709" w:gutter="0"/>
          <w:lnNumType w:countBy="1" w:restart="continuous"/>
          <w:cols w:space="708"/>
          <w:docGrid w:linePitch="360"/>
        </w:sectPr>
      </w:pPr>
    </w:p>
    <w:p w14:paraId="40AD41B8" w14:textId="4551B2E1" w:rsidR="00D53901" w:rsidRPr="00D53901" w:rsidRDefault="00A46451" w:rsidP="007510B2">
      <w:pPr>
        <w:spacing w:after="0"/>
      </w:pPr>
      <w:r w:rsidRPr="00A46451">
        <w:rPr>
          <w:b/>
          <w:bCs/>
        </w:rPr>
        <w:lastRenderedPageBreak/>
        <w:t xml:space="preserve">Table </w:t>
      </w:r>
      <w:r w:rsidR="00E400B6">
        <w:rPr>
          <w:b/>
          <w:bCs/>
        </w:rPr>
        <w:t>2</w:t>
      </w:r>
      <w:r w:rsidRPr="00A46451">
        <w:rPr>
          <w:b/>
          <w:bCs/>
        </w:rPr>
        <w:t xml:space="preserve">. </w:t>
      </w:r>
    </w:p>
    <w:tbl>
      <w:tblPr>
        <w:tblpPr w:leftFromText="180" w:rightFromText="180" w:vertAnchor="page" w:horzAnchor="page" w:tblpX="2956" w:tblpY="2866"/>
        <w:tblW w:w="8504" w:type="dxa"/>
        <w:tblCellMar>
          <w:left w:w="0" w:type="dxa"/>
          <w:right w:w="0" w:type="dxa"/>
        </w:tblCellMar>
        <w:tblLook w:val="0420" w:firstRow="1" w:lastRow="0" w:firstColumn="0" w:lastColumn="0" w:noHBand="0" w:noVBand="1"/>
      </w:tblPr>
      <w:tblGrid>
        <w:gridCol w:w="4252"/>
        <w:gridCol w:w="4252"/>
      </w:tblGrid>
      <w:tr w:rsidR="00787746" w:rsidRPr="00270009" w14:paraId="70C8309D" w14:textId="77777777" w:rsidTr="00085385">
        <w:trPr>
          <w:trHeight w:val="413"/>
        </w:trPr>
        <w:tc>
          <w:tcPr>
            <w:tcW w:w="4252" w:type="dxa"/>
            <w:tcBorders>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FD991A" w14:textId="77777777" w:rsidR="00787746" w:rsidRPr="00270009" w:rsidRDefault="00787746" w:rsidP="00085385">
            <w:pPr>
              <w:spacing w:after="0" w:line="240" w:lineRule="auto"/>
              <w:jc w:val="cente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E75CE7" w14:textId="369E2E98" w:rsidR="00787746" w:rsidRPr="00270009" w:rsidRDefault="00787746" w:rsidP="00085385">
            <w:pPr>
              <w:spacing w:after="0" w:line="240" w:lineRule="auto"/>
              <w:jc w:val="center"/>
            </w:pPr>
            <w:proofErr w:type="spellStart"/>
            <w:r>
              <w:rPr>
                <w:b/>
                <w:bCs/>
              </w:rPr>
              <w:t>Bq</w:t>
            </w:r>
            <w:proofErr w:type="spellEnd"/>
            <w:r>
              <w:rPr>
                <w:b/>
                <w:bCs/>
              </w:rPr>
              <w:t xml:space="preserve"> g</w:t>
            </w:r>
            <w:r w:rsidRPr="003E1FF3">
              <w:rPr>
                <w:b/>
                <w:bCs/>
                <w:vertAlign w:val="superscript"/>
              </w:rPr>
              <w:t>-1</w:t>
            </w:r>
            <w:r w:rsidRPr="00270009">
              <w:rPr>
                <w:b/>
                <w:bCs/>
              </w:rPr>
              <w:t xml:space="preserve"> </w:t>
            </w:r>
          </w:p>
        </w:tc>
      </w:tr>
      <w:tr w:rsidR="00787746" w:rsidRPr="00270009" w14:paraId="186B4F08" w14:textId="77777777" w:rsidTr="00085385">
        <w:trPr>
          <w:trHeight w:val="413"/>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FDF058" w14:textId="3E07595C" w:rsidR="00787746" w:rsidRPr="00270009" w:rsidRDefault="00787746" w:rsidP="00085385">
            <w:pPr>
              <w:spacing w:after="0" w:line="240" w:lineRule="auto"/>
            </w:pPr>
            <w:r w:rsidRPr="003E1FF3">
              <w:t>Micro-aggregates</w:t>
            </w:r>
            <w:r w:rsidR="00427BFB">
              <w:t xml:space="preserve"> (&lt; 0.25 mm)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FA3CCF" w14:textId="56048809" w:rsidR="00787746" w:rsidRPr="00787746" w:rsidRDefault="00787746" w:rsidP="00085385">
            <w:pPr>
              <w:spacing w:after="0" w:line="240" w:lineRule="auto"/>
              <w:jc w:val="center"/>
              <w:rPr>
                <w:vertAlign w:val="superscript"/>
              </w:rPr>
            </w:pPr>
            <w:r>
              <w:t xml:space="preserve">72.4 </w:t>
            </w:r>
            <w:r w:rsidRPr="00D105C8">
              <w:rPr>
                <w:color w:val="202124"/>
                <w:sz w:val="21"/>
                <w:szCs w:val="21"/>
                <w:shd w:val="clear" w:color="auto" w:fill="FFFFFF"/>
              </w:rPr>
              <w:t>±</w:t>
            </w:r>
            <w:r>
              <w:rPr>
                <w:color w:val="202124"/>
                <w:sz w:val="21"/>
                <w:szCs w:val="21"/>
                <w:shd w:val="clear" w:color="auto" w:fill="FFFFFF"/>
              </w:rPr>
              <w:t xml:space="preserve"> 1.8</w:t>
            </w:r>
            <w:r>
              <w:rPr>
                <w:color w:val="202124"/>
                <w:sz w:val="21"/>
                <w:szCs w:val="21"/>
                <w:shd w:val="clear" w:color="auto" w:fill="FFFFFF"/>
                <w:vertAlign w:val="superscript"/>
              </w:rPr>
              <w:t>a</w:t>
            </w:r>
          </w:p>
        </w:tc>
      </w:tr>
      <w:tr w:rsidR="00787746" w:rsidRPr="00270009" w14:paraId="4503E3A4" w14:textId="77777777" w:rsidTr="00085385">
        <w:trPr>
          <w:trHeight w:val="413"/>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C39CC0" w14:textId="46DDCE20" w:rsidR="00787746" w:rsidRPr="00270009" w:rsidRDefault="00427BFB" w:rsidP="00085385">
            <w:pPr>
              <w:spacing w:after="0" w:line="240" w:lineRule="auto"/>
            </w:pPr>
            <w:r>
              <w:t>S</w:t>
            </w:r>
            <w:r w:rsidR="00787746" w:rsidRPr="003E1FF3">
              <w:t>mall macro-aggregates</w:t>
            </w:r>
            <w:r>
              <w:t xml:space="preserve"> (2 – 0.25 mm)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617074" w14:textId="2690EDFB" w:rsidR="00787746" w:rsidRPr="00787746" w:rsidRDefault="00787746" w:rsidP="00085385">
            <w:pPr>
              <w:spacing w:after="0" w:line="240" w:lineRule="auto"/>
              <w:jc w:val="center"/>
              <w:rPr>
                <w:vertAlign w:val="superscript"/>
              </w:rPr>
            </w:pPr>
            <w:r>
              <w:t xml:space="preserve">93.0 </w:t>
            </w:r>
            <w:r w:rsidRPr="00D105C8">
              <w:rPr>
                <w:color w:val="202124"/>
                <w:sz w:val="21"/>
                <w:szCs w:val="21"/>
                <w:shd w:val="clear" w:color="auto" w:fill="FFFFFF"/>
              </w:rPr>
              <w:t>±</w:t>
            </w:r>
            <w:r>
              <w:rPr>
                <w:color w:val="202124"/>
                <w:sz w:val="21"/>
                <w:szCs w:val="21"/>
                <w:shd w:val="clear" w:color="auto" w:fill="FFFFFF"/>
              </w:rPr>
              <w:t xml:space="preserve"> 8.8</w:t>
            </w:r>
            <w:r>
              <w:rPr>
                <w:color w:val="202124"/>
                <w:sz w:val="21"/>
                <w:szCs w:val="21"/>
                <w:shd w:val="clear" w:color="auto" w:fill="FFFFFF"/>
                <w:vertAlign w:val="superscript"/>
              </w:rPr>
              <w:t>ab</w:t>
            </w:r>
          </w:p>
        </w:tc>
      </w:tr>
      <w:tr w:rsidR="00787746" w:rsidRPr="00270009" w14:paraId="515EB643" w14:textId="77777777" w:rsidTr="00085385">
        <w:trPr>
          <w:trHeight w:val="413"/>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140D163" w14:textId="561DD393" w:rsidR="00787746" w:rsidRPr="003E1FF3" w:rsidRDefault="00433887" w:rsidP="00085385">
            <w:pPr>
              <w:rPr>
                <w:color w:val="000000"/>
              </w:rPr>
            </w:pPr>
            <w:r>
              <w:rPr>
                <w:color w:val="000000"/>
              </w:rPr>
              <w:t>L</w:t>
            </w:r>
            <w:r w:rsidR="00787746" w:rsidRPr="003E1FF3">
              <w:rPr>
                <w:color w:val="000000"/>
              </w:rPr>
              <w:t>arge macro-aggregates</w:t>
            </w:r>
            <w:r w:rsidR="00427BFB">
              <w:rPr>
                <w:color w:val="000000"/>
              </w:rPr>
              <w:t xml:space="preserve"> (&gt; 2 mm)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AD8F64" w14:textId="4E68B87A" w:rsidR="00787746" w:rsidRPr="00787746" w:rsidRDefault="00787746" w:rsidP="00085385">
            <w:pPr>
              <w:spacing w:after="0" w:line="240" w:lineRule="auto"/>
              <w:jc w:val="center"/>
              <w:rPr>
                <w:vertAlign w:val="superscript"/>
              </w:rPr>
            </w:pPr>
            <w:r>
              <w:t xml:space="preserve">125.0 </w:t>
            </w:r>
            <w:r w:rsidRPr="00D105C8">
              <w:rPr>
                <w:color w:val="202124"/>
                <w:sz w:val="21"/>
                <w:szCs w:val="21"/>
                <w:shd w:val="clear" w:color="auto" w:fill="FFFFFF"/>
              </w:rPr>
              <w:t>±</w:t>
            </w:r>
            <w:r>
              <w:rPr>
                <w:color w:val="202124"/>
                <w:sz w:val="21"/>
                <w:szCs w:val="21"/>
                <w:shd w:val="clear" w:color="auto" w:fill="FFFFFF"/>
              </w:rPr>
              <w:t xml:space="preserve"> 14.3</w:t>
            </w:r>
            <w:r w:rsidR="00085385">
              <w:rPr>
                <w:color w:val="202124"/>
                <w:sz w:val="21"/>
                <w:szCs w:val="21"/>
                <w:shd w:val="clear" w:color="auto" w:fill="FFFFFF"/>
                <w:vertAlign w:val="superscript"/>
              </w:rPr>
              <w:t>b</w:t>
            </w:r>
          </w:p>
        </w:tc>
      </w:tr>
    </w:tbl>
    <w:p w14:paraId="2B41D4F6" w14:textId="1793A135" w:rsidR="00D53901" w:rsidRPr="00D53901" w:rsidRDefault="00D53901" w:rsidP="007510B2">
      <w:pPr>
        <w:spacing w:after="0"/>
      </w:pPr>
    </w:p>
    <w:p w14:paraId="159C3ECE" w14:textId="2622226E" w:rsidR="00D53901" w:rsidRPr="00D53901" w:rsidRDefault="00D53901" w:rsidP="007510B2">
      <w:pPr>
        <w:spacing w:after="0"/>
      </w:pPr>
    </w:p>
    <w:p w14:paraId="068F9547" w14:textId="4D5E8AED" w:rsidR="00D53901" w:rsidRPr="00D53901" w:rsidRDefault="00D53901" w:rsidP="007510B2">
      <w:pPr>
        <w:spacing w:after="0"/>
      </w:pPr>
    </w:p>
    <w:p w14:paraId="3F048089" w14:textId="2AC3EAD4" w:rsidR="00D53901" w:rsidRPr="00D53901" w:rsidRDefault="00D53901" w:rsidP="007510B2">
      <w:pPr>
        <w:spacing w:after="0"/>
      </w:pPr>
    </w:p>
    <w:p w14:paraId="39147F70" w14:textId="6269BCE8" w:rsidR="00D53901" w:rsidRPr="00D53901" w:rsidRDefault="00D53901" w:rsidP="007510B2">
      <w:pPr>
        <w:spacing w:after="0"/>
      </w:pPr>
    </w:p>
    <w:p w14:paraId="0D810C97" w14:textId="2ACCBD72" w:rsidR="00D53901" w:rsidRPr="00D53901" w:rsidRDefault="00D53901" w:rsidP="007510B2">
      <w:pPr>
        <w:spacing w:after="0"/>
      </w:pPr>
    </w:p>
    <w:p w14:paraId="0B8C87EC" w14:textId="2947237B" w:rsidR="00D53901" w:rsidRPr="00D53901" w:rsidRDefault="00D53901" w:rsidP="007510B2">
      <w:pPr>
        <w:spacing w:after="0"/>
      </w:pPr>
    </w:p>
    <w:p w14:paraId="2928E8BF" w14:textId="2175B0AB" w:rsidR="00D53901" w:rsidRPr="00D53901" w:rsidRDefault="00D53901" w:rsidP="007510B2">
      <w:pPr>
        <w:spacing w:after="0"/>
      </w:pPr>
    </w:p>
    <w:p w14:paraId="3B075C53" w14:textId="246DAB94" w:rsidR="00D53901" w:rsidRPr="00D53901" w:rsidRDefault="00D53901" w:rsidP="007510B2">
      <w:pPr>
        <w:spacing w:after="0"/>
      </w:pPr>
    </w:p>
    <w:p w14:paraId="1E5C14ED" w14:textId="3C23B957" w:rsidR="00D53901" w:rsidRDefault="00D53901" w:rsidP="007510B2">
      <w:pPr>
        <w:spacing w:after="0"/>
      </w:pPr>
    </w:p>
    <w:p w14:paraId="418A0F9A" w14:textId="15D85907" w:rsidR="00E400B6" w:rsidRDefault="00E400B6" w:rsidP="007510B2">
      <w:pPr>
        <w:spacing w:after="0"/>
      </w:pPr>
    </w:p>
    <w:p w14:paraId="27DC11B9" w14:textId="216D1EF1" w:rsidR="00E400B6" w:rsidRDefault="00E400B6" w:rsidP="007510B2">
      <w:pPr>
        <w:spacing w:after="0"/>
      </w:pPr>
    </w:p>
    <w:p w14:paraId="7248B933" w14:textId="4A851BE8" w:rsidR="00E400B6" w:rsidRDefault="00E400B6" w:rsidP="007510B2">
      <w:pPr>
        <w:spacing w:after="0"/>
      </w:pPr>
    </w:p>
    <w:p w14:paraId="6F8C78E2" w14:textId="3445D927" w:rsidR="00E400B6" w:rsidRDefault="00E400B6" w:rsidP="007510B2">
      <w:pPr>
        <w:spacing w:after="0"/>
      </w:pPr>
    </w:p>
    <w:p w14:paraId="76A87E3D" w14:textId="3228DCBD" w:rsidR="00E400B6" w:rsidRDefault="00E400B6" w:rsidP="007510B2">
      <w:pPr>
        <w:spacing w:after="0"/>
      </w:pPr>
    </w:p>
    <w:p w14:paraId="64A91979" w14:textId="5ECC2ED4" w:rsidR="00E400B6" w:rsidRDefault="00E400B6" w:rsidP="007510B2">
      <w:pPr>
        <w:spacing w:after="0"/>
      </w:pPr>
    </w:p>
    <w:p w14:paraId="5036C7BB" w14:textId="7D023E61" w:rsidR="00E400B6" w:rsidRDefault="00E400B6" w:rsidP="007510B2">
      <w:pPr>
        <w:spacing w:after="0"/>
      </w:pPr>
    </w:p>
    <w:tbl>
      <w:tblPr>
        <w:tblpPr w:leftFromText="180" w:rightFromText="180" w:vertAnchor="page" w:horzAnchor="margin" w:tblpY="2566"/>
        <w:tblW w:w="12756" w:type="dxa"/>
        <w:tblCellMar>
          <w:left w:w="0" w:type="dxa"/>
          <w:right w:w="0" w:type="dxa"/>
        </w:tblCellMar>
        <w:tblLook w:val="0420" w:firstRow="1" w:lastRow="0" w:firstColumn="0" w:lastColumn="0" w:noHBand="0" w:noVBand="1"/>
      </w:tblPr>
      <w:tblGrid>
        <w:gridCol w:w="4252"/>
        <w:gridCol w:w="4252"/>
        <w:gridCol w:w="4252"/>
      </w:tblGrid>
      <w:tr w:rsidR="00E400B6" w:rsidRPr="00270009" w14:paraId="4FF0EF9B" w14:textId="77777777" w:rsidTr="00E400B6">
        <w:trPr>
          <w:trHeight w:val="413"/>
        </w:trPr>
        <w:tc>
          <w:tcPr>
            <w:tcW w:w="4252" w:type="dxa"/>
            <w:tcBorders>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EB4CC3" w14:textId="77777777" w:rsidR="00E400B6" w:rsidRPr="00270009" w:rsidRDefault="00E400B6" w:rsidP="00E400B6">
            <w:pPr>
              <w:spacing w:after="0" w:line="240" w:lineRule="auto"/>
              <w:jc w:val="cente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ECDE7C" w14:textId="77777777" w:rsidR="00E400B6" w:rsidRPr="00270009" w:rsidRDefault="00E400B6" w:rsidP="00E400B6">
            <w:pPr>
              <w:spacing w:after="0" w:line="240" w:lineRule="auto"/>
              <w:jc w:val="center"/>
            </w:pPr>
            <w:r w:rsidRPr="00270009">
              <w:rPr>
                <w:b/>
                <w:bCs/>
              </w:rPr>
              <w:t xml:space="preserve">Apparent priming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200874" w14:textId="77777777" w:rsidR="00E400B6" w:rsidRPr="00270009" w:rsidRDefault="00E400B6" w:rsidP="00E400B6">
            <w:pPr>
              <w:spacing w:after="0" w:line="240" w:lineRule="auto"/>
              <w:jc w:val="center"/>
            </w:pPr>
            <w:r w:rsidRPr="00270009">
              <w:rPr>
                <w:b/>
                <w:bCs/>
              </w:rPr>
              <w:t>Real priming</w:t>
            </w:r>
          </w:p>
        </w:tc>
      </w:tr>
      <w:tr w:rsidR="00E400B6" w:rsidRPr="00270009" w14:paraId="55609CB0" w14:textId="77777777" w:rsidTr="00E400B6">
        <w:trPr>
          <w:trHeight w:val="413"/>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24E041" w14:textId="77777777" w:rsidR="00E400B6" w:rsidRPr="00270009" w:rsidRDefault="00E400B6" w:rsidP="00E400B6">
            <w:pPr>
              <w:spacing w:after="0" w:line="240" w:lineRule="auto"/>
            </w:pPr>
            <w:r w:rsidRPr="00270009">
              <w:t>pH</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BBFA60" w14:textId="77777777" w:rsidR="00E400B6" w:rsidRPr="00270009" w:rsidRDefault="00E400B6" w:rsidP="00E400B6">
            <w:pPr>
              <w:spacing w:after="0" w:line="240" w:lineRule="auto"/>
              <w:jc w:val="center"/>
            </w:pPr>
            <w:r w:rsidRPr="00270009">
              <w:t>-0.20</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8109C5" w14:textId="77777777" w:rsidR="00E400B6" w:rsidRPr="00270009" w:rsidRDefault="00E400B6" w:rsidP="00E400B6">
            <w:pPr>
              <w:spacing w:after="0" w:line="240" w:lineRule="auto"/>
              <w:jc w:val="center"/>
            </w:pPr>
            <w:r w:rsidRPr="00270009">
              <w:t>NS</w:t>
            </w:r>
          </w:p>
        </w:tc>
      </w:tr>
      <w:tr w:rsidR="00E400B6" w:rsidRPr="00270009" w14:paraId="0CAF7858" w14:textId="77777777" w:rsidTr="00E400B6">
        <w:trPr>
          <w:trHeight w:val="413"/>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67E8C5" w14:textId="77777777" w:rsidR="00E400B6" w:rsidRPr="00270009" w:rsidRDefault="00E400B6" w:rsidP="00E400B6">
            <w:pPr>
              <w:spacing w:after="0" w:line="240" w:lineRule="auto"/>
            </w:pPr>
            <w:r w:rsidRPr="00270009">
              <w:t>EC</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59CFCC" w14:textId="77777777" w:rsidR="00E400B6" w:rsidRPr="00270009" w:rsidRDefault="00E400B6" w:rsidP="00E400B6">
            <w:pPr>
              <w:spacing w:after="0" w:line="240" w:lineRule="auto"/>
              <w:jc w:val="center"/>
            </w:pPr>
            <w:r w:rsidRPr="00270009">
              <w:t>0.23</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856CE6" w14:textId="77777777" w:rsidR="00E400B6" w:rsidRPr="00270009" w:rsidRDefault="00E400B6" w:rsidP="00E400B6">
            <w:pPr>
              <w:spacing w:after="0" w:line="240" w:lineRule="auto"/>
              <w:jc w:val="center"/>
            </w:pPr>
            <w:r w:rsidRPr="00270009">
              <w:t>-0.33</w:t>
            </w:r>
          </w:p>
        </w:tc>
      </w:tr>
      <w:tr w:rsidR="00E400B6" w:rsidRPr="00270009" w14:paraId="2E1DFA78" w14:textId="77777777" w:rsidTr="00E400B6">
        <w:trPr>
          <w:trHeight w:val="413"/>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A871B4" w14:textId="77777777" w:rsidR="00E400B6" w:rsidRPr="00270009" w:rsidRDefault="00E400B6" w:rsidP="00E400B6">
            <w:pPr>
              <w:spacing w:after="0" w:line="240" w:lineRule="auto"/>
            </w:pPr>
            <w:r w:rsidRPr="00270009">
              <w:t>SOM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1EE6E6" w14:textId="77777777" w:rsidR="00E400B6" w:rsidRPr="00270009" w:rsidRDefault="00E400B6" w:rsidP="00E400B6">
            <w:pPr>
              <w:spacing w:after="0" w:line="240" w:lineRule="auto"/>
              <w:jc w:val="center"/>
            </w:pPr>
            <w:r w:rsidRPr="00270009">
              <w:t>NS</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8CDD98" w14:textId="77777777" w:rsidR="00E400B6" w:rsidRPr="00270009" w:rsidRDefault="00E400B6" w:rsidP="00E400B6">
            <w:pPr>
              <w:spacing w:after="0" w:line="240" w:lineRule="auto"/>
              <w:jc w:val="center"/>
            </w:pPr>
            <w:r w:rsidRPr="00270009">
              <w:t>NS</w:t>
            </w:r>
          </w:p>
        </w:tc>
      </w:tr>
      <w:tr w:rsidR="00E400B6" w:rsidRPr="00270009" w14:paraId="2CE4ABC1" w14:textId="77777777" w:rsidTr="00E400B6">
        <w:trPr>
          <w:trHeight w:val="413"/>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1E96CC" w14:textId="77777777" w:rsidR="00E400B6" w:rsidRPr="00270009" w:rsidRDefault="00E400B6" w:rsidP="00E400B6">
            <w:pPr>
              <w:spacing w:after="0" w:line="240" w:lineRule="auto"/>
            </w:pPr>
            <w:r w:rsidRPr="00270009">
              <w:t>DOC</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8BFBB4" w14:textId="77777777" w:rsidR="00E400B6" w:rsidRPr="00270009" w:rsidRDefault="00E400B6" w:rsidP="00E400B6">
            <w:pPr>
              <w:spacing w:after="0" w:line="240" w:lineRule="auto"/>
              <w:jc w:val="center"/>
            </w:pPr>
            <w:r w:rsidRPr="00270009">
              <w:t>NS</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44224D" w14:textId="77777777" w:rsidR="00E400B6" w:rsidRPr="00270009" w:rsidRDefault="00E400B6" w:rsidP="00E400B6">
            <w:pPr>
              <w:spacing w:after="0" w:line="240" w:lineRule="auto"/>
              <w:jc w:val="center"/>
            </w:pPr>
            <w:r w:rsidRPr="00270009">
              <w:t>0.17</w:t>
            </w:r>
          </w:p>
        </w:tc>
      </w:tr>
      <w:tr w:rsidR="00E400B6" w:rsidRPr="00270009" w14:paraId="34073595" w14:textId="77777777" w:rsidTr="00E400B6">
        <w:trPr>
          <w:trHeight w:val="413"/>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9DE567" w14:textId="77777777" w:rsidR="00E400B6" w:rsidRPr="00270009" w:rsidRDefault="00E400B6" w:rsidP="00E400B6">
            <w:pPr>
              <w:spacing w:after="0" w:line="240" w:lineRule="auto"/>
            </w:pPr>
            <w:r w:rsidRPr="00270009">
              <w:t>Soil C:N ratio</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767589" w14:textId="77777777" w:rsidR="00E400B6" w:rsidRPr="00270009" w:rsidRDefault="00E400B6" w:rsidP="00E400B6">
            <w:pPr>
              <w:spacing w:after="0" w:line="240" w:lineRule="auto"/>
              <w:jc w:val="center"/>
            </w:pPr>
            <w:r w:rsidRPr="00270009">
              <w:t>-0.24</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87EFCD" w14:textId="77777777" w:rsidR="00E400B6" w:rsidRPr="00270009" w:rsidRDefault="00E400B6" w:rsidP="00E400B6">
            <w:pPr>
              <w:spacing w:after="0" w:line="240" w:lineRule="auto"/>
              <w:jc w:val="center"/>
            </w:pPr>
            <w:r w:rsidRPr="00270009">
              <w:t>NS</w:t>
            </w:r>
          </w:p>
        </w:tc>
      </w:tr>
      <w:tr w:rsidR="00E400B6" w:rsidRPr="00270009" w14:paraId="265A4B65" w14:textId="77777777" w:rsidTr="00E400B6">
        <w:trPr>
          <w:trHeight w:val="413"/>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9F721F" w14:textId="77777777" w:rsidR="00E400B6" w:rsidRPr="00270009" w:rsidRDefault="00E400B6" w:rsidP="00E400B6">
            <w:pPr>
              <w:spacing w:after="0" w:line="240" w:lineRule="auto"/>
            </w:pPr>
            <w:r w:rsidRPr="00270009">
              <w:t>PLFA microbial biomass</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E9C356" w14:textId="77777777" w:rsidR="00E400B6" w:rsidRPr="00270009" w:rsidRDefault="00E400B6" w:rsidP="00E400B6">
            <w:pPr>
              <w:spacing w:after="0" w:line="240" w:lineRule="auto"/>
              <w:jc w:val="center"/>
            </w:pPr>
            <w:r w:rsidRPr="00270009">
              <w:t>NS</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F79D4C" w14:textId="77777777" w:rsidR="00E400B6" w:rsidRPr="00270009" w:rsidRDefault="00E400B6" w:rsidP="00E400B6">
            <w:pPr>
              <w:spacing w:after="0" w:line="240" w:lineRule="auto"/>
              <w:jc w:val="center"/>
            </w:pPr>
            <w:r w:rsidRPr="00270009">
              <w:t>-</w:t>
            </w:r>
          </w:p>
        </w:tc>
      </w:tr>
      <w:tr w:rsidR="00E400B6" w:rsidRPr="00270009" w14:paraId="47BA7DCF" w14:textId="77777777" w:rsidTr="00E400B6">
        <w:trPr>
          <w:trHeight w:val="413"/>
        </w:trPr>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0B32E9" w14:textId="77777777" w:rsidR="00E400B6" w:rsidRPr="00270009" w:rsidRDefault="00E400B6" w:rsidP="00E400B6">
            <w:pPr>
              <w:spacing w:after="0" w:line="240" w:lineRule="auto"/>
            </w:pPr>
            <w:r w:rsidRPr="00270009">
              <w:t>Initial C:N ratio of treatment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AD10F3" w14:textId="77777777" w:rsidR="00E400B6" w:rsidRPr="00270009" w:rsidRDefault="00E400B6" w:rsidP="00E400B6">
            <w:pPr>
              <w:spacing w:after="0" w:line="240" w:lineRule="auto"/>
              <w:jc w:val="center"/>
            </w:pPr>
            <w:r w:rsidRPr="00270009">
              <w:t>-0.70</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70214D" w14:textId="77777777" w:rsidR="00E400B6" w:rsidRPr="00270009" w:rsidRDefault="00E400B6" w:rsidP="00E400B6">
            <w:pPr>
              <w:spacing w:after="0" w:line="240" w:lineRule="auto"/>
              <w:jc w:val="center"/>
            </w:pPr>
            <w:r w:rsidRPr="00270009">
              <w:t>-0.35</w:t>
            </w:r>
          </w:p>
        </w:tc>
      </w:tr>
    </w:tbl>
    <w:p w14:paraId="049E4397" w14:textId="77777777" w:rsidR="00E400B6" w:rsidRPr="00E400B6" w:rsidRDefault="00E400B6" w:rsidP="00E400B6">
      <w:pPr>
        <w:spacing w:after="0"/>
        <w:rPr>
          <w:b/>
          <w:bCs/>
        </w:rPr>
      </w:pPr>
      <w:r w:rsidRPr="00E400B6">
        <w:rPr>
          <w:b/>
          <w:bCs/>
        </w:rPr>
        <w:t xml:space="preserve">Table 3. </w:t>
      </w:r>
    </w:p>
    <w:sectPr w:rsidR="00E400B6" w:rsidRPr="00E400B6" w:rsidSect="00751CC9">
      <w:pgSz w:w="16838" w:h="11906" w:orient="landscape"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37424" w14:textId="77777777" w:rsidR="00725FA6" w:rsidRDefault="00725FA6" w:rsidP="00C1009A">
      <w:pPr>
        <w:spacing w:after="0" w:line="240" w:lineRule="auto"/>
      </w:pPr>
      <w:r>
        <w:separator/>
      </w:r>
    </w:p>
  </w:endnote>
  <w:endnote w:type="continuationSeparator" w:id="0">
    <w:p w14:paraId="4A87A414" w14:textId="77777777" w:rsidR="00725FA6" w:rsidRDefault="00725FA6" w:rsidP="00C10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794229"/>
      <w:docPartObj>
        <w:docPartGallery w:val="Page Numbers (Bottom of Page)"/>
        <w:docPartUnique/>
      </w:docPartObj>
    </w:sdtPr>
    <w:sdtEndPr>
      <w:rPr>
        <w:noProof/>
      </w:rPr>
    </w:sdtEndPr>
    <w:sdtContent>
      <w:p w14:paraId="27EB419F" w14:textId="6F1BD02E" w:rsidR="00C1009A" w:rsidRDefault="00C100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5D0203" w14:textId="77777777" w:rsidR="00C1009A" w:rsidRDefault="00C10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B9133" w14:textId="77777777" w:rsidR="00725FA6" w:rsidRDefault="00725FA6" w:rsidP="00C1009A">
      <w:pPr>
        <w:spacing w:after="0" w:line="240" w:lineRule="auto"/>
      </w:pPr>
      <w:r>
        <w:separator/>
      </w:r>
    </w:p>
  </w:footnote>
  <w:footnote w:type="continuationSeparator" w:id="0">
    <w:p w14:paraId="0CB03A09" w14:textId="77777777" w:rsidR="00725FA6" w:rsidRDefault="00725FA6" w:rsidP="00C10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41BF"/>
    <w:multiLevelType w:val="hybridMultilevel"/>
    <w:tmpl w:val="20E0B04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18924D23"/>
    <w:multiLevelType w:val="hybridMultilevel"/>
    <w:tmpl w:val="158C02C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445942D4"/>
    <w:multiLevelType w:val="hybridMultilevel"/>
    <w:tmpl w:val="F7B816D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2139567303">
    <w:abstractNumId w:val="2"/>
  </w:num>
  <w:num w:numId="2" w16cid:durableId="645937442">
    <w:abstractNumId w:val="0"/>
  </w:num>
  <w:num w:numId="3" w16cid:durableId="1407339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20"/>
    <w:rsid w:val="00000F11"/>
    <w:rsid w:val="000013CF"/>
    <w:rsid w:val="00003908"/>
    <w:rsid w:val="00004E83"/>
    <w:rsid w:val="000050B5"/>
    <w:rsid w:val="00005CF8"/>
    <w:rsid w:val="0000752A"/>
    <w:rsid w:val="00010179"/>
    <w:rsid w:val="000104CD"/>
    <w:rsid w:val="0001380E"/>
    <w:rsid w:val="00014422"/>
    <w:rsid w:val="000163F2"/>
    <w:rsid w:val="00017C0B"/>
    <w:rsid w:val="00017E97"/>
    <w:rsid w:val="00020D2C"/>
    <w:rsid w:val="00024523"/>
    <w:rsid w:val="00024823"/>
    <w:rsid w:val="000253D8"/>
    <w:rsid w:val="000266CB"/>
    <w:rsid w:val="00027C57"/>
    <w:rsid w:val="00027ECB"/>
    <w:rsid w:val="0003125E"/>
    <w:rsid w:val="00031DE9"/>
    <w:rsid w:val="000348CC"/>
    <w:rsid w:val="00034F49"/>
    <w:rsid w:val="00036A32"/>
    <w:rsid w:val="0003750B"/>
    <w:rsid w:val="0003765F"/>
    <w:rsid w:val="00043971"/>
    <w:rsid w:val="0004464A"/>
    <w:rsid w:val="000454E0"/>
    <w:rsid w:val="0004665D"/>
    <w:rsid w:val="00050807"/>
    <w:rsid w:val="0005198B"/>
    <w:rsid w:val="00052291"/>
    <w:rsid w:val="000530A0"/>
    <w:rsid w:val="0005405B"/>
    <w:rsid w:val="00055FF6"/>
    <w:rsid w:val="000571A0"/>
    <w:rsid w:val="0006187C"/>
    <w:rsid w:val="00062018"/>
    <w:rsid w:val="00063691"/>
    <w:rsid w:val="00065AAD"/>
    <w:rsid w:val="000672C4"/>
    <w:rsid w:val="00072EB1"/>
    <w:rsid w:val="00073D03"/>
    <w:rsid w:val="00075C1F"/>
    <w:rsid w:val="00076450"/>
    <w:rsid w:val="000767B2"/>
    <w:rsid w:val="00077347"/>
    <w:rsid w:val="000801CE"/>
    <w:rsid w:val="0008027E"/>
    <w:rsid w:val="00080C37"/>
    <w:rsid w:val="00082D3C"/>
    <w:rsid w:val="00083D66"/>
    <w:rsid w:val="000842C4"/>
    <w:rsid w:val="0008456C"/>
    <w:rsid w:val="00085385"/>
    <w:rsid w:val="00090B5C"/>
    <w:rsid w:val="00091486"/>
    <w:rsid w:val="00091C54"/>
    <w:rsid w:val="00092AEB"/>
    <w:rsid w:val="000932E1"/>
    <w:rsid w:val="000935A5"/>
    <w:rsid w:val="00094DC2"/>
    <w:rsid w:val="000954CE"/>
    <w:rsid w:val="0009624F"/>
    <w:rsid w:val="000971D0"/>
    <w:rsid w:val="00097371"/>
    <w:rsid w:val="000979CC"/>
    <w:rsid w:val="000A0664"/>
    <w:rsid w:val="000A19F0"/>
    <w:rsid w:val="000A2938"/>
    <w:rsid w:val="000A2BE3"/>
    <w:rsid w:val="000A31A5"/>
    <w:rsid w:val="000A37B1"/>
    <w:rsid w:val="000A6DD4"/>
    <w:rsid w:val="000B094B"/>
    <w:rsid w:val="000B192D"/>
    <w:rsid w:val="000B2B1B"/>
    <w:rsid w:val="000B4333"/>
    <w:rsid w:val="000B45BB"/>
    <w:rsid w:val="000B5695"/>
    <w:rsid w:val="000B5D05"/>
    <w:rsid w:val="000B6B4B"/>
    <w:rsid w:val="000B76CD"/>
    <w:rsid w:val="000C02CA"/>
    <w:rsid w:val="000C0AF9"/>
    <w:rsid w:val="000C0B76"/>
    <w:rsid w:val="000C111E"/>
    <w:rsid w:val="000C2351"/>
    <w:rsid w:val="000C2A15"/>
    <w:rsid w:val="000C41DA"/>
    <w:rsid w:val="000C5C69"/>
    <w:rsid w:val="000C6661"/>
    <w:rsid w:val="000C7091"/>
    <w:rsid w:val="000D2032"/>
    <w:rsid w:val="000D3583"/>
    <w:rsid w:val="000D46BD"/>
    <w:rsid w:val="000D5F6A"/>
    <w:rsid w:val="000D69C3"/>
    <w:rsid w:val="000D6ABD"/>
    <w:rsid w:val="000D6C6C"/>
    <w:rsid w:val="000D6D75"/>
    <w:rsid w:val="000D7CF2"/>
    <w:rsid w:val="000E01EC"/>
    <w:rsid w:val="000E03A1"/>
    <w:rsid w:val="000E196A"/>
    <w:rsid w:val="000E1EDA"/>
    <w:rsid w:val="000E29D6"/>
    <w:rsid w:val="000E4205"/>
    <w:rsid w:val="000E4A37"/>
    <w:rsid w:val="000E5843"/>
    <w:rsid w:val="000E643A"/>
    <w:rsid w:val="000E6841"/>
    <w:rsid w:val="000E6873"/>
    <w:rsid w:val="000E68B4"/>
    <w:rsid w:val="000F0972"/>
    <w:rsid w:val="000F14DE"/>
    <w:rsid w:val="000F16A9"/>
    <w:rsid w:val="000F1C92"/>
    <w:rsid w:val="000F2AF5"/>
    <w:rsid w:val="000F2C75"/>
    <w:rsid w:val="000F41DE"/>
    <w:rsid w:val="000F542A"/>
    <w:rsid w:val="000F6C91"/>
    <w:rsid w:val="0010105E"/>
    <w:rsid w:val="00101217"/>
    <w:rsid w:val="00101465"/>
    <w:rsid w:val="00101719"/>
    <w:rsid w:val="00101774"/>
    <w:rsid w:val="0010232C"/>
    <w:rsid w:val="00102BDC"/>
    <w:rsid w:val="00103CF8"/>
    <w:rsid w:val="00106112"/>
    <w:rsid w:val="00111208"/>
    <w:rsid w:val="0011181F"/>
    <w:rsid w:val="001141D3"/>
    <w:rsid w:val="0011442A"/>
    <w:rsid w:val="001148B4"/>
    <w:rsid w:val="0011666C"/>
    <w:rsid w:val="001176E2"/>
    <w:rsid w:val="00120970"/>
    <w:rsid w:val="001276F3"/>
    <w:rsid w:val="00130104"/>
    <w:rsid w:val="0013099C"/>
    <w:rsid w:val="00132AE6"/>
    <w:rsid w:val="001335BA"/>
    <w:rsid w:val="00135C7E"/>
    <w:rsid w:val="00136F1C"/>
    <w:rsid w:val="00137715"/>
    <w:rsid w:val="00140136"/>
    <w:rsid w:val="00140C1C"/>
    <w:rsid w:val="00140E1D"/>
    <w:rsid w:val="00141890"/>
    <w:rsid w:val="00144413"/>
    <w:rsid w:val="00144D43"/>
    <w:rsid w:val="00144DF3"/>
    <w:rsid w:val="00145B70"/>
    <w:rsid w:val="00146490"/>
    <w:rsid w:val="00150666"/>
    <w:rsid w:val="00150A0C"/>
    <w:rsid w:val="0015183E"/>
    <w:rsid w:val="0015323E"/>
    <w:rsid w:val="00157939"/>
    <w:rsid w:val="00157D5F"/>
    <w:rsid w:val="00161D8A"/>
    <w:rsid w:val="00162DF1"/>
    <w:rsid w:val="001641C9"/>
    <w:rsid w:val="0016427C"/>
    <w:rsid w:val="00165CA7"/>
    <w:rsid w:val="00165D38"/>
    <w:rsid w:val="00165FA3"/>
    <w:rsid w:val="00166E92"/>
    <w:rsid w:val="001678B2"/>
    <w:rsid w:val="00173C00"/>
    <w:rsid w:val="00175252"/>
    <w:rsid w:val="001753A1"/>
    <w:rsid w:val="00176CE1"/>
    <w:rsid w:val="00181BB2"/>
    <w:rsid w:val="00182279"/>
    <w:rsid w:val="001824B2"/>
    <w:rsid w:val="001827F9"/>
    <w:rsid w:val="00182F64"/>
    <w:rsid w:val="001837DC"/>
    <w:rsid w:val="00184A7F"/>
    <w:rsid w:val="00184C0C"/>
    <w:rsid w:val="00184CBC"/>
    <w:rsid w:val="00185A23"/>
    <w:rsid w:val="00186133"/>
    <w:rsid w:val="00186DEE"/>
    <w:rsid w:val="00186FC3"/>
    <w:rsid w:val="001923C7"/>
    <w:rsid w:val="0019506E"/>
    <w:rsid w:val="0019573F"/>
    <w:rsid w:val="00195DAF"/>
    <w:rsid w:val="00196C0B"/>
    <w:rsid w:val="001A1A97"/>
    <w:rsid w:val="001A3413"/>
    <w:rsid w:val="001A39A2"/>
    <w:rsid w:val="001A3A68"/>
    <w:rsid w:val="001A42E6"/>
    <w:rsid w:val="001A4936"/>
    <w:rsid w:val="001A5177"/>
    <w:rsid w:val="001A5F8C"/>
    <w:rsid w:val="001A640A"/>
    <w:rsid w:val="001A7025"/>
    <w:rsid w:val="001B2573"/>
    <w:rsid w:val="001B6830"/>
    <w:rsid w:val="001B7F4A"/>
    <w:rsid w:val="001C04DD"/>
    <w:rsid w:val="001C2E2C"/>
    <w:rsid w:val="001C5D02"/>
    <w:rsid w:val="001C5FFE"/>
    <w:rsid w:val="001C6D04"/>
    <w:rsid w:val="001C6DD5"/>
    <w:rsid w:val="001D11BF"/>
    <w:rsid w:val="001D162D"/>
    <w:rsid w:val="001D1E52"/>
    <w:rsid w:val="001D2236"/>
    <w:rsid w:val="001D325E"/>
    <w:rsid w:val="001D3EF1"/>
    <w:rsid w:val="001D4904"/>
    <w:rsid w:val="001D50B0"/>
    <w:rsid w:val="001D512E"/>
    <w:rsid w:val="001D51B2"/>
    <w:rsid w:val="001D5C10"/>
    <w:rsid w:val="001D5E58"/>
    <w:rsid w:val="001D69D1"/>
    <w:rsid w:val="001E3ECA"/>
    <w:rsid w:val="001E4F71"/>
    <w:rsid w:val="001E549F"/>
    <w:rsid w:val="001E6400"/>
    <w:rsid w:val="001E650F"/>
    <w:rsid w:val="001E6640"/>
    <w:rsid w:val="001E6C67"/>
    <w:rsid w:val="001E7461"/>
    <w:rsid w:val="001E7CA3"/>
    <w:rsid w:val="001F0758"/>
    <w:rsid w:val="001F08F3"/>
    <w:rsid w:val="001F1EE6"/>
    <w:rsid w:val="001F2A8A"/>
    <w:rsid w:val="001F33E4"/>
    <w:rsid w:val="001F43DB"/>
    <w:rsid w:val="001F65F7"/>
    <w:rsid w:val="001F6F83"/>
    <w:rsid w:val="001F6FD5"/>
    <w:rsid w:val="0020011F"/>
    <w:rsid w:val="002009A6"/>
    <w:rsid w:val="00200AD7"/>
    <w:rsid w:val="00201823"/>
    <w:rsid w:val="0020233E"/>
    <w:rsid w:val="00202695"/>
    <w:rsid w:val="00205F44"/>
    <w:rsid w:val="00206EBD"/>
    <w:rsid w:val="002101B8"/>
    <w:rsid w:val="00211CCB"/>
    <w:rsid w:val="00213BAE"/>
    <w:rsid w:val="0021415A"/>
    <w:rsid w:val="002207A6"/>
    <w:rsid w:val="0022132C"/>
    <w:rsid w:val="002215EC"/>
    <w:rsid w:val="00222E99"/>
    <w:rsid w:val="00226AEE"/>
    <w:rsid w:val="00226EEE"/>
    <w:rsid w:val="00227BEA"/>
    <w:rsid w:val="0023020D"/>
    <w:rsid w:val="00234CB0"/>
    <w:rsid w:val="00234DF5"/>
    <w:rsid w:val="00242A0E"/>
    <w:rsid w:val="00245E99"/>
    <w:rsid w:val="00246343"/>
    <w:rsid w:val="00246AEC"/>
    <w:rsid w:val="00250E5B"/>
    <w:rsid w:val="002522B7"/>
    <w:rsid w:val="00252659"/>
    <w:rsid w:val="00253E4B"/>
    <w:rsid w:val="002543C1"/>
    <w:rsid w:val="002546A4"/>
    <w:rsid w:val="00255E94"/>
    <w:rsid w:val="00257281"/>
    <w:rsid w:val="00257D85"/>
    <w:rsid w:val="00260C09"/>
    <w:rsid w:val="002613CD"/>
    <w:rsid w:val="0026461A"/>
    <w:rsid w:val="002647F5"/>
    <w:rsid w:val="00265172"/>
    <w:rsid w:val="00267113"/>
    <w:rsid w:val="00267A87"/>
    <w:rsid w:val="00270009"/>
    <w:rsid w:val="00271B2C"/>
    <w:rsid w:val="00272150"/>
    <w:rsid w:val="00272552"/>
    <w:rsid w:val="00272646"/>
    <w:rsid w:val="00272B10"/>
    <w:rsid w:val="00272F25"/>
    <w:rsid w:val="00273E1F"/>
    <w:rsid w:val="00273E40"/>
    <w:rsid w:val="002752DB"/>
    <w:rsid w:val="00276677"/>
    <w:rsid w:val="00276E12"/>
    <w:rsid w:val="00277A60"/>
    <w:rsid w:val="00280CBF"/>
    <w:rsid w:val="002827FD"/>
    <w:rsid w:val="002829BC"/>
    <w:rsid w:val="00285F20"/>
    <w:rsid w:val="00285FA9"/>
    <w:rsid w:val="0028752A"/>
    <w:rsid w:val="00291ADC"/>
    <w:rsid w:val="0029327A"/>
    <w:rsid w:val="00293820"/>
    <w:rsid w:val="00293BAE"/>
    <w:rsid w:val="0029505B"/>
    <w:rsid w:val="00296200"/>
    <w:rsid w:val="00297128"/>
    <w:rsid w:val="0029717D"/>
    <w:rsid w:val="002A1E4B"/>
    <w:rsid w:val="002A4CA4"/>
    <w:rsid w:val="002A4CB1"/>
    <w:rsid w:val="002A54EE"/>
    <w:rsid w:val="002A649A"/>
    <w:rsid w:val="002A689B"/>
    <w:rsid w:val="002A770F"/>
    <w:rsid w:val="002A771F"/>
    <w:rsid w:val="002B1597"/>
    <w:rsid w:val="002B18EC"/>
    <w:rsid w:val="002B2843"/>
    <w:rsid w:val="002B3CAF"/>
    <w:rsid w:val="002B6EFB"/>
    <w:rsid w:val="002C3B64"/>
    <w:rsid w:val="002C485A"/>
    <w:rsid w:val="002C752C"/>
    <w:rsid w:val="002C7963"/>
    <w:rsid w:val="002D0593"/>
    <w:rsid w:val="002D2DC8"/>
    <w:rsid w:val="002D328F"/>
    <w:rsid w:val="002D364F"/>
    <w:rsid w:val="002D5E86"/>
    <w:rsid w:val="002D7105"/>
    <w:rsid w:val="002E29E2"/>
    <w:rsid w:val="002E360B"/>
    <w:rsid w:val="002E4660"/>
    <w:rsid w:val="002E4B6D"/>
    <w:rsid w:val="002E5334"/>
    <w:rsid w:val="002E5FD2"/>
    <w:rsid w:val="002E7F8E"/>
    <w:rsid w:val="002F42EE"/>
    <w:rsid w:val="002F542C"/>
    <w:rsid w:val="002F5B5C"/>
    <w:rsid w:val="002F5CB2"/>
    <w:rsid w:val="002F5E05"/>
    <w:rsid w:val="002F65A7"/>
    <w:rsid w:val="002F6D5C"/>
    <w:rsid w:val="00300F94"/>
    <w:rsid w:val="0030393F"/>
    <w:rsid w:val="00305FF1"/>
    <w:rsid w:val="003063AC"/>
    <w:rsid w:val="00306533"/>
    <w:rsid w:val="00307FAB"/>
    <w:rsid w:val="00310BF5"/>
    <w:rsid w:val="00310CCA"/>
    <w:rsid w:val="00311B56"/>
    <w:rsid w:val="00311B9F"/>
    <w:rsid w:val="00311CB3"/>
    <w:rsid w:val="003120B5"/>
    <w:rsid w:val="003136C6"/>
    <w:rsid w:val="0031373C"/>
    <w:rsid w:val="00315F79"/>
    <w:rsid w:val="003207E3"/>
    <w:rsid w:val="00320CE3"/>
    <w:rsid w:val="00326F73"/>
    <w:rsid w:val="00327658"/>
    <w:rsid w:val="0032793D"/>
    <w:rsid w:val="003309CA"/>
    <w:rsid w:val="003310C5"/>
    <w:rsid w:val="003315EC"/>
    <w:rsid w:val="00332734"/>
    <w:rsid w:val="00332C1B"/>
    <w:rsid w:val="003341F9"/>
    <w:rsid w:val="003344AB"/>
    <w:rsid w:val="00335DF7"/>
    <w:rsid w:val="003368EE"/>
    <w:rsid w:val="00337867"/>
    <w:rsid w:val="003401C1"/>
    <w:rsid w:val="0034126E"/>
    <w:rsid w:val="003413AF"/>
    <w:rsid w:val="00342827"/>
    <w:rsid w:val="003435F4"/>
    <w:rsid w:val="00344708"/>
    <w:rsid w:val="00344CCA"/>
    <w:rsid w:val="003468C3"/>
    <w:rsid w:val="00355497"/>
    <w:rsid w:val="00356100"/>
    <w:rsid w:val="00356A8F"/>
    <w:rsid w:val="00360FC4"/>
    <w:rsid w:val="00362DEE"/>
    <w:rsid w:val="00365797"/>
    <w:rsid w:val="00371F48"/>
    <w:rsid w:val="00371F59"/>
    <w:rsid w:val="00374079"/>
    <w:rsid w:val="00374205"/>
    <w:rsid w:val="00374BF5"/>
    <w:rsid w:val="00376B0A"/>
    <w:rsid w:val="00377051"/>
    <w:rsid w:val="00380AFF"/>
    <w:rsid w:val="00380B6E"/>
    <w:rsid w:val="00381C13"/>
    <w:rsid w:val="00384432"/>
    <w:rsid w:val="00385649"/>
    <w:rsid w:val="00385F05"/>
    <w:rsid w:val="0039037B"/>
    <w:rsid w:val="0039104F"/>
    <w:rsid w:val="003925CB"/>
    <w:rsid w:val="00392619"/>
    <w:rsid w:val="00392B1D"/>
    <w:rsid w:val="00394EC6"/>
    <w:rsid w:val="00394FF1"/>
    <w:rsid w:val="00395E2A"/>
    <w:rsid w:val="00395F61"/>
    <w:rsid w:val="00397134"/>
    <w:rsid w:val="003A12AA"/>
    <w:rsid w:val="003A1C60"/>
    <w:rsid w:val="003A2630"/>
    <w:rsid w:val="003A3C21"/>
    <w:rsid w:val="003A57C9"/>
    <w:rsid w:val="003A5DD6"/>
    <w:rsid w:val="003A6AD9"/>
    <w:rsid w:val="003B060A"/>
    <w:rsid w:val="003B09D9"/>
    <w:rsid w:val="003B0F17"/>
    <w:rsid w:val="003B2370"/>
    <w:rsid w:val="003B3595"/>
    <w:rsid w:val="003B42D4"/>
    <w:rsid w:val="003B550B"/>
    <w:rsid w:val="003B5CA3"/>
    <w:rsid w:val="003B68FA"/>
    <w:rsid w:val="003B6BBB"/>
    <w:rsid w:val="003B740D"/>
    <w:rsid w:val="003B779B"/>
    <w:rsid w:val="003B7DFD"/>
    <w:rsid w:val="003C09FE"/>
    <w:rsid w:val="003C1609"/>
    <w:rsid w:val="003C1701"/>
    <w:rsid w:val="003C1EC9"/>
    <w:rsid w:val="003C4869"/>
    <w:rsid w:val="003C5CA7"/>
    <w:rsid w:val="003C5DEA"/>
    <w:rsid w:val="003C60F2"/>
    <w:rsid w:val="003D05D2"/>
    <w:rsid w:val="003D2895"/>
    <w:rsid w:val="003D398C"/>
    <w:rsid w:val="003D3AF8"/>
    <w:rsid w:val="003D4E2F"/>
    <w:rsid w:val="003D57C1"/>
    <w:rsid w:val="003D59C1"/>
    <w:rsid w:val="003D67C4"/>
    <w:rsid w:val="003E074A"/>
    <w:rsid w:val="003E0CE2"/>
    <w:rsid w:val="003E1E39"/>
    <w:rsid w:val="003E1FF3"/>
    <w:rsid w:val="003E21BA"/>
    <w:rsid w:val="003E2BF7"/>
    <w:rsid w:val="003E3E3C"/>
    <w:rsid w:val="003E3F5B"/>
    <w:rsid w:val="003E4598"/>
    <w:rsid w:val="003E66D4"/>
    <w:rsid w:val="003F121E"/>
    <w:rsid w:val="003F65A6"/>
    <w:rsid w:val="00401039"/>
    <w:rsid w:val="004013F5"/>
    <w:rsid w:val="0040182F"/>
    <w:rsid w:val="00402B68"/>
    <w:rsid w:val="004041B6"/>
    <w:rsid w:val="004060AC"/>
    <w:rsid w:val="00406982"/>
    <w:rsid w:val="004071D7"/>
    <w:rsid w:val="004110FA"/>
    <w:rsid w:val="0041200A"/>
    <w:rsid w:val="004124EB"/>
    <w:rsid w:val="00412931"/>
    <w:rsid w:val="0041335B"/>
    <w:rsid w:val="004133D0"/>
    <w:rsid w:val="0042029B"/>
    <w:rsid w:val="004205F9"/>
    <w:rsid w:val="00420C2C"/>
    <w:rsid w:val="00421CBC"/>
    <w:rsid w:val="004222B5"/>
    <w:rsid w:val="00422B6F"/>
    <w:rsid w:val="0042420B"/>
    <w:rsid w:val="004252BB"/>
    <w:rsid w:val="00426757"/>
    <w:rsid w:val="004267D9"/>
    <w:rsid w:val="00427BFB"/>
    <w:rsid w:val="00431A04"/>
    <w:rsid w:val="00433000"/>
    <w:rsid w:val="00433887"/>
    <w:rsid w:val="00433DB3"/>
    <w:rsid w:val="00434AF7"/>
    <w:rsid w:val="00441006"/>
    <w:rsid w:val="0044223C"/>
    <w:rsid w:val="00442978"/>
    <w:rsid w:val="00444F32"/>
    <w:rsid w:val="004471E7"/>
    <w:rsid w:val="00450CF8"/>
    <w:rsid w:val="00451C56"/>
    <w:rsid w:val="004536AA"/>
    <w:rsid w:val="00454562"/>
    <w:rsid w:val="00454663"/>
    <w:rsid w:val="00455F05"/>
    <w:rsid w:val="00456F30"/>
    <w:rsid w:val="00457C3A"/>
    <w:rsid w:val="004604B8"/>
    <w:rsid w:val="00460B57"/>
    <w:rsid w:val="00462417"/>
    <w:rsid w:val="00463D0F"/>
    <w:rsid w:val="004642A7"/>
    <w:rsid w:val="004646AB"/>
    <w:rsid w:val="00464F01"/>
    <w:rsid w:val="004655AC"/>
    <w:rsid w:val="0046569E"/>
    <w:rsid w:val="0046685D"/>
    <w:rsid w:val="004668EE"/>
    <w:rsid w:val="00471794"/>
    <w:rsid w:val="00471FCF"/>
    <w:rsid w:val="00474240"/>
    <w:rsid w:val="004760B7"/>
    <w:rsid w:val="004762C9"/>
    <w:rsid w:val="004770AD"/>
    <w:rsid w:val="004772A5"/>
    <w:rsid w:val="0047741B"/>
    <w:rsid w:val="00477473"/>
    <w:rsid w:val="00480A1C"/>
    <w:rsid w:val="00480B34"/>
    <w:rsid w:val="00480F57"/>
    <w:rsid w:val="00481414"/>
    <w:rsid w:val="00482110"/>
    <w:rsid w:val="00484E0B"/>
    <w:rsid w:val="00486CFE"/>
    <w:rsid w:val="004879A8"/>
    <w:rsid w:val="00487E5B"/>
    <w:rsid w:val="00487E8A"/>
    <w:rsid w:val="004904AE"/>
    <w:rsid w:val="00491166"/>
    <w:rsid w:val="004913A0"/>
    <w:rsid w:val="00491EB8"/>
    <w:rsid w:val="00494E95"/>
    <w:rsid w:val="00495309"/>
    <w:rsid w:val="00496E21"/>
    <w:rsid w:val="00497832"/>
    <w:rsid w:val="004A0039"/>
    <w:rsid w:val="004A4EAA"/>
    <w:rsid w:val="004A62F8"/>
    <w:rsid w:val="004A6C09"/>
    <w:rsid w:val="004A7CE5"/>
    <w:rsid w:val="004B1C84"/>
    <w:rsid w:val="004B379B"/>
    <w:rsid w:val="004B3C71"/>
    <w:rsid w:val="004B651A"/>
    <w:rsid w:val="004C1DED"/>
    <w:rsid w:val="004C511C"/>
    <w:rsid w:val="004C6E77"/>
    <w:rsid w:val="004D0797"/>
    <w:rsid w:val="004D150F"/>
    <w:rsid w:val="004D233F"/>
    <w:rsid w:val="004D2B85"/>
    <w:rsid w:val="004D2DF0"/>
    <w:rsid w:val="004D3B8B"/>
    <w:rsid w:val="004D4122"/>
    <w:rsid w:val="004D4A53"/>
    <w:rsid w:val="004D6CF3"/>
    <w:rsid w:val="004D7CE1"/>
    <w:rsid w:val="004E06BE"/>
    <w:rsid w:val="004E0A43"/>
    <w:rsid w:val="004E0F28"/>
    <w:rsid w:val="004E11BF"/>
    <w:rsid w:val="004E2309"/>
    <w:rsid w:val="004E3277"/>
    <w:rsid w:val="004E5E09"/>
    <w:rsid w:val="004E675A"/>
    <w:rsid w:val="004E77CC"/>
    <w:rsid w:val="004F1F08"/>
    <w:rsid w:val="004F2635"/>
    <w:rsid w:val="004F41F6"/>
    <w:rsid w:val="004F59A4"/>
    <w:rsid w:val="004F66EA"/>
    <w:rsid w:val="004F7BD6"/>
    <w:rsid w:val="005020A6"/>
    <w:rsid w:val="005051B8"/>
    <w:rsid w:val="0051287D"/>
    <w:rsid w:val="00512B0B"/>
    <w:rsid w:val="00513D12"/>
    <w:rsid w:val="00514616"/>
    <w:rsid w:val="00514A53"/>
    <w:rsid w:val="00515910"/>
    <w:rsid w:val="005217AF"/>
    <w:rsid w:val="00525791"/>
    <w:rsid w:val="00526FD5"/>
    <w:rsid w:val="005277B3"/>
    <w:rsid w:val="0053259E"/>
    <w:rsid w:val="005363A9"/>
    <w:rsid w:val="0053666B"/>
    <w:rsid w:val="00536BBF"/>
    <w:rsid w:val="005377A6"/>
    <w:rsid w:val="0054044D"/>
    <w:rsid w:val="0054085C"/>
    <w:rsid w:val="00541913"/>
    <w:rsid w:val="00543FE3"/>
    <w:rsid w:val="00545589"/>
    <w:rsid w:val="00545844"/>
    <w:rsid w:val="00545A98"/>
    <w:rsid w:val="005464F4"/>
    <w:rsid w:val="00550033"/>
    <w:rsid w:val="00550AD3"/>
    <w:rsid w:val="00551166"/>
    <w:rsid w:val="00551588"/>
    <w:rsid w:val="00552E25"/>
    <w:rsid w:val="005532B0"/>
    <w:rsid w:val="0055457E"/>
    <w:rsid w:val="005563D2"/>
    <w:rsid w:val="0055659F"/>
    <w:rsid w:val="00556F79"/>
    <w:rsid w:val="00560653"/>
    <w:rsid w:val="005627F2"/>
    <w:rsid w:val="00562A8B"/>
    <w:rsid w:val="0056500D"/>
    <w:rsid w:val="005657C9"/>
    <w:rsid w:val="00565FD4"/>
    <w:rsid w:val="00566FDB"/>
    <w:rsid w:val="005672DB"/>
    <w:rsid w:val="0056766E"/>
    <w:rsid w:val="00567EFC"/>
    <w:rsid w:val="00571721"/>
    <w:rsid w:val="00573B42"/>
    <w:rsid w:val="00573DD4"/>
    <w:rsid w:val="00573E37"/>
    <w:rsid w:val="005744D9"/>
    <w:rsid w:val="00575140"/>
    <w:rsid w:val="005756A0"/>
    <w:rsid w:val="00575F5A"/>
    <w:rsid w:val="0058114C"/>
    <w:rsid w:val="005815D4"/>
    <w:rsid w:val="00583339"/>
    <w:rsid w:val="0058434B"/>
    <w:rsid w:val="00584F3E"/>
    <w:rsid w:val="00585A30"/>
    <w:rsid w:val="00587EBE"/>
    <w:rsid w:val="00590047"/>
    <w:rsid w:val="00592CF1"/>
    <w:rsid w:val="00593634"/>
    <w:rsid w:val="00594D89"/>
    <w:rsid w:val="0059738B"/>
    <w:rsid w:val="00597C86"/>
    <w:rsid w:val="005A0365"/>
    <w:rsid w:val="005A13AE"/>
    <w:rsid w:val="005A2082"/>
    <w:rsid w:val="005A2650"/>
    <w:rsid w:val="005A2E8D"/>
    <w:rsid w:val="005A337D"/>
    <w:rsid w:val="005A4AD5"/>
    <w:rsid w:val="005A621E"/>
    <w:rsid w:val="005A69D4"/>
    <w:rsid w:val="005A6EDE"/>
    <w:rsid w:val="005A7013"/>
    <w:rsid w:val="005A7AC3"/>
    <w:rsid w:val="005B1DB4"/>
    <w:rsid w:val="005B3743"/>
    <w:rsid w:val="005B3BBD"/>
    <w:rsid w:val="005B4CD9"/>
    <w:rsid w:val="005B5709"/>
    <w:rsid w:val="005B7E31"/>
    <w:rsid w:val="005C0F39"/>
    <w:rsid w:val="005C194A"/>
    <w:rsid w:val="005C1ABB"/>
    <w:rsid w:val="005C2012"/>
    <w:rsid w:val="005C3EB6"/>
    <w:rsid w:val="005C4D3B"/>
    <w:rsid w:val="005C609B"/>
    <w:rsid w:val="005C60C5"/>
    <w:rsid w:val="005D12D5"/>
    <w:rsid w:val="005D2265"/>
    <w:rsid w:val="005D328B"/>
    <w:rsid w:val="005D3B39"/>
    <w:rsid w:val="005D4192"/>
    <w:rsid w:val="005D4764"/>
    <w:rsid w:val="005D4EC3"/>
    <w:rsid w:val="005E08A0"/>
    <w:rsid w:val="005E319A"/>
    <w:rsid w:val="005E5482"/>
    <w:rsid w:val="005E682B"/>
    <w:rsid w:val="005F1F4B"/>
    <w:rsid w:val="005F2831"/>
    <w:rsid w:val="005F3AA0"/>
    <w:rsid w:val="005F3CED"/>
    <w:rsid w:val="005F440A"/>
    <w:rsid w:val="005F461B"/>
    <w:rsid w:val="005F4EFC"/>
    <w:rsid w:val="005F51CB"/>
    <w:rsid w:val="005F65AF"/>
    <w:rsid w:val="005F7B00"/>
    <w:rsid w:val="00601D21"/>
    <w:rsid w:val="00602916"/>
    <w:rsid w:val="00604285"/>
    <w:rsid w:val="00605F07"/>
    <w:rsid w:val="00606690"/>
    <w:rsid w:val="006067DA"/>
    <w:rsid w:val="00607DF0"/>
    <w:rsid w:val="00614CB7"/>
    <w:rsid w:val="00616381"/>
    <w:rsid w:val="0061737C"/>
    <w:rsid w:val="00617BDF"/>
    <w:rsid w:val="00617D12"/>
    <w:rsid w:val="006207D5"/>
    <w:rsid w:val="00620896"/>
    <w:rsid w:val="006208EB"/>
    <w:rsid w:val="00622117"/>
    <w:rsid w:val="00622306"/>
    <w:rsid w:val="00623158"/>
    <w:rsid w:val="0062367B"/>
    <w:rsid w:val="00625A4F"/>
    <w:rsid w:val="00625C40"/>
    <w:rsid w:val="00625EA6"/>
    <w:rsid w:val="006270E7"/>
    <w:rsid w:val="00627C2F"/>
    <w:rsid w:val="00630BA3"/>
    <w:rsid w:val="00631277"/>
    <w:rsid w:val="00631545"/>
    <w:rsid w:val="00632504"/>
    <w:rsid w:val="0063323B"/>
    <w:rsid w:val="00634A36"/>
    <w:rsid w:val="00635271"/>
    <w:rsid w:val="00636F26"/>
    <w:rsid w:val="00637922"/>
    <w:rsid w:val="00637C9C"/>
    <w:rsid w:val="00640636"/>
    <w:rsid w:val="00642D51"/>
    <w:rsid w:val="00643C8D"/>
    <w:rsid w:val="00645513"/>
    <w:rsid w:val="006510C5"/>
    <w:rsid w:val="00651DFD"/>
    <w:rsid w:val="00652AE4"/>
    <w:rsid w:val="00654CF4"/>
    <w:rsid w:val="006550E7"/>
    <w:rsid w:val="0066172B"/>
    <w:rsid w:val="00661F3C"/>
    <w:rsid w:val="00662798"/>
    <w:rsid w:val="006627DF"/>
    <w:rsid w:val="00662D87"/>
    <w:rsid w:val="0066347E"/>
    <w:rsid w:val="00664250"/>
    <w:rsid w:val="00664781"/>
    <w:rsid w:val="00665FC6"/>
    <w:rsid w:val="006667BC"/>
    <w:rsid w:val="00666A36"/>
    <w:rsid w:val="00667BFA"/>
    <w:rsid w:val="00670977"/>
    <w:rsid w:val="00674330"/>
    <w:rsid w:val="00674783"/>
    <w:rsid w:val="006778CD"/>
    <w:rsid w:val="00680405"/>
    <w:rsid w:val="0068084E"/>
    <w:rsid w:val="00680FE2"/>
    <w:rsid w:val="00681606"/>
    <w:rsid w:val="00681909"/>
    <w:rsid w:val="00684AA5"/>
    <w:rsid w:val="006878F8"/>
    <w:rsid w:val="00690868"/>
    <w:rsid w:val="006922E6"/>
    <w:rsid w:val="0069456C"/>
    <w:rsid w:val="006947C0"/>
    <w:rsid w:val="00696176"/>
    <w:rsid w:val="006970EC"/>
    <w:rsid w:val="00697BF7"/>
    <w:rsid w:val="006A2BC6"/>
    <w:rsid w:val="006A31D5"/>
    <w:rsid w:val="006A5F77"/>
    <w:rsid w:val="006A6C46"/>
    <w:rsid w:val="006A727D"/>
    <w:rsid w:val="006A7282"/>
    <w:rsid w:val="006A752A"/>
    <w:rsid w:val="006A7A04"/>
    <w:rsid w:val="006B395A"/>
    <w:rsid w:val="006B4243"/>
    <w:rsid w:val="006B57DC"/>
    <w:rsid w:val="006B709E"/>
    <w:rsid w:val="006B736D"/>
    <w:rsid w:val="006B7DF1"/>
    <w:rsid w:val="006C015E"/>
    <w:rsid w:val="006C0470"/>
    <w:rsid w:val="006C216E"/>
    <w:rsid w:val="006C3381"/>
    <w:rsid w:val="006C4588"/>
    <w:rsid w:val="006C540F"/>
    <w:rsid w:val="006C6489"/>
    <w:rsid w:val="006C6EB3"/>
    <w:rsid w:val="006C7A2A"/>
    <w:rsid w:val="006D0EB1"/>
    <w:rsid w:val="006D1E64"/>
    <w:rsid w:val="006D2571"/>
    <w:rsid w:val="006D383D"/>
    <w:rsid w:val="006D526B"/>
    <w:rsid w:val="006D5ED6"/>
    <w:rsid w:val="006D68B5"/>
    <w:rsid w:val="006D68C2"/>
    <w:rsid w:val="006D701D"/>
    <w:rsid w:val="006E12DF"/>
    <w:rsid w:val="006E2572"/>
    <w:rsid w:val="006E2C48"/>
    <w:rsid w:val="006E3F69"/>
    <w:rsid w:val="006E6527"/>
    <w:rsid w:val="006E668C"/>
    <w:rsid w:val="006E7A5B"/>
    <w:rsid w:val="006E7EAD"/>
    <w:rsid w:val="006F0A02"/>
    <w:rsid w:val="006F332B"/>
    <w:rsid w:val="006F375C"/>
    <w:rsid w:val="006F3B23"/>
    <w:rsid w:val="006F45CD"/>
    <w:rsid w:val="006F577D"/>
    <w:rsid w:val="006F7E06"/>
    <w:rsid w:val="007018B8"/>
    <w:rsid w:val="00701D76"/>
    <w:rsid w:val="00702B48"/>
    <w:rsid w:val="0070461E"/>
    <w:rsid w:val="0070584D"/>
    <w:rsid w:val="00706978"/>
    <w:rsid w:val="00710C58"/>
    <w:rsid w:val="00712102"/>
    <w:rsid w:val="00712363"/>
    <w:rsid w:val="00713E45"/>
    <w:rsid w:val="00713EE7"/>
    <w:rsid w:val="007143E8"/>
    <w:rsid w:val="00714439"/>
    <w:rsid w:val="00714BA3"/>
    <w:rsid w:val="00714FD3"/>
    <w:rsid w:val="00716CB1"/>
    <w:rsid w:val="00717FA5"/>
    <w:rsid w:val="00721DF7"/>
    <w:rsid w:val="007242EC"/>
    <w:rsid w:val="007256C8"/>
    <w:rsid w:val="00725FA6"/>
    <w:rsid w:val="00731A6D"/>
    <w:rsid w:val="007329A8"/>
    <w:rsid w:val="00732E1B"/>
    <w:rsid w:val="00732EB1"/>
    <w:rsid w:val="00732FE4"/>
    <w:rsid w:val="007340B3"/>
    <w:rsid w:val="00734AF7"/>
    <w:rsid w:val="00737EE0"/>
    <w:rsid w:val="00741718"/>
    <w:rsid w:val="00741DFB"/>
    <w:rsid w:val="00742B5B"/>
    <w:rsid w:val="00743438"/>
    <w:rsid w:val="00743850"/>
    <w:rsid w:val="00744D86"/>
    <w:rsid w:val="007472EA"/>
    <w:rsid w:val="00747EFE"/>
    <w:rsid w:val="00750AD2"/>
    <w:rsid w:val="00750B19"/>
    <w:rsid w:val="00751068"/>
    <w:rsid w:val="007510B2"/>
    <w:rsid w:val="00751171"/>
    <w:rsid w:val="00751A32"/>
    <w:rsid w:val="00751CC9"/>
    <w:rsid w:val="00752908"/>
    <w:rsid w:val="00752CE1"/>
    <w:rsid w:val="007538E2"/>
    <w:rsid w:val="00753FD3"/>
    <w:rsid w:val="007547B2"/>
    <w:rsid w:val="0075551A"/>
    <w:rsid w:val="00756548"/>
    <w:rsid w:val="0075669C"/>
    <w:rsid w:val="0075772F"/>
    <w:rsid w:val="00760A57"/>
    <w:rsid w:val="007610FF"/>
    <w:rsid w:val="00763351"/>
    <w:rsid w:val="00764E7E"/>
    <w:rsid w:val="00765B02"/>
    <w:rsid w:val="00765E2C"/>
    <w:rsid w:val="00765EE9"/>
    <w:rsid w:val="00767EF2"/>
    <w:rsid w:val="007708CD"/>
    <w:rsid w:val="0077306E"/>
    <w:rsid w:val="0077408B"/>
    <w:rsid w:val="007742BD"/>
    <w:rsid w:val="00774A07"/>
    <w:rsid w:val="0077736A"/>
    <w:rsid w:val="00777508"/>
    <w:rsid w:val="00777F1E"/>
    <w:rsid w:val="007805C5"/>
    <w:rsid w:val="0078097D"/>
    <w:rsid w:val="00781957"/>
    <w:rsid w:val="00784396"/>
    <w:rsid w:val="007848AD"/>
    <w:rsid w:val="00787746"/>
    <w:rsid w:val="00790138"/>
    <w:rsid w:val="00790239"/>
    <w:rsid w:val="00790E37"/>
    <w:rsid w:val="0079232B"/>
    <w:rsid w:val="007924AB"/>
    <w:rsid w:val="00792A25"/>
    <w:rsid w:val="00793BB7"/>
    <w:rsid w:val="00795035"/>
    <w:rsid w:val="007965B0"/>
    <w:rsid w:val="007A105E"/>
    <w:rsid w:val="007A1C6F"/>
    <w:rsid w:val="007A21FE"/>
    <w:rsid w:val="007A3A47"/>
    <w:rsid w:val="007A3F22"/>
    <w:rsid w:val="007A5016"/>
    <w:rsid w:val="007A5E71"/>
    <w:rsid w:val="007A7619"/>
    <w:rsid w:val="007A7FA1"/>
    <w:rsid w:val="007B191D"/>
    <w:rsid w:val="007B2379"/>
    <w:rsid w:val="007B472C"/>
    <w:rsid w:val="007B5CFD"/>
    <w:rsid w:val="007B5FCB"/>
    <w:rsid w:val="007C1D46"/>
    <w:rsid w:val="007C402F"/>
    <w:rsid w:val="007C4BF3"/>
    <w:rsid w:val="007C771C"/>
    <w:rsid w:val="007D1559"/>
    <w:rsid w:val="007D1A7C"/>
    <w:rsid w:val="007D2CB7"/>
    <w:rsid w:val="007D460F"/>
    <w:rsid w:val="007D4DFD"/>
    <w:rsid w:val="007D56CC"/>
    <w:rsid w:val="007D6F0B"/>
    <w:rsid w:val="007E12BF"/>
    <w:rsid w:val="007E25A2"/>
    <w:rsid w:val="007E2A7A"/>
    <w:rsid w:val="007E5E1B"/>
    <w:rsid w:val="007F05DE"/>
    <w:rsid w:val="007F05EC"/>
    <w:rsid w:val="007F5559"/>
    <w:rsid w:val="007F5FD3"/>
    <w:rsid w:val="007F70DB"/>
    <w:rsid w:val="007F7A32"/>
    <w:rsid w:val="0080290C"/>
    <w:rsid w:val="00807041"/>
    <w:rsid w:val="00807551"/>
    <w:rsid w:val="00807B8E"/>
    <w:rsid w:val="0081018B"/>
    <w:rsid w:val="0081065B"/>
    <w:rsid w:val="008122DB"/>
    <w:rsid w:val="008124DC"/>
    <w:rsid w:val="00812CC7"/>
    <w:rsid w:val="00812E98"/>
    <w:rsid w:val="00817CD2"/>
    <w:rsid w:val="00820BAC"/>
    <w:rsid w:val="00820FF5"/>
    <w:rsid w:val="008239B4"/>
    <w:rsid w:val="00824E08"/>
    <w:rsid w:val="00826908"/>
    <w:rsid w:val="00831EC4"/>
    <w:rsid w:val="008332B6"/>
    <w:rsid w:val="0083334E"/>
    <w:rsid w:val="00833DE8"/>
    <w:rsid w:val="00835FEC"/>
    <w:rsid w:val="00842A6A"/>
    <w:rsid w:val="00842D78"/>
    <w:rsid w:val="00844B74"/>
    <w:rsid w:val="00847F85"/>
    <w:rsid w:val="008507A1"/>
    <w:rsid w:val="00851683"/>
    <w:rsid w:val="008520A4"/>
    <w:rsid w:val="008520C2"/>
    <w:rsid w:val="0085446A"/>
    <w:rsid w:val="00862263"/>
    <w:rsid w:val="00864A04"/>
    <w:rsid w:val="0086580B"/>
    <w:rsid w:val="00866EE9"/>
    <w:rsid w:val="008709DA"/>
    <w:rsid w:val="00870FAA"/>
    <w:rsid w:val="00873499"/>
    <w:rsid w:val="008734B6"/>
    <w:rsid w:val="00874541"/>
    <w:rsid w:val="00877E2F"/>
    <w:rsid w:val="008814A0"/>
    <w:rsid w:val="0088264C"/>
    <w:rsid w:val="00882F58"/>
    <w:rsid w:val="00884395"/>
    <w:rsid w:val="0088708E"/>
    <w:rsid w:val="0089154A"/>
    <w:rsid w:val="008918F4"/>
    <w:rsid w:val="00891C32"/>
    <w:rsid w:val="00892373"/>
    <w:rsid w:val="00892F58"/>
    <w:rsid w:val="0089588D"/>
    <w:rsid w:val="00895EC9"/>
    <w:rsid w:val="0089614B"/>
    <w:rsid w:val="00896EAD"/>
    <w:rsid w:val="00896F0E"/>
    <w:rsid w:val="00897C57"/>
    <w:rsid w:val="008A271D"/>
    <w:rsid w:val="008A3C55"/>
    <w:rsid w:val="008A3CC1"/>
    <w:rsid w:val="008A5547"/>
    <w:rsid w:val="008A5C9E"/>
    <w:rsid w:val="008A65DB"/>
    <w:rsid w:val="008B22E1"/>
    <w:rsid w:val="008B3524"/>
    <w:rsid w:val="008B5D2E"/>
    <w:rsid w:val="008B5E4E"/>
    <w:rsid w:val="008B5F7D"/>
    <w:rsid w:val="008B6361"/>
    <w:rsid w:val="008B73DB"/>
    <w:rsid w:val="008B7A7C"/>
    <w:rsid w:val="008B7F4C"/>
    <w:rsid w:val="008C09AA"/>
    <w:rsid w:val="008C160A"/>
    <w:rsid w:val="008C3A61"/>
    <w:rsid w:val="008C3EC4"/>
    <w:rsid w:val="008C4D50"/>
    <w:rsid w:val="008C5A53"/>
    <w:rsid w:val="008C5FD3"/>
    <w:rsid w:val="008D0809"/>
    <w:rsid w:val="008D31CB"/>
    <w:rsid w:val="008D4136"/>
    <w:rsid w:val="008D4905"/>
    <w:rsid w:val="008D4EF4"/>
    <w:rsid w:val="008D7916"/>
    <w:rsid w:val="008E0540"/>
    <w:rsid w:val="008E1E45"/>
    <w:rsid w:val="008E256C"/>
    <w:rsid w:val="008E4C66"/>
    <w:rsid w:val="008E4FF1"/>
    <w:rsid w:val="008E519A"/>
    <w:rsid w:val="008E717B"/>
    <w:rsid w:val="008F46DE"/>
    <w:rsid w:val="008F4851"/>
    <w:rsid w:val="008F559A"/>
    <w:rsid w:val="008F75A4"/>
    <w:rsid w:val="009000CE"/>
    <w:rsid w:val="0090019E"/>
    <w:rsid w:val="00901D9F"/>
    <w:rsid w:val="0090334D"/>
    <w:rsid w:val="00904F48"/>
    <w:rsid w:val="009064D4"/>
    <w:rsid w:val="009068F8"/>
    <w:rsid w:val="009133A4"/>
    <w:rsid w:val="009133DF"/>
    <w:rsid w:val="00914316"/>
    <w:rsid w:val="009150EE"/>
    <w:rsid w:val="00920130"/>
    <w:rsid w:val="00920B77"/>
    <w:rsid w:val="00921E18"/>
    <w:rsid w:val="0092280C"/>
    <w:rsid w:val="00924626"/>
    <w:rsid w:val="00924E63"/>
    <w:rsid w:val="0092504B"/>
    <w:rsid w:val="00927C36"/>
    <w:rsid w:val="00930FF6"/>
    <w:rsid w:val="0093103C"/>
    <w:rsid w:val="00931A5D"/>
    <w:rsid w:val="00932308"/>
    <w:rsid w:val="009327D2"/>
    <w:rsid w:val="009340B4"/>
    <w:rsid w:val="00934DFB"/>
    <w:rsid w:val="0093654E"/>
    <w:rsid w:val="00936D4A"/>
    <w:rsid w:val="00942A8D"/>
    <w:rsid w:val="00942AFA"/>
    <w:rsid w:val="0094413A"/>
    <w:rsid w:val="00944720"/>
    <w:rsid w:val="0094472B"/>
    <w:rsid w:val="00944FAF"/>
    <w:rsid w:val="009477F1"/>
    <w:rsid w:val="00950A96"/>
    <w:rsid w:val="00951B96"/>
    <w:rsid w:val="009527CB"/>
    <w:rsid w:val="00953223"/>
    <w:rsid w:val="00954822"/>
    <w:rsid w:val="009549D5"/>
    <w:rsid w:val="00955B40"/>
    <w:rsid w:val="00956603"/>
    <w:rsid w:val="00956D20"/>
    <w:rsid w:val="0096106E"/>
    <w:rsid w:val="00961E91"/>
    <w:rsid w:val="00963873"/>
    <w:rsid w:val="009639A3"/>
    <w:rsid w:val="00964022"/>
    <w:rsid w:val="0096448F"/>
    <w:rsid w:val="009646E9"/>
    <w:rsid w:val="009663A3"/>
    <w:rsid w:val="009668D7"/>
    <w:rsid w:val="00966E01"/>
    <w:rsid w:val="0097107C"/>
    <w:rsid w:val="009716EC"/>
    <w:rsid w:val="00972205"/>
    <w:rsid w:val="00972CCD"/>
    <w:rsid w:val="009753AA"/>
    <w:rsid w:val="00975487"/>
    <w:rsid w:val="00975AA4"/>
    <w:rsid w:val="0097615F"/>
    <w:rsid w:val="00976A67"/>
    <w:rsid w:val="009800C8"/>
    <w:rsid w:val="00982E39"/>
    <w:rsid w:val="00983806"/>
    <w:rsid w:val="009850DE"/>
    <w:rsid w:val="00985D55"/>
    <w:rsid w:val="0099088B"/>
    <w:rsid w:val="0099144C"/>
    <w:rsid w:val="00992163"/>
    <w:rsid w:val="009929F3"/>
    <w:rsid w:val="00994041"/>
    <w:rsid w:val="009955E7"/>
    <w:rsid w:val="00995A65"/>
    <w:rsid w:val="00995E13"/>
    <w:rsid w:val="00996D6D"/>
    <w:rsid w:val="009A02EE"/>
    <w:rsid w:val="009A18AC"/>
    <w:rsid w:val="009A21ED"/>
    <w:rsid w:val="009A2B75"/>
    <w:rsid w:val="009A3310"/>
    <w:rsid w:val="009A366E"/>
    <w:rsid w:val="009A4BB5"/>
    <w:rsid w:val="009A4C71"/>
    <w:rsid w:val="009A5828"/>
    <w:rsid w:val="009A631B"/>
    <w:rsid w:val="009A6499"/>
    <w:rsid w:val="009B04AC"/>
    <w:rsid w:val="009B0545"/>
    <w:rsid w:val="009B22F3"/>
    <w:rsid w:val="009B2F71"/>
    <w:rsid w:val="009B3B12"/>
    <w:rsid w:val="009B5148"/>
    <w:rsid w:val="009B5166"/>
    <w:rsid w:val="009B6136"/>
    <w:rsid w:val="009B6409"/>
    <w:rsid w:val="009B7118"/>
    <w:rsid w:val="009B7163"/>
    <w:rsid w:val="009B7C0D"/>
    <w:rsid w:val="009C2AA3"/>
    <w:rsid w:val="009C4200"/>
    <w:rsid w:val="009C56D9"/>
    <w:rsid w:val="009C5D36"/>
    <w:rsid w:val="009C5D71"/>
    <w:rsid w:val="009C5FA8"/>
    <w:rsid w:val="009C77C1"/>
    <w:rsid w:val="009D4484"/>
    <w:rsid w:val="009D46A9"/>
    <w:rsid w:val="009D489E"/>
    <w:rsid w:val="009D4BE2"/>
    <w:rsid w:val="009D72B0"/>
    <w:rsid w:val="009D7371"/>
    <w:rsid w:val="009E0B53"/>
    <w:rsid w:val="009E1244"/>
    <w:rsid w:val="009E1364"/>
    <w:rsid w:val="009E2846"/>
    <w:rsid w:val="009E4421"/>
    <w:rsid w:val="009E4B2F"/>
    <w:rsid w:val="009E5794"/>
    <w:rsid w:val="009F0668"/>
    <w:rsid w:val="009F0754"/>
    <w:rsid w:val="009F169B"/>
    <w:rsid w:val="009F2077"/>
    <w:rsid w:val="009F22B1"/>
    <w:rsid w:val="009F3A28"/>
    <w:rsid w:val="009F3AC7"/>
    <w:rsid w:val="009F4678"/>
    <w:rsid w:val="009F50E5"/>
    <w:rsid w:val="009F54FC"/>
    <w:rsid w:val="009F5847"/>
    <w:rsid w:val="009F5ECB"/>
    <w:rsid w:val="009F7BC2"/>
    <w:rsid w:val="00A02573"/>
    <w:rsid w:val="00A02AB4"/>
    <w:rsid w:val="00A02D85"/>
    <w:rsid w:val="00A03283"/>
    <w:rsid w:val="00A04DFE"/>
    <w:rsid w:val="00A05712"/>
    <w:rsid w:val="00A06024"/>
    <w:rsid w:val="00A07496"/>
    <w:rsid w:val="00A07552"/>
    <w:rsid w:val="00A07D41"/>
    <w:rsid w:val="00A1002A"/>
    <w:rsid w:val="00A11051"/>
    <w:rsid w:val="00A1126E"/>
    <w:rsid w:val="00A12312"/>
    <w:rsid w:val="00A124CD"/>
    <w:rsid w:val="00A13A78"/>
    <w:rsid w:val="00A14D7E"/>
    <w:rsid w:val="00A15E75"/>
    <w:rsid w:val="00A16DBD"/>
    <w:rsid w:val="00A16ECF"/>
    <w:rsid w:val="00A16EFF"/>
    <w:rsid w:val="00A17110"/>
    <w:rsid w:val="00A17898"/>
    <w:rsid w:val="00A23D19"/>
    <w:rsid w:val="00A24A3D"/>
    <w:rsid w:val="00A2548B"/>
    <w:rsid w:val="00A26839"/>
    <w:rsid w:val="00A2752D"/>
    <w:rsid w:val="00A30102"/>
    <w:rsid w:val="00A306B9"/>
    <w:rsid w:val="00A3077F"/>
    <w:rsid w:val="00A3263F"/>
    <w:rsid w:val="00A32EB8"/>
    <w:rsid w:val="00A35431"/>
    <w:rsid w:val="00A3545D"/>
    <w:rsid w:val="00A35ED8"/>
    <w:rsid w:val="00A36C85"/>
    <w:rsid w:val="00A374F1"/>
    <w:rsid w:val="00A37EFE"/>
    <w:rsid w:val="00A411F0"/>
    <w:rsid w:val="00A41648"/>
    <w:rsid w:val="00A43267"/>
    <w:rsid w:val="00A43BD9"/>
    <w:rsid w:val="00A43E87"/>
    <w:rsid w:val="00A4414A"/>
    <w:rsid w:val="00A453DC"/>
    <w:rsid w:val="00A46451"/>
    <w:rsid w:val="00A465D8"/>
    <w:rsid w:val="00A46B1D"/>
    <w:rsid w:val="00A528C4"/>
    <w:rsid w:val="00A539FE"/>
    <w:rsid w:val="00A543E2"/>
    <w:rsid w:val="00A545FF"/>
    <w:rsid w:val="00A54CD0"/>
    <w:rsid w:val="00A57598"/>
    <w:rsid w:val="00A604B1"/>
    <w:rsid w:val="00A61C64"/>
    <w:rsid w:val="00A62BE6"/>
    <w:rsid w:val="00A650A2"/>
    <w:rsid w:val="00A65301"/>
    <w:rsid w:val="00A671D6"/>
    <w:rsid w:val="00A67F73"/>
    <w:rsid w:val="00A700C0"/>
    <w:rsid w:val="00A7062B"/>
    <w:rsid w:val="00A72AF8"/>
    <w:rsid w:val="00A73DD5"/>
    <w:rsid w:val="00A74520"/>
    <w:rsid w:val="00A76CDB"/>
    <w:rsid w:val="00A77EEE"/>
    <w:rsid w:val="00A81014"/>
    <w:rsid w:val="00A81EB6"/>
    <w:rsid w:val="00A84563"/>
    <w:rsid w:val="00A864B5"/>
    <w:rsid w:val="00A86B3D"/>
    <w:rsid w:val="00A904C8"/>
    <w:rsid w:val="00A911AF"/>
    <w:rsid w:val="00A9199D"/>
    <w:rsid w:val="00A91F87"/>
    <w:rsid w:val="00A92B6A"/>
    <w:rsid w:val="00A93FDA"/>
    <w:rsid w:val="00A94796"/>
    <w:rsid w:val="00A9632E"/>
    <w:rsid w:val="00A96C25"/>
    <w:rsid w:val="00AA1151"/>
    <w:rsid w:val="00AA22EA"/>
    <w:rsid w:val="00AA238D"/>
    <w:rsid w:val="00AA2B8F"/>
    <w:rsid w:val="00AA384B"/>
    <w:rsid w:val="00AA4514"/>
    <w:rsid w:val="00AA6436"/>
    <w:rsid w:val="00AA6CA3"/>
    <w:rsid w:val="00AA6EBB"/>
    <w:rsid w:val="00AA744D"/>
    <w:rsid w:val="00AA7452"/>
    <w:rsid w:val="00AB1B64"/>
    <w:rsid w:val="00AB2040"/>
    <w:rsid w:val="00AB316D"/>
    <w:rsid w:val="00AB3CBA"/>
    <w:rsid w:val="00AB3E83"/>
    <w:rsid w:val="00AB54B0"/>
    <w:rsid w:val="00AB761F"/>
    <w:rsid w:val="00AC1EF3"/>
    <w:rsid w:val="00AC21D5"/>
    <w:rsid w:val="00AC25D0"/>
    <w:rsid w:val="00AC315D"/>
    <w:rsid w:val="00AC44E5"/>
    <w:rsid w:val="00AC5481"/>
    <w:rsid w:val="00AC7440"/>
    <w:rsid w:val="00AC74AB"/>
    <w:rsid w:val="00AC791F"/>
    <w:rsid w:val="00AC7B1E"/>
    <w:rsid w:val="00AD1770"/>
    <w:rsid w:val="00AD1CE1"/>
    <w:rsid w:val="00AD3F9D"/>
    <w:rsid w:val="00AD6573"/>
    <w:rsid w:val="00AD70E5"/>
    <w:rsid w:val="00AE08BF"/>
    <w:rsid w:val="00AE16A6"/>
    <w:rsid w:val="00AE27B0"/>
    <w:rsid w:val="00AE318E"/>
    <w:rsid w:val="00AE4878"/>
    <w:rsid w:val="00AE4B11"/>
    <w:rsid w:val="00AF0B41"/>
    <w:rsid w:val="00AF230B"/>
    <w:rsid w:val="00AF3237"/>
    <w:rsid w:val="00AF4F21"/>
    <w:rsid w:val="00AF569B"/>
    <w:rsid w:val="00B00A8F"/>
    <w:rsid w:val="00B00FDC"/>
    <w:rsid w:val="00B03183"/>
    <w:rsid w:val="00B056C8"/>
    <w:rsid w:val="00B0595A"/>
    <w:rsid w:val="00B100F0"/>
    <w:rsid w:val="00B10813"/>
    <w:rsid w:val="00B12A5E"/>
    <w:rsid w:val="00B12CC4"/>
    <w:rsid w:val="00B12D35"/>
    <w:rsid w:val="00B12FA3"/>
    <w:rsid w:val="00B13273"/>
    <w:rsid w:val="00B13703"/>
    <w:rsid w:val="00B1379F"/>
    <w:rsid w:val="00B14AEB"/>
    <w:rsid w:val="00B15E6E"/>
    <w:rsid w:val="00B16979"/>
    <w:rsid w:val="00B17DCB"/>
    <w:rsid w:val="00B20F71"/>
    <w:rsid w:val="00B218CE"/>
    <w:rsid w:val="00B22381"/>
    <w:rsid w:val="00B22F6F"/>
    <w:rsid w:val="00B23F24"/>
    <w:rsid w:val="00B24122"/>
    <w:rsid w:val="00B261D1"/>
    <w:rsid w:val="00B26512"/>
    <w:rsid w:val="00B265EC"/>
    <w:rsid w:val="00B27D49"/>
    <w:rsid w:val="00B302BF"/>
    <w:rsid w:val="00B340FB"/>
    <w:rsid w:val="00B3603B"/>
    <w:rsid w:val="00B36185"/>
    <w:rsid w:val="00B36ABF"/>
    <w:rsid w:val="00B4385D"/>
    <w:rsid w:val="00B50B2A"/>
    <w:rsid w:val="00B50B6D"/>
    <w:rsid w:val="00B5215C"/>
    <w:rsid w:val="00B523C6"/>
    <w:rsid w:val="00B53265"/>
    <w:rsid w:val="00B536AB"/>
    <w:rsid w:val="00B56F51"/>
    <w:rsid w:val="00B606AC"/>
    <w:rsid w:val="00B61381"/>
    <w:rsid w:val="00B61FC9"/>
    <w:rsid w:val="00B62AC2"/>
    <w:rsid w:val="00B64454"/>
    <w:rsid w:val="00B6472E"/>
    <w:rsid w:val="00B66A27"/>
    <w:rsid w:val="00B70C19"/>
    <w:rsid w:val="00B73126"/>
    <w:rsid w:val="00B75393"/>
    <w:rsid w:val="00B753DF"/>
    <w:rsid w:val="00B77ABA"/>
    <w:rsid w:val="00B81CE8"/>
    <w:rsid w:val="00B81E92"/>
    <w:rsid w:val="00B829EF"/>
    <w:rsid w:val="00B83050"/>
    <w:rsid w:val="00B8474A"/>
    <w:rsid w:val="00B85842"/>
    <w:rsid w:val="00B86686"/>
    <w:rsid w:val="00B9013F"/>
    <w:rsid w:val="00B92343"/>
    <w:rsid w:val="00B92644"/>
    <w:rsid w:val="00B92C45"/>
    <w:rsid w:val="00B93026"/>
    <w:rsid w:val="00B945FA"/>
    <w:rsid w:val="00B96170"/>
    <w:rsid w:val="00BA04BD"/>
    <w:rsid w:val="00BA0742"/>
    <w:rsid w:val="00BA3739"/>
    <w:rsid w:val="00BA41DC"/>
    <w:rsid w:val="00BA5EAB"/>
    <w:rsid w:val="00BB12A3"/>
    <w:rsid w:val="00BB17B5"/>
    <w:rsid w:val="00BB2824"/>
    <w:rsid w:val="00BB43AD"/>
    <w:rsid w:val="00BB6C73"/>
    <w:rsid w:val="00BB6F77"/>
    <w:rsid w:val="00BB7319"/>
    <w:rsid w:val="00BB7E88"/>
    <w:rsid w:val="00BC008E"/>
    <w:rsid w:val="00BC0A50"/>
    <w:rsid w:val="00BC123B"/>
    <w:rsid w:val="00BC36D2"/>
    <w:rsid w:val="00BC4819"/>
    <w:rsid w:val="00BD1588"/>
    <w:rsid w:val="00BD30C2"/>
    <w:rsid w:val="00BD43B8"/>
    <w:rsid w:val="00BD63B4"/>
    <w:rsid w:val="00BD72EE"/>
    <w:rsid w:val="00BD7567"/>
    <w:rsid w:val="00BE01F0"/>
    <w:rsid w:val="00BE02BD"/>
    <w:rsid w:val="00BE0CEA"/>
    <w:rsid w:val="00BE11E3"/>
    <w:rsid w:val="00BE1A46"/>
    <w:rsid w:val="00BE2A0B"/>
    <w:rsid w:val="00BE3A2F"/>
    <w:rsid w:val="00BE410C"/>
    <w:rsid w:val="00BE4F9A"/>
    <w:rsid w:val="00BE61F6"/>
    <w:rsid w:val="00BE6844"/>
    <w:rsid w:val="00BE739E"/>
    <w:rsid w:val="00BF116F"/>
    <w:rsid w:val="00BF4D8B"/>
    <w:rsid w:val="00BF6A66"/>
    <w:rsid w:val="00BF72A6"/>
    <w:rsid w:val="00C0141F"/>
    <w:rsid w:val="00C02A8D"/>
    <w:rsid w:val="00C03D80"/>
    <w:rsid w:val="00C06488"/>
    <w:rsid w:val="00C1009A"/>
    <w:rsid w:val="00C10129"/>
    <w:rsid w:val="00C10164"/>
    <w:rsid w:val="00C13916"/>
    <w:rsid w:val="00C163D9"/>
    <w:rsid w:val="00C1733C"/>
    <w:rsid w:val="00C20DC3"/>
    <w:rsid w:val="00C21731"/>
    <w:rsid w:val="00C21E1F"/>
    <w:rsid w:val="00C24A1D"/>
    <w:rsid w:val="00C24F21"/>
    <w:rsid w:val="00C26746"/>
    <w:rsid w:val="00C27FDD"/>
    <w:rsid w:val="00C31130"/>
    <w:rsid w:val="00C316BE"/>
    <w:rsid w:val="00C31E59"/>
    <w:rsid w:val="00C32450"/>
    <w:rsid w:val="00C326EE"/>
    <w:rsid w:val="00C32DE2"/>
    <w:rsid w:val="00C330C4"/>
    <w:rsid w:val="00C33143"/>
    <w:rsid w:val="00C33959"/>
    <w:rsid w:val="00C33B51"/>
    <w:rsid w:val="00C34057"/>
    <w:rsid w:val="00C34709"/>
    <w:rsid w:val="00C35789"/>
    <w:rsid w:val="00C35B29"/>
    <w:rsid w:val="00C36E01"/>
    <w:rsid w:val="00C411CA"/>
    <w:rsid w:val="00C42314"/>
    <w:rsid w:val="00C437AD"/>
    <w:rsid w:val="00C44BA0"/>
    <w:rsid w:val="00C44F33"/>
    <w:rsid w:val="00C45B99"/>
    <w:rsid w:val="00C4628E"/>
    <w:rsid w:val="00C467AC"/>
    <w:rsid w:val="00C50C9D"/>
    <w:rsid w:val="00C525DB"/>
    <w:rsid w:val="00C53265"/>
    <w:rsid w:val="00C53B72"/>
    <w:rsid w:val="00C5406F"/>
    <w:rsid w:val="00C5416A"/>
    <w:rsid w:val="00C54EE9"/>
    <w:rsid w:val="00C559E5"/>
    <w:rsid w:val="00C56CAD"/>
    <w:rsid w:val="00C56CF3"/>
    <w:rsid w:val="00C60265"/>
    <w:rsid w:val="00C61CB3"/>
    <w:rsid w:val="00C628D3"/>
    <w:rsid w:val="00C63051"/>
    <w:rsid w:val="00C633C1"/>
    <w:rsid w:val="00C63670"/>
    <w:rsid w:val="00C64671"/>
    <w:rsid w:val="00C64E59"/>
    <w:rsid w:val="00C67A54"/>
    <w:rsid w:val="00C67B8E"/>
    <w:rsid w:val="00C705EC"/>
    <w:rsid w:val="00C724AC"/>
    <w:rsid w:val="00C72715"/>
    <w:rsid w:val="00C72F5C"/>
    <w:rsid w:val="00C73112"/>
    <w:rsid w:val="00C7366B"/>
    <w:rsid w:val="00C742CF"/>
    <w:rsid w:val="00C80BF7"/>
    <w:rsid w:val="00C8207C"/>
    <w:rsid w:val="00C85036"/>
    <w:rsid w:val="00C87149"/>
    <w:rsid w:val="00C87618"/>
    <w:rsid w:val="00C87801"/>
    <w:rsid w:val="00C902EE"/>
    <w:rsid w:val="00C91A99"/>
    <w:rsid w:val="00C91AA1"/>
    <w:rsid w:val="00C91FD0"/>
    <w:rsid w:val="00C9295B"/>
    <w:rsid w:val="00C92A33"/>
    <w:rsid w:val="00C949DD"/>
    <w:rsid w:val="00C95A35"/>
    <w:rsid w:val="00C96B5A"/>
    <w:rsid w:val="00CA1154"/>
    <w:rsid w:val="00CA1DC1"/>
    <w:rsid w:val="00CA2CF8"/>
    <w:rsid w:val="00CA3904"/>
    <w:rsid w:val="00CA4564"/>
    <w:rsid w:val="00CA6C9D"/>
    <w:rsid w:val="00CA7101"/>
    <w:rsid w:val="00CB0C1D"/>
    <w:rsid w:val="00CB1483"/>
    <w:rsid w:val="00CB5D35"/>
    <w:rsid w:val="00CC006D"/>
    <w:rsid w:val="00CC093E"/>
    <w:rsid w:val="00CC1EA9"/>
    <w:rsid w:val="00CC29F0"/>
    <w:rsid w:val="00CC3568"/>
    <w:rsid w:val="00CC4B25"/>
    <w:rsid w:val="00CC5B03"/>
    <w:rsid w:val="00CC6701"/>
    <w:rsid w:val="00CC7056"/>
    <w:rsid w:val="00CD0529"/>
    <w:rsid w:val="00CD16AA"/>
    <w:rsid w:val="00CD1721"/>
    <w:rsid w:val="00CD4B58"/>
    <w:rsid w:val="00CD5D1D"/>
    <w:rsid w:val="00CD5D41"/>
    <w:rsid w:val="00CE0425"/>
    <w:rsid w:val="00CE2D8C"/>
    <w:rsid w:val="00CE6652"/>
    <w:rsid w:val="00CE7ADC"/>
    <w:rsid w:val="00CF0E40"/>
    <w:rsid w:val="00CF27A5"/>
    <w:rsid w:val="00CF2E09"/>
    <w:rsid w:val="00CF41D5"/>
    <w:rsid w:val="00CF4FAA"/>
    <w:rsid w:val="00CF4FE7"/>
    <w:rsid w:val="00CF5D06"/>
    <w:rsid w:val="00CF700E"/>
    <w:rsid w:val="00CF77EC"/>
    <w:rsid w:val="00D00F5C"/>
    <w:rsid w:val="00D01410"/>
    <w:rsid w:val="00D02AA0"/>
    <w:rsid w:val="00D040CD"/>
    <w:rsid w:val="00D048F9"/>
    <w:rsid w:val="00D05694"/>
    <w:rsid w:val="00D05C83"/>
    <w:rsid w:val="00D105C8"/>
    <w:rsid w:val="00D1342C"/>
    <w:rsid w:val="00D13B24"/>
    <w:rsid w:val="00D13DCB"/>
    <w:rsid w:val="00D141B0"/>
    <w:rsid w:val="00D17EB0"/>
    <w:rsid w:val="00D2016A"/>
    <w:rsid w:val="00D23104"/>
    <w:rsid w:val="00D23328"/>
    <w:rsid w:val="00D2385D"/>
    <w:rsid w:val="00D24B91"/>
    <w:rsid w:val="00D25473"/>
    <w:rsid w:val="00D3005F"/>
    <w:rsid w:val="00D30FFA"/>
    <w:rsid w:val="00D31906"/>
    <w:rsid w:val="00D33708"/>
    <w:rsid w:val="00D34730"/>
    <w:rsid w:val="00D352AC"/>
    <w:rsid w:val="00D36940"/>
    <w:rsid w:val="00D37F2C"/>
    <w:rsid w:val="00D40281"/>
    <w:rsid w:val="00D414E1"/>
    <w:rsid w:val="00D4228B"/>
    <w:rsid w:val="00D428DF"/>
    <w:rsid w:val="00D45FA4"/>
    <w:rsid w:val="00D46DAB"/>
    <w:rsid w:val="00D50749"/>
    <w:rsid w:val="00D527F3"/>
    <w:rsid w:val="00D53901"/>
    <w:rsid w:val="00D5478C"/>
    <w:rsid w:val="00D5627A"/>
    <w:rsid w:val="00D5698B"/>
    <w:rsid w:val="00D5710C"/>
    <w:rsid w:val="00D572CA"/>
    <w:rsid w:val="00D61932"/>
    <w:rsid w:val="00D624A7"/>
    <w:rsid w:val="00D6267F"/>
    <w:rsid w:val="00D62FF9"/>
    <w:rsid w:val="00D6322A"/>
    <w:rsid w:val="00D63707"/>
    <w:rsid w:val="00D63E88"/>
    <w:rsid w:val="00D6590D"/>
    <w:rsid w:val="00D6688E"/>
    <w:rsid w:val="00D700E8"/>
    <w:rsid w:val="00D70F8B"/>
    <w:rsid w:val="00D721FE"/>
    <w:rsid w:val="00D7401D"/>
    <w:rsid w:val="00D7562E"/>
    <w:rsid w:val="00D76097"/>
    <w:rsid w:val="00D76CC9"/>
    <w:rsid w:val="00D8130A"/>
    <w:rsid w:val="00D81325"/>
    <w:rsid w:val="00D81DF9"/>
    <w:rsid w:val="00D82C7D"/>
    <w:rsid w:val="00D82D45"/>
    <w:rsid w:val="00D83AB1"/>
    <w:rsid w:val="00D83E5F"/>
    <w:rsid w:val="00D91C59"/>
    <w:rsid w:val="00D922E7"/>
    <w:rsid w:val="00D924E1"/>
    <w:rsid w:val="00D93562"/>
    <w:rsid w:val="00D93CEB"/>
    <w:rsid w:val="00D93D1F"/>
    <w:rsid w:val="00D93F50"/>
    <w:rsid w:val="00D93F76"/>
    <w:rsid w:val="00D968D0"/>
    <w:rsid w:val="00DA2606"/>
    <w:rsid w:val="00DA3B7A"/>
    <w:rsid w:val="00DA513B"/>
    <w:rsid w:val="00DA66C7"/>
    <w:rsid w:val="00DA6F5F"/>
    <w:rsid w:val="00DA7DD4"/>
    <w:rsid w:val="00DB0D4E"/>
    <w:rsid w:val="00DB174E"/>
    <w:rsid w:val="00DB19EB"/>
    <w:rsid w:val="00DB3559"/>
    <w:rsid w:val="00DB38A6"/>
    <w:rsid w:val="00DB5506"/>
    <w:rsid w:val="00DB61AA"/>
    <w:rsid w:val="00DB685E"/>
    <w:rsid w:val="00DB6DFE"/>
    <w:rsid w:val="00DC0019"/>
    <w:rsid w:val="00DC108E"/>
    <w:rsid w:val="00DC1973"/>
    <w:rsid w:val="00DC1F8F"/>
    <w:rsid w:val="00DC26B6"/>
    <w:rsid w:val="00DC52EC"/>
    <w:rsid w:val="00DC59B6"/>
    <w:rsid w:val="00DC5FE4"/>
    <w:rsid w:val="00DC6152"/>
    <w:rsid w:val="00DD09B8"/>
    <w:rsid w:val="00DD12DA"/>
    <w:rsid w:val="00DD40B8"/>
    <w:rsid w:val="00DD4F03"/>
    <w:rsid w:val="00DD6727"/>
    <w:rsid w:val="00DD6D9C"/>
    <w:rsid w:val="00DD7F89"/>
    <w:rsid w:val="00DE0701"/>
    <w:rsid w:val="00DE11BE"/>
    <w:rsid w:val="00DE146E"/>
    <w:rsid w:val="00DE2148"/>
    <w:rsid w:val="00DE25EF"/>
    <w:rsid w:val="00DE5421"/>
    <w:rsid w:val="00DF0199"/>
    <w:rsid w:val="00DF050F"/>
    <w:rsid w:val="00DF1A8F"/>
    <w:rsid w:val="00DF2B17"/>
    <w:rsid w:val="00DF2EFE"/>
    <w:rsid w:val="00DF6994"/>
    <w:rsid w:val="00DF7D2D"/>
    <w:rsid w:val="00E00DB2"/>
    <w:rsid w:val="00E00DCB"/>
    <w:rsid w:val="00E026FC"/>
    <w:rsid w:val="00E0280C"/>
    <w:rsid w:val="00E02F51"/>
    <w:rsid w:val="00E03124"/>
    <w:rsid w:val="00E058D3"/>
    <w:rsid w:val="00E07513"/>
    <w:rsid w:val="00E07A1D"/>
    <w:rsid w:val="00E07DCB"/>
    <w:rsid w:val="00E1044B"/>
    <w:rsid w:val="00E10981"/>
    <w:rsid w:val="00E110AD"/>
    <w:rsid w:val="00E133D3"/>
    <w:rsid w:val="00E15261"/>
    <w:rsid w:val="00E152B8"/>
    <w:rsid w:val="00E155EB"/>
    <w:rsid w:val="00E156C1"/>
    <w:rsid w:val="00E15988"/>
    <w:rsid w:val="00E205FD"/>
    <w:rsid w:val="00E20C8A"/>
    <w:rsid w:val="00E23778"/>
    <w:rsid w:val="00E24F3E"/>
    <w:rsid w:val="00E253CE"/>
    <w:rsid w:val="00E2570D"/>
    <w:rsid w:val="00E257CF"/>
    <w:rsid w:val="00E25C92"/>
    <w:rsid w:val="00E3018E"/>
    <w:rsid w:val="00E31080"/>
    <w:rsid w:val="00E314D2"/>
    <w:rsid w:val="00E31890"/>
    <w:rsid w:val="00E33732"/>
    <w:rsid w:val="00E337E1"/>
    <w:rsid w:val="00E33844"/>
    <w:rsid w:val="00E340CE"/>
    <w:rsid w:val="00E35CE0"/>
    <w:rsid w:val="00E3623E"/>
    <w:rsid w:val="00E36C7E"/>
    <w:rsid w:val="00E3762F"/>
    <w:rsid w:val="00E40042"/>
    <w:rsid w:val="00E40057"/>
    <w:rsid w:val="00E400B6"/>
    <w:rsid w:val="00E423B4"/>
    <w:rsid w:val="00E43FA2"/>
    <w:rsid w:val="00E45D62"/>
    <w:rsid w:val="00E463B9"/>
    <w:rsid w:val="00E46F96"/>
    <w:rsid w:val="00E47121"/>
    <w:rsid w:val="00E505E7"/>
    <w:rsid w:val="00E5162F"/>
    <w:rsid w:val="00E53419"/>
    <w:rsid w:val="00E53537"/>
    <w:rsid w:val="00E53F2C"/>
    <w:rsid w:val="00E54EE8"/>
    <w:rsid w:val="00E56795"/>
    <w:rsid w:val="00E615C8"/>
    <w:rsid w:val="00E6270B"/>
    <w:rsid w:val="00E62CD5"/>
    <w:rsid w:val="00E63247"/>
    <w:rsid w:val="00E64651"/>
    <w:rsid w:val="00E64725"/>
    <w:rsid w:val="00E64CF5"/>
    <w:rsid w:val="00E66EF0"/>
    <w:rsid w:val="00E70837"/>
    <w:rsid w:val="00E71B6C"/>
    <w:rsid w:val="00E730D2"/>
    <w:rsid w:val="00E732D2"/>
    <w:rsid w:val="00E7383F"/>
    <w:rsid w:val="00E767A2"/>
    <w:rsid w:val="00E77827"/>
    <w:rsid w:val="00E80090"/>
    <w:rsid w:val="00E80A88"/>
    <w:rsid w:val="00E80B31"/>
    <w:rsid w:val="00E83022"/>
    <w:rsid w:val="00E83D2E"/>
    <w:rsid w:val="00E85A0B"/>
    <w:rsid w:val="00E863DE"/>
    <w:rsid w:val="00E86CB8"/>
    <w:rsid w:val="00E91387"/>
    <w:rsid w:val="00E91F6E"/>
    <w:rsid w:val="00E923B3"/>
    <w:rsid w:val="00E92C70"/>
    <w:rsid w:val="00E93C55"/>
    <w:rsid w:val="00E95AE6"/>
    <w:rsid w:val="00E9624E"/>
    <w:rsid w:val="00EA2861"/>
    <w:rsid w:val="00EA2DB4"/>
    <w:rsid w:val="00EA302B"/>
    <w:rsid w:val="00EA34AB"/>
    <w:rsid w:val="00EA4418"/>
    <w:rsid w:val="00EA4BC9"/>
    <w:rsid w:val="00EA5B1E"/>
    <w:rsid w:val="00EA7840"/>
    <w:rsid w:val="00EB37C3"/>
    <w:rsid w:val="00EB4209"/>
    <w:rsid w:val="00EB5C98"/>
    <w:rsid w:val="00EB6C55"/>
    <w:rsid w:val="00EB737D"/>
    <w:rsid w:val="00EC20E5"/>
    <w:rsid w:val="00EC2E19"/>
    <w:rsid w:val="00EC3D55"/>
    <w:rsid w:val="00EC4D54"/>
    <w:rsid w:val="00EC50F2"/>
    <w:rsid w:val="00EC558B"/>
    <w:rsid w:val="00EC584B"/>
    <w:rsid w:val="00EC6BD5"/>
    <w:rsid w:val="00EC6E75"/>
    <w:rsid w:val="00EC7496"/>
    <w:rsid w:val="00ED048C"/>
    <w:rsid w:val="00ED1767"/>
    <w:rsid w:val="00ED2B6E"/>
    <w:rsid w:val="00ED2CE8"/>
    <w:rsid w:val="00ED41C1"/>
    <w:rsid w:val="00ED54BD"/>
    <w:rsid w:val="00ED57FD"/>
    <w:rsid w:val="00ED7CD2"/>
    <w:rsid w:val="00EE0D03"/>
    <w:rsid w:val="00EE1416"/>
    <w:rsid w:val="00EE1BDC"/>
    <w:rsid w:val="00EE2078"/>
    <w:rsid w:val="00EE3AF7"/>
    <w:rsid w:val="00EE4E6D"/>
    <w:rsid w:val="00EE5277"/>
    <w:rsid w:val="00EF13EE"/>
    <w:rsid w:val="00F01C47"/>
    <w:rsid w:val="00F0241D"/>
    <w:rsid w:val="00F02B02"/>
    <w:rsid w:val="00F0408B"/>
    <w:rsid w:val="00F0584D"/>
    <w:rsid w:val="00F06B07"/>
    <w:rsid w:val="00F06F9A"/>
    <w:rsid w:val="00F07296"/>
    <w:rsid w:val="00F10866"/>
    <w:rsid w:val="00F13168"/>
    <w:rsid w:val="00F1516C"/>
    <w:rsid w:val="00F1785F"/>
    <w:rsid w:val="00F179B5"/>
    <w:rsid w:val="00F17F4E"/>
    <w:rsid w:val="00F21071"/>
    <w:rsid w:val="00F21B3F"/>
    <w:rsid w:val="00F22035"/>
    <w:rsid w:val="00F2463A"/>
    <w:rsid w:val="00F24ED1"/>
    <w:rsid w:val="00F25124"/>
    <w:rsid w:val="00F25425"/>
    <w:rsid w:val="00F256FB"/>
    <w:rsid w:val="00F25C5C"/>
    <w:rsid w:val="00F27BE8"/>
    <w:rsid w:val="00F305CE"/>
    <w:rsid w:val="00F30EB2"/>
    <w:rsid w:val="00F31540"/>
    <w:rsid w:val="00F31BFB"/>
    <w:rsid w:val="00F326B3"/>
    <w:rsid w:val="00F3511A"/>
    <w:rsid w:val="00F354EF"/>
    <w:rsid w:val="00F36922"/>
    <w:rsid w:val="00F40842"/>
    <w:rsid w:val="00F415EB"/>
    <w:rsid w:val="00F41A0C"/>
    <w:rsid w:val="00F4211F"/>
    <w:rsid w:val="00F43A91"/>
    <w:rsid w:val="00F4509F"/>
    <w:rsid w:val="00F4525A"/>
    <w:rsid w:val="00F46558"/>
    <w:rsid w:val="00F47434"/>
    <w:rsid w:val="00F47A93"/>
    <w:rsid w:val="00F47C99"/>
    <w:rsid w:val="00F50715"/>
    <w:rsid w:val="00F52088"/>
    <w:rsid w:val="00F5639B"/>
    <w:rsid w:val="00F564B4"/>
    <w:rsid w:val="00F579C6"/>
    <w:rsid w:val="00F57CD7"/>
    <w:rsid w:val="00F60C88"/>
    <w:rsid w:val="00F60FCE"/>
    <w:rsid w:val="00F61D5B"/>
    <w:rsid w:val="00F621B0"/>
    <w:rsid w:val="00F6283F"/>
    <w:rsid w:val="00F62F5D"/>
    <w:rsid w:val="00F63371"/>
    <w:rsid w:val="00F6369D"/>
    <w:rsid w:val="00F63EB9"/>
    <w:rsid w:val="00F6604D"/>
    <w:rsid w:val="00F67CF8"/>
    <w:rsid w:val="00F67D66"/>
    <w:rsid w:val="00F72544"/>
    <w:rsid w:val="00F7618B"/>
    <w:rsid w:val="00F77A00"/>
    <w:rsid w:val="00F80EA9"/>
    <w:rsid w:val="00F82BB9"/>
    <w:rsid w:val="00F8531C"/>
    <w:rsid w:val="00F85936"/>
    <w:rsid w:val="00F866B2"/>
    <w:rsid w:val="00F86A87"/>
    <w:rsid w:val="00F90E1B"/>
    <w:rsid w:val="00F90F99"/>
    <w:rsid w:val="00F92DA1"/>
    <w:rsid w:val="00F96116"/>
    <w:rsid w:val="00FA1A99"/>
    <w:rsid w:val="00FA1C4D"/>
    <w:rsid w:val="00FA2091"/>
    <w:rsid w:val="00FA2933"/>
    <w:rsid w:val="00FA55AB"/>
    <w:rsid w:val="00FA594A"/>
    <w:rsid w:val="00FA5C2F"/>
    <w:rsid w:val="00FA5EC6"/>
    <w:rsid w:val="00FA6552"/>
    <w:rsid w:val="00FA769F"/>
    <w:rsid w:val="00FB2CEB"/>
    <w:rsid w:val="00FB3275"/>
    <w:rsid w:val="00FB349C"/>
    <w:rsid w:val="00FB7620"/>
    <w:rsid w:val="00FB77B2"/>
    <w:rsid w:val="00FB7D60"/>
    <w:rsid w:val="00FC0BFF"/>
    <w:rsid w:val="00FC161A"/>
    <w:rsid w:val="00FC5DD0"/>
    <w:rsid w:val="00FC62D3"/>
    <w:rsid w:val="00FC64A3"/>
    <w:rsid w:val="00FC68F6"/>
    <w:rsid w:val="00FD3CDE"/>
    <w:rsid w:val="00FD3D1D"/>
    <w:rsid w:val="00FD3D23"/>
    <w:rsid w:val="00FD3EC5"/>
    <w:rsid w:val="00FD416C"/>
    <w:rsid w:val="00FD5096"/>
    <w:rsid w:val="00FE08E8"/>
    <w:rsid w:val="00FE0D24"/>
    <w:rsid w:val="00FE2895"/>
    <w:rsid w:val="00FE42E6"/>
    <w:rsid w:val="00FE5257"/>
    <w:rsid w:val="00FE559F"/>
    <w:rsid w:val="00FF17BC"/>
    <w:rsid w:val="00FF2199"/>
    <w:rsid w:val="00FF35D4"/>
    <w:rsid w:val="00FF3B58"/>
    <w:rsid w:val="00FF48D7"/>
    <w:rsid w:val="00FF5D86"/>
    <w:rsid w:val="00FF6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E4A5"/>
  <w15:chartTrackingRefBased/>
  <w15:docId w15:val="{186D16BE-F94E-4225-B3BE-9A772A19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44720"/>
  </w:style>
  <w:style w:type="character" w:styleId="Hyperlink">
    <w:name w:val="Hyperlink"/>
    <w:basedOn w:val="DefaultParagraphFont"/>
    <w:uiPriority w:val="99"/>
    <w:unhideWhenUsed/>
    <w:rsid w:val="00944720"/>
    <w:rPr>
      <w:color w:val="0563C1" w:themeColor="hyperlink"/>
      <w:u w:val="single"/>
    </w:rPr>
  </w:style>
  <w:style w:type="character" w:styleId="UnresolvedMention">
    <w:name w:val="Unresolved Mention"/>
    <w:basedOn w:val="DefaultParagraphFont"/>
    <w:uiPriority w:val="99"/>
    <w:semiHidden/>
    <w:unhideWhenUsed/>
    <w:rsid w:val="00944720"/>
    <w:rPr>
      <w:color w:val="605E5C"/>
      <w:shd w:val="clear" w:color="auto" w:fill="E1DFDD"/>
    </w:rPr>
  </w:style>
  <w:style w:type="paragraph" w:styleId="ListParagraph">
    <w:name w:val="List Paragraph"/>
    <w:basedOn w:val="Normal"/>
    <w:uiPriority w:val="34"/>
    <w:qFormat/>
    <w:rsid w:val="00944720"/>
    <w:pPr>
      <w:ind w:left="720"/>
      <w:contextualSpacing/>
    </w:pPr>
  </w:style>
  <w:style w:type="character" w:styleId="CommentReference">
    <w:name w:val="annotation reference"/>
    <w:basedOn w:val="DefaultParagraphFont"/>
    <w:uiPriority w:val="99"/>
    <w:semiHidden/>
    <w:unhideWhenUsed/>
    <w:rsid w:val="008F46DE"/>
    <w:rPr>
      <w:sz w:val="16"/>
      <w:szCs w:val="16"/>
    </w:rPr>
  </w:style>
  <w:style w:type="paragraph" w:styleId="CommentText">
    <w:name w:val="annotation text"/>
    <w:basedOn w:val="Normal"/>
    <w:link w:val="CommentTextChar"/>
    <w:uiPriority w:val="99"/>
    <w:unhideWhenUsed/>
    <w:rsid w:val="008F46DE"/>
    <w:pPr>
      <w:spacing w:line="240" w:lineRule="auto"/>
    </w:pPr>
    <w:rPr>
      <w:sz w:val="20"/>
      <w:szCs w:val="20"/>
    </w:rPr>
  </w:style>
  <w:style w:type="character" w:customStyle="1" w:styleId="CommentTextChar">
    <w:name w:val="Comment Text Char"/>
    <w:basedOn w:val="DefaultParagraphFont"/>
    <w:link w:val="CommentText"/>
    <w:uiPriority w:val="99"/>
    <w:rsid w:val="008F46DE"/>
    <w:rPr>
      <w:sz w:val="20"/>
      <w:szCs w:val="20"/>
    </w:rPr>
  </w:style>
  <w:style w:type="paragraph" w:styleId="CommentSubject">
    <w:name w:val="annotation subject"/>
    <w:basedOn w:val="CommentText"/>
    <w:next w:val="CommentText"/>
    <w:link w:val="CommentSubjectChar"/>
    <w:uiPriority w:val="99"/>
    <w:semiHidden/>
    <w:unhideWhenUsed/>
    <w:rsid w:val="00753FD3"/>
    <w:rPr>
      <w:b/>
      <w:bCs/>
    </w:rPr>
  </w:style>
  <w:style w:type="character" w:customStyle="1" w:styleId="CommentSubjectChar">
    <w:name w:val="Comment Subject Char"/>
    <w:basedOn w:val="CommentTextChar"/>
    <w:link w:val="CommentSubject"/>
    <w:uiPriority w:val="99"/>
    <w:semiHidden/>
    <w:rsid w:val="00753FD3"/>
    <w:rPr>
      <w:b/>
      <w:bCs/>
      <w:sz w:val="20"/>
      <w:szCs w:val="20"/>
    </w:rPr>
  </w:style>
  <w:style w:type="table" w:styleId="TableGrid">
    <w:name w:val="Table Grid"/>
    <w:basedOn w:val="TableNormal"/>
    <w:uiPriority w:val="39"/>
    <w:rsid w:val="00A35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09DA"/>
    <w:pPr>
      <w:spacing w:after="0" w:line="240" w:lineRule="auto"/>
    </w:pPr>
  </w:style>
  <w:style w:type="character" w:customStyle="1" w:styleId="mark82xtr5gsn">
    <w:name w:val="mark82xtr5gsn"/>
    <w:basedOn w:val="DefaultParagraphFont"/>
    <w:rsid w:val="00182F64"/>
  </w:style>
  <w:style w:type="character" w:styleId="FollowedHyperlink">
    <w:name w:val="FollowedHyperlink"/>
    <w:basedOn w:val="DefaultParagraphFont"/>
    <w:uiPriority w:val="99"/>
    <w:semiHidden/>
    <w:unhideWhenUsed/>
    <w:rsid w:val="00310BF5"/>
    <w:rPr>
      <w:color w:val="954F72" w:themeColor="followedHyperlink"/>
      <w:u w:val="single"/>
    </w:rPr>
  </w:style>
  <w:style w:type="character" w:styleId="PlaceholderText">
    <w:name w:val="Placeholder Text"/>
    <w:basedOn w:val="DefaultParagraphFont"/>
    <w:uiPriority w:val="99"/>
    <w:semiHidden/>
    <w:rsid w:val="00C03D80"/>
    <w:rPr>
      <w:color w:val="808080"/>
    </w:rPr>
  </w:style>
  <w:style w:type="paragraph" w:styleId="Header">
    <w:name w:val="header"/>
    <w:basedOn w:val="Normal"/>
    <w:link w:val="HeaderChar"/>
    <w:uiPriority w:val="99"/>
    <w:unhideWhenUsed/>
    <w:rsid w:val="00C10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09A"/>
  </w:style>
  <w:style w:type="paragraph" w:styleId="Footer">
    <w:name w:val="footer"/>
    <w:basedOn w:val="Normal"/>
    <w:link w:val="FooterChar"/>
    <w:uiPriority w:val="99"/>
    <w:unhideWhenUsed/>
    <w:rsid w:val="00C10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5500">
      <w:bodyDiv w:val="1"/>
      <w:marLeft w:val="0"/>
      <w:marRight w:val="0"/>
      <w:marTop w:val="0"/>
      <w:marBottom w:val="0"/>
      <w:divBdr>
        <w:top w:val="none" w:sz="0" w:space="0" w:color="auto"/>
        <w:left w:val="none" w:sz="0" w:space="0" w:color="auto"/>
        <w:bottom w:val="none" w:sz="0" w:space="0" w:color="auto"/>
        <w:right w:val="none" w:sz="0" w:space="0" w:color="auto"/>
      </w:divBdr>
    </w:div>
    <w:div w:id="1239286043">
      <w:bodyDiv w:val="1"/>
      <w:marLeft w:val="0"/>
      <w:marRight w:val="0"/>
      <w:marTop w:val="0"/>
      <w:marBottom w:val="0"/>
      <w:divBdr>
        <w:top w:val="none" w:sz="0" w:space="0" w:color="auto"/>
        <w:left w:val="none" w:sz="0" w:space="0" w:color="auto"/>
        <w:bottom w:val="none" w:sz="0" w:space="0" w:color="auto"/>
        <w:right w:val="none" w:sz="0" w:space="0" w:color="auto"/>
      </w:divBdr>
    </w:div>
    <w:div w:id="1350716193">
      <w:bodyDiv w:val="1"/>
      <w:marLeft w:val="0"/>
      <w:marRight w:val="0"/>
      <w:marTop w:val="0"/>
      <w:marBottom w:val="0"/>
      <w:divBdr>
        <w:top w:val="none" w:sz="0" w:space="0" w:color="auto"/>
        <w:left w:val="none" w:sz="0" w:space="0" w:color="auto"/>
        <w:bottom w:val="none" w:sz="0" w:space="0" w:color="auto"/>
        <w:right w:val="none" w:sz="0" w:space="0" w:color="auto"/>
      </w:divBdr>
    </w:div>
    <w:div w:id="1638609091">
      <w:bodyDiv w:val="1"/>
      <w:marLeft w:val="0"/>
      <w:marRight w:val="0"/>
      <w:marTop w:val="0"/>
      <w:marBottom w:val="0"/>
      <w:divBdr>
        <w:top w:val="none" w:sz="0" w:space="0" w:color="auto"/>
        <w:left w:val="none" w:sz="0" w:space="0" w:color="auto"/>
        <w:bottom w:val="none" w:sz="0" w:space="0" w:color="auto"/>
        <w:right w:val="none" w:sz="0" w:space="0" w:color="auto"/>
      </w:divBdr>
    </w:div>
    <w:div w:id="1773475254">
      <w:bodyDiv w:val="1"/>
      <w:marLeft w:val="0"/>
      <w:marRight w:val="0"/>
      <w:marTop w:val="0"/>
      <w:marBottom w:val="0"/>
      <w:divBdr>
        <w:top w:val="none" w:sz="0" w:space="0" w:color="auto"/>
        <w:left w:val="none" w:sz="0" w:space="0" w:color="auto"/>
        <w:bottom w:val="none" w:sz="0" w:space="0" w:color="auto"/>
        <w:right w:val="none" w:sz="0" w:space="0" w:color="auto"/>
      </w:divBdr>
    </w:div>
    <w:div w:id="210799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brown@bango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ED98A-6B80-4056-81C7-AF5BFD439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9040</Words>
  <Characters>51533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Brown</dc:creator>
  <cp:keywords/>
  <dc:description/>
  <cp:lastModifiedBy>Rob Brown (Staff)</cp:lastModifiedBy>
  <cp:revision>4</cp:revision>
  <dcterms:created xsi:type="dcterms:W3CDTF">2023-10-16T10:31:00Z</dcterms:created>
  <dcterms:modified xsi:type="dcterms:W3CDTF">2023-12-06T10:20:00Z</dcterms:modified>
</cp:coreProperties>
</file>