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FA36" w14:textId="44D6FEB9" w:rsidR="00E9295C" w:rsidRDefault="005507D9" w:rsidP="00E568F2">
      <w:pPr>
        <w:spacing w:line="360" w:lineRule="auto"/>
        <w:rPr>
          <w:rFonts w:asciiTheme="minorHAnsi" w:hAnsiTheme="minorHAnsi" w:cstheme="minorHAnsi"/>
          <w:b/>
          <w:bCs/>
          <w:sz w:val="22"/>
          <w:szCs w:val="22"/>
        </w:rPr>
      </w:pPr>
      <w:r w:rsidRPr="005507D9">
        <w:rPr>
          <w:rFonts w:asciiTheme="minorHAnsi" w:hAnsiTheme="minorHAnsi" w:cstheme="minorHAnsi"/>
          <w:b/>
          <w:bCs/>
          <w:sz w:val="22"/>
          <w:szCs w:val="22"/>
        </w:rPr>
        <w:t xml:space="preserve">Net Zero requires ambitious </w:t>
      </w:r>
      <w:r w:rsidR="00C74D58">
        <w:rPr>
          <w:rFonts w:asciiTheme="minorHAnsi" w:hAnsiTheme="minorHAnsi" w:cstheme="minorHAnsi"/>
          <w:b/>
          <w:bCs/>
          <w:sz w:val="22"/>
          <w:szCs w:val="22"/>
        </w:rPr>
        <w:t xml:space="preserve">greenhouse gas </w:t>
      </w:r>
      <w:r w:rsidRPr="005507D9">
        <w:rPr>
          <w:rFonts w:asciiTheme="minorHAnsi" w:hAnsiTheme="minorHAnsi" w:cstheme="minorHAnsi"/>
          <w:b/>
          <w:bCs/>
          <w:sz w:val="22"/>
          <w:szCs w:val="22"/>
        </w:rPr>
        <w:t>emission reduction</w:t>
      </w:r>
      <w:r w:rsidR="002604A6">
        <w:rPr>
          <w:rFonts w:asciiTheme="minorHAnsi" w:hAnsiTheme="minorHAnsi" w:cstheme="minorHAnsi"/>
          <w:b/>
          <w:bCs/>
          <w:sz w:val="22"/>
          <w:szCs w:val="22"/>
        </w:rPr>
        <w:t>s</w:t>
      </w:r>
      <w:r w:rsidR="00002FB0">
        <w:rPr>
          <w:rFonts w:asciiTheme="minorHAnsi" w:hAnsiTheme="minorHAnsi" w:cstheme="minorHAnsi"/>
          <w:b/>
          <w:bCs/>
          <w:sz w:val="22"/>
          <w:szCs w:val="22"/>
        </w:rPr>
        <w:t xml:space="preserve"> </w:t>
      </w:r>
      <w:r w:rsidRPr="005507D9">
        <w:rPr>
          <w:rFonts w:asciiTheme="minorHAnsi" w:hAnsiTheme="minorHAnsi" w:cstheme="minorHAnsi"/>
          <w:b/>
          <w:bCs/>
          <w:sz w:val="22"/>
          <w:szCs w:val="22"/>
        </w:rPr>
        <w:t xml:space="preserve">on beef and sheep farms coordinated with </w:t>
      </w:r>
      <w:r w:rsidR="009B694A">
        <w:rPr>
          <w:rFonts w:asciiTheme="minorHAnsi" w:hAnsiTheme="minorHAnsi" w:cstheme="minorHAnsi"/>
          <w:b/>
          <w:bCs/>
          <w:sz w:val="22"/>
          <w:szCs w:val="22"/>
        </w:rPr>
        <w:t xml:space="preserve">afforestation and other </w:t>
      </w:r>
      <w:r w:rsidRPr="005507D9">
        <w:rPr>
          <w:rFonts w:asciiTheme="minorHAnsi" w:hAnsiTheme="minorHAnsi" w:cstheme="minorHAnsi"/>
          <w:b/>
          <w:bCs/>
          <w:sz w:val="22"/>
          <w:szCs w:val="22"/>
        </w:rPr>
        <w:t>land use change</w:t>
      </w:r>
      <w:r w:rsidR="009B694A">
        <w:rPr>
          <w:rFonts w:asciiTheme="minorHAnsi" w:hAnsiTheme="minorHAnsi" w:cstheme="minorHAnsi"/>
          <w:b/>
          <w:bCs/>
          <w:sz w:val="22"/>
          <w:szCs w:val="22"/>
        </w:rPr>
        <w:t xml:space="preserve"> </w:t>
      </w:r>
      <w:proofErr w:type="gramStart"/>
      <w:r w:rsidR="009B694A">
        <w:rPr>
          <w:rFonts w:asciiTheme="minorHAnsi" w:hAnsiTheme="minorHAnsi" w:cstheme="minorHAnsi"/>
          <w:b/>
          <w:bCs/>
          <w:sz w:val="22"/>
          <w:szCs w:val="22"/>
        </w:rPr>
        <w:t>measures</w:t>
      </w:r>
      <w:proofErr w:type="gramEnd"/>
    </w:p>
    <w:p w14:paraId="4F2D6398" w14:textId="77777777" w:rsidR="005507D9" w:rsidRDefault="005507D9" w:rsidP="00E568F2">
      <w:pPr>
        <w:spacing w:line="360" w:lineRule="auto"/>
        <w:rPr>
          <w:rFonts w:asciiTheme="minorHAnsi" w:hAnsiTheme="minorHAnsi" w:cstheme="minorHAnsi"/>
          <w:b/>
          <w:bCs/>
          <w:sz w:val="22"/>
          <w:szCs w:val="22"/>
        </w:rPr>
      </w:pPr>
    </w:p>
    <w:p w14:paraId="43D2B2B1" w14:textId="269B6F36" w:rsidR="00007EEB" w:rsidRPr="00797EFA" w:rsidRDefault="00273DF7" w:rsidP="00E568F2">
      <w:pPr>
        <w:spacing w:line="360" w:lineRule="auto"/>
        <w:rPr>
          <w:rFonts w:asciiTheme="minorHAnsi" w:hAnsiTheme="minorHAnsi" w:cstheme="minorHAnsi"/>
          <w:b/>
          <w:bCs/>
          <w:sz w:val="22"/>
          <w:szCs w:val="22"/>
          <w:vertAlign w:val="superscript"/>
        </w:rPr>
      </w:pPr>
      <w:r>
        <w:rPr>
          <w:rFonts w:asciiTheme="minorHAnsi" w:hAnsiTheme="minorHAnsi" w:cstheme="minorHAnsi"/>
          <w:b/>
          <w:bCs/>
          <w:sz w:val="22"/>
          <w:szCs w:val="22"/>
        </w:rPr>
        <w:t>Louise McNicol</w:t>
      </w:r>
      <w:r w:rsidR="00007EEB">
        <w:rPr>
          <w:rFonts w:asciiTheme="minorHAnsi" w:hAnsiTheme="minorHAnsi" w:cstheme="minorHAnsi"/>
          <w:b/>
          <w:bCs/>
          <w:sz w:val="22"/>
          <w:szCs w:val="22"/>
        </w:rPr>
        <w:t xml:space="preserve"> </w:t>
      </w:r>
      <w:r w:rsidR="00007EEB" w:rsidRPr="00007EEB">
        <w:rPr>
          <w:rFonts w:asciiTheme="minorHAnsi" w:hAnsiTheme="minorHAnsi" w:cstheme="minorHAnsi"/>
          <w:b/>
          <w:bCs/>
          <w:vertAlign w:val="superscript"/>
        </w:rPr>
        <w:t>a</w:t>
      </w:r>
      <w:r w:rsidR="00007EEB">
        <w:rPr>
          <w:rFonts w:asciiTheme="minorHAnsi" w:hAnsiTheme="minorHAnsi" w:cstheme="minorHAnsi"/>
          <w:b/>
          <w:bCs/>
          <w:vertAlign w:val="superscript"/>
        </w:rPr>
        <w:t xml:space="preserve"> </w:t>
      </w:r>
      <w:r w:rsidR="00007EEB">
        <w:rPr>
          <w:rFonts w:asciiTheme="minorHAnsi" w:hAnsiTheme="minorHAnsi" w:cstheme="minorHAnsi"/>
          <w:b/>
          <w:bCs/>
        </w:rPr>
        <w:t>*</w:t>
      </w:r>
      <w:r>
        <w:rPr>
          <w:rFonts w:asciiTheme="minorHAnsi" w:hAnsiTheme="minorHAnsi" w:cstheme="minorHAnsi"/>
          <w:b/>
          <w:bCs/>
          <w:sz w:val="22"/>
          <w:szCs w:val="22"/>
        </w:rPr>
        <w:t xml:space="preserve">, </w:t>
      </w:r>
      <w:proofErr w:type="gramStart"/>
      <w:r w:rsidR="00C52884">
        <w:rPr>
          <w:rFonts w:asciiTheme="minorHAnsi" w:hAnsiTheme="minorHAnsi" w:cstheme="minorHAnsi"/>
          <w:b/>
          <w:bCs/>
          <w:sz w:val="22"/>
          <w:szCs w:val="22"/>
        </w:rPr>
        <w:t>Non G</w:t>
      </w:r>
      <w:proofErr w:type="gramEnd"/>
      <w:r w:rsidR="00C52884">
        <w:rPr>
          <w:rFonts w:asciiTheme="minorHAnsi" w:hAnsiTheme="minorHAnsi" w:cstheme="minorHAnsi"/>
          <w:b/>
          <w:bCs/>
          <w:sz w:val="22"/>
          <w:szCs w:val="22"/>
        </w:rPr>
        <w:t xml:space="preserve"> Williams </w:t>
      </w:r>
      <w:r w:rsidR="00C52884" w:rsidRPr="00007EEB">
        <w:rPr>
          <w:rFonts w:asciiTheme="minorHAnsi" w:hAnsiTheme="minorHAnsi" w:cstheme="minorHAnsi"/>
          <w:b/>
          <w:bCs/>
          <w:vertAlign w:val="superscript"/>
        </w:rPr>
        <w:t>a</w:t>
      </w:r>
      <w:r w:rsidR="00C52884">
        <w:rPr>
          <w:rFonts w:asciiTheme="minorHAnsi" w:hAnsiTheme="minorHAnsi" w:cstheme="minorHAnsi"/>
          <w:b/>
          <w:bCs/>
          <w:sz w:val="22"/>
          <w:szCs w:val="22"/>
        </w:rPr>
        <w:t xml:space="preserve">, </w:t>
      </w:r>
      <w:r w:rsidR="00307315">
        <w:rPr>
          <w:rFonts w:asciiTheme="minorHAnsi" w:hAnsiTheme="minorHAnsi" w:cstheme="minorHAnsi"/>
          <w:b/>
          <w:bCs/>
          <w:sz w:val="22"/>
          <w:szCs w:val="22"/>
        </w:rPr>
        <w:t>Dave Chadwick</w:t>
      </w:r>
      <w:r w:rsidR="00307315" w:rsidRPr="00007EEB">
        <w:rPr>
          <w:rFonts w:asciiTheme="minorHAnsi" w:hAnsiTheme="minorHAnsi" w:cstheme="minorHAnsi"/>
          <w:b/>
          <w:bCs/>
        </w:rPr>
        <w:t xml:space="preserve"> </w:t>
      </w:r>
      <w:r w:rsidR="00307315" w:rsidRPr="00007EEB">
        <w:rPr>
          <w:rFonts w:asciiTheme="minorHAnsi" w:hAnsiTheme="minorHAnsi" w:cstheme="minorHAnsi"/>
          <w:b/>
          <w:bCs/>
          <w:vertAlign w:val="superscript"/>
        </w:rPr>
        <w:t>a</w:t>
      </w:r>
      <w:r>
        <w:rPr>
          <w:rFonts w:asciiTheme="minorHAnsi" w:hAnsiTheme="minorHAnsi" w:cstheme="minorHAnsi"/>
          <w:b/>
          <w:bCs/>
          <w:sz w:val="22"/>
          <w:szCs w:val="22"/>
        </w:rPr>
        <w:t>, David Styles</w:t>
      </w:r>
      <w:r w:rsidR="00007EEB">
        <w:rPr>
          <w:rFonts w:asciiTheme="minorHAnsi" w:hAnsiTheme="minorHAnsi" w:cstheme="minorHAnsi"/>
          <w:b/>
          <w:bCs/>
          <w:sz w:val="22"/>
          <w:szCs w:val="22"/>
        </w:rPr>
        <w:t xml:space="preserve"> </w:t>
      </w:r>
      <w:r w:rsidR="00007EEB" w:rsidRPr="00007EEB">
        <w:rPr>
          <w:rFonts w:asciiTheme="minorHAnsi" w:hAnsiTheme="minorHAnsi" w:cstheme="minorHAnsi"/>
          <w:b/>
          <w:bCs/>
          <w:vertAlign w:val="superscript"/>
        </w:rPr>
        <w:t>b</w:t>
      </w:r>
      <w:r>
        <w:rPr>
          <w:rFonts w:asciiTheme="minorHAnsi" w:hAnsiTheme="minorHAnsi" w:cstheme="minorHAnsi"/>
          <w:b/>
          <w:bCs/>
          <w:sz w:val="22"/>
          <w:szCs w:val="22"/>
        </w:rPr>
        <w:t xml:space="preserve">, Robert </w:t>
      </w:r>
      <w:r w:rsidR="00E04F5D">
        <w:rPr>
          <w:rFonts w:asciiTheme="minorHAnsi" w:hAnsiTheme="minorHAnsi" w:cstheme="minorHAnsi"/>
          <w:b/>
          <w:bCs/>
          <w:sz w:val="22"/>
          <w:szCs w:val="22"/>
        </w:rPr>
        <w:t xml:space="preserve">M </w:t>
      </w:r>
      <w:r>
        <w:rPr>
          <w:rFonts w:asciiTheme="minorHAnsi" w:hAnsiTheme="minorHAnsi" w:cstheme="minorHAnsi"/>
          <w:b/>
          <w:bCs/>
          <w:sz w:val="22"/>
          <w:szCs w:val="22"/>
        </w:rPr>
        <w:t>Rees</w:t>
      </w:r>
      <w:r w:rsidR="00007EEB">
        <w:rPr>
          <w:rFonts w:asciiTheme="minorHAnsi" w:hAnsiTheme="minorHAnsi" w:cstheme="minorHAnsi"/>
          <w:b/>
          <w:bCs/>
          <w:sz w:val="22"/>
          <w:szCs w:val="22"/>
        </w:rPr>
        <w:t xml:space="preserve"> </w:t>
      </w:r>
      <w:r w:rsidR="00007EEB" w:rsidRPr="00007EEB">
        <w:rPr>
          <w:rFonts w:asciiTheme="minorHAnsi" w:hAnsiTheme="minorHAnsi" w:cstheme="minorHAnsi"/>
          <w:b/>
          <w:bCs/>
          <w:vertAlign w:val="superscript"/>
        </w:rPr>
        <w:t>c</w:t>
      </w:r>
      <w:r>
        <w:rPr>
          <w:rFonts w:asciiTheme="minorHAnsi" w:hAnsiTheme="minorHAnsi" w:cstheme="minorHAnsi"/>
          <w:b/>
          <w:bCs/>
          <w:sz w:val="22"/>
          <w:szCs w:val="22"/>
        </w:rPr>
        <w:t>, Rachael Ramsey</w:t>
      </w:r>
      <w:r w:rsidR="00007EEB">
        <w:rPr>
          <w:rFonts w:asciiTheme="minorHAnsi" w:hAnsiTheme="minorHAnsi" w:cstheme="minorHAnsi"/>
          <w:b/>
          <w:bCs/>
          <w:sz w:val="22"/>
          <w:szCs w:val="22"/>
          <w:vertAlign w:val="superscript"/>
        </w:rPr>
        <w:t xml:space="preserve"> </w:t>
      </w:r>
      <w:r w:rsidR="00007EEB" w:rsidRPr="00007EEB">
        <w:rPr>
          <w:rFonts w:asciiTheme="minorHAnsi" w:hAnsiTheme="minorHAnsi" w:cstheme="minorHAnsi"/>
          <w:b/>
          <w:bCs/>
          <w:vertAlign w:val="superscript"/>
        </w:rPr>
        <w:t>c</w:t>
      </w:r>
      <w:r w:rsidRPr="00007EEB">
        <w:rPr>
          <w:rFonts w:asciiTheme="minorHAnsi" w:hAnsiTheme="minorHAnsi" w:cstheme="minorHAnsi"/>
          <w:b/>
          <w:bCs/>
        </w:rPr>
        <w:t xml:space="preserve"> </w:t>
      </w:r>
      <w:r>
        <w:rPr>
          <w:rFonts w:asciiTheme="minorHAnsi" w:hAnsiTheme="minorHAnsi" w:cstheme="minorHAnsi"/>
          <w:b/>
          <w:bCs/>
          <w:sz w:val="22"/>
          <w:szCs w:val="22"/>
        </w:rPr>
        <w:t xml:space="preserve">and </w:t>
      </w:r>
      <w:r w:rsidR="00307315">
        <w:rPr>
          <w:rFonts w:asciiTheme="minorHAnsi" w:hAnsiTheme="minorHAnsi" w:cstheme="minorHAnsi"/>
          <w:b/>
          <w:bCs/>
          <w:sz w:val="22"/>
          <w:szCs w:val="22"/>
        </w:rPr>
        <w:t xml:space="preserve">A Prysor Williams </w:t>
      </w:r>
      <w:r w:rsidR="00307315" w:rsidRPr="00007EEB">
        <w:rPr>
          <w:rFonts w:asciiTheme="minorHAnsi" w:hAnsiTheme="minorHAnsi" w:cstheme="minorHAnsi"/>
          <w:b/>
          <w:bCs/>
          <w:vertAlign w:val="superscript"/>
        </w:rPr>
        <w:t>a</w:t>
      </w:r>
      <w:r w:rsidR="00307315">
        <w:rPr>
          <w:rFonts w:asciiTheme="minorHAnsi" w:hAnsiTheme="minorHAnsi" w:cstheme="minorHAnsi"/>
          <w:b/>
          <w:bCs/>
          <w:sz w:val="22"/>
          <w:szCs w:val="22"/>
        </w:rPr>
        <w:t xml:space="preserve"> </w:t>
      </w:r>
    </w:p>
    <w:p w14:paraId="1D6D3E80" w14:textId="257B8411" w:rsidR="00007EEB" w:rsidRPr="00007EEB" w:rsidRDefault="00007EEB" w:rsidP="00E568F2">
      <w:pPr>
        <w:spacing w:line="360" w:lineRule="auto"/>
        <w:rPr>
          <w:rFonts w:asciiTheme="minorHAnsi" w:hAnsiTheme="minorHAnsi" w:cstheme="minorHAnsi"/>
          <w:sz w:val="22"/>
          <w:szCs w:val="22"/>
        </w:rPr>
      </w:pPr>
      <w:r w:rsidRPr="00007EEB">
        <w:rPr>
          <w:rFonts w:asciiTheme="minorHAnsi" w:hAnsiTheme="minorHAnsi" w:cstheme="minorHAnsi"/>
          <w:sz w:val="22"/>
          <w:szCs w:val="22"/>
        </w:rPr>
        <w:t xml:space="preserve">a - </w:t>
      </w:r>
      <w:r w:rsidR="005273FF" w:rsidRPr="005273FF">
        <w:rPr>
          <w:rFonts w:asciiTheme="minorHAnsi" w:hAnsiTheme="minorHAnsi" w:cstheme="minorHAnsi"/>
          <w:sz w:val="22"/>
          <w:szCs w:val="22"/>
        </w:rPr>
        <w:t>School of Environmental &amp; Natural Sciences</w:t>
      </w:r>
      <w:r w:rsidRPr="00007EEB">
        <w:rPr>
          <w:rFonts w:asciiTheme="minorHAnsi" w:hAnsiTheme="minorHAnsi" w:cstheme="minorHAnsi"/>
          <w:sz w:val="22"/>
          <w:szCs w:val="22"/>
        </w:rPr>
        <w:t>, Bangor University, Gwynedd, LL57 2UW, UK</w:t>
      </w:r>
    </w:p>
    <w:p w14:paraId="59C62FE4" w14:textId="0D3410E1" w:rsidR="00007EEB" w:rsidRPr="00007EEB" w:rsidRDefault="00007EEB" w:rsidP="00E568F2">
      <w:pPr>
        <w:spacing w:line="360" w:lineRule="auto"/>
        <w:rPr>
          <w:rFonts w:asciiTheme="minorHAnsi" w:hAnsiTheme="minorHAnsi" w:cstheme="minorHAnsi"/>
          <w:sz w:val="22"/>
          <w:szCs w:val="22"/>
        </w:rPr>
      </w:pPr>
      <w:r w:rsidRPr="007A13CC">
        <w:rPr>
          <w:rFonts w:asciiTheme="minorHAnsi" w:hAnsiTheme="minorHAnsi" w:cstheme="minorHAnsi"/>
          <w:sz w:val="22"/>
          <w:szCs w:val="22"/>
        </w:rPr>
        <w:t xml:space="preserve">b </w:t>
      </w:r>
      <w:r w:rsidR="00B05AB9">
        <w:rPr>
          <w:rFonts w:asciiTheme="minorHAnsi" w:hAnsiTheme="minorHAnsi" w:cstheme="minorHAnsi"/>
          <w:sz w:val="22"/>
          <w:szCs w:val="22"/>
        </w:rPr>
        <w:t>-</w:t>
      </w:r>
      <w:r w:rsidRPr="007A13CC">
        <w:rPr>
          <w:rFonts w:asciiTheme="minorHAnsi" w:hAnsiTheme="minorHAnsi" w:cstheme="minorHAnsi"/>
          <w:sz w:val="22"/>
          <w:szCs w:val="22"/>
        </w:rPr>
        <w:t xml:space="preserve"> </w:t>
      </w:r>
      <w:r w:rsidR="00F33EC7" w:rsidRPr="007A13CC">
        <w:rPr>
          <w:rFonts w:asciiTheme="minorHAnsi" w:hAnsiTheme="minorHAnsi" w:cstheme="minorHAnsi"/>
          <w:sz w:val="22"/>
          <w:szCs w:val="22"/>
        </w:rPr>
        <w:t xml:space="preserve">School of Biological </w:t>
      </w:r>
      <w:r w:rsidR="00237CAE" w:rsidRPr="007A13CC">
        <w:rPr>
          <w:rFonts w:asciiTheme="minorHAnsi" w:hAnsiTheme="minorHAnsi" w:cstheme="minorHAnsi"/>
          <w:sz w:val="22"/>
          <w:szCs w:val="22"/>
        </w:rPr>
        <w:t>&amp;</w:t>
      </w:r>
      <w:r w:rsidR="00F33EC7" w:rsidRPr="007A13CC">
        <w:rPr>
          <w:rFonts w:asciiTheme="minorHAnsi" w:hAnsiTheme="minorHAnsi" w:cstheme="minorHAnsi"/>
          <w:sz w:val="22"/>
          <w:szCs w:val="22"/>
        </w:rPr>
        <w:t xml:space="preserve"> Chemical S</w:t>
      </w:r>
      <w:r w:rsidR="00D3040C" w:rsidRPr="007A13CC">
        <w:rPr>
          <w:rFonts w:asciiTheme="minorHAnsi" w:hAnsiTheme="minorHAnsi" w:cstheme="minorHAnsi"/>
          <w:sz w:val="22"/>
          <w:szCs w:val="22"/>
        </w:rPr>
        <w:t>c</w:t>
      </w:r>
      <w:r w:rsidR="00F33EC7" w:rsidRPr="007A13CC">
        <w:rPr>
          <w:rFonts w:asciiTheme="minorHAnsi" w:hAnsiTheme="minorHAnsi" w:cstheme="minorHAnsi"/>
          <w:sz w:val="22"/>
          <w:szCs w:val="22"/>
        </w:rPr>
        <w:t>iences</w:t>
      </w:r>
      <w:r w:rsidR="00D3040C" w:rsidRPr="007A13CC">
        <w:rPr>
          <w:rFonts w:asciiTheme="minorHAnsi" w:hAnsiTheme="minorHAnsi" w:cstheme="minorHAnsi"/>
          <w:sz w:val="22"/>
          <w:szCs w:val="22"/>
        </w:rPr>
        <w:t xml:space="preserve"> </w:t>
      </w:r>
      <w:r w:rsidR="00237CAE" w:rsidRPr="007A13CC">
        <w:rPr>
          <w:rFonts w:asciiTheme="minorHAnsi" w:hAnsiTheme="minorHAnsi" w:cstheme="minorHAnsi"/>
          <w:sz w:val="22"/>
          <w:szCs w:val="22"/>
        </w:rPr>
        <w:t>and</w:t>
      </w:r>
      <w:r w:rsidR="00D3040C">
        <w:t xml:space="preserve"> </w:t>
      </w:r>
      <w:r w:rsidR="00126239" w:rsidRPr="007D3242">
        <w:rPr>
          <w:rFonts w:asciiTheme="minorHAnsi" w:hAnsiTheme="minorHAnsi" w:cstheme="minorHAnsi"/>
          <w:sz w:val="22"/>
          <w:szCs w:val="22"/>
        </w:rPr>
        <w:t>Ryan Institute</w:t>
      </w:r>
      <w:r w:rsidR="00126239">
        <w:t xml:space="preserve">, </w:t>
      </w:r>
      <w:r w:rsidRPr="00007EEB">
        <w:rPr>
          <w:rFonts w:asciiTheme="minorHAnsi" w:hAnsiTheme="minorHAnsi" w:cstheme="minorHAnsi"/>
          <w:sz w:val="22"/>
          <w:szCs w:val="22"/>
        </w:rPr>
        <w:t>University of Galway, H91 TK33, Ireland</w:t>
      </w:r>
    </w:p>
    <w:p w14:paraId="49027FBD" w14:textId="04BC502F" w:rsidR="00007EEB" w:rsidRPr="00007EEB" w:rsidRDefault="00007EEB" w:rsidP="00E568F2">
      <w:pPr>
        <w:spacing w:line="360" w:lineRule="auto"/>
        <w:rPr>
          <w:rFonts w:asciiTheme="minorHAnsi" w:hAnsiTheme="minorHAnsi" w:cstheme="minorHAnsi"/>
          <w:sz w:val="22"/>
          <w:szCs w:val="22"/>
        </w:rPr>
      </w:pPr>
      <w:r w:rsidRPr="00007EEB">
        <w:rPr>
          <w:rFonts w:asciiTheme="minorHAnsi" w:hAnsiTheme="minorHAnsi" w:cstheme="minorHAnsi"/>
          <w:sz w:val="22"/>
          <w:szCs w:val="22"/>
        </w:rPr>
        <w:t>c -</w:t>
      </w:r>
      <w:r>
        <w:rPr>
          <w:rFonts w:asciiTheme="minorHAnsi" w:hAnsiTheme="minorHAnsi" w:cstheme="minorHAnsi"/>
          <w:sz w:val="22"/>
          <w:szCs w:val="22"/>
        </w:rPr>
        <w:t xml:space="preserve"> </w:t>
      </w:r>
      <w:r w:rsidRPr="00007EEB">
        <w:rPr>
          <w:rFonts w:asciiTheme="minorHAnsi" w:hAnsiTheme="minorHAnsi" w:cstheme="minorHAnsi"/>
          <w:sz w:val="22"/>
          <w:szCs w:val="22"/>
        </w:rPr>
        <w:t xml:space="preserve">Scotland’s Rural College, West Mains Road, Edinburgh, </w:t>
      </w:r>
      <w:r>
        <w:rPr>
          <w:rFonts w:asciiTheme="minorHAnsi" w:hAnsiTheme="minorHAnsi" w:cstheme="minorHAnsi"/>
          <w:sz w:val="22"/>
          <w:szCs w:val="22"/>
        </w:rPr>
        <w:t xml:space="preserve">EH9 3JG, </w:t>
      </w:r>
      <w:r w:rsidRPr="00007EEB">
        <w:rPr>
          <w:rFonts w:asciiTheme="minorHAnsi" w:hAnsiTheme="minorHAnsi" w:cstheme="minorHAnsi"/>
          <w:sz w:val="22"/>
          <w:szCs w:val="22"/>
        </w:rPr>
        <w:t>UK</w:t>
      </w:r>
    </w:p>
    <w:p w14:paraId="70407AE0" w14:textId="0F4578A8" w:rsidR="005B0C24" w:rsidRDefault="005C4FB9" w:rsidP="00E568F2">
      <w:pPr>
        <w:spacing w:line="360" w:lineRule="auto"/>
        <w:rPr>
          <w:rFonts w:asciiTheme="minorHAnsi" w:hAnsiTheme="minorHAnsi" w:cstheme="minorHAnsi"/>
          <w:sz w:val="22"/>
          <w:szCs w:val="22"/>
        </w:rPr>
      </w:pPr>
      <w:r w:rsidRPr="005C4FB9">
        <w:rPr>
          <w:rFonts w:asciiTheme="minorHAnsi" w:hAnsiTheme="minorHAnsi" w:cstheme="minorHAnsi"/>
          <w:sz w:val="22"/>
          <w:szCs w:val="22"/>
        </w:rPr>
        <w:t>* - Corresponding author</w:t>
      </w:r>
      <w:r w:rsidR="004209EE">
        <w:rPr>
          <w:rFonts w:asciiTheme="minorHAnsi" w:hAnsiTheme="minorHAnsi" w:cstheme="minorHAnsi"/>
          <w:sz w:val="22"/>
          <w:szCs w:val="22"/>
        </w:rPr>
        <w:t xml:space="preserve"> (</w:t>
      </w:r>
      <w:hyperlink r:id="rId11" w:history="1">
        <w:r w:rsidR="00481C7C" w:rsidRPr="007822C6">
          <w:rPr>
            <w:rStyle w:val="Hyperlink"/>
            <w:rFonts w:asciiTheme="minorHAnsi" w:hAnsiTheme="minorHAnsi" w:cstheme="minorHAnsi"/>
            <w:sz w:val="22"/>
            <w:szCs w:val="22"/>
          </w:rPr>
          <w:t>lsm20fqj@bangor.ac.uk</w:t>
        </w:r>
      </w:hyperlink>
      <w:r w:rsidR="004209EE">
        <w:rPr>
          <w:rFonts w:asciiTheme="minorHAnsi" w:hAnsiTheme="minorHAnsi" w:cstheme="minorHAnsi"/>
          <w:sz w:val="22"/>
          <w:szCs w:val="22"/>
        </w:rPr>
        <w:t>)</w:t>
      </w:r>
    </w:p>
    <w:p w14:paraId="07926F86" w14:textId="77777777" w:rsidR="00481C7C" w:rsidRDefault="00481C7C" w:rsidP="00E568F2">
      <w:pPr>
        <w:spacing w:line="360" w:lineRule="auto"/>
        <w:rPr>
          <w:rFonts w:asciiTheme="minorHAnsi" w:hAnsiTheme="minorHAnsi" w:cstheme="minorHAnsi"/>
          <w:sz w:val="22"/>
          <w:szCs w:val="22"/>
        </w:rPr>
      </w:pPr>
    </w:p>
    <w:p w14:paraId="28B9BC3C" w14:textId="77777777" w:rsidR="00481C7C" w:rsidRDefault="00481C7C" w:rsidP="00481C7C">
      <w:pPr>
        <w:spacing w:line="360" w:lineRule="auto"/>
        <w:rPr>
          <w:rFonts w:asciiTheme="minorHAnsi" w:hAnsiTheme="minorHAnsi" w:cstheme="minorHAnsi"/>
          <w:b/>
          <w:bCs/>
          <w:sz w:val="22"/>
          <w:szCs w:val="22"/>
        </w:rPr>
      </w:pPr>
      <w:r>
        <w:rPr>
          <w:rFonts w:asciiTheme="minorHAnsi" w:hAnsiTheme="minorHAnsi" w:cstheme="minorHAnsi"/>
          <w:b/>
          <w:bCs/>
          <w:sz w:val="22"/>
          <w:szCs w:val="22"/>
        </w:rPr>
        <w:t>Keywords</w:t>
      </w:r>
    </w:p>
    <w:p w14:paraId="78771120" w14:textId="77777777" w:rsidR="00481C7C" w:rsidRPr="00ED59E0" w:rsidRDefault="00481C7C" w:rsidP="00481C7C">
      <w:pPr>
        <w:spacing w:line="360" w:lineRule="auto"/>
        <w:rPr>
          <w:rFonts w:asciiTheme="minorHAnsi" w:hAnsiTheme="minorHAnsi" w:cstheme="minorHAnsi"/>
          <w:sz w:val="22"/>
          <w:szCs w:val="22"/>
        </w:rPr>
      </w:pPr>
      <w:r>
        <w:rPr>
          <w:rFonts w:asciiTheme="minorHAnsi" w:hAnsiTheme="minorHAnsi" w:cstheme="minorHAnsi"/>
          <w:sz w:val="22"/>
          <w:szCs w:val="22"/>
        </w:rPr>
        <w:t xml:space="preserve">Carbon sequestration </w:t>
      </w:r>
    </w:p>
    <w:p w14:paraId="0AD8F5D5" w14:textId="77777777" w:rsidR="00481C7C" w:rsidRDefault="00481C7C" w:rsidP="00481C7C">
      <w:pPr>
        <w:spacing w:line="360" w:lineRule="auto"/>
        <w:rPr>
          <w:rFonts w:asciiTheme="minorHAnsi" w:hAnsiTheme="minorHAnsi" w:cstheme="minorHAnsi"/>
          <w:sz w:val="22"/>
          <w:szCs w:val="22"/>
        </w:rPr>
      </w:pPr>
      <w:r>
        <w:rPr>
          <w:rFonts w:asciiTheme="minorHAnsi" w:hAnsiTheme="minorHAnsi" w:cstheme="minorHAnsi"/>
          <w:sz w:val="22"/>
          <w:szCs w:val="22"/>
        </w:rPr>
        <w:t>Climate change</w:t>
      </w:r>
    </w:p>
    <w:p w14:paraId="405BB3F0" w14:textId="77777777" w:rsidR="00481C7C" w:rsidRDefault="00481C7C" w:rsidP="00481C7C">
      <w:pPr>
        <w:spacing w:line="360" w:lineRule="auto"/>
        <w:rPr>
          <w:rFonts w:asciiTheme="minorHAnsi" w:hAnsiTheme="minorHAnsi" w:cstheme="minorHAnsi"/>
          <w:sz w:val="22"/>
          <w:szCs w:val="22"/>
        </w:rPr>
      </w:pPr>
      <w:r>
        <w:rPr>
          <w:rFonts w:asciiTheme="minorHAnsi" w:hAnsiTheme="minorHAnsi" w:cstheme="minorHAnsi"/>
          <w:sz w:val="22"/>
          <w:szCs w:val="22"/>
        </w:rPr>
        <w:t xml:space="preserve">Food security </w:t>
      </w:r>
    </w:p>
    <w:p w14:paraId="1912C393" w14:textId="77777777" w:rsidR="00481C7C" w:rsidRDefault="00481C7C" w:rsidP="00481C7C">
      <w:pPr>
        <w:spacing w:line="360" w:lineRule="auto"/>
        <w:rPr>
          <w:rFonts w:asciiTheme="minorHAnsi" w:hAnsiTheme="minorHAnsi" w:cstheme="minorHAnsi"/>
          <w:sz w:val="22"/>
          <w:szCs w:val="22"/>
        </w:rPr>
      </w:pPr>
      <w:r>
        <w:rPr>
          <w:rFonts w:asciiTheme="minorHAnsi" w:hAnsiTheme="minorHAnsi" w:cstheme="minorHAnsi"/>
          <w:sz w:val="22"/>
          <w:szCs w:val="22"/>
        </w:rPr>
        <w:t>Grasslands</w:t>
      </w:r>
    </w:p>
    <w:p w14:paraId="7FE59984" w14:textId="77777777" w:rsidR="00481C7C" w:rsidRDefault="00481C7C" w:rsidP="00481C7C">
      <w:pPr>
        <w:spacing w:line="360" w:lineRule="auto"/>
        <w:rPr>
          <w:rFonts w:asciiTheme="minorHAnsi" w:hAnsiTheme="minorHAnsi" w:cstheme="minorHAnsi"/>
          <w:sz w:val="22"/>
          <w:szCs w:val="22"/>
        </w:rPr>
      </w:pPr>
      <w:r>
        <w:rPr>
          <w:rFonts w:asciiTheme="minorHAnsi" w:hAnsiTheme="minorHAnsi" w:cstheme="minorHAnsi"/>
          <w:sz w:val="22"/>
          <w:szCs w:val="22"/>
        </w:rPr>
        <w:t xml:space="preserve">Mitigation measures </w:t>
      </w:r>
    </w:p>
    <w:p w14:paraId="32378A43" w14:textId="58D909EF" w:rsidR="00467E16" w:rsidRDefault="00481C7C" w:rsidP="00467E16">
      <w:pPr>
        <w:spacing w:line="360" w:lineRule="auto"/>
        <w:rPr>
          <w:rFonts w:asciiTheme="minorHAnsi" w:hAnsiTheme="minorHAnsi" w:cstheme="minorHAnsi"/>
          <w:sz w:val="22"/>
          <w:szCs w:val="22"/>
        </w:rPr>
      </w:pPr>
      <w:r>
        <w:rPr>
          <w:rFonts w:asciiTheme="minorHAnsi" w:hAnsiTheme="minorHAnsi" w:cstheme="minorHAnsi"/>
          <w:sz w:val="22"/>
          <w:szCs w:val="22"/>
        </w:rPr>
        <w:t>Sustainable agriculture</w:t>
      </w:r>
    </w:p>
    <w:p w14:paraId="195F0672" w14:textId="77777777" w:rsidR="00467E16" w:rsidRDefault="00467E1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86C00E8" w14:textId="128C5B1B" w:rsidR="005C7DC1" w:rsidRPr="00E16967" w:rsidRDefault="005C7DC1" w:rsidP="00E568F2">
      <w:pPr>
        <w:pStyle w:val="ListParagraph"/>
        <w:numPr>
          <w:ilvl w:val="0"/>
          <w:numId w:val="2"/>
        </w:numPr>
        <w:spacing w:line="360" w:lineRule="auto"/>
        <w:rPr>
          <w:rFonts w:asciiTheme="minorHAnsi" w:hAnsiTheme="minorHAnsi" w:cstheme="minorHAnsi"/>
          <w:sz w:val="22"/>
          <w:szCs w:val="22"/>
        </w:rPr>
      </w:pPr>
      <w:r w:rsidRPr="005C7DC1">
        <w:rPr>
          <w:rFonts w:asciiTheme="minorHAnsi" w:hAnsiTheme="minorHAnsi" w:cstheme="minorHAnsi"/>
          <w:b/>
          <w:bCs/>
          <w:sz w:val="22"/>
          <w:szCs w:val="22"/>
        </w:rPr>
        <w:lastRenderedPageBreak/>
        <w:t xml:space="preserve">Introduction </w:t>
      </w:r>
    </w:p>
    <w:p w14:paraId="6DCD5197" w14:textId="11C8C92F" w:rsidR="00E16967" w:rsidRDefault="00E16967" w:rsidP="00E568F2">
      <w:pPr>
        <w:spacing w:line="360" w:lineRule="auto"/>
        <w:rPr>
          <w:rFonts w:asciiTheme="minorHAnsi" w:hAnsiTheme="minorHAnsi" w:cstheme="minorHAnsi"/>
          <w:sz w:val="22"/>
          <w:szCs w:val="22"/>
        </w:rPr>
      </w:pPr>
    </w:p>
    <w:p w14:paraId="5B03DA71" w14:textId="55144752" w:rsidR="00E16967" w:rsidRPr="003928D0" w:rsidRDefault="00E16967" w:rsidP="00BA3E62">
      <w:pPr>
        <w:spacing w:line="360" w:lineRule="auto"/>
        <w:jc w:val="both"/>
        <w:rPr>
          <w:rFonts w:asciiTheme="minorHAnsi" w:hAnsiTheme="minorHAnsi" w:cstheme="minorHAnsi"/>
          <w:sz w:val="22"/>
          <w:szCs w:val="22"/>
        </w:rPr>
      </w:pPr>
      <w:r w:rsidRPr="00E16967">
        <w:rPr>
          <w:rFonts w:asciiTheme="minorHAnsi" w:hAnsiTheme="minorHAnsi" w:cstheme="minorHAnsi"/>
          <w:sz w:val="22"/>
          <w:szCs w:val="22"/>
        </w:rPr>
        <w:t xml:space="preserve">In 2019, the UK was the first country to </w:t>
      </w:r>
      <w:r w:rsidR="006A50BD">
        <w:rPr>
          <w:rFonts w:asciiTheme="minorHAnsi" w:hAnsiTheme="minorHAnsi" w:cstheme="minorHAnsi"/>
          <w:sz w:val="22"/>
          <w:szCs w:val="22"/>
        </w:rPr>
        <w:t xml:space="preserve">introduce </w:t>
      </w:r>
      <w:r w:rsidRPr="00E16967">
        <w:rPr>
          <w:rFonts w:asciiTheme="minorHAnsi" w:hAnsiTheme="minorHAnsi" w:cstheme="minorHAnsi"/>
          <w:sz w:val="22"/>
          <w:szCs w:val="22"/>
        </w:rPr>
        <w:t>legislat</w:t>
      </w:r>
      <w:r w:rsidR="006A50BD">
        <w:rPr>
          <w:rFonts w:asciiTheme="minorHAnsi" w:hAnsiTheme="minorHAnsi" w:cstheme="minorHAnsi"/>
          <w:sz w:val="22"/>
          <w:szCs w:val="22"/>
        </w:rPr>
        <w:t>ion to deliver</w:t>
      </w:r>
      <w:r w:rsidRPr="00E16967">
        <w:rPr>
          <w:rFonts w:asciiTheme="minorHAnsi" w:hAnsiTheme="minorHAnsi" w:cstheme="minorHAnsi"/>
          <w:sz w:val="22"/>
          <w:szCs w:val="22"/>
        </w:rPr>
        <w:t xml:space="preserve"> </w:t>
      </w:r>
      <w:r w:rsidR="00AB7536">
        <w:rPr>
          <w:rFonts w:asciiTheme="minorHAnsi" w:hAnsiTheme="minorHAnsi" w:cstheme="minorHAnsi"/>
          <w:sz w:val="22"/>
          <w:szCs w:val="22"/>
        </w:rPr>
        <w:t>Net Zero</w:t>
      </w:r>
      <w:r w:rsidRPr="00E16967">
        <w:rPr>
          <w:rFonts w:asciiTheme="minorHAnsi" w:hAnsiTheme="minorHAnsi" w:cstheme="minorHAnsi"/>
          <w:sz w:val="22"/>
          <w:szCs w:val="22"/>
        </w:rPr>
        <w:t xml:space="preserve"> greenhouse gas </w:t>
      </w:r>
      <w:r w:rsidR="00323F2B">
        <w:rPr>
          <w:rFonts w:asciiTheme="minorHAnsi" w:hAnsiTheme="minorHAnsi" w:cstheme="minorHAnsi"/>
          <w:sz w:val="22"/>
          <w:szCs w:val="22"/>
        </w:rPr>
        <w:t xml:space="preserve">(GHG) </w:t>
      </w:r>
      <w:r w:rsidRPr="00E16967">
        <w:rPr>
          <w:rFonts w:asciiTheme="minorHAnsi" w:hAnsiTheme="minorHAnsi" w:cstheme="minorHAnsi"/>
          <w:sz w:val="22"/>
          <w:szCs w:val="22"/>
        </w:rPr>
        <w:t xml:space="preserve">emissions by 2050. The </w:t>
      </w:r>
      <w:r w:rsidR="00AB7536">
        <w:rPr>
          <w:rFonts w:asciiTheme="minorHAnsi" w:hAnsiTheme="minorHAnsi" w:cstheme="minorHAnsi"/>
          <w:sz w:val="22"/>
          <w:szCs w:val="22"/>
        </w:rPr>
        <w:t>Net Zero</w:t>
      </w:r>
      <w:r w:rsidRPr="00E16967">
        <w:rPr>
          <w:rFonts w:asciiTheme="minorHAnsi" w:hAnsiTheme="minorHAnsi" w:cstheme="minorHAnsi"/>
          <w:sz w:val="22"/>
          <w:szCs w:val="22"/>
        </w:rPr>
        <w:t xml:space="preserve"> target is defined by the Intergovernmental Panel on Climate Change</w:t>
      </w:r>
      <w:r w:rsidR="00323F2B">
        <w:rPr>
          <w:rFonts w:asciiTheme="minorHAnsi" w:hAnsiTheme="minorHAnsi" w:cstheme="minorHAnsi"/>
          <w:sz w:val="22"/>
          <w:szCs w:val="22"/>
        </w:rPr>
        <w:t xml:space="preserve"> (IPCC)</w:t>
      </w:r>
      <w:r w:rsidRPr="00E16967">
        <w:rPr>
          <w:rFonts w:asciiTheme="minorHAnsi" w:hAnsiTheme="minorHAnsi" w:cstheme="minorHAnsi"/>
          <w:sz w:val="22"/>
          <w:szCs w:val="22"/>
        </w:rPr>
        <w:t xml:space="preserve"> as</w:t>
      </w:r>
      <w:r w:rsidR="006A50BD">
        <w:rPr>
          <w:rFonts w:asciiTheme="minorHAnsi" w:hAnsiTheme="minorHAnsi" w:cstheme="minorHAnsi"/>
          <w:sz w:val="22"/>
          <w:szCs w:val="22"/>
        </w:rPr>
        <w:t xml:space="preserve"> the point at which</w:t>
      </w:r>
      <w:r w:rsidRPr="00E16967">
        <w:rPr>
          <w:rFonts w:asciiTheme="minorHAnsi" w:hAnsiTheme="minorHAnsi" w:cstheme="minorHAnsi"/>
          <w:sz w:val="22"/>
          <w:szCs w:val="22"/>
        </w:rPr>
        <w:t xml:space="preserve"> </w:t>
      </w:r>
      <w:r w:rsidR="002655A7">
        <w:rPr>
          <w:rFonts w:asciiTheme="minorHAnsi" w:hAnsiTheme="minorHAnsi" w:cstheme="minorHAnsi"/>
          <w:sz w:val="22"/>
          <w:szCs w:val="22"/>
        </w:rPr>
        <w:t>“</w:t>
      </w:r>
      <w:r w:rsidRPr="00E16967">
        <w:rPr>
          <w:rFonts w:asciiTheme="minorHAnsi" w:hAnsiTheme="minorHAnsi" w:cstheme="minorHAnsi"/>
          <w:sz w:val="22"/>
          <w:szCs w:val="22"/>
        </w:rPr>
        <w:t>anthropogenic emissions are equal to anthropogenic removals</w:t>
      </w:r>
      <w:r w:rsidR="002655A7">
        <w:rPr>
          <w:rFonts w:asciiTheme="minorHAnsi" w:hAnsiTheme="minorHAnsi" w:cstheme="minorHAnsi"/>
          <w:sz w:val="22"/>
          <w:szCs w:val="22"/>
        </w:rPr>
        <w:t>”</w:t>
      </w:r>
      <w:r w:rsidR="00D55B65">
        <w:rPr>
          <w:rFonts w:asciiTheme="minorHAnsi" w:hAnsiTheme="minorHAnsi" w:cstheme="minorHAnsi"/>
          <w:sz w:val="22"/>
          <w:szCs w:val="22"/>
        </w:rPr>
        <w:t xml:space="preserve"> </w:t>
      </w:r>
      <w:r w:rsidR="00AE0038">
        <w:rPr>
          <w:rFonts w:asciiTheme="minorHAnsi" w:hAnsiTheme="minorHAnsi" w:cstheme="minorHAnsi"/>
          <w:sz w:val="22"/>
          <w:szCs w:val="22"/>
        </w:rPr>
        <w:fldChar w:fldCharType="begin"/>
      </w:r>
      <w:r w:rsidR="00D9779F">
        <w:rPr>
          <w:rFonts w:asciiTheme="minorHAnsi" w:hAnsiTheme="minorHAnsi" w:cstheme="minorHAnsi"/>
          <w:sz w:val="22"/>
          <w:szCs w:val="22"/>
        </w:rPr>
        <w:instrText xml:space="preserve"> ADDIN ZOTERO_ITEM CSL_CITATION {"citationID":"zCSFQ8zq","properties":{"formattedCitation":"(IPCC, 2018)","plainCitation":"(IPCC, 2018)","noteIndex":0},"citationItems":[{"id":1228,"uris":["http://zotero.org/users/6500992/items/SQX8L2GB"],"itemData":{"id":1228,"type":"chapter","container-title":"Global Warming of 1.5°C: IPCC Special Report on Impacts of Global Warming of 1.5°C above Pre-industrial Levels in Context of Strengthening Response to Climate Change, Sustainable Development, and Efforts to Eradicate Poverty","event-place":"Cambridge","ISBN":"978-1-00-915795-7","note":"DOI: 10.1017/9781009157940.008","page":"541-562","publisher":"Cambridge University Press","publisher-place":"Cambridge","source":"Cambridge University Press","title":"Annex I: Glossary","title-short":"Annex I","URL":"https://www.cambridge.org/core/books/global-warming-of-15c/annex-i-glossary/34C9B03153C4E046925E057E94DFBCCD","editor":[{"literal":"IPCC"}],"accessed":{"date-parts":[["2022",10,25]]},"issued":{"date-parts":[["2018"]]}},"label":"page"}],"schema":"https://github.com/citation-style-language/schema/raw/master/csl-citation.json"} </w:instrText>
      </w:r>
      <w:r w:rsidR="00AE0038">
        <w:rPr>
          <w:rFonts w:asciiTheme="minorHAnsi" w:hAnsiTheme="minorHAnsi" w:cstheme="minorHAnsi"/>
          <w:sz w:val="22"/>
          <w:szCs w:val="22"/>
        </w:rPr>
        <w:fldChar w:fldCharType="separate"/>
      </w:r>
      <w:r w:rsidR="00A573B5" w:rsidRPr="00A573B5">
        <w:rPr>
          <w:rFonts w:ascii="Calibri" w:hAnsi="Calibri" w:cs="Calibri"/>
          <w:sz w:val="22"/>
        </w:rPr>
        <w:t>(IPCC, 2018)</w:t>
      </w:r>
      <w:r w:rsidR="00AE0038">
        <w:rPr>
          <w:rFonts w:asciiTheme="minorHAnsi" w:hAnsiTheme="minorHAnsi" w:cstheme="minorHAnsi"/>
          <w:sz w:val="22"/>
          <w:szCs w:val="22"/>
        </w:rPr>
        <w:fldChar w:fldCharType="end"/>
      </w:r>
      <w:r>
        <w:rPr>
          <w:rFonts w:asciiTheme="minorHAnsi" w:hAnsiTheme="minorHAnsi" w:cstheme="minorHAnsi"/>
          <w:sz w:val="22"/>
          <w:szCs w:val="22"/>
        </w:rPr>
        <w:t xml:space="preserve">, which </w:t>
      </w:r>
      <w:r w:rsidRPr="00E16967">
        <w:rPr>
          <w:rFonts w:asciiTheme="minorHAnsi" w:hAnsiTheme="minorHAnsi" w:cstheme="minorHAnsi"/>
          <w:sz w:val="22"/>
          <w:szCs w:val="22"/>
        </w:rPr>
        <w:t xml:space="preserve">will require considerable mitigation efforts from </w:t>
      </w:r>
      <w:r w:rsidR="003A31FE">
        <w:rPr>
          <w:rFonts w:asciiTheme="minorHAnsi" w:hAnsiTheme="minorHAnsi" w:cstheme="minorHAnsi"/>
          <w:sz w:val="22"/>
          <w:szCs w:val="22"/>
        </w:rPr>
        <w:t xml:space="preserve">many sectors, including </w:t>
      </w:r>
      <w:r>
        <w:rPr>
          <w:rFonts w:asciiTheme="minorHAnsi" w:hAnsiTheme="minorHAnsi" w:cstheme="minorHAnsi"/>
          <w:sz w:val="22"/>
          <w:szCs w:val="22"/>
        </w:rPr>
        <w:t>agriculture</w:t>
      </w:r>
      <w:r w:rsidR="00323F2B">
        <w:rPr>
          <w:rFonts w:asciiTheme="minorHAnsi" w:hAnsiTheme="minorHAnsi" w:cstheme="minorHAnsi"/>
          <w:sz w:val="22"/>
          <w:szCs w:val="22"/>
        </w:rPr>
        <w:t xml:space="preserve">. </w:t>
      </w:r>
      <w:r w:rsidR="00323F2B" w:rsidRPr="00323F2B">
        <w:rPr>
          <w:rFonts w:asciiTheme="minorHAnsi" w:hAnsiTheme="minorHAnsi" w:cstheme="minorHAnsi"/>
          <w:sz w:val="22"/>
          <w:szCs w:val="22"/>
        </w:rPr>
        <w:t xml:space="preserve">Agriculture is responsible for 10% of the UK’s total GHG </w:t>
      </w:r>
      <w:r w:rsidR="00323F2B" w:rsidRPr="00460701">
        <w:rPr>
          <w:rFonts w:asciiTheme="minorHAnsi" w:hAnsiTheme="minorHAnsi" w:cstheme="minorHAnsi"/>
          <w:color w:val="000000" w:themeColor="text1"/>
          <w:sz w:val="22"/>
          <w:szCs w:val="22"/>
        </w:rPr>
        <w:t xml:space="preserve">emissions </w:t>
      </w:r>
      <w:r w:rsidR="00D334C2">
        <w:rPr>
          <w:rFonts w:asciiTheme="minorHAnsi" w:hAnsiTheme="minorHAnsi" w:cstheme="minorHAnsi"/>
          <w:color w:val="000000" w:themeColor="text1"/>
          <w:sz w:val="22"/>
          <w:szCs w:val="22"/>
        </w:rPr>
        <w:fldChar w:fldCharType="begin"/>
      </w:r>
      <w:r w:rsidR="00BC3332">
        <w:rPr>
          <w:rFonts w:asciiTheme="minorHAnsi" w:hAnsiTheme="minorHAnsi" w:cstheme="minorHAnsi"/>
          <w:color w:val="000000" w:themeColor="text1"/>
          <w:sz w:val="22"/>
          <w:szCs w:val="22"/>
        </w:rPr>
        <w:instrText xml:space="preserve"> ADDIN ZOTERO_ITEM CSL_CITATION {"citationID":"1k9msYjm","properties":{"formattedCitation":"(BEIS, 2022)","plainCitation":"(BEIS, 2022)","noteIndex":0},"citationItems":[{"id":1283,"uris":["http://zotero.org/users/6500992/items/EZQN876W"],"itemData":{"id":1283,"type":"report","abstract":"Final estimates of UK territorial greenhouse gas emissions.","language":"en","publisher":"Department for Business, Energy &amp; Industrial Strategy","title":"Final UK greenhouse gas emissions national statistics: 1990 to 2020","title-short":"Final UK greenhouse gas emissions national statistics","URL":"https://www.gov.uk/government/statistics/final-uk-greenhouse-gas-emissions-national-statistics-1990-to-2020","author":[{"family":"BEIS","given":""}],"accessed":{"date-parts":[["2022",11,18]]},"issued":{"date-parts":[["2022"]]}}}],"schema":"https://github.com/citation-style-language/schema/raw/master/csl-citation.json"} </w:instrText>
      </w:r>
      <w:r w:rsidR="00D334C2">
        <w:rPr>
          <w:rFonts w:asciiTheme="minorHAnsi" w:hAnsiTheme="minorHAnsi" w:cstheme="minorHAnsi"/>
          <w:color w:val="000000" w:themeColor="text1"/>
          <w:sz w:val="22"/>
          <w:szCs w:val="22"/>
        </w:rPr>
        <w:fldChar w:fldCharType="separate"/>
      </w:r>
      <w:r w:rsidR="00A573B5" w:rsidRPr="00A573B5">
        <w:rPr>
          <w:rFonts w:ascii="Calibri" w:hAnsi="Calibri" w:cs="Calibri"/>
          <w:sz w:val="22"/>
        </w:rPr>
        <w:t>(BEIS, 2022)</w:t>
      </w:r>
      <w:r w:rsidR="00D334C2">
        <w:rPr>
          <w:rFonts w:asciiTheme="minorHAnsi" w:hAnsiTheme="minorHAnsi" w:cstheme="minorHAnsi"/>
          <w:color w:val="000000" w:themeColor="text1"/>
          <w:sz w:val="22"/>
          <w:szCs w:val="22"/>
        </w:rPr>
        <w:fldChar w:fldCharType="end"/>
      </w:r>
      <w:r w:rsidR="00AB7536">
        <w:rPr>
          <w:rFonts w:asciiTheme="minorHAnsi" w:hAnsiTheme="minorHAnsi" w:cstheme="minorHAnsi"/>
          <w:color w:val="000000" w:themeColor="text1"/>
          <w:sz w:val="22"/>
          <w:szCs w:val="22"/>
        </w:rPr>
        <w:t xml:space="preserve">. </w:t>
      </w:r>
      <w:r w:rsidR="00323F2B" w:rsidRPr="00460701">
        <w:rPr>
          <w:rFonts w:asciiTheme="minorHAnsi" w:hAnsiTheme="minorHAnsi" w:cstheme="minorHAnsi"/>
          <w:color w:val="000000" w:themeColor="text1"/>
          <w:sz w:val="22"/>
          <w:szCs w:val="22"/>
        </w:rPr>
        <w:t xml:space="preserve">Livestock </w:t>
      </w:r>
      <w:r w:rsidR="006A50BD">
        <w:rPr>
          <w:rFonts w:asciiTheme="minorHAnsi" w:hAnsiTheme="minorHAnsi" w:cstheme="minorHAnsi"/>
          <w:color w:val="000000" w:themeColor="text1"/>
          <w:sz w:val="22"/>
          <w:szCs w:val="22"/>
        </w:rPr>
        <w:t xml:space="preserve">make the largest </w:t>
      </w:r>
      <w:r w:rsidR="00323F2B" w:rsidRPr="00323F2B">
        <w:rPr>
          <w:rFonts w:asciiTheme="minorHAnsi" w:hAnsiTheme="minorHAnsi" w:cstheme="minorHAnsi"/>
          <w:sz w:val="22"/>
          <w:szCs w:val="22"/>
        </w:rPr>
        <w:t>contribut</w:t>
      </w:r>
      <w:r w:rsidR="006A50BD">
        <w:rPr>
          <w:rFonts w:asciiTheme="minorHAnsi" w:hAnsiTheme="minorHAnsi" w:cstheme="minorHAnsi"/>
          <w:sz w:val="22"/>
          <w:szCs w:val="22"/>
        </w:rPr>
        <w:t>ion</w:t>
      </w:r>
      <w:r w:rsidR="00323F2B" w:rsidRPr="00323F2B">
        <w:rPr>
          <w:rFonts w:asciiTheme="minorHAnsi" w:hAnsiTheme="minorHAnsi" w:cstheme="minorHAnsi"/>
          <w:sz w:val="22"/>
          <w:szCs w:val="22"/>
        </w:rPr>
        <w:t xml:space="preserve"> to these emissions, mainly in the form of methane (</w:t>
      </w:r>
      <w:r w:rsidR="00E2448B">
        <w:rPr>
          <w:rFonts w:asciiTheme="minorHAnsi" w:hAnsiTheme="minorHAnsi" w:cstheme="minorHAnsi"/>
          <w:sz w:val="22"/>
          <w:szCs w:val="22"/>
        </w:rPr>
        <w:t>CH</w:t>
      </w:r>
      <w:r w:rsidR="00E2448B" w:rsidRPr="00E2448B">
        <w:rPr>
          <w:rFonts w:asciiTheme="minorHAnsi" w:hAnsiTheme="minorHAnsi" w:cstheme="minorHAnsi"/>
          <w:sz w:val="22"/>
          <w:szCs w:val="22"/>
          <w:vertAlign w:val="subscript"/>
        </w:rPr>
        <w:t>4</w:t>
      </w:r>
      <w:r w:rsidR="00323F2B" w:rsidRPr="00323F2B">
        <w:rPr>
          <w:rFonts w:asciiTheme="minorHAnsi" w:hAnsiTheme="minorHAnsi" w:cstheme="minorHAnsi"/>
          <w:sz w:val="22"/>
          <w:szCs w:val="22"/>
        </w:rPr>
        <w:t xml:space="preserve">) from enteric fermentation </w:t>
      </w:r>
      <w:r w:rsidR="006D587E">
        <w:rPr>
          <w:rFonts w:asciiTheme="minorHAnsi" w:hAnsiTheme="minorHAnsi" w:cstheme="minorHAnsi"/>
          <w:sz w:val="22"/>
          <w:szCs w:val="22"/>
        </w:rPr>
        <w:t xml:space="preserve">within </w:t>
      </w:r>
      <w:r w:rsidR="00323F2B" w:rsidRPr="00323F2B">
        <w:rPr>
          <w:rFonts w:asciiTheme="minorHAnsi" w:hAnsiTheme="minorHAnsi" w:cstheme="minorHAnsi"/>
          <w:sz w:val="22"/>
          <w:szCs w:val="22"/>
        </w:rPr>
        <w:t>ruminant animals</w:t>
      </w:r>
      <w:r w:rsidR="002E381A">
        <w:rPr>
          <w:rFonts w:asciiTheme="minorHAnsi" w:hAnsiTheme="minorHAnsi" w:cstheme="minorHAnsi"/>
          <w:sz w:val="22"/>
          <w:szCs w:val="22"/>
        </w:rPr>
        <w:t>,</w:t>
      </w:r>
      <w:r w:rsidR="003928D0">
        <w:rPr>
          <w:rFonts w:asciiTheme="minorHAnsi" w:hAnsiTheme="minorHAnsi" w:cstheme="minorHAnsi"/>
          <w:sz w:val="22"/>
          <w:szCs w:val="22"/>
        </w:rPr>
        <w:t xml:space="preserve"> and nitrous oxide (N</w:t>
      </w:r>
      <w:r w:rsidR="003928D0">
        <w:rPr>
          <w:rFonts w:asciiTheme="minorHAnsi" w:hAnsiTheme="minorHAnsi" w:cstheme="minorHAnsi"/>
          <w:sz w:val="22"/>
          <w:szCs w:val="22"/>
          <w:vertAlign w:val="subscript"/>
        </w:rPr>
        <w:t>2</w:t>
      </w:r>
      <w:r w:rsidR="003928D0">
        <w:rPr>
          <w:rFonts w:asciiTheme="minorHAnsi" w:hAnsiTheme="minorHAnsi" w:cstheme="minorHAnsi"/>
          <w:sz w:val="22"/>
          <w:szCs w:val="22"/>
        </w:rPr>
        <w:t xml:space="preserve">O) from soils following </w:t>
      </w:r>
      <w:r w:rsidR="002E381A">
        <w:rPr>
          <w:rFonts w:asciiTheme="minorHAnsi" w:hAnsiTheme="minorHAnsi" w:cstheme="minorHAnsi"/>
          <w:sz w:val="22"/>
          <w:szCs w:val="22"/>
        </w:rPr>
        <w:t xml:space="preserve">application of </w:t>
      </w:r>
      <w:r w:rsidR="003928D0">
        <w:rPr>
          <w:rFonts w:asciiTheme="minorHAnsi" w:hAnsiTheme="minorHAnsi" w:cstheme="minorHAnsi"/>
          <w:sz w:val="22"/>
          <w:szCs w:val="22"/>
        </w:rPr>
        <w:t xml:space="preserve">fertiliser </w:t>
      </w:r>
      <w:r w:rsidR="006D00E1">
        <w:rPr>
          <w:rFonts w:asciiTheme="minorHAnsi" w:hAnsiTheme="minorHAnsi" w:cstheme="minorHAnsi"/>
          <w:sz w:val="22"/>
          <w:szCs w:val="22"/>
        </w:rPr>
        <w:fldChar w:fldCharType="begin"/>
      </w:r>
      <w:r w:rsidR="006D00E1">
        <w:rPr>
          <w:rFonts w:asciiTheme="minorHAnsi" w:hAnsiTheme="minorHAnsi" w:cstheme="minorHAnsi"/>
          <w:sz w:val="22"/>
          <w:szCs w:val="22"/>
        </w:rPr>
        <w:instrText xml:space="preserve"> ADDIN ZOTERO_ITEM CSL_CITATION {"citationID":"f3VbtAvP","properties":{"formattedCitation":"(Cardenas et al., 2010)","plainCitation":"(Cardenas et al., 2010)","noteIndex":0},"citationItems":[{"id":1194,"uris":["http://zotero.org/users/6500992/items/V4EFRMSB"],"itemData":{"id":1194,"type":"article-journal","abstract":"The objective of the present study was to measure emissions of N2O from fertilized grazed grassland that can be used to add valuable information to the limited existing data on N2O fluxes from grazed grassland and aid the development of new country-specific EFs for direct emissions from soils in the UK. This was done by evaluating the effect on N2O emissions of inorganic fertiliser N applied to grazed grassland soils over the range of N inputs 0–350kgha−1. Nitrous oxide fluxes were measured using closed static chambers at 3 sites in England and Wales over a two-year period. Cumulative fluxes were calculated and the total emission regressed against applied inorganic fertiliser N in order to estimate the emission factor for N2O emissions from soils. The data showed that, the emission factor for N2O from inorganic fertiliser applied to grazed grassland soils in the UK differs from the IPCC default value of 1.25%. A nonlinear response of N2O emissions to fertiliser N application rates was observed. Annual emissions of N2O were estimated from a modelled function fitted to the measured data and after subtraction of the background flux resulted in emissions of 0.5 and 3.9kgN2O–Nha−1yr−1 for an application of 100kg N for three locations in the UK, one in the East and the other two in the West of the UK (after combining the data from two sites), respectively.","collection-title":"Estimation of nitrous oxide emission from ecosystems and its mitigation technologies","container-title":"Agriculture, Ecosystems &amp; Environment","DOI":"10.1016/j.agee.2009.12.006","ISSN":"0167-8809","issue":"3","journalAbbreviation":"Agriculture, Ecosystems &amp; Environment","language":"en","page":"218-226","source":"ScienceDirect","title":"Quantifying annual N2O emission fluxes from grazed grassland under a range of inorganic fertiliser nitrogen inputs","volume":"136","author":[{"family":"Cardenas","given":"L. M."},{"family":"Thorman","given":"R."},{"family":"Ashlee","given":"N."},{"family":"Butler","given":"M."},{"family":"Chadwick","given":"D."},{"family":"Chambers","given":"B."},{"family":"Cuttle","given":"S."},{"family":"Donovan","given":"N."},{"family":"Kingston","given":"H."},{"family":"Lane","given":"S."},{"family":"Dhanoa","given":"M. S."},{"family":"Scholefield","given":"D."}],"issued":{"date-parts":[["2010",3,15]]}}}],"schema":"https://github.com/citation-style-language/schema/raw/master/csl-citation.json"} </w:instrText>
      </w:r>
      <w:r w:rsidR="006D00E1">
        <w:rPr>
          <w:rFonts w:asciiTheme="minorHAnsi" w:hAnsiTheme="minorHAnsi" w:cstheme="minorHAnsi"/>
          <w:sz w:val="22"/>
          <w:szCs w:val="22"/>
        </w:rPr>
        <w:fldChar w:fldCharType="separate"/>
      </w:r>
      <w:r w:rsidR="00A573B5" w:rsidRPr="00A573B5">
        <w:rPr>
          <w:rFonts w:ascii="Calibri" w:hAnsi="Calibri" w:cs="Calibri"/>
          <w:sz w:val="22"/>
        </w:rPr>
        <w:t>(Cardenas et al., 2010)</w:t>
      </w:r>
      <w:r w:rsidR="006D00E1">
        <w:rPr>
          <w:rFonts w:asciiTheme="minorHAnsi" w:hAnsiTheme="minorHAnsi" w:cstheme="minorHAnsi"/>
          <w:sz w:val="22"/>
          <w:szCs w:val="22"/>
        </w:rPr>
        <w:fldChar w:fldCharType="end"/>
      </w:r>
      <w:r w:rsidR="007952F7">
        <w:rPr>
          <w:rFonts w:asciiTheme="minorHAnsi" w:hAnsiTheme="minorHAnsi" w:cstheme="minorHAnsi"/>
          <w:sz w:val="22"/>
          <w:szCs w:val="22"/>
        </w:rPr>
        <w:t xml:space="preserve"> </w:t>
      </w:r>
      <w:r w:rsidR="003928D0">
        <w:rPr>
          <w:rFonts w:asciiTheme="minorHAnsi" w:hAnsiTheme="minorHAnsi" w:cstheme="minorHAnsi"/>
          <w:sz w:val="22"/>
          <w:szCs w:val="22"/>
        </w:rPr>
        <w:t xml:space="preserve">or manure </w:t>
      </w:r>
      <w:r w:rsidR="00413D5B">
        <w:rPr>
          <w:rFonts w:asciiTheme="minorHAnsi" w:hAnsiTheme="minorHAnsi" w:cstheme="minorHAnsi"/>
          <w:sz w:val="22"/>
          <w:szCs w:val="22"/>
        </w:rPr>
        <w:fldChar w:fldCharType="begin"/>
      </w:r>
      <w:r w:rsidR="00413D5B">
        <w:rPr>
          <w:rFonts w:asciiTheme="minorHAnsi" w:hAnsiTheme="minorHAnsi" w:cstheme="minorHAnsi"/>
          <w:sz w:val="22"/>
          <w:szCs w:val="22"/>
        </w:rPr>
        <w:instrText xml:space="preserve"> ADDIN ZOTERO_ITEM CSL_CITATION {"citationID":"2glWupW6","properties":{"formattedCitation":"(Thorman et al., 2020)","plainCitation":"(Thorman et al., 2020)","noteIndex":0},"citationItems":[{"id":1237,"uris":["http://zotero.org/users/6500992/items/28EJ4ICV"],"itemData":{"id":1237,"type":"article-journal","abstract":"Nitrous oxide (N2O) emission factors (EFs) were calculated from measurements of emissions from livestock manures applied to UK arable crops and grassland as part of a wider research programme to reduce uncertainty in the UK national agricultural N2O inventory and to enhance regional inventory reporting through increased understanding of processes and factors controlling emissions. Field studies were undertaken between 2011 and 2013 at 3 arable and 3 grassland sites in the UK. Nitrous oxide emissions were measured following the autumn and spring application of different manures (pig slurry, cattle slurry, cattle farmyard manure (FYM), pig FYM, poultry layer manure, and broiler litter) at typical rates, using representative manure application and soil incorporation methods. In addition, ammonia emissions and nitrate leaching losses (1 site on a light sandy soil) were measured to calculate indirect N2O losses. IPCC comparable, direct N2O EFs ranged from −0.05 to 2.30% of total nitrogen applied, with the variability driven by a range of factors including differences in manure composition, application method, incorporation and climatic conditions. When data from the autumn applications were pooled, the mean N2O EF from poultry manure (1.52%) was found to be greater (P &lt; 0.001) than from FYM (0.37%) and slurry (0.72%), with no difference found (P = 0.784) in the EF for bandspread compared with surface broadcast slurry application, and no effect (P = 0.328) of the nitriﬁcation inhibitor, Dicyandiamide (DCD). For the spring applications, the mean N2O EF for bandspread slurry (0.56%) was greater (P = 0.028) than from surface broadcast slurry (0.31%), but there were no differences (P = 0.212) in the mean N2O EFs from poultry manure (0.52%), slurry (0.44%), and FYM (0.22%). The study did conﬁrm, however, that DCD reduced N2O emissions from slurries applied in the spring by 45%. EF data from this project have been used in the derivation of robust Tier 2 country speciﬁc EFs for inclusion in the UK national agriculture greenhouse gas inventory.","container-title":"Frontiers in Sustainable Food Systems","DOI":"10.3389/fsufs.2020.00062","ISSN":"2571-581X","language":"en","note":"publisher: Frontiers Media SA","page":"62","source":"repository.rothamsted.ac.uk","title":"Towards Country-Specific Nitrous Oxide Emission Factors for Manures Applied to Arable and Grassland Soils in the UK","volume":"4","author":[{"family":"Thorman","given":"R. E."},{"family":"Nicholson","given":"F. A."},{"family":"Topp","given":"C. F. E."},{"family":"Bell","given":"M. J."},{"family":"Cardenas","given":"L. M."},{"family":"Chadwick","given":"D. R."},{"family":"Cloy","given":"J. M."},{"family":"Misselbrook","given":"T. H."},{"family":"Rees","given":"R. M."},{"family":"Watson","given":"C. J."},{"family":"Willimas","given":"J. R."}],"issued":{"date-parts":[["2020",5,12]]}}}],"schema":"https://github.com/citation-style-language/schema/raw/master/csl-citation.json"} </w:instrText>
      </w:r>
      <w:r w:rsidR="00413D5B">
        <w:rPr>
          <w:rFonts w:asciiTheme="minorHAnsi" w:hAnsiTheme="minorHAnsi" w:cstheme="minorHAnsi"/>
          <w:sz w:val="22"/>
          <w:szCs w:val="22"/>
        </w:rPr>
        <w:fldChar w:fldCharType="separate"/>
      </w:r>
      <w:r w:rsidR="00A573B5" w:rsidRPr="00A573B5">
        <w:rPr>
          <w:rFonts w:ascii="Calibri" w:hAnsi="Calibri" w:cs="Calibri"/>
          <w:sz w:val="22"/>
        </w:rPr>
        <w:t>(Thorman et al., 2020)</w:t>
      </w:r>
      <w:r w:rsidR="00413D5B">
        <w:rPr>
          <w:rFonts w:asciiTheme="minorHAnsi" w:hAnsiTheme="minorHAnsi" w:cstheme="minorHAnsi"/>
          <w:sz w:val="22"/>
          <w:szCs w:val="22"/>
        </w:rPr>
        <w:fldChar w:fldCharType="end"/>
      </w:r>
      <w:r w:rsidR="00FA7CD1">
        <w:rPr>
          <w:rFonts w:asciiTheme="minorHAnsi" w:hAnsiTheme="minorHAnsi" w:cstheme="minorHAnsi"/>
          <w:sz w:val="22"/>
          <w:szCs w:val="22"/>
        </w:rPr>
        <w:t xml:space="preserve"> and urine deposition by grazing livestock </w:t>
      </w:r>
      <w:r w:rsidR="00EE043F">
        <w:rPr>
          <w:rFonts w:asciiTheme="minorHAnsi" w:hAnsiTheme="minorHAnsi" w:cstheme="minorHAnsi"/>
          <w:sz w:val="22"/>
          <w:szCs w:val="22"/>
        </w:rPr>
        <w:fldChar w:fldCharType="begin"/>
      </w:r>
      <w:r w:rsidR="00EE043F">
        <w:rPr>
          <w:rFonts w:asciiTheme="minorHAnsi" w:hAnsiTheme="minorHAnsi" w:cstheme="minorHAnsi"/>
          <w:sz w:val="22"/>
          <w:szCs w:val="22"/>
        </w:rPr>
        <w:instrText xml:space="preserve"> ADDIN ZOTERO_ITEM CSL_CITATION {"citationID":"S7zbHpPx","properties":{"formattedCitation":"(Chadwick et al., 2018)","plainCitation":"(Chadwick et al., 2018)","noteIndex":0},"citationItems":[{"id":1234,"uris":["http://zotero.org/users/6500992/items/5SXERJ6V"],"itemData":{"id":1234,"type":"article-journal","abstract":"Urine patches and dung pats from grazing livestock create hotspots for production and emission of the greenhouse gas, nitrous oxide (N2O), and represent a large proportion of total N2O emissions in many national agricultural greenhouse gas inventories. As such, there is much interest in developing country specific N2O emission factors (EFs) for excretal nitrogen (EF3, pasture, range and paddock) deposited during gazing. The aims of this study were to generate separate N2O emissions data for cattle derived urine and dung, to provide an evidence base for the generation of a country specific EF for the UK from this nitrogen source. The experiments were also designed to determine the effects of site and timing of application on emissions, and the efficacy of the nitrification inhibitor, dicyandiamide (DCD) on N2O losses. This co-ordinated set of 15 plot-scale, year-long field experiments using static chambers was conducted at five grassland sites, typical of the soil and climatic zones of grazed grassland in the UK. We show that the average urine and dung N2O EFs were 0.69% and 0.19%, respectively, resulting in a combined excretal N2O EF (EF3), of 0.49%, which is &lt;25% of the IPCC default EF3 for excretal returns from grazing cattle. Regression analysis suggests that urine N2O EFs were controlled more by composition than was the case for dung, whilst dung N2O EFs were more related to soil and environmental factors. The urine N2O EF was significantly greater from the site in SW England, and significantly greater from the early grazing season urine application than later applications. Dycandiamide reduced the N2O EF from urine patches by an average of 46%. The significantly lower excretal EF3 than the IPCC default has implications for the UK's national inventory and for subsequent carbon footprinting of UK ruminant livestock products.","container-title":"Science of The Total Environment","DOI":"10.1016/j.scitotenv.2018.04.152","ISSN":"0048-9697","journalAbbreviation":"Science of The Total Environment","language":"en","page":"607-617","source":"ScienceDirect","title":"The contribution of cattle urine and dung to nitrous oxide emissions: Quantification of country specific emission factors and implications for national inventories","title-short":"The contribution of cattle urine and dung to nitrous oxide emissions","volume":"635","author":[{"family":"Chadwick","given":"D. R."},{"family":"Cardenas","given":"L. M."},{"family":"Dhanoa","given":"M. S."},{"family":"Donovan","given":"N."},{"family":"Misselbrook","given":"T."},{"family":"Williams","given":"J. R."},{"family":"Thorman","given":"R. E."},{"family":"McGeough","given":"K. L."},{"family":"Watson","given":"C. J."},{"family":"Bell","given":"M."},{"family":"Anthony","given":"S. G."},{"family":"Rees","given":"R. M."}],"issued":{"date-parts":[["2018",9,1]]}}}],"schema":"https://github.com/citation-style-language/schema/raw/master/csl-citation.json"} </w:instrText>
      </w:r>
      <w:r w:rsidR="00EE043F">
        <w:rPr>
          <w:rFonts w:asciiTheme="minorHAnsi" w:hAnsiTheme="minorHAnsi" w:cstheme="minorHAnsi"/>
          <w:sz w:val="22"/>
          <w:szCs w:val="22"/>
        </w:rPr>
        <w:fldChar w:fldCharType="separate"/>
      </w:r>
      <w:r w:rsidR="00A573B5" w:rsidRPr="00A573B5">
        <w:rPr>
          <w:rFonts w:ascii="Calibri" w:hAnsi="Calibri" w:cs="Calibri"/>
          <w:sz w:val="22"/>
        </w:rPr>
        <w:t>(Chadwick et al., 2018)</w:t>
      </w:r>
      <w:r w:rsidR="00EE043F">
        <w:rPr>
          <w:rFonts w:asciiTheme="minorHAnsi" w:hAnsiTheme="minorHAnsi" w:cstheme="minorHAnsi"/>
          <w:sz w:val="22"/>
          <w:szCs w:val="22"/>
        </w:rPr>
        <w:fldChar w:fldCharType="end"/>
      </w:r>
      <w:r w:rsidR="00C7488E">
        <w:rPr>
          <w:rFonts w:asciiTheme="minorHAnsi" w:hAnsiTheme="minorHAnsi" w:cstheme="minorHAnsi"/>
          <w:sz w:val="22"/>
          <w:szCs w:val="22"/>
        </w:rPr>
        <w:t>.</w:t>
      </w:r>
    </w:p>
    <w:p w14:paraId="7B9134B6" w14:textId="0CA03244" w:rsidR="009B795E" w:rsidRDefault="009B795E" w:rsidP="00BA3E62">
      <w:pPr>
        <w:spacing w:line="360" w:lineRule="auto"/>
        <w:jc w:val="both"/>
        <w:rPr>
          <w:rFonts w:asciiTheme="minorHAnsi" w:hAnsiTheme="minorHAnsi" w:cstheme="minorHAnsi"/>
          <w:sz w:val="22"/>
          <w:szCs w:val="22"/>
        </w:rPr>
      </w:pPr>
    </w:p>
    <w:p w14:paraId="4D0F7B1C" w14:textId="1C47969F" w:rsidR="00B91153" w:rsidRDefault="001D4FD8" w:rsidP="00BA3E62">
      <w:pPr>
        <w:spacing w:line="360" w:lineRule="auto"/>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For the </w:t>
      </w:r>
      <w:r w:rsidR="006A50BD">
        <w:rPr>
          <w:rFonts w:asciiTheme="minorHAnsi" w:hAnsiTheme="minorHAnsi" w:cstheme="minorHAnsi"/>
          <w:sz w:val="22"/>
          <w:szCs w:val="22"/>
        </w:rPr>
        <w:t>UK</w:t>
      </w:r>
      <w:r>
        <w:rPr>
          <w:rFonts w:asciiTheme="minorHAnsi" w:hAnsiTheme="minorHAnsi" w:cstheme="minorHAnsi"/>
          <w:sz w:val="22"/>
          <w:szCs w:val="22"/>
        </w:rPr>
        <w:t xml:space="preserve"> to reach </w:t>
      </w:r>
      <w:r w:rsidR="00AB7536">
        <w:rPr>
          <w:rFonts w:asciiTheme="minorHAnsi" w:hAnsiTheme="minorHAnsi" w:cstheme="minorHAnsi"/>
          <w:sz w:val="22"/>
          <w:szCs w:val="22"/>
        </w:rPr>
        <w:t>Net Zero</w:t>
      </w:r>
      <w:r>
        <w:rPr>
          <w:rFonts w:asciiTheme="minorHAnsi" w:hAnsiTheme="minorHAnsi" w:cstheme="minorHAnsi"/>
          <w:sz w:val="22"/>
          <w:szCs w:val="22"/>
        </w:rPr>
        <w:t xml:space="preserve">, </w:t>
      </w:r>
      <w:r w:rsidR="00D309CE">
        <w:rPr>
          <w:rFonts w:asciiTheme="minorHAnsi" w:hAnsiTheme="minorHAnsi" w:cstheme="minorHAnsi"/>
          <w:sz w:val="22"/>
          <w:szCs w:val="22"/>
        </w:rPr>
        <w:t xml:space="preserve">major innovation and changes to UK </w:t>
      </w:r>
      <w:r w:rsidR="00CF7700">
        <w:rPr>
          <w:rFonts w:asciiTheme="minorHAnsi" w:hAnsiTheme="minorHAnsi" w:cstheme="minorHAnsi"/>
          <w:sz w:val="22"/>
          <w:szCs w:val="22"/>
        </w:rPr>
        <w:t>farming</w:t>
      </w:r>
      <w:r w:rsidR="00D309CE">
        <w:rPr>
          <w:rFonts w:asciiTheme="minorHAnsi" w:hAnsiTheme="minorHAnsi" w:cstheme="minorHAnsi"/>
          <w:sz w:val="22"/>
          <w:szCs w:val="22"/>
        </w:rPr>
        <w:t xml:space="preserve"> </w:t>
      </w:r>
      <w:r w:rsidR="00733A57">
        <w:rPr>
          <w:rFonts w:asciiTheme="minorHAnsi" w:hAnsiTheme="minorHAnsi" w:cstheme="minorHAnsi"/>
          <w:sz w:val="22"/>
          <w:szCs w:val="22"/>
        </w:rPr>
        <w:t>and land use</w:t>
      </w:r>
      <w:r w:rsidR="00D309CE">
        <w:rPr>
          <w:rFonts w:asciiTheme="minorHAnsi" w:hAnsiTheme="minorHAnsi" w:cstheme="minorHAnsi"/>
          <w:sz w:val="22"/>
          <w:szCs w:val="22"/>
        </w:rPr>
        <w:t xml:space="preserve"> will be required</w:t>
      </w:r>
      <w:r w:rsidR="006A50BD">
        <w:rPr>
          <w:rFonts w:asciiTheme="minorHAnsi" w:hAnsiTheme="minorHAnsi" w:cstheme="minorHAnsi"/>
          <w:sz w:val="22"/>
          <w:szCs w:val="22"/>
        </w:rPr>
        <w:t xml:space="preserve"> </w:t>
      </w:r>
      <w:r w:rsidR="00016B8E">
        <w:rPr>
          <w:rFonts w:asciiTheme="minorHAnsi" w:hAnsiTheme="minorHAnsi" w:cstheme="minorHAnsi"/>
          <w:sz w:val="22"/>
          <w:szCs w:val="22"/>
        </w:rPr>
        <w:fldChar w:fldCharType="begin"/>
      </w:r>
      <w:r w:rsidR="004033B2">
        <w:rPr>
          <w:rFonts w:asciiTheme="minorHAnsi" w:hAnsiTheme="minorHAnsi" w:cstheme="minorHAnsi"/>
          <w:sz w:val="22"/>
          <w:szCs w:val="22"/>
        </w:rPr>
        <w:instrText xml:space="preserve"> ADDIN ZOTERO_ITEM CSL_CITATION {"citationID":"PoC9ENp1","properties":{"formattedCitation":"(Climate Change Committee, 2020a)","plainCitation":"(Climate Change Committee, 2020a)","noteIndex":0},"citationItems":[{"id":183,"uris":["http://zotero.org/users/6500992/items/SQ9XQV5Y"],"itemData":{"id":183,"type":"report","title":"The Sixth Carbon Budget The UKs path to Net Zero","URL":"https://www.theccc.org.uk/wp-content/uploads/2020/12/The-Sixth-Carbon-Budget-The-UKs-path-to-Net-Zero.pdf","author":[{"family":"Climate Change Committee","given":""}],"accessed":{"date-parts":[["2020",12,11]]},"issued":{"date-parts":[["2020"]]}}}],"schema":"https://github.com/citation-style-language/schema/raw/master/csl-citation.json"} </w:instrText>
      </w:r>
      <w:r w:rsidR="00016B8E">
        <w:rPr>
          <w:rFonts w:asciiTheme="minorHAnsi" w:hAnsiTheme="minorHAnsi" w:cstheme="minorHAnsi"/>
          <w:sz w:val="22"/>
          <w:szCs w:val="22"/>
        </w:rPr>
        <w:fldChar w:fldCharType="separate"/>
      </w:r>
      <w:r w:rsidR="00A573B5" w:rsidRPr="00A573B5">
        <w:rPr>
          <w:rFonts w:ascii="Calibri" w:hAnsi="Calibri" w:cs="Calibri"/>
          <w:sz w:val="22"/>
        </w:rPr>
        <w:t>(Climate Change Committee, 2020a)</w:t>
      </w:r>
      <w:r w:rsidR="00016B8E">
        <w:rPr>
          <w:rFonts w:asciiTheme="minorHAnsi" w:hAnsiTheme="minorHAnsi" w:cstheme="minorHAnsi"/>
          <w:sz w:val="22"/>
          <w:szCs w:val="22"/>
        </w:rPr>
        <w:fldChar w:fldCharType="end"/>
      </w:r>
      <w:r w:rsidR="00D309CE">
        <w:rPr>
          <w:rFonts w:asciiTheme="minorHAnsi" w:hAnsiTheme="minorHAnsi" w:cstheme="minorHAnsi"/>
          <w:sz w:val="22"/>
          <w:szCs w:val="22"/>
        </w:rPr>
        <w:t xml:space="preserve">. Reducing GHG emissions </w:t>
      </w:r>
      <w:r w:rsidR="007928E8">
        <w:rPr>
          <w:rFonts w:asciiTheme="minorHAnsi" w:hAnsiTheme="minorHAnsi" w:cstheme="minorHAnsi"/>
          <w:sz w:val="22"/>
          <w:szCs w:val="22"/>
        </w:rPr>
        <w:t xml:space="preserve">from </w:t>
      </w:r>
      <w:r w:rsidR="00CF7700">
        <w:rPr>
          <w:rFonts w:asciiTheme="minorHAnsi" w:hAnsiTheme="minorHAnsi" w:cstheme="minorHAnsi"/>
          <w:sz w:val="22"/>
          <w:szCs w:val="22"/>
        </w:rPr>
        <w:t xml:space="preserve">livestock production </w:t>
      </w:r>
      <w:r w:rsidR="00CF7700" w:rsidRPr="00581F72">
        <w:rPr>
          <w:rFonts w:asciiTheme="minorHAnsi" w:hAnsiTheme="minorHAnsi" w:cstheme="minorHAnsi"/>
          <w:sz w:val="22"/>
          <w:szCs w:val="22"/>
        </w:rPr>
        <w:t xml:space="preserve">has natural limits due to the biological processes involved in </w:t>
      </w:r>
      <w:r w:rsidR="00100D5E" w:rsidRPr="00581F72">
        <w:rPr>
          <w:rFonts w:asciiTheme="minorHAnsi" w:hAnsiTheme="minorHAnsi" w:cstheme="minorHAnsi"/>
          <w:sz w:val="22"/>
          <w:szCs w:val="22"/>
        </w:rPr>
        <w:t xml:space="preserve">enteric fermentation. The efficiency of these processes can be </w:t>
      </w:r>
      <w:r w:rsidR="00031B7B" w:rsidRPr="00581F72">
        <w:rPr>
          <w:rFonts w:asciiTheme="minorHAnsi" w:hAnsiTheme="minorHAnsi" w:cstheme="minorHAnsi"/>
          <w:sz w:val="22"/>
          <w:szCs w:val="22"/>
        </w:rPr>
        <w:t>improved,</w:t>
      </w:r>
      <w:r w:rsidR="00100D5E" w:rsidRPr="00581F72">
        <w:rPr>
          <w:rFonts w:asciiTheme="minorHAnsi" w:hAnsiTheme="minorHAnsi" w:cstheme="minorHAnsi"/>
          <w:sz w:val="22"/>
          <w:szCs w:val="22"/>
        </w:rPr>
        <w:t xml:space="preserve"> and</w:t>
      </w:r>
      <w:r w:rsidR="00100D5E" w:rsidRPr="00395AE1">
        <w:rPr>
          <w:rFonts w:asciiTheme="minorHAnsi" w:hAnsiTheme="minorHAnsi" w:cstheme="minorHAnsi"/>
          <w:sz w:val="22"/>
          <w:szCs w:val="22"/>
        </w:rPr>
        <w:t xml:space="preserve"> technology exists to reduce these </w:t>
      </w:r>
      <w:r w:rsidR="00031B7B" w:rsidRPr="00395AE1">
        <w:rPr>
          <w:rFonts w:asciiTheme="minorHAnsi" w:hAnsiTheme="minorHAnsi" w:cstheme="minorHAnsi"/>
          <w:sz w:val="22"/>
          <w:szCs w:val="22"/>
        </w:rPr>
        <w:t>emissions,</w:t>
      </w:r>
      <w:r w:rsidR="00100D5E" w:rsidRPr="00395AE1">
        <w:rPr>
          <w:rFonts w:asciiTheme="minorHAnsi" w:hAnsiTheme="minorHAnsi" w:cstheme="minorHAnsi"/>
          <w:sz w:val="22"/>
          <w:szCs w:val="22"/>
        </w:rPr>
        <w:t xml:space="preserve"> but they cannot be completely eliminated</w:t>
      </w:r>
      <w:r w:rsidR="00695C33" w:rsidRPr="00395AE1">
        <w:rPr>
          <w:rFonts w:asciiTheme="minorHAnsi" w:hAnsiTheme="minorHAnsi" w:cstheme="minorHAnsi"/>
          <w:sz w:val="22"/>
          <w:szCs w:val="22"/>
        </w:rPr>
        <w:t xml:space="preserve"> </w:t>
      </w:r>
      <w:r w:rsidR="00695C33" w:rsidRPr="00395AE1">
        <w:rPr>
          <w:rFonts w:asciiTheme="minorHAnsi" w:hAnsiTheme="minorHAnsi" w:cstheme="minorHAnsi"/>
          <w:sz w:val="22"/>
          <w:szCs w:val="22"/>
        </w:rPr>
        <w:fldChar w:fldCharType="begin"/>
      </w:r>
      <w:r w:rsidR="00695C33" w:rsidRPr="00395AE1">
        <w:rPr>
          <w:rFonts w:asciiTheme="minorHAnsi" w:hAnsiTheme="minorHAnsi" w:cstheme="minorHAnsi"/>
          <w:sz w:val="22"/>
          <w:szCs w:val="22"/>
        </w:rPr>
        <w:instrText xml:space="preserve"> ADDIN ZOTERO_ITEM CSL_CITATION {"citationID":"Psb8lqF6","properties":{"formattedCitation":"(FAO, 2013)","plainCitation":"(FAO, 2013)","noteIndex":0},"citationItems":[{"id":693,"uris":["http://zotero.org/users/6500992/items/ZLZZMCMR"],"itemData":{"id":693,"type":"book","collection-number":"177","collection-title":"FAO animal production and health paper","event-place":"Rome","ISBN":"978-92-5-107658-3","language":"en","note":"OCLC: 862359721","number-of-pages":"206","publisher":"Food and Agriculture Organization of the United Nations","publisher-place":"Rome","source":"Gemeinsamer Bibliotheksverbund ISBN","title":"Mitigation of greenhouse gas emissions in livestock production: a review of technical options for non-CO2 emissions","title-short":"Mitigation of greenhouse gas emissions in livestock production","author":[{"family":"FAO","given":""}],"issued":{"date-parts":[["2013"]]}}}],"schema":"https://github.com/citation-style-language/schema/raw/master/csl-citation.json"} </w:instrText>
      </w:r>
      <w:r w:rsidR="00695C33" w:rsidRPr="00395AE1">
        <w:rPr>
          <w:rFonts w:asciiTheme="minorHAnsi" w:hAnsiTheme="minorHAnsi" w:cstheme="minorHAnsi"/>
          <w:sz w:val="22"/>
          <w:szCs w:val="22"/>
        </w:rPr>
        <w:fldChar w:fldCharType="separate"/>
      </w:r>
      <w:r w:rsidR="00A573B5" w:rsidRPr="00A573B5">
        <w:rPr>
          <w:rFonts w:ascii="Calibri" w:hAnsi="Calibri" w:cs="Calibri"/>
          <w:sz w:val="22"/>
        </w:rPr>
        <w:t>(FAO, 2013)</w:t>
      </w:r>
      <w:r w:rsidR="00695C33" w:rsidRPr="00395AE1">
        <w:rPr>
          <w:rFonts w:asciiTheme="minorHAnsi" w:hAnsiTheme="minorHAnsi" w:cstheme="minorHAnsi"/>
          <w:sz w:val="22"/>
          <w:szCs w:val="22"/>
        </w:rPr>
        <w:fldChar w:fldCharType="end"/>
      </w:r>
      <w:r w:rsidR="00CE36DB" w:rsidRPr="00395AE1">
        <w:rPr>
          <w:rFonts w:asciiTheme="minorHAnsi" w:hAnsiTheme="minorHAnsi" w:cstheme="minorHAnsi"/>
          <w:sz w:val="22"/>
          <w:szCs w:val="22"/>
        </w:rPr>
        <w:t xml:space="preserve">. </w:t>
      </w:r>
      <w:r w:rsidR="00D37EE6">
        <w:rPr>
          <w:rFonts w:asciiTheme="minorHAnsi" w:hAnsiTheme="minorHAnsi" w:cstheme="minorHAnsi"/>
          <w:sz w:val="22"/>
          <w:szCs w:val="22"/>
        </w:rPr>
        <w:t>T</w:t>
      </w:r>
      <w:r w:rsidR="00733A57" w:rsidRPr="00395AE1">
        <w:rPr>
          <w:rFonts w:asciiTheme="minorHAnsi" w:hAnsiTheme="minorHAnsi" w:cstheme="minorHAnsi"/>
          <w:sz w:val="22"/>
          <w:szCs w:val="22"/>
        </w:rPr>
        <w:t>herefore</w:t>
      </w:r>
      <w:r w:rsidR="00733A57">
        <w:rPr>
          <w:rFonts w:asciiTheme="minorHAnsi" w:hAnsiTheme="minorHAnsi" w:cstheme="minorHAnsi"/>
          <w:sz w:val="22"/>
          <w:szCs w:val="22"/>
        </w:rPr>
        <w:t>,</w:t>
      </w:r>
      <w:r w:rsidR="00100D5E">
        <w:rPr>
          <w:rFonts w:asciiTheme="minorHAnsi" w:hAnsiTheme="minorHAnsi" w:cstheme="minorHAnsi"/>
          <w:sz w:val="22"/>
          <w:szCs w:val="22"/>
        </w:rPr>
        <w:t xml:space="preserve"> </w:t>
      </w:r>
      <w:r w:rsidR="00E90EEA">
        <w:rPr>
          <w:rFonts w:asciiTheme="minorHAnsi" w:hAnsiTheme="minorHAnsi" w:cstheme="minorHAnsi"/>
          <w:sz w:val="22"/>
          <w:szCs w:val="22"/>
        </w:rPr>
        <w:t xml:space="preserve">achieving </w:t>
      </w:r>
      <w:r w:rsidR="00733A57">
        <w:rPr>
          <w:rFonts w:asciiTheme="minorHAnsi" w:hAnsiTheme="minorHAnsi" w:cstheme="minorHAnsi"/>
          <w:sz w:val="22"/>
          <w:szCs w:val="22"/>
        </w:rPr>
        <w:t xml:space="preserve">Net Zero </w:t>
      </w:r>
      <w:r w:rsidR="00E90EEA">
        <w:rPr>
          <w:rFonts w:asciiTheme="minorHAnsi" w:hAnsiTheme="minorHAnsi" w:cstheme="minorHAnsi"/>
          <w:sz w:val="22"/>
          <w:szCs w:val="22"/>
        </w:rPr>
        <w:t xml:space="preserve">on farms will only be possible </w:t>
      </w:r>
      <w:r w:rsidR="00AB7536">
        <w:rPr>
          <w:rFonts w:asciiTheme="minorHAnsi" w:hAnsiTheme="minorHAnsi" w:cstheme="minorHAnsi"/>
          <w:sz w:val="22"/>
          <w:szCs w:val="22"/>
        </w:rPr>
        <w:t>by</w:t>
      </w:r>
      <w:r w:rsidR="00E90EEA">
        <w:rPr>
          <w:rFonts w:asciiTheme="minorHAnsi" w:hAnsiTheme="minorHAnsi" w:cstheme="minorHAnsi"/>
          <w:sz w:val="22"/>
          <w:szCs w:val="22"/>
        </w:rPr>
        <w:t xml:space="preserve"> offsetting residual emissions </w:t>
      </w:r>
      <w:r w:rsidR="00AB7536">
        <w:rPr>
          <w:rFonts w:asciiTheme="minorHAnsi" w:hAnsiTheme="minorHAnsi" w:cstheme="minorHAnsi"/>
          <w:sz w:val="22"/>
          <w:szCs w:val="22"/>
        </w:rPr>
        <w:t>through</w:t>
      </w:r>
      <w:r w:rsidR="00E90EEA">
        <w:rPr>
          <w:rFonts w:asciiTheme="minorHAnsi" w:hAnsiTheme="minorHAnsi" w:cstheme="minorHAnsi"/>
          <w:sz w:val="22"/>
          <w:szCs w:val="22"/>
        </w:rPr>
        <w:t xml:space="preserve"> </w:t>
      </w:r>
      <w:r w:rsidR="00C7488E">
        <w:rPr>
          <w:rFonts w:asciiTheme="minorHAnsi" w:hAnsiTheme="minorHAnsi" w:cstheme="minorHAnsi"/>
          <w:sz w:val="22"/>
          <w:szCs w:val="22"/>
        </w:rPr>
        <w:t xml:space="preserve">GHG removal mechanisms (such as </w:t>
      </w:r>
      <w:r w:rsidR="00E90EEA">
        <w:rPr>
          <w:rFonts w:asciiTheme="minorHAnsi" w:hAnsiTheme="minorHAnsi" w:cstheme="minorHAnsi"/>
          <w:sz w:val="22"/>
          <w:szCs w:val="22"/>
        </w:rPr>
        <w:t>carbon sequestration</w:t>
      </w:r>
      <w:r w:rsidR="00C7488E">
        <w:rPr>
          <w:rFonts w:asciiTheme="minorHAnsi" w:hAnsiTheme="minorHAnsi" w:cstheme="minorHAnsi"/>
          <w:sz w:val="22"/>
          <w:szCs w:val="22"/>
        </w:rPr>
        <w:t>)</w:t>
      </w:r>
      <w:r w:rsidR="00655708">
        <w:rPr>
          <w:rFonts w:asciiTheme="minorHAnsi" w:hAnsiTheme="minorHAnsi" w:cstheme="minorHAnsi"/>
          <w:color w:val="000000" w:themeColor="text1"/>
          <w:sz w:val="22"/>
          <w:szCs w:val="22"/>
        </w:rPr>
        <w:t xml:space="preserve">. </w:t>
      </w:r>
      <w:bookmarkStart w:id="0" w:name="_Hlk140841489"/>
    </w:p>
    <w:bookmarkEnd w:id="0"/>
    <w:p w14:paraId="2CFF5A8B" w14:textId="77777777" w:rsidR="00873DCC" w:rsidRDefault="00873DCC" w:rsidP="00BA3E62">
      <w:pPr>
        <w:spacing w:line="360" w:lineRule="auto"/>
        <w:jc w:val="both"/>
        <w:rPr>
          <w:rFonts w:asciiTheme="minorHAnsi" w:hAnsiTheme="minorHAnsi" w:cstheme="minorHAnsi"/>
          <w:color w:val="000000" w:themeColor="text1"/>
          <w:sz w:val="22"/>
          <w:szCs w:val="22"/>
        </w:rPr>
      </w:pPr>
    </w:p>
    <w:p w14:paraId="6B419127" w14:textId="023A017C" w:rsidR="001140D7" w:rsidRDefault="00111216" w:rsidP="00BA3E62">
      <w:pPr>
        <w:spacing w:line="360" w:lineRule="auto"/>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The </w:t>
      </w:r>
      <w:r w:rsidR="00546B04" w:rsidRPr="00031B7B">
        <w:rPr>
          <w:rFonts w:asciiTheme="minorHAnsi" w:hAnsiTheme="minorHAnsi" w:cstheme="minorHAnsi"/>
          <w:color w:val="000000" w:themeColor="text1"/>
          <w:sz w:val="22"/>
          <w:szCs w:val="22"/>
        </w:rPr>
        <w:t>biological processes</w:t>
      </w:r>
      <w:r>
        <w:rPr>
          <w:rFonts w:asciiTheme="minorHAnsi" w:hAnsiTheme="minorHAnsi" w:cstheme="minorHAnsi"/>
          <w:color w:val="000000" w:themeColor="text1"/>
          <w:sz w:val="22"/>
          <w:szCs w:val="22"/>
        </w:rPr>
        <w:t xml:space="preserve"> mentioned above </w:t>
      </w:r>
      <w:r w:rsidR="00B91153">
        <w:rPr>
          <w:rFonts w:asciiTheme="minorHAnsi" w:hAnsiTheme="minorHAnsi" w:cstheme="minorHAnsi"/>
          <w:color w:val="000000" w:themeColor="text1"/>
          <w:sz w:val="22"/>
          <w:szCs w:val="22"/>
        </w:rPr>
        <w:t xml:space="preserve">not only make </w:t>
      </w:r>
      <w:r w:rsidR="002E381A">
        <w:rPr>
          <w:rFonts w:asciiTheme="minorHAnsi" w:hAnsiTheme="minorHAnsi" w:cstheme="minorHAnsi"/>
          <w:color w:val="000000" w:themeColor="text1"/>
          <w:sz w:val="22"/>
          <w:szCs w:val="22"/>
        </w:rPr>
        <w:t xml:space="preserve">some </w:t>
      </w:r>
      <w:r w:rsidR="00B91153">
        <w:rPr>
          <w:rFonts w:asciiTheme="minorHAnsi" w:hAnsiTheme="minorHAnsi" w:cstheme="minorHAnsi"/>
          <w:color w:val="000000" w:themeColor="text1"/>
          <w:sz w:val="22"/>
          <w:szCs w:val="22"/>
        </w:rPr>
        <w:t>GHG</w:t>
      </w:r>
      <w:r w:rsidR="00B91153" w:rsidRPr="00031B7B">
        <w:rPr>
          <w:rFonts w:asciiTheme="minorHAnsi" w:hAnsiTheme="minorHAnsi" w:cstheme="minorHAnsi"/>
          <w:color w:val="000000" w:themeColor="text1"/>
          <w:sz w:val="22"/>
          <w:szCs w:val="22"/>
        </w:rPr>
        <w:t xml:space="preserve"> </w:t>
      </w:r>
      <w:r w:rsidR="00B91153">
        <w:rPr>
          <w:rFonts w:asciiTheme="minorHAnsi" w:hAnsiTheme="minorHAnsi" w:cstheme="minorHAnsi"/>
          <w:color w:val="000000" w:themeColor="text1"/>
          <w:sz w:val="22"/>
          <w:szCs w:val="22"/>
        </w:rPr>
        <w:t xml:space="preserve">emissions from agriculture hard to reduce but </w:t>
      </w:r>
      <w:r w:rsidR="00546B04" w:rsidRPr="00031B7B">
        <w:rPr>
          <w:rFonts w:asciiTheme="minorHAnsi" w:hAnsiTheme="minorHAnsi" w:cstheme="minorHAnsi"/>
          <w:color w:val="000000" w:themeColor="text1"/>
          <w:sz w:val="22"/>
          <w:szCs w:val="22"/>
        </w:rPr>
        <w:t xml:space="preserve">also </w:t>
      </w:r>
      <w:r w:rsidR="00DE04F1" w:rsidRPr="00031B7B">
        <w:rPr>
          <w:rFonts w:asciiTheme="minorHAnsi" w:hAnsiTheme="minorHAnsi" w:cstheme="minorHAnsi"/>
          <w:color w:val="000000" w:themeColor="text1"/>
          <w:sz w:val="22"/>
          <w:szCs w:val="22"/>
        </w:rPr>
        <w:t xml:space="preserve">make </w:t>
      </w:r>
      <w:r w:rsidR="00B91153">
        <w:rPr>
          <w:rFonts w:asciiTheme="minorHAnsi" w:hAnsiTheme="minorHAnsi" w:cstheme="minorHAnsi"/>
          <w:color w:val="000000" w:themeColor="text1"/>
          <w:sz w:val="22"/>
          <w:szCs w:val="22"/>
        </w:rPr>
        <w:t>them</w:t>
      </w:r>
      <w:r w:rsidR="00DE04F1" w:rsidRPr="00031B7B">
        <w:rPr>
          <w:rFonts w:asciiTheme="minorHAnsi" w:hAnsiTheme="minorHAnsi" w:cstheme="minorHAnsi"/>
          <w:color w:val="000000" w:themeColor="text1"/>
          <w:sz w:val="22"/>
          <w:szCs w:val="22"/>
        </w:rPr>
        <w:t xml:space="preserve"> hard to quantify</w:t>
      </w:r>
      <w:r w:rsidR="002E381A">
        <w:rPr>
          <w:rFonts w:asciiTheme="minorHAnsi" w:hAnsiTheme="minorHAnsi" w:cstheme="minorHAnsi"/>
          <w:color w:val="000000" w:themeColor="text1"/>
          <w:sz w:val="22"/>
          <w:szCs w:val="22"/>
        </w:rPr>
        <w:t>,</w:t>
      </w:r>
      <w:r w:rsidR="00DE04F1" w:rsidRPr="00031B7B">
        <w:rPr>
          <w:rFonts w:asciiTheme="minorHAnsi" w:hAnsiTheme="minorHAnsi" w:cstheme="minorHAnsi"/>
          <w:color w:val="000000" w:themeColor="text1"/>
          <w:sz w:val="22"/>
          <w:szCs w:val="22"/>
        </w:rPr>
        <w:t xml:space="preserve"> and </w:t>
      </w:r>
      <w:r w:rsidR="00031B7B" w:rsidRPr="00031B7B">
        <w:rPr>
          <w:rFonts w:asciiTheme="minorHAnsi" w:hAnsiTheme="minorHAnsi" w:cstheme="minorHAnsi"/>
          <w:color w:val="000000" w:themeColor="text1"/>
          <w:sz w:val="22"/>
          <w:szCs w:val="22"/>
        </w:rPr>
        <w:t>result in</w:t>
      </w:r>
      <w:r w:rsidR="00240F37" w:rsidRPr="00031B7B">
        <w:rPr>
          <w:rFonts w:asciiTheme="minorHAnsi" w:hAnsiTheme="minorHAnsi" w:cstheme="minorHAnsi"/>
          <w:color w:val="000000" w:themeColor="text1"/>
          <w:sz w:val="22"/>
          <w:szCs w:val="22"/>
        </w:rPr>
        <w:t xml:space="preserve"> farm </w:t>
      </w:r>
      <w:r w:rsidR="00240F37">
        <w:rPr>
          <w:rFonts w:asciiTheme="minorHAnsi" w:hAnsiTheme="minorHAnsi" w:cstheme="minorHAnsi"/>
          <w:sz w:val="22"/>
          <w:szCs w:val="22"/>
        </w:rPr>
        <w:t>emissions estimates hav</w:t>
      </w:r>
      <w:r w:rsidR="00031B7B">
        <w:rPr>
          <w:rFonts w:asciiTheme="minorHAnsi" w:hAnsiTheme="minorHAnsi" w:cstheme="minorHAnsi"/>
          <w:sz w:val="22"/>
          <w:szCs w:val="22"/>
        </w:rPr>
        <w:t>ing</w:t>
      </w:r>
      <w:r w:rsidR="00DE04F1">
        <w:rPr>
          <w:rFonts w:asciiTheme="minorHAnsi" w:hAnsiTheme="minorHAnsi" w:cstheme="minorHAnsi"/>
          <w:sz w:val="22"/>
          <w:szCs w:val="22"/>
        </w:rPr>
        <w:t xml:space="preserve"> a high level of uncertainty</w:t>
      </w:r>
      <w:r w:rsidR="0054529B">
        <w:rPr>
          <w:rFonts w:asciiTheme="minorHAnsi" w:hAnsiTheme="minorHAnsi" w:cstheme="minorHAnsi"/>
          <w:sz w:val="22"/>
          <w:szCs w:val="22"/>
        </w:rPr>
        <w:t xml:space="preserve"> </w:t>
      </w:r>
      <w:r w:rsidR="0054529B">
        <w:rPr>
          <w:rFonts w:asciiTheme="minorHAnsi" w:hAnsiTheme="minorHAnsi" w:cstheme="minorHAnsi"/>
          <w:sz w:val="22"/>
          <w:szCs w:val="22"/>
        </w:rPr>
        <w:fldChar w:fldCharType="begin"/>
      </w:r>
      <w:r w:rsidR="0054529B">
        <w:rPr>
          <w:rFonts w:asciiTheme="minorHAnsi" w:hAnsiTheme="minorHAnsi" w:cstheme="minorHAnsi"/>
          <w:sz w:val="22"/>
          <w:szCs w:val="22"/>
        </w:rPr>
        <w:instrText xml:space="preserve"> ADDIN ZOTERO_ITEM CSL_CITATION {"citationID":"iPWEnNPu","properties":{"formattedCitation":"(Rees et al., 2020)","plainCitation":"(Rees et al., 2020)","noteIndex":0},"citationItems":[{"id":64,"uris":["http://zotero.org/users/6500992/items/LUT8P2LV"],"itemData":{"id":64,"type":"article-journal","abstract":"An increasing number of countries are setting targets for reducing national greenhouse gas emissions to net zero in the coming decades. Such emission reductions will require a transformation of all sectors of society, but nowhere more so than in agriculture and land use (AFOLU IPCC sector). Using the UK as a case study we outline how and to what extent changes in agricultural management could contribute to the net zero target. Agriculture in the UK is responsible for 46 Mt CO2e or 10% of UK emissions (2017). In order to reach an overall target of net zero for the UK economy by 2050 it is estimated that agricultural emissions must be reduced by over 50%. Previous estimates show that on-farm agricultural emissions can be reduced by 10-20%, by implementing a range of technologies that reduce nitrous oxide emissions (including more efficient use of fertilisers and manures, the use of urease and nitrification inhibitors, more extensive use of legumes, and improved soil management) and methane emissions from livestock (including dietary manipulation, use of improved genetics, and improved animal health). Unlike some other sectors, agricultural emissions cannot be reduced to zero, and the land use sector will play a major role in the removal of residual positive emissions. Biomass energy with carbon capture and storage offers the largest opportunity for CO2 capture, but other approaches such as increased soil carbon sequestration, the use of biochar, mineral weathering, and direct air capture are currently being explored. However, such offsetting mechanisms are also likely to be relied upon by other sectors including aviation in which it is difficult to achieve zero emissions. If offsetting is unable to remove sufficient quantities of GHGs to reach the net zero target, then additional novel measures, such as biochar application, and substantial changes in our food basket to reduce emissions from the agriculture sector will be required.","language":"en","page":"8","source":"Zotero","title":"How far can greenhouse gas mitigation take us towards net zero emissions in agriculture?","author":[{"family":"Rees","given":"Robert M"},{"family":"Eory","given":"Vera"},{"family":"Bell","given":"Julian"},{"family":"Topp","given":"Cairistiona F E"},{"family":"Sykes","given":"Alasdair"},{"family":"Misselbrook","given":"Tom"},{"family":"Cardenas","given":"Laura M"},{"family":"Chadwick","given":"David R"},{"family":"Sohi","given":"Saran"},{"family":"Manning","given":"A C"},{"family":"Smith","given":"Pete"}],"issued":{"date-parts":[["2020"]]}}}],"schema":"https://github.com/citation-style-language/schema/raw/master/csl-citation.json"} </w:instrText>
      </w:r>
      <w:r w:rsidR="0054529B">
        <w:rPr>
          <w:rFonts w:asciiTheme="minorHAnsi" w:hAnsiTheme="minorHAnsi" w:cstheme="minorHAnsi"/>
          <w:sz w:val="22"/>
          <w:szCs w:val="22"/>
        </w:rPr>
        <w:fldChar w:fldCharType="separate"/>
      </w:r>
      <w:r w:rsidR="00A573B5" w:rsidRPr="00A573B5">
        <w:rPr>
          <w:rFonts w:ascii="Calibri" w:hAnsi="Calibri" w:cs="Calibri"/>
          <w:sz w:val="22"/>
        </w:rPr>
        <w:t>(Rees et al., 2020)</w:t>
      </w:r>
      <w:r w:rsidR="0054529B">
        <w:rPr>
          <w:rFonts w:asciiTheme="minorHAnsi" w:hAnsiTheme="minorHAnsi" w:cstheme="minorHAnsi"/>
          <w:sz w:val="22"/>
          <w:szCs w:val="22"/>
        </w:rPr>
        <w:fldChar w:fldCharType="end"/>
      </w:r>
      <w:r w:rsidR="00DE04F1">
        <w:rPr>
          <w:rFonts w:asciiTheme="minorHAnsi" w:hAnsiTheme="minorHAnsi" w:cstheme="minorHAnsi"/>
          <w:sz w:val="22"/>
          <w:szCs w:val="22"/>
        </w:rPr>
        <w:t>.</w:t>
      </w:r>
      <w:r w:rsidR="00C55650">
        <w:rPr>
          <w:rFonts w:asciiTheme="minorHAnsi" w:hAnsiTheme="minorHAnsi" w:cstheme="minorHAnsi"/>
          <w:sz w:val="22"/>
          <w:szCs w:val="22"/>
        </w:rPr>
        <w:t xml:space="preserve"> </w:t>
      </w:r>
      <w:r w:rsidR="002E381A">
        <w:rPr>
          <w:rFonts w:asciiTheme="minorHAnsi" w:hAnsiTheme="minorHAnsi" w:cstheme="minorHAnsi"/>
          <w:sz w:val="22"/>
          <w:szCs w:val="22"/>
        </w:rPr>
        <w:t>However, a</w:t>
      </w:r>
      <w:r w:rsidR="00CE36DB">
        <w:rPr>
          <w:rFonts w:asciiTheme="minorHAnsi" w:hAnsiTheme="minorHAnsi" w:cstheme="minorHAnsi"/>
          <w:sz w:val="22"/>
          <w:szCs w:val="22"/>
        </w:rPr>
        <w:t>ccurately q</w:t>
      </w:r>
      <w:r w:rsidR="00C55650" w:rsidRPr="00C55650">
        <w:rPr>
          <w:rFonts w:asciiTheme="minorHAnsi" w:hAnsiTheme="minorHAnsi" w:cstheme="minorHAnsi"/>
          <w:sz w:val="22"/>
          <w:szCs w:val="22"/>
        </w:rPr>
        <w:t xml:space="preserve">uantifying GHG emissions from livestock production systems is an important first step towards </w:t>
      </w:r>
      <w:r w:rsidR="00C55650">
        <w:rPr>
          <w:rFonts w:asciiTheme="minorHAnsi" w:hAnsiTheme="minorHAnsi" w:cstheme="minorHAnsi"/>
          <w:sz w:val="22"/>
          <w:szCs w:val="22"/>
        </w:rPr>
        <w:t xml:space="preserve">reaching current policy targets. </w:t>
      </w:r>
      <w:r w:rsidR="007D46A5">
        <w:rPr>
          <w:rFonts w:asciiTheme="minorHAnsi" w:hAnsiTheme="minorHAnsi" w:cstheme="minorHAnsi"/>
          <w:sz w:val="22"/>
          <w:szCs w:val="22"/>
        </w:rPr>
        <w:t>Recently</w:t>
      </w:r>
      <w:r w:rsidR="003A31FE">
        <w:rPr>
          <w:rFonts w:asciiTheme="minorHAnsi" w:hAnsiTheme="minorHAnsi" w:cstheme="minorHAnsi"/>
          <w:sz w:val="22"/>
          <w:szCs w:val="22"/>
        </w:rPr>
        <w:t>,</w:t>
      </w:r>
      <w:r w:rsidR="00BC0049">
        <w:rPr>
          <w:rFonts w:asciiTheme="minorHAnsi" w:hAnsiTheme="minorHAnsi" w:cstheme="minorHAnsi"/>
          <w:sz w:val="22"/>
          <w:szCs w:val="22"/>
        </w:rPr>
        <w:t xml:space="preserve"> the UK </w:t>
      </w:r>
      <w:r w:rsidR="007D46A5" w:rsidRPr="007D46A5">
        <w:rPr>
          <w:rFonts w:asciiTheme="minorHAnsi" w:hAnsiTheme="minorHAnsi" w:cstheme="minorHAnsi"/>
          <w:sz w:val="22"/>
          <w:szCs w:val="22"/>
        </w:rPr>
        <w:t>adopt</w:t>
      </w:r>
      <w:r w:rsidR="003A31FE">
        <w:rPr>
          <w:rFonts w:asciiTheme="minorHAnsi" w:hAnsiTheme="minorHAnsi" w:cstheme="minorHAnsi"/>
          <w:sz w:val="22"/>
          <w:szCs w:val="22"/>
        </w:rPr>
        <w:t>ed</w:t>
      </w:r>
      <w:r w:rsidR="007D46A5" w:rsidRPr="007D46A5">
        <w:rPr>
          <w:rFonts w:asciiTheme="minorHAnsi" w:hAnsiTheme="minorHAnsi" w:cstheme="minorHAnsi"/>
          <w:sz w:val="22"/>
          <w:szCs w:val="22"/>
        </w:rPr>
        <w:t xml:space="preserve"> a combination of </w:t>
      </w:r>
      <w:r w:rsidR="00873DCC">
        <w:rPr>
          <w:rFonts w:asciiTheme="minorHAnsi" w:hAnsiTheme="minorHAnsi" w:cstheme="minorHAnsi"/>
          <w:sz w:val="22"/>
          <w:szCs w:val="22"/>
        </w:rPr>
        <w:t xml:space="preserve">IPCC </w:t>
      </w:r>
      <w:r w:rsidR="007D46A5" w:rsidRPr="007D46A5">
        <w:rPr>
          <w:rFonts w:asciiTheme="minorHAnsi" w:hAnsiTheme="minorHAnsi" w:cstheme="minorHAnsi"/>
          <w:sz w:val="22"/>
          <w:szCs w:val="22"/>
        </w:rPr>
        <w:t xml:space="preserve">Tier 2 and </w:t>
      </w:r>
      <w:r w:rsidR="00AB7536">
        <w:rPr>
          <w:rFonts w:asciiTheme="minorHAnsi" w:hAnsiTheme="minorHAnsi" w:cstheme="minorHAnsi"/>
          <w:sz w:val="22"/>
          <w:szCs w:val="22"/>
        </w:rPr>
        <w:t>Tier 3</w:t>
      </w:r>
      <w:r w:rsidR="007D46A5" w:rsidRPr="007D46A5">
        <w:rPr>
          <w:rFonts w:asciiTheme="minorHAnsi" w:hAnsiTheme="minorHAnsi" w:cstheme="minorHAnsi"/>
          <w:sz w:val="22"/>
          <w:szCs w:val="22"/>
        </w:rPr>
        <w:t xml:space="preserve"> </w:t>
      </w:r>
      <w:r w:rsidR="007D46A5">
        <w:rPr>
          <w:rFonts w:asciiTheme="minorHAnsi" w:hAnsiTheme="minorHAnsi" w:cstheme="minorHAnsi"/>
          <w:sz w:val="22"/>
          <w:szCs w:val="22"/>
        </w:rPr>
        <w:t>methodologies</w:t>
      </w:r>
      <w:r w:rsidR="007D46A5" w:rsidRPr="007D46A5">
        <w:rPr>
          <w:rFonts w:asciiTheme="minorHAnsi" w:hAnsiTheme="minorHAnsi" w:cstheme="minorHAnsi"/>
          <w:sz w:val="22"/>
          <w:szCs w:val="22"/>
        </w:rPr>
        <w:t xml:space="preserve"> for </w:t>
      </w:r>
      <w:r w:rsidR="00E2448B">
        <w:rPr>
          <w:rFonts w:asciiTheme="minorHAnsi" w:hAnsiTheme="minorHAnsi" w:cstheme="minorHAnsi"/>
          <w:sz w:val="22"/>
          <w:szCs w:val="22"/>
        </w:rPr>
        <w:t>CH</w:t>
      </w:r>
      <w:r w:rsidR="00E2448B" w:rsidRPr="00E2448B">
        <w:rPr>
          <w:rFonts w:asciiTheme="minorHAnsi" w:hAnsiTheme="minorHAnsi" w:cstheme="minorHAnsi"/>
          <w:sz w:val="22"/>
          <w:szCs w:val="22"/>
          <w:vertAlign w:val="subscript"/>
        </w:rPr>
        <w:t>4</w:t>
      </w:r>
      <w:r w:rsidR="007D46A5" w:rsidRPr="007D46A5">
        <w:rPr>
          <w:rFonts w:asciiTheme="minorHAnsi" w:hAnsiTheme="minorHAnsi" w:cstheme="minorHAnsi"/>
          <w:sz w:val="22"/>
          <w:szCs w:val="22"/>
        </w:rPr>
        <w:t xml:space="preserve"> and </w:t>
      </w:r>
      <w:r w:rsidR="0041115B">
        <w:rPr>
          <w:rFonts w:asciiTheme="minorHAnsi" w:hAnsiTheme="minorHAnsi" w:cstheme="minorHAnsi"/>
          <w:sz w:val="22"/>
          <w:szCs w:val="22"/>
        </w:rPr>
        <w:t>N</w:t>
      </w:r>
      <w:r w:rsidR="0041115B">
        <w:rPr>
          <w:rFonts w:asciiTheme="minorHAnsi" w:hAnsiTheme="minorHAnsi" w:cstheme="minorHAnsi"/>
          <w:sz w:val="22"/>
          <w:szCs w:val="22"/>
          <w:vertAlign w:val="subscript"/>
        </w:rPr>
        <w:t>2</w:t>
      </w:r>
      <w:r w:rsidR="0041115B">
        <w:rPr>
          <w:rFonts w:asciiTheme="minorHAnsi" w:hAnsiTheme="minorHAnsi" w:cstheme="minorHAnsi"/>
          <w:sz w:val="22"/>
          <w:szCs w:val="22"/>
        </w:rPr>
        <w:t>O</w:t>
      </w:r>
      <w:r w:rsidR="007D46A5" w:rsidRPr="007D46A5">
        <w:rPr>
          <w:rFonts w:asciiTheme="minorHAnsi" w:hAnsiTheme="minorHAnsi" w:cstheme="minorHAnsi"/>
          <w:sz w:val="22"/>
          <w:szCs w:val="22"/>
        </w:rPr>
        <w:t xml:space="preserve"> from </w:t>
      </w:r>
      <w:r w:rsidR="007D46A5">
        <w:rPr>
          <w:rFonts w:asciiTheme="minorHAnsi" w:hAnsiTheme="minorHAnsi" w:cstheme="minorHAnsi"/>
          <w:sz w:val="22"/>
          <w:szCs w:val="22"/>
        </w:rPr>
        <w:t>agriculture</w:t>
      </w:r>
      <w:r w:rsidR="002E381A">
        <w:rPr>
          <w:rFonts w:asciiTheme="minorHAnsi" w:hAnsiTheme="minorHAnsi" w:cstheme="minorHAnsi"/>
          <w:sz w:val="22"/>
          <w:szCs w:val="22"/>
        </w:rPr>
        <w:t>,</w:t>
      </w:r>
      <w:r w:rsidR="007D46A5">
        <w:rPr>
          <w:rFonts w:asciiTheme="minorHAnsi" w:hAnsiTheme="minorHAnsi" w:cstheme="minorHAnsi"/>
          <w:sz w:val="22"/>
          <w:szCs w:val="22"/>
        </w:rPr>
        <w:t xml:space="preserve"> </w:t>
      </w:r>
      <w:r w:rsidR="00BC0049">
        <w:rPr>
          <w:rFonts w:asciiTheme="minorHAnsi" w:hAnsiTheme="minorHAnsi" w:cstheme="minorHAnsi"/>
          <w:sz w:val="22"/>
          <w:szCs w:val="22"/>
        </w:rPr>
        <w:t>which use country</w:t>
      </w:r>
      <w:r w:rsidR="003A31FE">
        <w:rPr>
          <w:rFonts w:asciiTheme="minorHAnsi" w:hAnsiTheme="minorHAnsi" w:cstheme="minorHAnsi"/>
          <w:sz w:val="22"/>
          <w:szCs w:val="22"/>
        </w:rPr>
        <w:t>-</w:t>
      </w:r>
      <w:r w:rsidR="00BC0049">
        <w:rPr>
          <w:rFonts w:asciiTheme="minorHAnsi" w:hAnsiTheme="minorHAnsi" w:cstheme="minorHAnsi"/>
          <w:sz w:val="22"/>
          <w:szCs w:val="22"/>
        </w:rPr>
        <w:t>specific emission</w:t>
      </w:r>
      <w:r w:rsidR="00AB7536">
        <w:rPr>
          <w:rFonts w:asciiTheme="minorHAnsi" w:hAnsiTheme="minorHAnsi" w:cstheme="minorHAnsi"/>
          <w:sz w:val="22"/>
          <w:szCs w:val="22"/>
        </w:rPr>
        <w:t xml:space="preserve"> factors</w:t>
      </w:r>
      <w:r w:rsidR="00ED2CB7">
        <w:rPr>
          <w:rFonts w:asciiTheme="minorHAnsi" w:hAnsiTheme="minorHAnsi" w:cstheme="minorHAnsi"/>
          <w:sz w:val="22"/>
          <w:szCs w:val="22"/>
        </w:rPr>
        <w:t xml:space="preserve"> (EFs)</w:t>
      </w:r>
      <w:r w:rsidR="00AB7536">
        <w:rPr>
          <w:rFonts w:asciiTheme="minorHAnsi" w:hAnsiTheme="minorHAnsi" w:cstheme="minorHAnsi"/>
          <w:sz w:val="22"/>
          <w:szCs w:val="22"/>
        </w:rPr>
        <w:t xml:space="preserve"> </w:t>
      </w:r>
      <w:r w:rsidR="000B7A5A">
        <w:rPr>
          <w:rFonts w:asciiTheme="minorHAnsi" w:hAnsiTheme="minorHAnsi" w:cstheme="minorHAnsi"/>
          <w:sz w:val="22"/>
          <w:szCs w:val="22"/>
        </w:rPr>
        <w:t>to account for GHGs in</w:t>
      </w:r>
      <w:r w:rsidR="00BC0049">
        <w:rPr>
          <w:rFonts w:asciiTheme="minorHAnsi" w:hAnsiTheme="minorHAnsi" w:cstheme="minorHAnsi"/>
          <w:sz w:val="22"/>
          <w:szCs w:val="22"/>
        </w:rPr>
        <w:t xml:space="preserve"> </w:t>
      </w:r>
      <w:r w:rsidR="000B7A5A">
        <w:rPr>
          <w:rFonts w:asciiTheme="minorHAnsi" w:hAnsiTheme="minorHAnsi" w:cstheme="minorHAnsi"/>
          <w:sz w:val="22"/>
          <w:szCs w:val="22"/>
        </w:rPr>
        <w:t>the N</w:t>
      </w:r>
      <w:r w:rsidR="000B7A5A" w:rsidRPr="000B7A5A">
        <w:rPr>
          <w:rFonts w:asciiTheme="minorHAnsi" w:hAnsiTheme="minorHAnsi" w:cstheme="minorHAnsi"/>
          <w:sz w:val="22"/>
          <w:szCs w:val="22"/>
        </w:rPr>
        <w:t xml:space="preserve">ational </w:t>
      </w:r>
      <w:r w:rsidR="000B7A5A">
        <w:rPr>
          <w:rFonts w:asciiTheme="minorHAnsi" w:hAnsiTheme="minorHAnsi" w:cstheme="minorHAnsi"/>
          <w:sz w:val="22"/>
          <w:szCs w:val="22"/>
        </w:rPr>
        <w:t>GHG I</w:t>
      </w:r>
      <w:r w:rsidR="000B7A5A" w:rsidRPr="000B7A5A">
        <w:rPr>
          <w:rFonts w:asciiTheme="minorHAnsi" w:hAnsiTheme="minorHAnsi" w:cstheme="minorHAnsi"/>
          <w:sz w:val="22"/>
          <w:szCs w:val="22"/>
        </w:rPr>
        <w:t xml:space="preserve">nventory </w:t>
      </w:r>
      <w:r w:rsidR="007D46A5">
        <w:rPr>
          <w:rFonts w:asciiTheme="minorHAnsi" w:hAnsiTheme="minorHAnsi" w:cstheme="minorHAnsi"/>
          <w:sz w:val="22"/>
          <w:szCs w:val="22"/>
        </w:rPr>
        <w:t xml:space="preserve">and forms a basis for improved mitigation policy </w:t>
      </w:r>
      <w:r w:rsidR="007D46A5">
        <w:rPr>
          <w:rFonts w:asciiTheme="minorHAnsi" w:hAnsiTheme="minorHAnsi" w:cstheme="minorHAnsi"/>
          <w:sz w:val="22"/>
          <w:szCs w:val="22"/>
        </w:rPr>
        <w:fldChar w:fldCharType="begin"/>
      </w:r>
      <w:r w:rsidR="002655A7">
        <w:rPr>
          <w:rFonts w:asciiTheme="minorHAnsi" w:hAnsiTheme="minorHAnsi" w:cstheme="minorHAnsi"/>
          <w:sz w:val="22"/>
          <w:szCs w:val="22"/>
        </w:rPr>
        <w:instrText xml:space="preserve"> ADDIN ZOTERO_ITEM CSL_CITATION {"citationID":"ev46pszR","properties":{"formattedCitation":"(IPCC, 2019)","plainCitation":"(IPCC, 2019)","noteIndex":0},"citationItems":[{"id":249,"uris":["http://zotero.org/users/6500992/items/SHYSXT96"],"itemData":{"id":249,"type":"book","title":"2019 Refinement to the 2006 IPCC Guidelines for National Greenhouse Gas Inventories","URL":"https://www.ipcc-nggip.iges.or.jp/public/2019rf/pdf/4_Volume4/19R_V4_Ch11_Soils_N2O_CO2.pdf","volume":"4","author":[{"family":"IPCC","given":""}],"accessed":{"date-parts":[["2020",10,16]]},"issued":{"date-parts":[["2019"]]}}}],"schema":"https://github.com/citation-style-language/schema/raw/master/csl-citation.json"} </w:instrText>
      </w:r>
      <w:r w:rsidR="007D46A5">
        <w:rPr>
          <w:rFonts w:asciiTheme="minorHAnsi" w:hAnsiTheme="minorHAnsi" w:cstheme="minorHAnsi"/>
          <w:sz w:val="22"/>
          <w:szCs w:val="22"/>
        </w:rPr>
        <w:fldChar w:fldCharType="separate"/>
      </w:r>
      <w:r w:rsidR="00A573B5" w:rsidRPr="00A573B5">
        <w:rPr>
          <w:rFonts w:ascii="Calibri" w:hAnsi="Calibri" w:cs="Calibri"/>
          <w:sz w:val="22"/>
        </w:rPr>
        <w:t>(IPCC, 2019)</w:t>
      </w:r>
      <w:r w:rsidR="007D46A5">
        <w:rPr>
          <w:rFonts w:asciiTheme="minorHAnsi" w:hAnsiTheme="minorHAnsi" w:cstheme="minorHAnsi"/>
          <w:sz w:val="22"/>
          <w:szCs w:val="22"/>
        </w:rPr>
        <w:fldChar w:fldCharType="end"/>
      </w:r>
      <w:r w:rsidR="00BC0049">
        <w:rPr>
          <w:rFonts w:asciiTheme="minorHAnsi" w:hAnsiTheme="minorHAnsi" w:cstheme="minorHAnsi"/>
          <w:sz w:val="22"/>
          <w:szCs w:val="22"/>
        </w:rPr>
        <w:t xml:space="preserve">. </w:t>
      </w:r>
      <w:r w:rsidR="00C55650" w:rsidRPr="00C55650">
        <w:rPr>
          <w:rFonts w:asciiTheme="minorHAnsi" w:hAnsiTheme="minorHAnsi" w:cstheme="minorHAnsi"/>
          <w:sz w:val="22"/>
          <w:szCs w:val="22"/>
        </w:rPr>
        <w:t xml:space="preserve">Many </w:t>
      </w:r>
      <w:r w:rsidR="00185938">
        <w:rPr>
          <w:rFonts w:asciiTheme="minorHAnsi" w:hAnsiTheme="minorHAnsi" w:cstheme="minorHAnsi"/>
          <w:sz w:val="22"/>
          <w:szCs w:val="22"/>
        </w:rPr>
        <w:t xml:space="preserve">GHG </w:t>
      </w:r>
      <w:r w:rsidR="00C55650" w:rsidRPr="00C55650">
        <w:rPr>
          <w:rFonts w:asciiTheme="minorHAnsi" w:hAnsiTheme="minorHAnsi" w:cstheme="minorHAnsi"/>
          <w:sz w:val="22"/>
          <w:szCs w:val="22"/>
        </w:rPr>
        <w:t>accounting tools are available to quantify GHG emissions at the farm level</w:t>
      </w:r>
      <w:r w:rsidR="00AB7536">
        <w:rPr>
          <w:rFonts w:asciiTheme="minorHAnsi" w:hAnsiTheme="minorHAnsi" w:cstheme="minorHAnsi"/>
          <w:sz w:val="22"/>
          <w:szCs w:val="22"/>
        </w:rPr>
        <w:t xml:space="preserve"> </w:t>
      </w:r>
      <w:r w:rsidR="00C55650">
        <w:rPr>
          <w:rFonts w:asciiTheme="minorHAnsi" w:hAnsiTheme="minorHAnsi" w:cstheme="minorHAnsi"/>
          <w:sz w:val="22"/>
          <w:szCs w:val="22"/>
        </w:rPr>
        <w:fldChar w:fldCharType="begin"/>
      </w:r>
      <w:r w:rsidR="00C55650">
        <w:rPr>
          <w:rFonts w:asciiTheme="minorHAnsi" w:hAnsiTheme="minorHAnsi" w:cstheme="minorHAnsi"/>
          <w:sz w:val="22"/>
          <w:szCs w:val="22"/>
        </w:rPr>
        <w:instrText xml:space="preserve"> ADDIN ZOTERO_ITEM CSL_CITATION {"citationID":"H4XU2eh8","properties":{"formattedCitation":"(Sykes et al., 2017; Taft et al., 2018)","plainCitation":"(Sykes et al., 2017; Taft et al., 2018)","noteIndex":0},"citationItems":[{"id":186,"uris":["http://zotero.org/users/6500992/items/AYQ7BKQM"],"itemData":{"id":186,"type":"article-journal","abstract":"Farm-level greenhouse gas (GHG) footprinting tools produce markedly different results from common input datasets. These tools are typically empirical, broad scope models which are valuable for their ability to account for a range of on-farm GHG sources using non-specialist data. Many of these tools are publicly available, and are employed by users from a range of backgrounds to provide enterprise-level carbon footprints. They may be used to inform mitigation strategies and policy developments, though are often developed outside the peer-review system, and as such the methodology employed may be sparsely documented.","container-title":"Journal of Cleaner Production","DOI":"10.1016/j.jclepro.2017.06.197","journalAbbreviation":"Journal of Cleaner Production","source":"ResearchGate","title":"A comparison of farm-level greenhouse gas calculators in their application on beef production systems","volume":"164","author":[{"family":"Sykes","given":"Alasdair"},{"family":"Topp","given":"Kairsty"},{"family":"Wilson","given":"Ron"},{"family":"Reid","given":"Gillian"},{"family":"Rees","given":"Bob"}],"issued":{"date-parts":[["2017",6,1]]}}},{"id":260,"uris":["http://zotero.org/users/6500992/items/DIV7DGDV"],"itemData":{"id":260,"type":"report","collection-title":"A Climate Smart Agriculture (Wales) Report","language":"en","page":"91","source":"Zotero","title":"A review of greenhouse gas calculators for use in the Welsh agricultural sector","author":[{"family":"Taft","given":"Helen"},{"family":"Chadwick","given":"Dave"},{"family":"Styles","given":"David"},{"family":"Kipling","given":"Richard"},{"family":"Newbold","given":"Jamie"},{"family":"Moorby","given":"Jon"}],"issued":{"date-parts":[["2018"]]}}}],"schema":"https://github.com/citation-style-language/schema/raw/master/csl-citation.json"} </w:instrText>
      </w:r>
      <w:r w:rsidR="00C55650">
        <w:rPr>
          <w:rFonts w:asciiTheme="minorHAnsi" w:hAnsiTheme="minorHAnsi" w:cstheme="minorHAnsi"/>
          <w:sz w:val="22"/>
          <w:szCs w:val="22"/>
        </w:rPr>
        <w:fldChar w:fldCharType="separate"/>
      </w:r>
      <w:r w:rsidR="00A573B5" w:rsidRPr="00A573B5">
        <w:rPr>
          <w:rFonts w:ascii="Calibri" w:hAnsi="Calibri" w:cs="Calibri"/>
          <w:sz w:val="22"/>
        </w:rPr>
        <w:t>(Sykes et al., 2017; Taft et al., 2018)</w:t>
      </w:r>
      <w:r w:rsidR="00C55650">
        <w:rPr>
          <w:rFonts w:asciiTheme="minorHAnsi" w:hAnsiTheme="minorHAnsi" w:cstheme="minorHAnsi"/>
          <w:sz w:val="22"/>
          <w:szCs w:val="22"/>
        </w:rPr>
        <w:fldChar w:fldCharType="end"/>
      </w:r>
      <w:r w:rsidR="00C55650">
        <w:rPr>
          <w:rFonts w:asciiTheme="minorHAnsi" w:hAnsiTheme="minorHAnsi" w:cstheme="minorHAnsi"/>
          <w:sz w:val="22"/>
          <w:szCs w:val="22"/>
        </w:rPr>
        <w:t>.</w:t>
      </w:r>
      <w:r w:rsidR="00C55650" w:rsidRPr="00C55650">
        <w:t xml:space="preserve"> </w:t>
      </w:r>
      <w:r w:rsidR="00C55650">
        <w:rPr>
          <w:rFonts w:asciiTheme="minorHAnsi" w:hAnsiTheme="minorHAnsi" w:cstheme="minorHAnsi"/>
          <w:sz w:val="22"/>
          <w:szCs w:val="22"/>
        </w:rPr>
        <w:t>These tools allow year</w:t>
      </w:r>
      <w:r w:rsidR="003A31FE">
        <w:rPr>
          <w:rFonts w:asciiTheme="minorHAnsi" w:hAnsiTheme="minorHAnsi" w:cstheme="minorHAnsi"/>
          <w:sz w:val="22"/>
          <w:szCs w:val="22"/>
        </w:rPr>
        <w:t>-</w:t>
      </w:r>
      <w:r w:rsidR="00C55650">
        <w:rPr>
          <w:rFonts w:asciiTheme="minorHAnsi" w:hAnsiTheme="minorHAnsi" w:cstheme="minorHAnsi"/>
          <w:sz w:val="22"/>
          <w:szCs w:val="22"/>
        </w:rPr>
        <w:t>on</w:t>
      </w:r>
      <w:r w:rsidR="003A31FE">
        <w:rPr>
          <w:rFonts w:asciiTheme="minorHAnsi" w:hAnsiTheme="minorHAnsi" w:cstheme="minorHAnsi"/>
          <w:sz w:val="22"/>
          <w:szCs w:val="22"/>
        </w:rPr>
        <w:t>-</w:t>
      </w:r>
      <w:r w:rsidR="00C55650">
        <w:rPr>
          <w:rFonts w:asciiTheme="minorHAnsi" w:hAnsiTheme="minorHAnsi" w:cstheme="minorHAnsi"/>
          <w:sz w:val="22"/>
          <w:szCs w:val="22"/>
        </w:rPr>
        <w:t>year comparisons and benchmarking with other farms</w:t>
      </w:r>
      <w:r w:rsidR="00C55650" w:rsidRPr="00C55650">
        <w:rPr>
          <w:rFonts w:asciiTheme="minorHAnsi" w:hAnsiTheme="minorHAnsi" w:cstheme="minorHAnsi"/>
          <w:sz w:val="22"/>
          <w:szCs w:val="22"/>
        </w:rPr>
        <w:t>, which can highlight opportunities for mitigation measures</w:t>
      </w:r>
      <w:r w:rsidR="00873DCC">
        <w:rPr>
          <w:rFonts w:asciiTheme="minorHAnsi" w:hAnsiTheme="minorHAnsi" w:cstheme="minorHAnsi"/>
          <w:sz w:val="22"/>
          <w:szCs w:val="22"/>
        </w:rPr>
        <w:t>, increased production efficiency,</w:t>
      </w:r>
      <w:r w:rsidR="00C55650" w:rsidRPr="00C55650">
        <w:rPr>
          <w:rFonts w:asciiTheme="minorHAnsi" w:hAnsiTheme="minorHAnsi" w:cstheme="minorHAnsi"/>
          <w:sz w:val="22"/>
          <w:szCs w:val="22"/>
        </w:rPr>
        <w:t xml:space="preserve"> and sharing of good </w:t>
      </w:r>
      <w:r w:rsidR="000B7A5A" w:rsidRPr="00C55650">
        <w:rPr>
          <w:rFonts w:asciiTheme="minorHAnsi" w:hAnsiTheme="minorHAnsi" w:cstheme="minorHAnsi"/>
          <w:sz w:val="22"/>
          <w:szCs w:val="22"/>
        </w:rPr>
        <w:t>practi</w:t>
      </w:r>
      <w:r w:rsidR="000B7A5A">
        <w:rPr>
          <w:rFonts w:asciiTheme="minorHAnsi" w:hAnsiTheme="minorHAnsi" w:cstheme="minorHAnsi"/>
          <w:sz w:val="22"/>
          <w:szCs w:val="22"/>
        </w:rPr>
        <w:t>c</w:t>
      </w:r>
      <w:r w:rsidR="000B7A5A" w:rsidRPr="00C55650">
        <w:rPr>
          <w:rFonts w:asciiTheme="minorHAnsi" w:hAnsiTheme="minorHAnsi" w:cstheme="minorHAnsi"/>
          <w:sz w:val="22"/>
          <w:szCs w:val="22"/>
        </w:rPr>
        <w:t>e</w:t>
      </w:r>
      <w:r w:rsidR="00655708">
        <w:rPr>
          <w:rFonts w:asciiTheme="minorHAnsi" w:hAnsiTheme="minorHAnsi" w:cstheme="minorHAnsi"/>
          <w:sz w:val="22"/>
          <w:szCs w:val="22"/>
        </w:rPr>
        <w:t>.</w:t>
      </w:r>
    </w:p>
    <w:p w14:paraId="2722F6C2" w14:textId="7302C32F" w:rsidR="00C42C1D" w:rsidRDefault="00C42C1D" w:rsidP="00BA3E62">
      <w:pPr>
        <w:spacing w:line="360" w:lineRule="auto"/>
        <w:jc w:val="both"/>
        <w:rPr>
          <w:rFonts w:asciiTheme="minorHAnsi" w:hAnsiTheme="minorHAnsi" w:cstheme="minorHAnsi"/>
          <w:sz w:val="22"/>
          <w:szCs w:val="22"/>
        </w:rPr>
      </w:pPr>
    </w:p>
    <w:p w14:paraId="05A37AD4" w14:textId="19E22D73" w:rsidR="00DC0062" w:rsidRDefault="00E4208F" w:rsidP="00BA3E62">
      <w:pPr>
        <w:spacing w:line="360" w:lineRule="auto"/>
        <w:jc w:val="both"/>
        <w:rPr>
          <w:rFonts w:asciiTheme="minorHAnsi" w:hAnsiTheme="minorHAnsi" w:cstheme="minorHAnsi"/>
          <w:sz w:val="22"/>
          <w:szCs w:val="22"/>
        </w:rPr>
      </w:pPr>
      <w:r>
        <w:rPr>
          <w:rFonts w:asciiTheme="minorHAnsi" w:hAnsiTheme="minorHAnsi" w:cstheme="minorHAnsi"/>
          <w:sz w:val="22"/>
          <w:szCs w:val="22"/>
        </w:rPr>
        <w:t>Th</w:t>
      </w:r>
      <w:r w:rsidR="00C42C1D" w:rsidRPr="00C42C1D">
        <w:rPr>
          <w:rFonts w:asciiTheme="minorHAnsi" w:hAnsiTheme="minorHAnsi" w:cstheme="minorHAnsi"/>
          <w:sz w:val="22"/>
          <w:szCs w:val="22"/>
        </w:rPr>
        <w:t xml:space="preserve">e </w:t>
      </w:r>
      <w:r w:rsidR="003F2FAF">
        <w:rPr>
          <w:rFonts w:asciiTheme="minorHAnsi" w:hAnsiTheme="minorHAnsi" w:cstheme="minorHAnsi"/>
          <w:sz w:val="22"/>
          <w:szCs w:val="22"/>
        </w:rPr>
        <w:t xml:space="preserve">UK </w:t>
      </w:r>
      <w:r w:rsidR="001140D7">
        <w:rPr>
          <w:rFonts w:asciiTheme="minorHAnsi" w:hAnsiTheme="minorHAnsi" w:cstheme="minorHAnsi"/>
          <w:sz w:val="22"/>
          <w:szCs w:val="22"/>
        </w:rPr>
        <w:t>Climate Change Committee</w:t>
      </w:r>
      <w:r w:rsidR="001140D7" w:rsidRPr="00C42C1D">
        <w:rPr>
          <w:rFonts w:asciiTheme="minorHAnsi" w:hAnsiTheme="minorHAnsi" w:cstheme="minorHAnsi"/>
          <w:sz w:val="22"/>
          <w:szCs w:val="22"/>
        </w:rPr>
        <w:t xml:space="preserve"> </w:t>
      </w:r>
      <w:r w:rsidR="006847BA">
        <w:rPr>
          <w:rFonts w:asciiTheme="minorHAnsi" w:hAnsiTheme="minorHAnsi" w:cstheme="minorHAnsi"/>
          <w:sz w:val="22"/>
          <w:szCs w:val="22"/>
        </w:rPr>
        <w:t xml:space="preserve">set out a “Further Ambition” scenario </w:t>
      </w:r>
      <w:r w:rsidR="00585C61">
        <w:rPr>
          <w:rFonts w:asciiTheme="minorHAnsi" w:hAnsiTheme="minorHAnsi" w:cstheme="minorHAnsi"/>
          <w:sz w:val="22"/>
          <w:szCs w:val="22"/>
        </w:rPr>
        <w:t xml:space="preserve">for </w:t>
      </w:r>
      <w:r>
        <w:rPr>
          <w:rFonts w:asciiTheme="minorHAnsi" w:hAnsiTheme="minorHAnsi" w:cstheme="minorHAnsi"/>
          <w:sz w:val="22"/>
          <w:szCs w:val="22"/>
        </w:rPr>
        <w:t>agriculture, land use and peatlands</w:t>
      </w:r>
      <w:r w:rsidR="004E2DB1">
        <w:rPr>
          <w:rFonts w:asciiTheme="minorHAnsi" w:hAnsiTheme="minorHAnsi" w:cstheme="minorHAnsi"/>
          <w:sz w:val="22"/>
          <w:szCs w:val="22"/>
        </w:rPr>
        <w:t xml:space="preserve"> in their 2019 Net Zero report</w:t>
      </w:r>
      <w:r w:rsidR="002E381A">
        <w:rPr>
          <w:rFonts w:asciiTheme="minorHAnsi" w:hAnsiTheme="minorHAnsi" w:cstheme="minorHAnsi"/>
          <w:sz w:val="22"/>
          <w:szCs w:val="22"/>
        </w:rPr>
        <w:t>,</w:t>
      </w:r>
      <w:r>
        <w:rPr>
          <w:rFonts w:asciiTheme="minorHAnsi" w:hAnsiTheme="minorHAnsi" w:cstheme="minorHAnsi"/>
          <w:sz w:val="22"/>
          <w:szCs w:val="22"/>
        </w:rPr>
        <w:t xml:space="preserve"> </w:t>
      </w:r>
      <w:r w:rsidR="00585C61">
        <w:rPr>
          <w:rFonts w:asciiTheme="minorHAnsi" w:hAnsiTheme="minorHAnsi" w:cstheme="minorHAnsi"/>
          <w:sz w:val="22"/>
          <w:szCs w:val="22"/>
        </w:rPr>
        <w:t xml:space="preserve">which </w:t>
      </w:r>
      <w:r w:rsidR="00873DCC">
        <w:rPr>
          <w:rFonts w:asciiTheme="minorHAnsi" w:hAnsiTheme="minorHAnsi" w:cstheme="minorHAnsi"/>
          <w:sz w:val="22"/>
          <w:szCs w:val="22"/>
        </w:rPr>
        <w:t xml:space="preserve">specified </w:t>
      </w:r>
      <w:r w:rsidR="00585C61">
        <w:rPr>
          <w:rFonts w:asciiTheme="minorHAnsi" w:hAnsiTheme="minorHAnsi" w:cstheme="minorHAnsi"/>
          <w:sz w:val="22"/>
          <w:szCs w:val="22"/>
        </w:rPr>
        <w:t>emissions reductions of</w:t>
      </w:r>
      <w:r w:rsidR="00C42C1D" w:rsidRPr="00C42C1D">
        <w:rPr>
          <w:rFonts w:asciiTheme="minorHAnsi" w:hAnsiTheme="minorHAnsi" w:cstheme="minorHAnsi"/>
          <w:sz w:val="22"/>
          <w:szCs w:val="22"/>
        </w:rPr>
        <w:t xml:space="preserve"> 64%</w:t>
      </w:r>
      <w:r w:rsidR="00F02CD7">
        <w:rPr>
          <w:rFonts w:asciiTheme="minorHAnsi" w:hAnsiTheme="minorHAnsi" w:cstheme="minorHAnsi"/>
          <w:sz w:val="22"/>
          <w:szCs w:val="22"/>
        </w:rPr>
        <w:t xml:space="preserve"> by 2050</w:t>
      </w:r>
      <w:r w:rsidR="00105F77">
        <w:rPr>
          <w:rFonts w:asciiTheme="minorHAnsi" w:hAnsiTheme="minorHAnsi" w:cstheme="minorHAnsi"/>
          <w:sz w:val="22"/>
          <w:szCs w:val="22"/>
        </w:rPr>
        <w:t xml:space="preserve"> </w:t>
      </w:r>
      <w:r w:rsidR="00585C61">
        <w:rPr>
          <w:rFonts w:asciiTheme="minorHAnsi" w:hAnsiTheme="minorHAnsi" w:cstheme="minorHAnsi"/>
          <w:sz w:val="22"/>
          <w:szCs w:val="22"/>
        </w:rPr>
        <w:t>compared with 2017</w:t>
      </w:r>
      <w:r w:rsidR="004E2DB1">
        <w:rPr>
          <w:rFonts w:asciiTheme="minorHAnsi" w:hAnsiTheme="minorHAnsi" w:cstheme="minorHAnsi"/>
          <w:sz w:val="22"/>
          <w:szCs w:val="22"/>
        </w:rPr>
        <w:t xml:space="preserve"> </w:t>
      </w:r>
      <w:r w:rsidR="00B35D1E">
        <w:rPr>
          <w:rFonts w:asciiTheme="minorHAnsi" w:hAnsiTheme="minorHAnsi" w:cstheme="minorHAnsi"/>
          <w:sz w:val="22"/>
          <w:szCs w:val="22"/>
        </w:rPr>
        <w:fldChar w:fldCharType="begin"/>
      </w:r>
      <w:r w:rsidR="00F95D57">
        <w:rPr>
          <w:rFonts w:asciiTheme="minorHAnsi" w:hAnsiTheme="minorHAnsi" w:cstheme="minorHAnsi"/>
          <w:sz w:val="22"/>
          <w:szCs w:val="22"/>
        </w:rPr>
        <w:instrText xml:space="preserve"> ADDIN ZOTERO_ITEM CSL_CITATION {"citationID":"Age6XdB7","properties":{"formattedCitation":"(Stark et al., 2019)","plainCitation":"(Stark et al., 2019)","noteIndex":0},"citationItems":[{"id":1255,"uris":["http://zotero.org/users/6500992/items/AHWRBGCU"],"itemData":{"id":1255,"type":"article-journal","note":"publisher: Committee on Climate Change","source":"Google Scholar","title":"Net Zero: The UK’s contribution to stopping global warming","title-short":"Net Zero","author":[{"family":"Stark","given":"Chris"},{"family":"Thompson","given":"Mike"},{"family":"Andrew","given":"Tom"},{"family":"Beasley","given":"Georgina"},{"family":"Bellamy","given":"Owen"},{"family":"Budden","given":"Peter"},{"family":"Cole","given":"Cloe"},{"family":"Darke","given":"James"},{"family":"Davies","given":"Ellie"},{"family":"Feliciano","given":"Diana"}],"issued":{"date-parts":[["2019"]]}}}],"schema":"https://github.com/citation-style-language/schema/raw/master/csl-citation.json"} </w:instrText>
      </w:r>
      <w:r w:rsidR="00B35D1E">
        <w:rPr>
          <w:rFonts w:asciiTheme="minorHAnsi" w:hAnsiTheme="minorHAnsi" w:cstheme="minorHAnsi"/>
          <w:sz w:val="22"/>
          <w:szCs w:val="22"/>
        </w:rPr>
        <w:fldChar w:fldCharType="separate"/>
      </w:r>
      <w:r w:rsidR="00A573B5" w:rsidRPr="00A573B5">
        <w:rPr>
          <w:rFonts w:ascii="Calibri" w:hAnsi="Calibri" w:cs="Calibri"/>
          <w:sz w:val="22"/>
        </w:rPr>
        <w:t>(Stark et al., 2019)</w:t>
      </w:r>
      <w:r w:rsidR="00B35D1E">
        <w:rPr>
          <w:rFonts w:asciiTheme="minorHAnsi" w:hAnsiTheme="minorHAnsi" w:cstheme="minorHAnsi"/>
          <w:sz w:val="22"/>
          <w:szCs w:val="22"/>
        </w:rPr>
        <w:fldChar w:fldCharType="end"/>
      </w:r>
      <w:r w:rsidR="00C42C1D" w:rsidRPr="00C42C1D">
        <w:rPr>
          <w:rFonts w:asciiTheme="minorHAnsi" w:hAnsiTheme="minorHAnsi" w:cstheme="minorHAnsi"/>
          <w:sz w:val="22"/>
          <w:szCs w:val="22"/>
        </w:rPr>
        <w:t>.</w:t>
      </w:r>
      <w:r w:rsidR="006A0A15">
        <w:rPr>
          <w:rFonts w:asciiTheme="minorHAnsi" w:hAnsiTheme="minorHAnsi" w:cstheme="minorHAnsi"/>
          <w:sz w:val="22"/>
          <w:szCs w:val="22"/>
        </w:rPr>
        <w:t xml:space="preserve"> </w:t>
      </w:r>
      <w:r w:rsidR="00C42C1D" w:rsidRPr="00C42C1D">
        <w:rPr>
          <w:rFonts w:asciiTheme="minorHAnsi" w:hAnsiTheme="minorHAnsi" w:cstheme="minorHAnsi"/>
          <w:sz w:val="22"/>
          <w:szCs w:val="22"/>
        </w:rPr>
        <w:t>Although there is not a specific target for livestock</w:t>
      </w:r>
      <w:r w:rsidR="003F2FAF">
        <w:rPr>
          <w:rFonts w:asciiTheme="minorHAnsi" w:hAnsiTheme="minorHAnsi" w:cstheme="minorHAnsi"/>
          <w:sz w:val="22"/>
          <w:szCs w:val="22"/>
        </w:rPr>
        <w:t xml:space="preserve"> sectors</w:t>
      </w:r>
      <w:r w:rsidR="00C42C1D" w:rsidRPr="00C42C1D">
        <w:rPr>
          <w:rFonts w:asciiTheme="minorHAnsi" w:hAnsiTheme="minorHAnsi" w:cstheme="minorHAnsi"/>
          <w:sz w:val="22"/>
          <w:szCs w:val="22"/>
        </w:rPr>
        <w:t>, it is presumed this should be in line with the wider agricultural sector. A 64% reduction from 201</w:t>
      </w:r>
      <w:r>
        <w:rPr>
          <w:rFonts w:asciiTheme="minorHAnsi" w:hAnsiTheme="minorHAnsi" w:cstheme="minorHAnsi"/>
          <w:sz w:val="22"/>
          <w:szCs w:val="22"/>
        </w:rPr>
        <w:t>7</w:t>
      </w:r>
      <w:r w:rsidR="00C42C1D" w:rsidRPr="00C42C1D">
        <w:rPr>
          <w:rFonts w:asciiTheme="minorHAnsi" w:hAnsiTheme="minorHAnsi" w:cstheme="minorHAnsi"/>
          <w:sz w:val="22"/>
          <w:szCs w:val="22"/>
        </w:rPr>
        <w:t xml:space="preserve"> </w:t>
      </w:r>
      <w:r w:rsidR="00C42C1D" w:rsidRPr="00C42C1D">
        <w:rPr>
          <w:rFonts w:asciiTheme="minorHAnsi" w:hAnsiTheme="minorHAnsi" w:cstheme="minorHAnsi"/>
          <w:sz w:val="22"/>
          <w:szCs w:val="22"/>
        </w:rPr>
        <w:lastRenderedPageBreak/>
        <w:t xml:space="preserve">livestock emissions would mean an </w:t>
      </w:r>
      <w:r w:rsidR="004033B2">
        <w:rPr>
          <w:rFonts w:asciiTheme="minorHAnsi" w:hAnsiTheme="minorHAnsi" w:cstheme="minorHAnsi"/>
          <w:sz w:val="22"/>
          <w:szCs w:val="22"/>
        </w:rPr>
        <w:t>37</w:t>
      </w:r>
      <w:r w:rsidR="00AC17BB">
        <w:rPr>
          <w:rFonts w:asciiTheme="minorHAnsi" w:hAnsiTheme="minorHAnsi" w:cstheme="minorHAnsi"/>
          <w:sz w:val="22"/>
          <w:szCs w:val="22"/>
        </w:rPr>
        <w:t xml:space="preserve"> </w:t>
      </w:r>
      <w:r w:rsidR="00C42C1D" w:rsidRPr="00C42C1D">
        <w:rPr>
          <w:rFonts w:asciiTheme="minorHAnsi" w:hAnsiTheme="minorHAnsi" w:cstheme="minorHAnsi"/>
          <w:sz w:val="22"/>
          <w:szCs w:val="22"/>
        </w:rPr>
        <w:t>Mt CO</w:t>
      </w:r>
      <w:r w:rsidR="00C42C1D" w:rsidRPr="00460701">
        <w:rPr>
          <w:rFonts w:asciiTheme="minorHAnsi" w:hAnsiTheme="minorHAnsi" w:cstheme="minorHAnsi"/>
          <w:sz w:val="22"/>
          <w:szCs w:val="22"/>
          <w:vertAlign w:val="subscript"/>
        </w:rPr>
        <w:t>2</w:t>
      </w:r>
      <w:r w:rsidR="00C42C1D" w:rsidRPr="00C42C1D">
        <w:rPr>
          <w:rFonts w:asciiTheme="minorHAnsi" w:hAnsiTheme="minorHAnsi" w:cstheme="minorHAnsi"/>
          <w:sz w:val="22"/>
          <w:szCs w:val="22"/>
        </w:rPr>
        <w:t>e reduction</w:t>
      </w:r>
      <w:r w:rsidR="00AC17BB">
        <w:rPr>
          <w:rFonts w:asciiTheme="minorHAnsi" w:hAnsiTheme="minorHAnsi" w:cstheme="minorHAnsi"/>
          <w:sz w:val="22"/>
          <w:szCs w:val="22"/>
        </w:rPr>
        <w:t xml:space="preserve"> </w:t>
      </w:r>
      <w:r w:rsidR="004033B2">
        <w:rPr>
          <w:rFonts w:asciiTheme="minorHAnsi" w:hAnsiTheme="minorHAnsi" w:cstheme="minorHAnsi"/>
          <w:sz w:val="22"/>
          <w:szCs w:val="22"/>
        </w:rPr>
        <w:fldChar w:fldCharType="begin"/>
      </w:r>
      <w:r w:rsidR="004033B2">
        <w:rPr>
          <w:rFonts w:asciiTheme="minorHAnsi" w:hAnsiTheme="minorHAnsi" w:cstheme="minorHAnsi"/>
          <w:sz w:val="22"/>
          <w:szCs w:val="22"/>
        </w:rPr>
        <w:instrText xml:space="preserve"> ADDIN ZOTERO_ITEM CSL_CITATION {"citationID":"ntHiwBYx","properties":{"formattedCitation":"(Climate Change Committee, 2020b)","plainCitation":"(Climate Change Committee, 2020b)","noteIndex":0},"citationItems":[{"id":213,"uris":["http://zotero.org/users/6500992/items/SL3T63B5"],"itemData":{"id":213,"type":"report","abstract":"This report presents the CCC’s first ever in-depth advice on UK agricultural and land use policies. The report assesses the way we use our land today and the changes required in how we farm and use land in order to deliver the UK Government’s Net Zero greenhouse gas emissions target by 2050.","language":"en-US","title":"Land use: Policies for a Net Zero UK","title-short":"Land use","URL":"https://www.theccc.org.uk/publication/land-use-policies-for-a-net-zero-uk/","author":[{"family":"Climate Change Committee","given":""}],"accessed":{"date-parts":[["2020",11,2]]},"issued":{"date-parts":[["2020"]]}}}],"schema":"https://github.com/citation-style-language/schema/raw/master/csl-citation.json"} </w:instrText>
      </w:r>
      <w:r w:rsidR="004033B2">
        <w:rPr>
          <w:rFonts w:asciiTheme="minorHAnsi" w:hAnsiTheme="minorHAnsi" w:cstheme="minorHAnsi"/>
          <w:sz w:val="22"/>
          <w:szCs w:val="22"/>
        </w:rPr>
        <w:fldChar w:fldCharType="separate"/>
      </w:r>
      <w:r w:rsidR="00A573B5" w:rsidRPr="00A573B5">
        <w:rPr>
          <w:rFonts w:ascii="Calibri" w:hAnsi="Calibri" w:cs="Calibri"/>
          <w:sz w:val="22"/>
        </w:rPr>
        <w:t>(Climate Change Committee, 2020b)</w:t>
      </w:r>
      <w:r w:rsidR="004033B2">
        <w:rPr>
          <w:rFonts w:asciiTheme="minorHAnsi" w:hAnsiTheme="minorHAnsi" w:cstheme="minorHAnsi"/>
          <w:sz w:val="22"/>
          <w:szCs w:val="22"/>
        </w:rPr>
        <w:fldChar w:fldCharType="end"/>
      </w:r>
      <w:r w:rsidR="00C42C1D" w:rsidRPr="00C42C1D">
        <w:rPr>
          <w:rFonts w:asciiTheme="minorHAnsi" w:hAnsiTheme="minorHAnsi" w:cstheme="minorHAnsi"/>
          <w:sz w:val="22"/>
          <w:szCs w:val="22"/>
        </w:rPr>
        <w:t>. How this is achieved depend</w:t>
      </w:r>
      <w:r w:rsidR="00A36C2B">
        <w:rPr>
          <w:rFonts w:asciiTheme="minorHAnsi" w:hAnsiTheme="minorHAnsi" w:cstheme="minorHAnsi"/>
          <w:sz w:val="22"/>
          <w:szCs w:val="22"/>
        </w:rPr>
        <w:t>s</w:t>
      </w:r>
      <w:r w:rsidR="00C42C1D" w:rsidRPr="00C42C1D">
        <w:rPr>
          <w:rFonts w:asciiTheme="minorHAnsi" w:hAnsiTheme="minorHAnsi" w:cstheme="minorHAnsi"/>
          <w:sz w:val="22"/>
          <w:szCs w:val="22"/>
        </w:rPr>
        <w:t xml:space="preserve"> on the uptake of </w:t>
      </w:r>
      <w:r w:rsidR="001140D7">
        <w:rPr>
          <w:rFonts w:asciiTheme="minorHAnsi" w:hAnsiTheme="minorHAnsi" w:cstheme="minorHAnsi"/>
          <w:sz w:val="22"/>
          <w:szCs w:val="22"/>
        </w:rPr>
        <w:t>GHG</w:t>
      </w:r>
      <w:r w:rsidR="00460D5F">
        <w:rPr>
          <w:rFonts w:asciiTheme="minorHAnsi" w:hAnsiTheme="minorHAnsi" w:cstheme="minorHAnsi"/>
          <w:sz w:val="22"/>
          <w:szCs w:val="22"/>
        </w:rPr>
        <w:t xml:space="preserve"> </w:t>
      </w:r>
      <w:r w:rsidR="00C42C1D" w:rsidRPr="00C42C1D">
        <w:rPr>
          <w:rFonts w:asciiTheme="minorHAnsi" w:hAnsiTheme="minorHAnsi" w:cstheme="minorHAnsi"/>
          <w:sz w:val="22"/>
          <w:szCs w:val="22"/>
        </w:rPr>
        <w:t xml:space="preserve">mitigation measures. A range of mitigation </w:t>
      </w:r>
      <w:r w:rsidR="003808B8">
        <w:rPr>
          <w:rFonts w:asciiTheme="minorHAnsi" w:hAnsiTheme="minorHAnsi" w:cstheme="minorHAnsi"/>
          <w:sz w:val="22"/>
          <w:szCs w:val="22"/>
        </w:rPr>
        <w:t>measures</w:t>
      </w:r>
      <w:r w:rsidR="003808B8" w:rsidRPr="00C42C1D">
        <w:rPr>
          <w:rFonts w:asciiTheme="minorHAnsi" w:hAnsiTheme="minorHAnsi" w:cstheme="minorHAnsi"/>
          <w:sz w:val="22"/>
          <w:szCs w:val="22"/>
        </w:rPr>
        <w:t xml:space="preserve"> </w:t>
      </w:r>
      <w:r w:rsidR="00C42C1D" w:rsidRPr="00C42C1D">
        <w:rPr>
          <w:rFonts w:asciiTheme="minorHAnsi" w:hAnsiTheme="minorHAnsi" w:cstheme="minorHAnsi"/>
          <w:sz w:val="22"/>
          <w:szCs w:val="22"/>
        </w:rPr>
        <w:t>are currently available</w:t>
      </w:r>
      <w:r w:rsidR="003808B8">
        <w:rPr>
          <w:rFonts w:asciiTheme="minorHAnsi" w:hAnsiTheme="minorHAnsi" w:cstheme="minorHAnsi"/>
          <w:sz w:val="22"/>
          <w:szCs w:val="22"/>
        </w:rPr>
        <w:t xml:space="preserve"> for </w:t>
      </w:r>
      <w:r w:rsidR="003808B8" w:rsidRPr="002141EF">
        <w:rPr>
          <w:rFonts w:asciiTheme="minorHAnsi" w:hAnsiTheme="minorHAnsi" w:cstheme="minorHAnsi"/>
          <w:sz w:val="22"/>
          <w:szCs w:val="22"/>
        </w:rPr>
        <w:t>the livestock sector</w:t>
      </w:r>
      <w:r w:rsidR="00C42C1D" w:rsidRPr="002141EF">
        <w:rPr>
          <w:rFonts w:asciiTheme="minorHAnsi" w:hAnsiTheme="minorHAnsi" w:cstheme="minorHAnsi"/>
          <w:sz w:val="22"/>
          <w:szCs w:val="22"/>
        </w:rPr>
        <w:t xml:space="preserve">, all with </w:t>
      </w:r>
      <w:r w:rsidR="00AB7536" w:rsidRPr="002141EF">
        <w:rPr>
          <w:rFonts w:asciiTheme="minorHAnsi" w:hAnsiTheme="minorHAnsi" w:cstheme="minorHAnsi"/>
          <w:sz w:val="22"/>
          <w:szCs w:val="22"/>
        </w:rPr>
        <w:t>varying</w:t>
      </w:r>
      <w:r w:rsidR="00C42C1D" w:rsidRPr="002141EF">
        <w:rPr>
          <w:rFonts w:asciiTheme="minorHAnsi" w:hAnsiTheme="minorHAnsi" w:cstheme="minorHAnsi"/>
          <w:sz w:val="22"/>
          <w:szCs w:val="22"/>
        </w:rPr>
        <w:t xml:space="preserve"> abatement potentials</w:t>
      </w:r>
      <w:r w:rsidR="00AE0B7F">
        <w:rPr>
          <w:rFonts w:asciiTheme="minorHAnsi" w:hAnsiTheme="minorHAnsi" w:cstheme="minorHAnsi"/>
          <w:sz w:val="22"/>
          <w:szCs w:val="22"/>
        </w:rPr>
        <w:t xml:space="preserve"> and </w:t>
      </w:r>
      <w:r w:rsidR="00C42C1D" w:rsidRPr="002141EF">
        <w:rPr>
          <w:rFonts w:asciiTheme="minorHAnsi" w:hAnsiTheme="minorHAnsi" w:cstheme="minorHAnsi"/>
          <w:sz w:val="22"/>
          <w:szCs w:val="22"/>
        </w:rPr>
        <w:t>cost</w:t>
      </w:r>
      <w:r w:rsidR="003808B8" w:rsidRPr="002141EF">
        <w:rPr>
          <w:rFonts w:asciiTheme="minorHAnsi" w:hAnsiTheme="minorHAnsi" w:cstheme="minorHAnsi"/>
          <w:sz w:val="22"/>
          <w:szCs w:val="22"/>
        </w:rPr>
        <w:t>-</w:t>
      </w:r>
      <w:r w:rsidR="00C42C1D" w:rsidRPr="002141EF">
        <w:rPr>
          <w:rFonts w:asciiTheme="minorHAnsi" w:hAnsiTheme="minorHAnsi" w:cstheme="minorHAnsi"/>
          <w:sz w:val="22"/>
          <w:szCs w:val="22"/>
        </w:rPr>
        <w:t>effectiveness</w:t>
      </w:r>
      <w:r w:rsidR="00C63BDF" w:rsidRPr="002141EF">
        <w:rPr>
          <w:rFonts w:asciiTheme="minorHAnsi" w:hAnsiTheme="minorHAnsi" w:cstheme="minorHAnsi"/>
          <w:sz w:val="22"/>
          <w:szCs w:val="22"/>
        </w:rPr>
        <w:t xml:space="preserve"> </w:t>
      </w:r>
      <w:r w:rsidR="00C63BDF" w:rsidRPr="002141EF">
        <w:rPr>
          <w:rFonts w:asciiTheme="minorHAnsi" w:hAnsiTheme="minorHAnsi" w:cstheme="minorHAnsi"/>
          <w:sz w:val="22"/>
          <w:szCs w:val="22"/>
        </w:rPr>
        <w:fldChar w:fldCharType="begin"/>
      </w:r>
      <w:r w:rsidR="00C85585">
        <w:rPr>
          <w:rFonts w:asciiTheme="minorHAnsi" w:hAnsiTheme="minorHAnsi" w:cstheme="minorHAnsi"/>
          <w:sz w:val="22"/>
          <w:szCs w:val="22"/>
        </w:rPr>
        <w:instrText xml:space="preserve"> ADDIN ZOTERO_ITEM CSL_CITATION {"citationID":"6tIvAsIz","properties":{"formattedCitation":"(Eory et al., 2020, 2015)","plainCitation":"(Eory et al., 2020, 2015)","noteIndex":0},"citationItems":[{"id":834,"uris":["http://zotero.org/users/6500992/items/PAZ7ZQLT"],"itemData":{"id":834,"type":"article-journal","abstract":"Scotland is committed to meeting a net-zero target for greenhouse gas (GHG) emissions by 2045 (Climate Change (Emissions Reduction Targets) (Scotland) Act 2019)). Agriculture and the land use sector can help in two ways: by changing practices to reduce GHG emissions and by storing carbon in the soil and plants. In 2018 agriculture and related land use was responsible for 23% of total Scottish emissions. The Climate Change Plan (CCP) is a key policy tool which is now being revised to help Scotland meet the new net-zero target. Policy development is informed by the Scottish ‘TIMES model’. This model pulls together emission, mitigation and mitigation cost data from all sectors to help understand the strategic choices required to decarbonise an economy. To ensure the model uses the most recent data for agriculture, our research updated estimates of the mitigation potential and the cost-effectiveness of a selection of agricultural mitigation options. It took into account the significant recent improvements in UK agricultural GHG inventory reporting (Smart Inventory). The aim was to estimate the average mitigation potential of different measures, along with costs per unit (e.g. hectare or animal), and total maximum applicability on-farm.","DOI":"10.7488/ERA/755","language":"en","note":"publisher: Scotland’s Rural College","source":"DOI.org (Datacite)","title":"Marginal abatement cost curve for Scottish agriculture","URL":"https://era.ed.ac.uk/handle/1842/37470","author":[{"family":"Eory","given":"Vera"},{"family":"Topp","given":"Kairsty"},{"family":"Rees","given":"Bob"},{"family":"Leinonen","given":"Illka"},{"family":"Maire","given":"Juliette"}],"contributor":[{"family":"University Of Edinburgh","given":""},{"family":"University Of Edinburgh","given":""}],"accessed":{"date-parts":[["2021",6,21]]},"issued":{"date-parts":[["2020",12]]}}},{"id":63,"uris":["http://zotero.org/users/6500992/items/LHDVBITP"],"itemData":{"id":63,"type":"report","genre":"Final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00C63BDF" w:rsidRPr="002141EF">
        <w:rPr>
          <w:rFonts w:asciiTheme="minorHAnsi" w:hAnsiTheme="minorHAnsi" w:cstheme="minorHAnsi"/>
          <w:sz w:val="22"/>
          <w:szCs w:val="22"/>
        </w:rPr>
        <w:fldChar w:fldCharType="separate"/>
      </w:r>
      <w:r w:rsidR="00C85585" w:rsidRPr="00C85585">
        <w:rPr>
          <w:rFonts w:ascii="Calibri" w:hAnsi="Calibri" w:cs="Calibri"/>
          <w:sz w:val="22"/>
        </w:rPr>
        <w:t>(Eory et al., 2020, 2015)</w:t>
      </w:r>
      <w:r w:rsidR="00C63BDF" w:rsidRPr="002141EF">
        <w:rPr>
          <w:rFonts w:asciiTheme="minorHAnsi" w:hAnsiTheme="minorHAnsi" w:cstheme="minorHAnsi"/>
          <w:sz w:val="22"/>
          <w:szCs w:val="22"/>
        </w:rPr>
        <w:fldChar w:fldCharType="end"/>
      </w:r>
      <w:r w:rsidR="00AE0B7F">
        <w:rPr>
          <w:rFonts w:asciiTheme="minorHAnsi" w:hAnsiTheme="minorHAnsi" w:cstheme="minorHAnsi"/>
          <w:sz w:val="22"/>
          <w:szCs w:val="22"/>
        </w:rPr>
        <w:t xml:space="preserve">; </w:t>
      </w:r>
      <w:r w:rsidR="00AE0B7F" w:rsidRPr="00581F72">
        <w:rPr>
          <w:rFonts w:asciiTheme="minorHAnsi" w:hAnsiTheme="minorHAnsi" w:cstheme="minorHAnsi"/>
          <w:sz w:val="22"/>
          <w:szCs w:val="22"/>
        </w:rPr>
        <w:t>the uptake for some of which has been incentivised or grant-aided through various schemes e.g.</w:t>
      </w:r>
      <w:r w:rsidR="00B75497">
        <w:rPr>
          <w:rFonts w:asciiTheme="minorHAnsi" w:hAnsiTheme="minorHAnsi" w:cstheme="minorHAnsi"/>
          <w:sz w:val="22"/>
          <w:szCs w:val="22"/>
        </w:rPr>
        <w:t>,</w:t>
      </w:r>
      <w:r w:rsidR="00464461" w:rsidRPr="00581F72">
        <w:rPr>
          <w:rFonts w:asciiTheme="minorHAnsi" w:hAnsiTheme="minorHAnsi" w:cstheme="minorHAnsi"/>
          <w:sz w:val="22"/>
          <w:szCs w:val="22"/>
        </w:rPr>
        <w:t xml:space="preserve"> the Farming Investment Fund in England</w:t>
      </w:r>
      <w:r w:rsidR="00616285" w:rsidRPr="00581F72">
        <w:rPr>
          <w:rFonts w:asciiTheme="minorHAnsi" w:hAnsiTheme="minorHAnsi" w:cstheme="minorHAnsi"/>
          <w:sz w:val="22"/>
          <w:szCs w:val="22"/>
        </w:rPr>
        <w:t xml:space="preserve"> </w:t>
      </w:r>
      <w:r w:rsidR="005053F6" w:rsidRPr="00581F72">
        <w:rPr>
          <w:rFonts w:asciiTheme="minorHAnsi" w:hAnsiTheme="minorHAnsi" w:cstheme="minorHAnsi"/>
          <w:sz w:val="22"/>
          <w:szCs w:val="22"/>
        </w:rPr>
        <w:fldChar w:fldCharType="begin"/>
      </w:r>
      <w:r w:rsidR="00581F72" w:rsidRPr="00581F72">
        <w:rPr>
          <w:rFonts w:asciiTheme="minorHAnsi" w:hAnsiTheme="minorHAnsi" w:cstheme="minorHAnsi"/>
          <w:sz w:val="22"/>
          <w:szCs w:val="22"/>
        </w:rPr>
        <w:instrText xml:space="preserve"> ADDIN ZOTERO_ITEM CSL_CITATION {"citationID":"tbaygdVz","properties":{"formattedCitation":"(UK Government, 2021)","plainCitation":"(UK Government, 2021)","noteIndex":0},"citationItems":[{"id":1291,"uris":["http://zotero.org/users/6500992/items/7TFRK3LH"],"itemData":{"id":1291,"type":"webpage","abstract":"Information about funding for farmers, foresters, growers and contractors about grants for investing in new technology.","container-title":"GOV.UK - Rural Payments Agency","language":"en","title":"Farming Investment Fund","URL":"https://www.gov.uk/guidance/farming-investment-fund","author":[{"family":"UK Government","given":""}],"accessed":{"date-parts":[["2022",12,14]]},"issued":{"date-parts":[["2021"]]}}}],"schema":"https://github.com/citation-style-language/schema/raw/master/csl-citation.json"} </w:instrText>
      </w:r>
      <w:r w:rsidR="005053F6" w:rsidRPr="00581F72">
        <w:rPr>
          <w:rFonts w:asciiTheme="minorHAnsi" w:hAnsiTheme="minorHAnsi" w:cstheme="minorHAnsi"/>
          <w:sz w:val="22"/>
          <w:szCs w:val="22"/>
        </w:rPr>
        <w:fldChar w:fldCharType="separate"/>
      </w:r>
      <w:r w:rsidR="00A573B5" w:rsidRPr="00A573B5">
        <w:rPr>
          <w:rFonts w:ascii="Calibri" w:hAnsi="Calibri" w:cs="Calibri"/>
          <w:sz w:val="22"/>
        </w:rPr>
        <w:t>(UK Government, 2021)</w:t>
      </w:r>
      <w:r w:rsidR="005053F6" w:rsidRPr="00581F72">
        <w:rPr>
          <w:rFonts w:asciiTheme="minorHAnsi" w:hAnsiTheme="minorHAnsi" w:cstheme="minorHAnsi"/>
          <w:sz w:val="22"/>
          <w:szCs w:val="22"/>
        </w:rPr>
        <w:fldChar w:fldCharType="end"/>
      </w:r>
      <w:r w:rsidR="00464461" w:rsidRPr="00581F72">
        <w:rPr>
          <w:rFonts w:asciiTheme="minorHAnsi" w:hAnsiTheme="minorHAnsi" w:cstheme="minorHAnsi"/>
          <w:sz w:val="22"/>
          <w:szCs w:val="22"/>
        </w:rPr>
        <w:t>,</w:t>
      </w:r>
      <w:r w:rsidR="007723A5" w:rsidRPr="00581F72">
        <w:rPr>
          <w:rFonts w:asciiTheme="minorHAnsi" w:hAnsiTheme="minorHAnsi" w:cstheme="minorHAnsi"/>
          <w:sz w:val="22"/>
          <w:szCs w:val="22"/>
        </w:rPr>
        <w:t xml:space="preserve"> </w:t>
      </w:r>
      <w:r w:rsidR="00464461" w:rsidRPr="00581F72">
        <w:rPr>
          <w:rFonts w:asciiTheme="minorHAnsi" w:hAnsiTheme="minorHAnsi" w:cstheme="minorHAnsi"/>
          <w:sz w:val="22"/>
          <w:szCs w:val="22"/>
        </w:rPr>
        <w:t>S</w:t>
      </w:r>
      <w:r w:rsidR="007723A5" w:rsidRPr="00581F72">
        <w:rPr>
          <w:rFonts w:asciiTheme="minorHAnsi" w:hAnsiTheme="minorHAnsi" w:cstheme="minorHAnsi"/>
          <w:sz w:val="22"/>
          <w:szCs w:val="22"/>
        </w:rPr>
        <w:t xml:space="preserve">mall </w:t>
      </w:r>
      <w:r w:rsidR="00464461" w:rsidRPr="00581F72">
        <w:rPr>
          <w:rFonts w:asciiTheme="minorHAnsi" w:hAnsiTheme="minorHAnsi" w:cstheme="minorHAnsi"/>
          <w:sz w:val="22"/>
          <w:szCs w:val="22"/>
        </w:rPr>
        <w:t>G</w:t>
      </w:r>
      <w:r w:rsidR="007723A5" w:rsidRPr="00581F72">
        <w:rPr>
          <w:rFonts w:asciiTheme="minorHAnsi" w:hAnsiTheme="minorHAnsi" w:cstheme="minorHAnsi"/>
          <w:sz w:val="22"/>
          <w:szCs w:val="22"/>
        </w:rPr>
        <w:t xml:space="preserve">rants </w:t>
      </w:r>
      <w:r w:rsidR="00FB71EB">
        <w:rPr>
          <w:rFonts w:asciiTheme="minorHAnsi" w:hAnsiTheme="minorHAnsi" w:cstheme="minorHAnsi"/>
          <w:sz w:val="22"/>
          <w:szCs w:val="22"/>
        </w:rPr>
        <w:t>–</w:t>
      </w:r>
      <w:r w:rsidR="00464461" w:rsidRPr="00581F72">
        <w:rPr>
          <w:rFonts w:asciiTheme="minorHAnsi" w:hAnsiTheme="minorHAnsi" w:cstheme="minorHAnsi"/>
          <w:sz w:val="22"/>
          <w:szCs w:val="22"/>
        </w:rPr>
        <w:t xml:space="preserve"> E</w:t>
      </w:r>
      <w:r w:rsidR="007723A5" w:rsidRPr="00581F72">
        <w:rPr>
          <w:rFonts w:asciiTheme="minorHAnsi" w:hAnsiTheme="minorHAnsi" w:cstheme="minorHAnsi"/>
          <w:sz w:val="22"/>
          <w:szCs w:val="22"/>
        </w:rPr>
        <w:t>fficiency scheme</w:t>
      </w:r>
      <w:r w:rsidR="00464461" w:rsidRPr="00581F72">
        <w:rPr>
          <w:rFonts w:asciiTheme="minorHAnsi" w:hAnsiTheme="minorHAnsi" w:cstheme="minorHAnsi"/>
          <w:sz w:val="22"/>
          <w:szCs w:val="22"/>
        </w:rPr>
        <w:t xml:space="preserve"> in Wales</w:t>
      </w:r>
      <w:r w:rsidR="008B067B" w:rsidRPr="00581F72">
        <w:rPr>
          <w:rFonts w:asciiTheme="minorHAnsi" w:hAnsiTheme="minorHAnsi" w:cstheme="minorHAnsi"/>
          <w:sz w:val="22"/>
          <w:szCs w:val="22"/>
        </w:rPr>
        <w:t xml:space="preserve"> </w:t>
      </w:r>
      <w:r w:rsidR="008B067B" w:rsidRPr="00581F72">
        <w:rPr>
          <w:rFonts w:asciiTheme="minorHAnsi" w:hAnsiTheme="minorHAnsi" w:cstheme="minorHAnsi"/>
          <w:sz w:val="22"/>
          <w:szCs w:val="22"/>
        </w:rPr>
        <w:fldChar w:fldCharType="begin"/>
      </w:r>
      <w:r w:rsidR="00906DC1">
        <w:rPr>
          <w:rFonts w:asciiTheme="minorHAnsi" w:hAnsiTheme="minorHAnsi" w:cstheme="minorHAnsi"/>
          <w:sz w:val="22"/>
          <w:szCs w:val="22"/>
        </w:rPr>
        <w:instrText xml:space="preserve"> ADDIN ZOTERO_ITEM CSL_CITATION {"citationID":"QSRrPNUC","properties":{"formattedCitation":"(Welsh Government, 2022a)","plainCitation":"(Welsh Government, 2022a)","noteIndex":0},"citationItems":[{"id":1289,"uris":["http://zotero.org/users/6500992/items/ASIPSL2J"],"itemData":{"id":1289,"type":"webpage","abstract":"A capital grants scheme to support investment in new equipment and technology to enhance the technical, financial and environmental performance of","container-title":"Business Wales - Wales Rural Network","language":"en","title":"Small Grants – Efficiency","URL":"https://businesswales.gov.wales/walesruralnetwork/rural-programmes/schemes/farm-efficiency-and-diversification/small-grants-efficiency","author":[{"family":"Welsh Government","given":""}],"accessed":{"date-parts":[["2022",12,14]]},"issued":{"date-parts":[["2022"]]}}}],"schema":"https://github.com/citation-style-language/schema/raw/master/csl-citation.json"} </w:instrText>
      </w:r>
      <w:r w:rsidR="008B067B" w:rsidRPr="00581F72">
        <w:rPr>
          <w:rFonts w:asciiTheme="minorHAnsi" w:hAnsiTheme="minorHAnsi" w:cstheme="minorHAnsi"/>
          <w:sz w:val="22"/>
          <w:szCs w:val="22"/>
        </w:rPr>
        <w:fldChar w:fldCharType="separate"/>
      </w:r>
      <w:r w:rsidR="00906DC1" w:rsidRPr="00906DC1">
        <w:rPr>
          <w:rFonts w:ascii="Calibri" w:hAnsi="Calibri" w:cs="Calibri"/>
          <w:sz w:val="22"/>
        </w:rPr>
        <w:t>(Welsh Government, 2022a)</w:t>
      </w:r>
      <w:r w:rsidR="008B067B" w:rsidRPr="00581F72">
        <w:rPr>
          <w:rFonts w:asciiTheme="minorHAnsi" w:hAnsiTheme="minorHAnsi" w:cstheme="minorHAnsi"/>
          <w:sz w:val="22"/>
          <w:szCs w:val="22"/>
        </w:rPr>
        <w:fldChar w:fldCharType="end"/>
      </w:r>
      <w:r w:rsidR="00616285" w:rsidRPr="00581F72">
        <w:rPr>
          <w:rFonts w:asciiTheme="minorHAnsi" w:hAnsiTheme="minorHAnsi" w:cstheme="minorHAnsi"/>
          <w:sz w:val="22"/>
          <w:szCs w:val="22"/>
        </w:rPr>
        <w:t xml:space="preserve"> </w:t>
      </w:r>
      <w:r w:rsidR="00464461" w:rsidRPr="00581F72">
        <w:rPr>
          <w:rFonts w:asciiTheme="minorHAnsi" w:hAnsiTheme="minorHAnsi" w:cstheme="minorHAnsi"/>
          <w:sz w:val="22"/>
          <w:szCs w:val="22"/>
        </w:rPr>
        <w:t xml:space="preserve">and </w:t>
      </w:r>
      <w:r w:rsidR="007723A5" w:rsidRPr="00581F72">
        <w:rPr>
          <w:rFonts w:asciiTheme="minorHAnsi" w:hAnsiTheme="minorHAnsi" w:cstheme="minorHAnsi"/>
          <w:sz w:val="22"/>
          <w:szCs w:val="22"/>
        </w:rPr>
        <w:t>Agri-environment</w:t>
      </w:r>
      <w:r w:rsidR="007723A5" w:rsidRPr="008B067B">
        <w:rPr>
          <w:rFonts w:asciiTheme="minorHAnsi" w:hAnsiTheme="minorHAnsi" w:cstheme="minorHAnsi"/>
          <w:sz w:val="22"/>
          <w:szCs w:val="22"/>
        </w:rPr>
        <w:t xml:space="preserve"> Climate Scheme</w:t>
      </w:r>
      <w:r w:rsidR="00464461" w:rsidRPr="008B067B">
        <w:rPr>
          <w:rFonts w:asciiTheme="minorHAnsi" w:hAnsiTheme="minorHAnsi" w:cstheme="minorHAnsi"/>
          <w:sz w:val="22"/>
          <w:szCs w:val="22"/>
        </w:rPr>
        <w:t xml:space="preserve"> in Scotland</w:t>
      </w:r>
      <w:r w:rsidR="00616285" w:rsidRPr="008B067B">
        <w:rPr>
          <w:rFonts w:asciiTheme="minorHAnsi" w:hAnsiTheme="minorHAnsi" w:cstheme="minorHAnsi"/>
          <w:sz w:val="22"/>
          <w:szCs w:val="22"/>
        </w:rPr>
        <w:t xml:space="preserve"> </w:t>
      </w:r>
      <w:r w:rsidR="008B067B" w:rsidRPr="008B067B">
        <w:rPr>
          <w:rFonts w:asciiTheme="minorHAnsi" w:hAnsiTheme="minorHAnsi" w:cstheme="minorHAnsi"/>
          <w:sz w:val="22"/>
          <w:szCs w:val="22"/>
        </w:rPr>
        <w:fldChar w:fldCharType="begin"/>
      </w:r>
      <w:r w:rsidR="008B067B" w:rsidRPr="008B067B">
        <w:rPr>
          <w:rFonts w:asciiTheme="minorHAnsi" w:hAnsiTheme="minorHAnsi" w:cstheme="minorHAnsi"/>
          <w:sz w:val="22"/>
          <w:szCs w:val="22"/>
        </w:rPr>
        <w:instrText xml:space="preserve"> ADDIN ZOTERO_ITEM CSL_CITATION {"citationID":"14xBL6yH","properties":{"formattedCitation":"(Scottish Government, 2022)","plainCitation":"(Scottish Government, 2022)","noteIndex":0},"citationItems":[{"id":1287,"uris":["http://zotero.org/users/6500992/items/52AEIU7H"],"itemData":{"id":1287,"type":"webpage","title":"Agri-Environment Climate Scheme","URL":"https://www.ruralpayments.org/publicsite/futures/topics/all-schemes/agri-environment-climate-scheme/","author":[{"family":"Scottish Government","given":""}],"accessed":{"date-parts":[["2022",12,14]]},"issued":{"date-parts":[["2022"]]}}}],"schema":"https://github.com/citation-style-language/schema/raw/master/csl-citation.json"} </w:instrText>
      </w:r>
      <w:r w:rsidR="008B067B" w:rsidRPr="008B067B">
        <w:rPr>
          <w:rFonts w:asciiTheme="minorHAnsi" w:hAnsiTheme="minorHAnsi" w:cstheme="minorHAnsi"/>
          <w:sz w:val="22"/>
          <w:szCs w:val="22"/>
        </w:rPr>
        <w:fldChar w:fldCharType="separate"/>
      </w:r>
      <w:r w:rsidR="00A573B5" w:rsidRPr="00A573B5">
        <w:rPr>
          <w:rFonts w:ascii="Calibri" w:hAnsi="Calibri" w:cs="Calibri"/>
          <w:sz w:val="22"/>
        </w:rPr>
        <w:t>(Scottish Government, 2022)</w:t>
      </w:r>
      <w:r w:rsidR="008B067B" w:rsidRPr="008B067B">
        <w:rPr>
          <w:rFonts w:asciiTheme="minorHAnsi" w:hAnsiTheme="minorHAnsi" w:cstheme="minorHAnsi"/>
          <w:sz w:val="22"/>
          <w:szCs w:val="22"/>
        </w:rPr>
        <w:fldChar w:fldCharType="end"/>
      </w:r>
      <w:r w:rsidR="00C42C1D" w:rsidRPr="008B067B">
        <w:rPr>
          <w:rFonts w:asciiTheme="minorHAnsi" w:hAnsiTheme="minorHAnsi" w:cstheme="minorHAnsi"/>
          <w:sz w:val="22"/>
          <w:szCs w:val="22"/>
        </w:rPr>
        <w:t>.</w:t>
      </w:r>
      <w:r w:rsidR="00C42C1D" w:rsidRPr="002141EF">
        <w:rPr>
          <w:rFonts w:asciiTheme="minorHAnsi" w:hAnsiTheme="minorHAnsi" w:cstheme="minorHAnsi"/>
          <w:sz w:val="22"/>
          <w:szCs w:val="22"/>
        </w:rPr>
        <w:t xml:space="preserve"> </w:t>
      </w:r>
    </w:p>
    <w:p w14:paraId="1FEDD6B7" w14:textId="77777777" w:rsidR="001B517B" w:rsidRPr="002141EF" w:rsidRDefault="001B517B" w:rsidP="00BA3E62">
      <w:pPr>
        <w:spacing w:line="360" w:lineRule="auto"/>
        <w:jc w:val="both"/>
        <w:rPr>
          <w:rFonts w:asciiTheme="minorHAnsi" w:hAnsiTheme="minorHAnsi" w:cstheme="minorHAnsi"/>
          <w:sz w:val="22"/>
          <w:szCs w:val="22"/>
        </w:rPr>
      </w:pPr>
    </w:p>
    <w:p w14:paraId="1D418C1C" w14:textId="339FB7A4" w:rsidR="00EB1EFD" w:rsidRPr="000745E8" w:rsidRDefault="00DC0062" w:rsidP="00BA3E62">
      <w:pPr>
        <w:spacing w:line="360" w:lineRule="auto"/>
        <w:jc w:val="both"/>
        <w:rPr>
          <w:rFonts w:asciiTheme="minorHAnsi" w:hAnsiTheme="minorHAnsi" w:cstheme="minorHAnsi"/>
          <w:b/>
          <w:bCs/>
        </w:rPr>
      </w:pPr>
      <w:r w:rsidRPr="002141EF">
        <w:rPr>
          <w:rFonts w:asciiTheme="minorHAnsi" w:hAnsiTheme="minorHAnsi" w:cstheme="minorHAnsi"/>
          <w:sz w:val="22"/>
          <w:szCs w:val="22"/>
        </w:rPr>
        <w:t xml:space="preserve">Mitigation </w:t>
      </w:r>
      <w:r>
        <w:rPr>
          <w:rFonts w:asciiTheme="minorHAnsi" w:hAnsiTheme="minorHAnsi" w:cstheme="minorHAnsi"/>
          <w:sz w:val="22"/>
          <w:szCs w:val="22"/>
        </w:rPr>
        <w:t>options</w:t>
      </w:r>
      <w:r w:rsidRPr="002141EF">
        <w:rPr>
          <w:rFonts w:asciiTheme="minorHAnsi" w:hAnsiTheme="minorHAnsi" w:cstheme="minorHAnsi"/>
          <w:sz w:val="22"/>
          <w:szCs w:val="22"/>
        </w:rPr>
        <w:t xml:space="preserve"> </w:t>
      </w:r>
      <w:r>
        <w:rPr>
          <w:rFonts w:asciiTheme="minorHAnsi" w:hAnsiTheme="minorHAnsi" w:cstheme="minorHAnsi"/>
          <w:sz w:val="22"/>
          <w:szCs w:val="22"/>
        </w:rPr>
        <w:t>include measures which address</w:t>
      </w:r>
      <w:r w:rsidRPr="002141EF">
        <w:rPr>
          <w:rFonts w:asciiTheme="minorHAnsi" w:hAnsiTheme="minorHAnsi" w:cstheme="minorHAnsi"/>
          <w:sz w:val="22"/>
          <w:szCs w:val="22"/>
        </w:rPr>
        <w:t xml:space="preserve"> fuel and energy</w:t>
      </w:r>
      <w:r>
        <w:rPr>
          <w:rFonts w:asciiTheme="minorHAnsi" w:hAnsiTheme="minorHAnsi" w:cstheme="minorHAnsi"/>
          <w:sz w:val="22"/>
          <w:szCs w:val="22"/>
        </w:rPr>
        <w:t xml:space="preserve"> usage, for example, increasing </w:t>
      </w:r>
      <w:r w:rsidRPr="002141EF">
        <w:rPr>
          <w:rFonts w:asciiTheme="minorHAnsi" w:hAnsiTheme="minorHAnsi" w:cstheme="minorHAnsi"/>
          <w:sz w:val="22"/>
          <w:szCs w:val="22"/>
        </w:rPr>
        <w:t>fuel efficiency</w:t>
      </w:r>
      <w:r>
        <w:rPr>
          <w:rFonts w:asciiTheme="minorHAnsi" w:hAnsiTheme="minorHAnsi" w:cstheme="minorHAnsi"/>
          <w:sz w:val="22"/>
          <w:szCs w:val="22"/>
        </w:rPr>
        <w:t xml:space="preserve"> by actively monitoring fuel use, regular vehicle maintenance and improved driving techniques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ZOTERO_ITEM CSL_CITATION {"citationID":"DXNFyux1","properties":{"formattedCitation":"(Pellerin et al., 2013)","plainCitation":"(Pellerin et al., 2013)","noteIndex":0},"citationItems":[{"id":1279,"uris":["http://zotero.org/users/6500992/items/R6SMK7X4"],"itemData":{"id":1279,"type":"report","genre":"report","language":"en","publisher":"Inra - DEPE","source":"hal.inrae.fr","title":"How can French agriculture contribute to reducing greenhouse gas emissions? Abatement potential and cost of ten technical measures","title-short":"How can French agriculture contribute to reducing greenhouse gas emissions?","URL":"https://hal.inrae.fr/hal-02809908","author":[{"family":"Pellerin","given":"Sylvain"},{"family":"Bamière","given":"Laure"},{"family":"Angers","given":"Denis"},{"family":"Béline","given":"Fabrice"},{"family":"Benoit","given":"Marc"},{"family":"Butault","given":"Jean-Pierre"},{"family":"Chenu","given":"Claire"},{"family":"Colnenne-David","given":"Caroline"},{"family":"Cara","given":"Stéphane","dropping-particle":"de"},{"family":"Delame","given":"Nathalie"},{"family":"Doreau","given":"Michel"},{"family":"Dupraz","given":"Pierre"},{"family":"Faverdin","given":"Philippe"},{"family":"Garcia-Launay","given":"Florence"},{"family":"Hassouna","given":"Melynda"},{"family":"Hénault","given":"Catherine"},{"family":"Jeuffroy","given":"Marie-Helene"},{"family":"Klumpp","given":"Katja"},{"family":"Metay","given":"Aurelie"},{"family":"Moran","given":"Dominic"},{"family":"Recous","given":"Sylvie"},{"family":"Samson","given":"Elisabeth"},{"family":"Savini","given":"Isabelle"},{"family":"Pardon","given":"Lenaïc"}],"accessed":{"date-parts":[["2022",11,15]]},"issued":{"date-parts":[["2013"]]}}}],"schema":"https://github.com/citation-style-language/schema/raw/master/csl-citation.json"} </w:instrText>
      </w:r>
      <w:r>
        <w:rPr>
          <w:rFonts w:asciiTheme="minorHAnsi" w:hAnsiTheme="minorHAnsi" w:cstheme="minorHAnsi"/>
          <w:sz w:val="22"/>
          <w:szCs w:val="22"/>
        </w:rPr>
        <w:fldChar w:fldCharType="separate"/>
      </w:r>
      <w:r w:rsidRPr="00B42E95">
        <w:rPr>
          <w:rFonts w:ascii="Calibri" w:hAnsi="Calibri" w:cs="Calibri"/>
          <w:sz w:val="22"/>
        </w:rPr>
        <w:t>(Pellerin et al., 2013)</w:t>
      </w:r>
      <w:r>
        <w:rPr>
          <w:rFonts w:asciiTheme="minorHAnsi" w:hAnsiTheme="minorHAnsi" w:cstheme="minorHAnsi"/>
          <w:sz w:val="22"/>
          <w:szCs w:val="22"/>
        </w:rPr>
        <w:fldChar w:fldCharType="end"/>
      </w:r>
      <w:r>
        <w:rPr>
          <w:rFonts w:asciiTheme="minorHAnsi" w:hAnsiTheme="minorHAnsi" w:cstheme="minorHAnsi"/>
          <w:sz w:val="22"/>
          <w:szCs w:val="22"/>
        </w:rPr>
        <w:t>. Increasing fuel efficiency has a relatively low maximum technical abatement potential (MTP)</w:t>
      </w:r>
      <w:r w:rsidR="00467E16">
        <w:rPr>
          <w:rFonts w:asciiTheme="minorHAnsi" w:hAnsiTheme="minorHAnsi" w:cstheme="minorHAnsi"/>
          <w:sz w:val="22"/>
          <w:szCs w:val="22"/>
        </w:rPr>
        <w:t xml:space="preserve"> for UK agriculture,</w:t>
      </w:r>
      <w:r>
        <w:rPr>
          <w:rFonts w:asciiTheme="minorHAnsi" w:hAnsiTheme="minorHAnsi" w:cstheme="minorHAnsi"/>
          <w:sz w:val="22"/>
          <w:szCs w:val="22"/>
        </w:rPr>
        <w:t xml:space="preserve"> estimated at 75</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 xml:space="preserve">-1 </w:t>
      </w:r>
      <w:r>
        <w:rPr>
          <w:rFonts w:asciiTheme="minorHAnsi" w:hAnsiTheme="minorHAnsi" w:cstheme="minorHAnsi"/>
          <w:sz w:val="22"/>
          <w:szCs w:val="22"/>
        </w:rPr>
        <w:t>(with interactions)</w:t>
      </w:r>
      <w:r>
        <w:rPr>
          <w:rFonts w:asciiTheme="minorHAnsi" w:hAnsiTheme="minorHAnsi" w:cstheme="minorHAnsi"/>
          <w:sz w:val="22"/>
          <w:szCs w:val="22"/>
          <w:vertAlign w:val="superscript"/>
        </w:rPr>
        <w:t xml:space="preserve"> </w:t>
      </w:r>
      <w:r>
        <w:rPr>
          <w:rFonts w:asciiTheme="minorHAnsi" w:hAnsiTheme="minorHAnsi" w:cstheme="minorHAnsi"/>
          <w:sz w:val="22"/>
          <w:szCs w:val="22"/>
          <w:vertAlign w:val="superscript"/>
        </w:rPr>
        <w:fldChar w:fldCharType="begin"/>
      </w:r>
      <w:r>
        <w:rPr>
          <w:rFonts w:asciiTheme="minorHAnsi" w:hAnsiTheme="minorHAnsi" w:cstheme="minorHAnsi"/>
          <w:sz w:val="22"/>
          <w:szCs w:val="22"/>
          <w:vertAlign w:val="superscript"/>
        </w:rPr>
        <w:instrText xml:space="preserve"> ADDIN ZOTERO_ITEM CSL_CITATION {"citationID":"PiSSh73Y","properties":{"formattedCitation":"(Eory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Pr>
          <w:rFonts w:asciiTheme="minorHAnsi" w:hAnsiTheme="minorHAnsi" w:cstheme="minorHAnsi"/>
          <w:sz w:val="22"/>
          <w:szCs w:val="22"/>
          <w:vertAlign w:val="superscript"/>
        </w:rPr>
        <w:fldChar w:fldCharType="separate"/>
      </w:r>
      <w:r w:rsidRPr="005260DB">
        <w:rPr>
          <w:rFonts w:ascii="Calibri" w:hAnsi="Calibri" w:cs="Calibri"/>
          <w:sz w:val="22"/>
        </w:rPr>
        <w:t>(Eory et al., 2015)</w:t>
      </w:r>
      <w:r>
        <w:rPr>
          <w:rFonts w:asciiTheme="minorHAnsi" w:hAnsiTheme="minorHAnsi" w:cstheme="minorHAnsi"/>
          <w:sz w:val="22"/>
          <w:szCs w:val="22"/>
          <w:vertAlign w:val="superscript"/>
        </w:rPr>
        <w:fldChar w:fldCharType="end"/>
      </w:r>
      <w:r>
        <w:rPr>
          <w:rFonts w:asciiTheme="minorHAnsi" w:hAnsiTheme="minorHAnsi" w:cstheme="minorHAnsi"/>
          <w:sz w:val="22"/>
          <w:szCs w:val="22"/>
        </w:rPr>
        <w:t xml:space="preserve">. More effective mitigation options could include measures relating to animal management such as improving breeding in cattle by directly measuring carcass traits </w:t>
      </w:r>
      <w:r>
        <w:rPr>
          <w:rFonts w:asciiTheme="minorHAnsi" w:hAnsiTheme="minorHAnsi" w:cstheme="minorHAnsi"/>
          <w:sz w:val="22"/>
          <w:szCs w:val="22"/>
        </w:rPr>
        <w:fldChar w:fldCharType="begin"/>
      </w:r>
      <w:r w:rsidR="00F3453F">
        <w:rPr>
          <w:rFonts w:asciiTheme="minorHAnsi" w:hAnsiTheme="minorHAnsi" w:cstheme="minorHAnsi"/>
          <w:sz w:val="22"/>
          <w:szCs w:val="22"/>
        </w:rPr>
        <w:instrText xml:space="preserve"> ADDIN ZOTERO_ITEM CSL_CITATION {"citationID":"2Ats1vwV","properties":{"formattedCitation":"(Bioscience Network Limited, 2012)","plainCitation":"(Bioscience Network Limited, 2012)","noteIndex":0},"citationItems":[{"id":1834,"uris":["http://zotero.org/users/6500992/items/LDGLSCZW"],"itemData":{"id":1834,"type":"report","genre":"DEFRA","number":"IF0207.","title":"Developing options to deliver a substantial environmental and economic sustainability impact through breeding for feed efficiency of feed use in UK beef cattle","author":[{"literal":"Bioscience Network Limited"}],"issued":{"date-parts":[["2012"]]}}}],"schema":"https://github.com/citation-style-language/schema/raw/master/csl-citation.json"} </w:instrText>
      </w:r>
      <w:r>
        <w:rPr>
          <w:rFonts w:asciiTheme="minorHAnsi" w:hAnsiTheme="minorHAnsi" w:cstheme="minorHAnsi"/>
          <w:sz w:val="22"/>
          <w:szCs w:val="22"/>
        </w:rPr>
        <w:fldChar w:fldCharType="separate"/>
      </w:r>
      <w:r w:rsidRPr="00B42E95">
        <w:rPr>
          <w:rFonts w:ascii="Calibri" w:hAnsi="Calibri" w:cs="Calibri"/>
          <w:sz w:val="22"/>
        </w:rPr>
        <w:t>(Bioscience Network Limited, 2012)</w:t>
      </w:r>
      <w:r>
        <w:rPr>
          <w:rFonts w:asciiTheme="minorHAnsi" w:hAnsiTheme="minorHAnsi" w:cstheme="minorHAnsi"/>
          <w:sz w:val="22"/>
          <w:szCs w:val="22"/>
        </w:rPr>
        <w:fldChar w:fldCharType="end"/>
      </w:r>
      <w:r>
        <w:rPr>
          <w:rFonts w:asciiTheme="minorHAnsi" w:hAnsiTheme="minorHAnsi" w:cstheme="minorHAnsi"/>
          <w:sz w:val="22"/>
          <w:szCs w:val="22"/>
        </w:rPr>
        <w:t xml:space="preserve"> or improving </w:t>
      </w:r>
      <w:r w:rsidR="00467E16">
        <w:rPr>
          <w:rFonts w:asciiTheme="minorHAnsi" w:hAnsiTheme="minorHAnsi" w:cstheme="minorHAnsi"/>
          <w:sz w:val="22"/>
          <w:szCs w:val="22"/>
        </w:rPr>
        <w:t>the</w:t>
      </w:r>
      <w:r w:rsidR="004F26D9">
        <w:rPr>
          <w:rFonts w:asciiTheme="minorHAnsi" w:hAnsiTheme="minorHAnsi" w:cstheme="minorHAnsi"/>
          <w:sz w:val="22"/>
          <w:szCs w:val="22"/>
        </w:rPr>
        <w:t xml:space="preserve"> </w:t>
      </w:r>
      <w:r>
        <w:rPr>
          <w:rFonts w:asciiTheme="minorHAnsi" w:hAnsiTheme="minorHAnsi" w:cstheme="minorHAnsi"/>
          <w:sz w:val="22"/>
          <w:szCs w:val="22"/>
        </w:rPr>
        <w:t xml:space="preserve">health status of animals by targeting specific diseases to reduce morbidity and mortality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ZOTERO_ITEM CSL_CITATION {"citationID":"9mfsl72U","properties":{"formattedCitation":"(Bartley et al., 2016)","plainCitation":"(Bartley et al., 2016)","noteIndex":0},"citationItems":[{"id":147,"uris":["http://zotero.org/users/6500992/items/YLZL48GI"],"itemData":{"id":147,"type":"article-journal","container-title":"Advances in Animal Biosciences","DOI":"10.1017/S2040470016000327","ISSN":"2040-4700, 2040-4719","issue":"3","journalAbbreviation":"Advances in Animal Biosciences","language":"en","page":"253-255","source":"DOI.org (Crossref)","title":"Endemic sheep and cattle diseases and greenhouse gas emissions","volume":"7","author":[{"family":"Bartley","given":"D. J."},{"family":"Skuce","given":"P. J."},{"family":"Zadoks","given":"R. N."},{"family":"MacLeod","given":"M."}],"issued":{"date-parts":[["2016",11]]}}}],"schema":"https://github.com/citation-style-language/schema/raw/master/csl-citation.json"} </w:instrText>
      </w:r>
      <w:r>
        <w:rPr>
          <w:rFonts w:asciiTheme="minorHAnsi" w:hAnsiTheme="minorHAnsi" w:cstheme="minorHAnsi"/>
          <w:sz w:val="22"/>
          <w:szCs w:val="22"/>
        </w:rPr>
        <w:fldChar w:fldCharType="separate"/>
      </w:r>
      <w:r w:rsidRPr="00B42E95">
        <w:rPr>
          <w:rFonts w:ascii="Calibri" w:hAnsi="Calibri" w:cs="Calibri"/>
          <w:sz w:val="22"/>
        </w:rPr>
        <w:t>(Bartley et al., 2016)</w:t>
      </w:r>
      <w:r>
        <w:rPr>
          <w:rFonts w:asciiTheme="minorHAnsi" w:hAnsiTheme="minorHAnsi" w:cstheme="minorHAnsi"/>
          <w:sz w:val="22"/>
          <w:szCs w:val="22"/>
        </w:rPr>
        <w:fldChar w:fldCharType="end"/>
      </w:r>
      <w:r>
        <w:rPr>
          <w:rFonts w:asciiTheme="minorHAnsi" w:hAnsiTheme="minorHAnsi" w:cstheme="minorHAnsi"/>
          <w:sz w:val="22"/>
          <w:szCs w:val="22"/>
        </w:rPr>
        <w:t xml:space="preserve">. These measures have the </w:t>
      </w:r>
      <w:r w:rsidR="007103C5">
        <w:rPr>
          <w:rFonts w:asciiTheme="minorHAnsi" w:hAnsiTheme="minorHAnsi" w:cstheme="minorHAnsi"/>
          <w:sz w:val="22"/>
          <w:szCs w:val="22"/>
        </w:rPr>
        <w:t>additional</w:t>
      </w:r>
      <w:r>
        <w:rPr>
          <w:rFonts w:asciiTheme="minorHAnsi" w:hAnsiTheme="minorHAnsi" w:cstheme="minorHAnsi"/>
          <w:sz w:val="22"/>
          <w:szCs w:val="22"/>
        </w:rPr>
        <w:t xml:space="preserve"> benefit of a negative net implementation cost as well as </w:t>
      </w:r>
      <w:r w:rsidR="005E4C7B">
        <w:rPr>
          <w:rFonts w:asciiTheme="minorHAnsi" w:hAnsiTheme="minorHAnsi" w:cstheme="minorHAnsi"/>
          <w:sz w:val="22"/>
          <w:szCs w:val="22"/>
        </w:rPr>
        <w:t xml:space="preserve">having </w:t>
      </w:r>
      <w:r>
        <w:rPr>
          <w:rFonts w:asciiTheme="minorHAnsi" w:hAnsiTheme="minorHAnsi" w:cstheme="minorHAnsi"/>
          <w:sz w:val="22"/>
          <w:szCs w:val="22"/>
        </w:rPr>
        <w:t xml:space="preserve">comparatively high MTP </w:t>
      </w:r>
      <w:r w:rsidR="00467E16">
        <w:rPr>
          <w:rFonts w:asciiTheme="minorHAnsi" w:hAnsiTheme="minorHAnsi" w:cstheme="minorHAnsi"/>
          <w:sz w:val="22"/>
          <w:szCs w:val="22"/>
        </w:rPr>
        <w:t xml:space="preserve">for UK agriculture </w:t>
      </w:r>
      <w:r>
        <w:rPr>
          <w:rFonts w:asciiTheme="minorHAnsi" w:hAnsiTheme="minorHAnsi" w:cstheme="minorHAnsi"/>
          <w:sz w:val="22"/>
          <w:szCs w:val="22"/>
        </w:rPr>
        <w:t>at 101</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-1</w:t>
      </w:r>
      <w:r>
        <w:rPr>
          <w:rFonts w:asciiTheme="minorHAnsi" w:hAnsiTheme="minorHAnsi" w:cstheme="minorHAnsi"/>
          <w:sz w:val="22"/>
          <w:szCs w:val="22"/>
        </w:rPr>
        <w:t>, 784</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 xml:space="preserve">-1 </w:t>
      </w:r>
      <w:r>
        <w:rPr>
          <w:rFonts w:asciiTheme="minorHAnsi" w:hAnsiTheme="minorHAnsi" w:cstheme="minorHAnsi"/>
          <w:sz w:val="22"/>
          <w:szCs w:val="22"/>
        </w:rPr>
        <w:t>and 363</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 xml:space="preserve">-1 </w:t>
      </w:r>
      <w:r>
        <w:rPr>
          <w:rFonts w:asciiTheme="minorHAnsi" w:hAnsiTheme="minorHAnsi" w:cstheme="minorHAnsi"/>
          <w:sz w:val="22"/>
          <w:szCs w:val="22"/>
        </w:rPr>
        <w:t xml:space="preserve">for cattle breeding, cattle health and sheep health, respectively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ZOTERO_ITEM CSL_CITATION {"citationID":"cjQp6yHH","properties":{"formattedCitation":"(Eory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Pr>
          <w:rFonts w:asciiTheme="minorHAnsi" w:hAnsiTheme="minorHAnsi" w:cstheme="minorHAnsi"/>
          <w:sz w:val="22"/>
          <w:szCs w:val="22"/>
        </w:rPr>
        <w:fldChar w:fldCharType="separate"/>
      </w:r>
      <w:r w:rsidRPr="00AA2A9B">
        <w:rPr>
          <w:rFonts w:ascii="Calibri" w:hAnsi="Calibri" w:cs="Calibri"/>
          <w:sz w:val="22"/>
        </w:rPr>
        <w:t>(Eory et al., 2015)</w:t>
      </w:r>
      <w:r>
        <w:rPr>
          <w:rFonts w:asciiTheme="minorHAnsi" w:hAnsiTheme="minorHAnsi" w:cstheme="minorHAnsi"/>
          <w:sz w:val="22"/>
          <w:szCs w:val="22"/>
        </w:rPr>
        <w:fldChar w:fldCharType="end"/>
      </w:r>
      <w:r>
        <w:rPr>
          <w:rFonts w:asciiTheme="minorHAnsi" w:hAnsiTheme="minorHAnsi" w:cstheme="minorHAnsi"/>
          <w:sz w:val="22"/>
          <w:szCs w:val="22"/>
        </w:rPr>
        <w:t xml:space="preserve">. Another measure which could result in net profit is </w:t>
      </w:r>
      <w:r w:rsidR="00467E16">
        <w:rPr>
          <w:rFonts w:asciiTheme="minorHAnsi" w:hAnsiTheme="minorHAnsi" w:cstheme="minorHAnsi"/>
          <w:sz w:val="22"/>
          <w:szCs w:val="22"/>
        </w:rPr>
        <w:t>through better</w:t>
      </w:r>
      <w:r>
        <w:rPr>
          <w:rFonts w:asciiTheme="minorHAnsi" w:hAnsiTheme="minorHAnsi" w:cstheme="minorHAnsi"/>
          <w:sz w:val="22"/>
          <w:szCs w:val="22"/>
        </w:rPr>
        <w:t xml:space="preserve"> animal nutrition e.g., improving the composition of </w:t>
      </w:r>
      <w:r w:rsidR="00E71F2A">
        <w:rPr>
          <w:rFonts w:asciiTheme="minorHAnsi" w:hAnsiTheme="minorHAnsi" w:cstheme="minorHAnsi"/>
          <w:sz w:val="22"/>
          <w:szCs w:val="22"/>
        </w:rPr>
        <w:t>animal</w:t>
      </w:r>
      <w:r>
        <w:rPr>
          <w:rFonts w:asciiTheme="minorHAnsi" w:hAnsiTheme="minorHAnsi" w:cstheme="minorHAnsi"/>
          <w:sz w:val="22"/>
          <w:szCs w:val="22"/>
        </w:rPr>
        <w:t xml:space="preserve"> diet</w:t>
      </w:r>
      <w:r w:rsidR="00E71F2A">
        <w:rPr>
          <w:rFonts w:asciiTheme="minorHAnsi" w:hAnsiTheme="minorHAnsi" w:cstheme="minorHAnsi"/>
          <w:sz w:val="22"/>
          <w:szCs w:val="22"/>
        </w:rPr>
        <w:t>s</w:t>
      </w:r>
      <w:r>
        <w:rPr>
          <w:rFonts w:asciiTheme="minorHAnsi" w:hAnsiTheme="minorHAnsi" w:cstheme="minorHAnsi"/>
          <w:sz w:val="22"/>
          <w:szCs w:val="22"/>
        </w:rPr>
        <w:t xml:space="preserve"> through forage analysis or improving grazing management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ZOTERO_ITEM CSL_CITATION {"citationID":"o2sYwwbk","properties":{"formattedCitation":"(Rooke et al., 2016)","plainCitation":"(Rooke et al., 2016)","noteIndex":0},"citationItems":[{"id":1179,"uris":["http://zotero.org/users/6500992/items/AMU2PVCX"],"itemData":{"id":1179,"type":"article-journal","note":"publisher: Scotland's Rural College (SRUC)","source":"Google Scholar","title":"Nutritional strategies to reduce enteric methane emissions","author":[{"family":"Rooke","given":"J. A."},{"family":"Miller","given":"G. A."},{"family":"Flockhart","given":"J. F."},{"family":"McDowell","given":"M. M."},{"family":"MacLeod","given":"M."}],"issued":{"date-parts":[["2016"]]}}}],"schema":"https://github.com/citation-style-language/schema/raw/master/csl-citation.json"} </w:instrText>
      </w:r>
      <w:r>
        <w:rPr>
          <w:rFonts w:asciiTheme="minorHAnsi" w:hAnsiTheme="minorHAnsi" w:cstheme="minorHAnsi"/>
          <w:sz w:val="22"/>
          <w:szCs w:val="22"/>
        </w:rPr>
        <w:fldChar w:fldCharType="separate"/>
      </w:r>
      <w:r w:rsidRPr="003E693C">
        <w:rPr>
          <w:rFonts w:ascii="Calibri" w:hAnsi="Calibri" w:cs="Calibri"/>
          <w:sz w:val="22"/>
        </w:rPr>
        <w:t>(Rooke et al., 2016)</w:t>
      </w:r>
      <w:r>
        <w:rPr>
          <w:rFonts w:asciiTheme="minorHAnsi" w:hAnsiTheme="minorHAnsi" w:cstheme="minorHAnsi"/>
          <w:sz w:val="22"/>
          <w:szCs w:val="22"/>
        </w:rPr>
        <w:fldChar w:fldCharType="end"/>
      </w:r>
      <w:r>
        <w:rPr>
          <w:rFonts w:asciiTheme="minorHAnsi" w:hAnsiTheme="minorHAnsi" w:cstheme="minorHAnsi"/>
          <w:sz w:val="22"/>
          <w:szCs w:val="22"/>
        </w:rPr>
        <w:t xml:space="preserve">, which could result in a MTP </w:t>
      </w:r>
      <w:r w:rsidR="00D80376">
        <w:rPr>
          <w:rFonts w:asciiTheme="minorHAnsi" w:hAnsiTheme="minorHAnsi" w:cstheme="minorHAnsi"/>
          <w:sz w:val="22"/>
          <w:szCs w:val="22"/>
        </w:rPr>
        <w:t xml:space="preserve">for UK agriculture </w:t>
      </w:r>
      <w:r>
        <w:rPr>
          <w:rFonts w:asciiTheme="minorHAnsi" w:hAnsiTheme="minorHAnsi" w:cstheme="minorHAnsi"/>
          <w:sz w:val="22"/>
          <w:szCs w:val="22"/>
        </w:rPr>
        <w:t>of 98</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 xml:space="preserve">-1 </w:t>
      </w:r>
      <w:r>
        <w:rPr>
          <w:rFonts w:asciiTheme="minorHAnsi" w:hAnsiTheme="minorHAnsi" w:cstheme="minorHAnsi"/>
          <w:sz w:val="22"/>
          <w:szCs w:val="22"/>
        </w:rPr>
        <w:t xml:space="preserve">in the UK </w:t>
      </w:r>
      <w:r>
        <w:rPr>
          <w:rFonts w:asciiTheme="minorHAnsi" w:hAnsiTheme="minorHAnsi" w:cstheme="minorHAnsi"/>
          <w:sz w:val="22"/>
          <w:szCs w:val="22"/>
          <w:vertAlign w:val="superscript"/>
        </w:rPr>
        <w:fldChar w:fldCharType="begin"/>
      </w:r>
      <w:r>
        <w:rPr>
          <w:rFonts w:asciiTheme="minorHAnsi" w:hAnsiTheme="minorHAnsi" w:cstheme="minorHAnsi"/>
          <w:sz w:val="22"/>
          <w:szCs w:val="22"/>
          <w:vertAlign w:val="superscript"/>
        </w:rPr>
        <w:instrText xml:space="preserve"> ADDIN ZOTERO_ITEM CSL_CITATION {"citationID":"dI81oNT5","properties":{"formattedCitation":"(Eory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Pr>
          <w:rFonts w:asciiTheme="minorHAnsi" w:hAnsiTheme="minorHAnsi" w:cstheme="minorHAnsi"/>
          <w:sz w:val="22"/>
          <w:szCs w:val="22"/>
          <w:vertAlign w:val="superscript"/>
        </w:rPr>
        <w:fldChar w:fldCharType="separate"/>
      </w:r>
      <w:r w:rsidRPr="004A0393">
        <w:rPr>
          <w:rFonts w:ascii="Calibri" w:hAnsi="Calibri" w:cs="Calibri"/>
          <w:sz w:val="22"/>
        </w:rPr>
        <w:t>(Eory et al., 2015)</w:t>
      </w:r>
      <w:r>
        <w:rPr>
          <w:rFonts w:asciiTheme="minorHAnsi" w:hAnsiTheme="minorHAnsi" w:cstheme="minorHAnsi"/>
          <w:sz w:val="22"/>
          <w:szCs w:val="22"/>
          <w:vertAlign w:val="superscript"/>
        </w:rPr>
        <w:fldChar w:fldCharType="end"/>
      </w:r>
      <w:r>
        <w:rPr>
          <w:rFonts w:asciiTheme="minorHAnsi" w:hAnsiTheme="minorHAnsi" w:cstheme="minorHAnsi"/>
          <w:sz w:val="22"/>
          <w:szCs w:val="22"/>
        </w:rPr>
        <w:t xml:space="preserve">. Other measures which relate to animal nutrition include feed additives, with one of the most </w:t>
      </w:r>
      <w:r w:rsidR="00E71F2A">
        <w:rPr>
          <w:rFonts w:asciiTheme="minorHAnsi" w:hAnsiTheme="minorHAnsi" w:cstheme="minorHAnsi"/>
          <w:sz w:val="22"/>
          <w:szCs w:val="22"/>
        </w:rPr>
        <w:t>promising</w:t>
      </w:r>
      <w:r>
        <w:rPr>
          <w:rFonts w:asciiTheme="minorHAnsi" w:hAnsiTheme="minorHAnsi" w:cstheme="minorHAnsi"/>
          <w:sz w:val="22"/>
          <w:szCs w:val="22"/>
        </w:rPr>
        <w:t xml:space="preserve"> being </w:t>
      </w:r>
      <w:r w:rsidRPr="004A0393">
        <w:rPr>
          <w:rFonts w:asciiTheme="minorHAnsi" w:hAnsiTheme="minorHAnsi" w:cstheme="minorHAnsi"/>
          <w:sz w:val="22"/>
          <w:szCs w:val="22"/>
        </w:rPr>
        <w:t>3-nitrooxypropanol (3NOP)</w:t>
      </w:r>
      <w:r>
        <w:rPr>
          <w:rFonts w:asciiTheme="minorHAnsi" w:hAnsiTheme="minorHAnsi" w:cstheme="minorHAnsi"/>
          <w:sz w:val="22"/>
          <w:szCs w:val="22"/>
        </w:rPr>
        <w:t>, a chemical which inhibits enzymes in the rumen t</w:t>
      </w:r>
      <w:r w:rsidR="00467E16">
        <w:rPr>
          <w:rFonts w:asciiTheme="minorHAnsi" w:hAnsiTheme="minorHAnsi" w:cstheme="minorHAnsi"/>
          <w:sz w:val="22"/>
          <w:szCs w:val="22"/>
        </w:rPr>
        <w:t>hereby</w:t>
      </w:r>
      <w:r w:rsidR="005330A1">
        <w:rPr>
          <w:rFonts w:asciiTheme="minorHAnsi" w:hAnsiTheme="minorHAnsi" w:cstheme="minorHAnsi"/>
          <w:sz w:val="22"/>
          <w:szCs w:val="22"/>
        </w:rPr>
        <w:t xml:space="preserve"> </w:t>
      </w:r>
      <w:r>
        <w:rPr>
          <w:rFonts w:asciiTheme="minorHAnsi" w:hAnsiTheme="minorHAnsi" w:cstheme="minorHAnsi"/>
          <w:sz w:val="22"/>
          <w:szCs w:val="22"/>
        </w:rPr>
        <w:t>decreas</w:t>
      </w:r>
      <w:r w:rsidR="00467E16">
        <w:rPr>
          <w:rFonts w:asciiTheme="minorHAnsi" w:hAnsiTheme="minorHAnsi" w:cstheme="minorHAnsi"/>
          <w:sz w:val="22"/>
          <w:szCs w:val="22"/>
        </w:rPr>
        <w:t>ing</w:t>
      </w:r>
      <w:r>
        <w:rPr>
          <w:rFonts w:asciiTheme="minorHAnsi" w:hAnsiTheme="minorHAnsi" w:cstheme="minorHAnsi"/>
          <w:sz w:val="22"/>
          <w:szCs w:val="22"/>
        </w:rPr>
        <w:t xml:space="preserve"> CH</w:t>
      </w:r>
      <w:r>
        <w:rPr>
          <w:rFonts w:asciiTheme="minorHAnsi" w:hAnsiTheme="minorHAnsi" w:cstheme="minorHAnsi"/>
          <w:sz w:val="22"/>
          <w:szCs w:val="22"/>
          <w:vertAlign w:val="subscript"/>
        </w:rPr>
        <w:t>4</w:t>
      </w:r>
      <w:r>
        <w:rPr>
          <w:rFonts w:asciiTheme="minorHAnsi" w:hAnsiTheme="minorHAnsi" w:cstheme="minorHAnsi"/>
          <w:sz w:val="22"/>
          <w:szCs w:val="22"/>
        </w:rPr>
        <w:t xml:space="preserve"> production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ZOTERO_ITEM CSL_CITATION {"citationID":"nXCRMq0f","properties":{"formattedCitation":"(Duin et al., 2016)","plainCitation":"(Duin et al., 2016)","noteIndex":0},"citationItems":[{"id":1103,"uris":["http://zotero.org/users/6500992/items/NEJERSET"],"itemData":{"id":1103,"type":"article-journal","abstract":"Ruminants, such as cows, sheep, and goats, predominantly ferment in their rumen plant material to acetate, propionate, butyrate, CO2, and methane. Whereas the short fatty acids are absorbed and metabolized by the animals, the greenhouse gas methane escapes via eructation and breathing of the animals into the atmosphere. Along with the methane, up to 12% of the gross energy content of the feedstock is lost. Therefore, our recent report has raised interest in 3-nitrooxypropanol (3-NOP), which when added to the feed of ruminants in milligram amounts persistently reduces enteric methane emissions from livestock without apparent negative side effects [Hristov AN, et al. (2015) Proc Natl Acad Sci USA 112(34):10663-10668]. We now show with the aid of in silico, in vitro, and in vivo experiments that 3-NOP specifically targets methyl-coenzyme M reductase (MCR). The nickel enzyme, which is only active when its Ni ion is in the +1 oxidation state, catalyzes the methane-forming step in the rumen fermentation. Molecular docking suggested that 3-NOP preferably binds into the active site of MCR in a pose that places its reducible nitrate group in electron transfer distance to Ni(I). With purified MCR, we found that 3-NOP indeed inactivates MCR at micromolar concentrations by oxidation of its active site Ni(I). Concomitantly, the nitrate ester is reduced to nitrite, which also inactivates MCR at micromolar concentrations by oxidation of Ni(I). Using pure cultures, 3-NOP is demonstrated to inhibit growth of methanogenic archaea at concentrations that do not affect the growth of nonmethanogenic bacteria in the rumen.","container-title":"Proceedings of the National Academy of Sciences of the United States of America","DOI":"10.1073/pnas.1600298113","ISSN":"1091-6490","issue":"22","journalAbbreviation":"Proc Natl Acad Sci U S A","language":"eng","note":"PMID: 27140643\nPMCID: PMC4896709","page":"6172-6177","source":"PubMed","title":"Mode of action uncovered for the specific reduction of methane emissions from ruminants by the small molecule 3-nitrooxypropanol","volume":"113","author":[{"family":"Duin","given":"Evert C."},{"family":"Wagner","given":"Tristan"},{"family":"Shima","given":"Seigo"},{"family":"Prakash","given":"Divya"},{"family":"Cronin","given":"Bryan"},{"family":"Yáñez-Ruiz","given":"David R."},{"family":"Duval","given":"Stephane"},{"family":"Rümbeli","given":"Robert"},{"family":"Stemmler","given":"René T."},{"family":"Thauer","given":"Rudolf Kurt"},{"family":"Kindermann","given":"Maik"}],"issued":{"date-parts":[["2016",5,31]]}}}],"schema":"https://github.com/citation-style-language/schema/raw/master/csl-citation.json"} </w:instrText>
      </w:r>
      <w:r>
        <w:rPr>
          <w:rFonts w:asciiTheme="minorHAnsi" w:hAnsiTheme="minorHAnsi" w:cstheme="minorHAnsi"/>
          <w:sz w:val="22"/>
          <w:szCs w:val="22"/>
        </w:rPr>
        <w:fldChar w:fldCharType="separate"/>
      </w:r>
      <w:r w:rsidRPr="00B42E95">
        <w:rPr>
          <w:rFonts w:ascii="Calibri" w:hAnsi="Calibri" w:cs="Calibri"/>
          <w:sz w:val="22"/>
        </w:rPr>
        <w:t>(Duin et al., 2016)</w:t>
      </w:r>
      <w:r>
        <w:rPr>
          <w:rFonts w:asciiTheme="minorHAnsi" w:hAnsiTheme="minorHAnsi" w:cstheme="minorHAnsi"/>
          <w:sz w:val="22"/>
          <w:szCs w:val="22"/>
        </w:rPr>
        <w:fldChar w:fldCharType="end"/>
      </w:r>
      <w:r>
        <w:rPr>
          <w:rFonts w:asciiTheme="minorHAnsi" w:hAnsiTheme="minorHAnsi" w:cstheme="minorHAnsi"/>
          <w:sz w:val="22"/>
          <w:szCs w:val="22"/>
        </w:rPr>
        <w:t xml:space="preserve">. Although not included in the UK’s most recent MACC, </w:t>
      </w:r>
      <w:r>
        <w:rPr>
          <w:rFonts w:asciiTheme="minorHAnsi" w:hAnsiTheme="minorHAnsi" w:cstheme="minorHAnsi"/>
          <w:sz w:val="22"/>
          <w:szCs w:val="22"/>
        </w:rPr>
        <w:fldChar w:fldCharType="begin"/>
      </w:r>
      <w:r w:rsidR="00F3453F">
        <w:rPr>
          <w:rFonts w:asciiTheme="minorHAnsi" w:hAnsiTheme="minorHAnsi" w:cstheme="minorHAnsi"/>
          <w:sz w:val="22"/>
          <w:szCs w:val="22"/>
        </w:rPr>
        <w:instrText xml:space="preserve"> ADDIN ZOTERO_ITEM CSL_CITATION {"citationID":"wyGcGmui","properties":{"formattedCitation":"(Eory et al., 2020)","plainCitation":"(Eory et al., 2020)","dontUpdate":true,"noteIndex":0},"citationItems":[{"id":834,"uris":["http://zotero.org/users/6500992/items/PAZ7ZQLT"],"itemData":{"id":834,"type":"article-journal","abstract":"Scotland is committed to meeting a net-zero target for greenhouse gas (GHG) emissions by 2045 (Climate Change (Emissions Reduction Targets) (Scotland) Act 2019)). Agriculture and the land use sector can help in two ways: by changing practices to reduce GHG emissions and by storing carbon in the soil and plants. In 2018 agriculture and related land use was responsible for 23% of total Scottish emissions. The Climate Change Plan (CCP) is a key policy tool which is now being revised to help Scotland meet the new net-zero target. Policy development is informed by the Scottish ‘TIMES model’. This model pulls together emission, mitigation and mitigation cost data from all sectors to help understand the strategic choices required to decarbonise an economy. To ensure the model uses the most recent data for agriculture, our research updated estimates of the mitigation potential and the cost-effectiveness of a selection of agricultural mitigation options. It took into account the significant recent improvements in UK agricultural GHG inventory reporting (Smart Inventory). The aim was to estimate the average mitigation potential of different measures, along with costs per unit (e.g. hectare or animal), and total maximum applicability on-farm.","DOI":"10.7488/ERA/755","language":"en","note":"publisher: Scotland’s Rural College","source":"DOI.org (Datacite)","title":"Marginal abatement cost curve for Scottish agriculture","URL":"https://era.ed.ac.uk/handle/1842/37470","author":[{"family":"Eory","given":"Vera"},{"family":"Topp","given":"Kairsty"},{"family":"Rees","given":"Bob"},{"family":"Leinonen","given":"Illka"},{"family":"Maire","given":"Juliette"}],"contributor":[{"family":"University Of Edinburgh","given":""},{"family":"University Of Edinburgh","given":""}],"accessed":{"date-parts":[["2021",6,21]]},"issued":{"date-parts":[["2020",12]]}}}],"schema":"https://github.com/citation-style-language/schema/raw/master/csl-citation.json"} </w:instrText>
      </w:r>
      <w:r>
        <w:rPr>
          <w:rFonts w:asciiTheme="minorHAnsi" w:hAnsiTheme="minorHAnsi" w:cstheme="minorHAnsi"/>
          <w:sz w:val="22"/>
          <w:szCs w:val="22"/>
        </w:rPr>
        <w:fldChar w:fldCharType="separate"/>
      </w:r>
      <w:r w:rsidRPr="003E693C">
        <w:rPr>
          <w:rFonts w:ascii="Calibri" w:hAnsi="Calibri" w:cs="Calibri"/>
          <w:sz w:val="22"/>
        </w:rPr>
        <w:t>Eory et al.</w:t>
      </w:r>
      <w:r>
        <w:rPr>
          <w:rFonts w:ascii="Calibri" w:hAnsi="Calibri" w:cs="Calibri"/>
          <w:sz w:val="22"/>
        </w:rPr>
        <w:t xml:space="preserve"> (</w:t>
      </w:r>
      <w:r w:rsidRPr="003E693C">
        <w:rPr>
          <w:rFonts w:ascii="Calibri" w:hAnsi="Calibri" w:cs="Calibri"/>
          <w:sz w:val="22"/>
        </w:rPr>
        <w:t>2020)</w:t>
      </w:r>
      <w:r>
        <w:rPr>
          <w:rFonts w:asciiTheme="minorHAnsi" w:hAnsiTheme="minorHAnsi" w:cstheme="minorHAnsi"/>
          <w:sz w:val="22"/>
          <w:szCs w:val="22"/>
        </w:rPr>
        <w:fldChar w:fldCharType="end"/>
      </w:r>
      <w:r>
        <w:rPr>
          <w:rFonts w:asciiTheme="minorHAnsi" w:hAnsiTheme="minorHAnsi" w:cstheme="minorHAnsi"/>
          <w:sz w:val="22"/>
          <w:szCs w:val="22"/>
        </w:rPr>
        <w:t xml:space="preserve"> estimated 3NOP could reduce emissions by </w:t>
      </w:r>
      <w:r w:rsidRPr="003E693C">
        <w:rPr>
          <w:rFonts w:asciiTheme="minorHAnsi" w:hAnsiTheme="minorHAnsi" w:cstheme="minorHAnsi"/>
          <w:sz w:val="22"/>
          <w:szCs w:val="22"/>
        </w:rPr>
        <w:t>0.855</w:t>
      </w:r>
      <w:r w:rsidR="00C808D6">
        <w:rPr>
          <w:rFonts w:asciiTheme="minorHAnsi" w:hAnsiTheme="minorHAnsi" w:cstheme="minorHAnsi"/>
          <w:sz w:val="22"/>
          <w:szCs w:val="22"/>
        </w:rPr>
        <w:t xml:space="preserve"> 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head</w:t>
      </w:r>
      <w:r>
        <w:rPr>
          <w:rFonts w:asciiTheme="minorHAnsi" w:hAnsiTheme="minorHAnsi" w:cstheme="minorHAnsi"/>
          <w:sz w:val="22"/>
          <w:szCs w:val="22"/>
          <w:vertAlign w:val="superscript"/>
        </w:rPr>
        <w:t>-1</w:t>
      </w:r>
      <w:r>
        <w:rPr>
          <w:rFonts w:asciiTheme="minorHAnsi" w:hAnsiTheme="minorHAnsi" w:cstheme="minorHAnsi"/>
          <w:sz w:val="22"/>
          <w:szCs w:val="22"/>
        </w:rPr>
        <w:t xml:space="preserve"> yr</w:t>
      </w:r>
      <w:r>
        <w:rPr>
          <w:rFonts w:asciiTheme="minorHAnsi" w:hAnsiTheme="minorHAnsi" w:cstheme="minorHAnsi"/>
          <w:sz w:val="22"/>
          <w:szCs w:val="22"/>
          <w:vertAlign w:val="superscript"/>
        </w:rPr>
        <w:t>-1</w:t>
      </w:r>
      <w:r>
        <w:rPr>
          <w:rFonts w:asciiTheme="minorHAnsi" w:hAnsiTheme="minorHAnsi" w:cstheme="minorHAnsi"/>
          <w:sz w:val="22"/>
          <w:szCs w:val="22"/>
        </w:rPr>
        <w:t xml:space="preserve"> in Scotland. Manure management is another area which </w:t>
      </w:r>
      <w:r w:rsidR="00E71F2A">
        <w:rPr>
          <w:rFonts w:asciiTheme="minorHAnsi" w:hAnsiTheme="minorHAnsi" w:cstheme="minorHAnsi"/>
          <w:sz w:val="22"/>
          <w:szCs w:val="22"/>
        </w:rPr>
        <w:t>could</w:t>
      </w:r>
      <w:r>
        <w:rPr>
          <w:rFonts w:asciiTheme="minorHAnsi" w:hAnsiTheme="minorHAnsi" w:cstheme="minorHAnsi"/>
          <w:sz w:val="22"/>
          <w:szCs w:val="22"/>
        </w:rPr>
        <w:t xml:space="preserve"> be targeted to reduce emissions</w:t>
      </w:r>
      <w:r w:rsidR="003404AD">
        <w:rPr>
          <w:rFonts w:asciiTheme="minorHAnsi" w:hAnsiTheme="minorHAnsi" w:cstheme="minorHAnsi"/>
          <w:sz w:val="22"/>
          <w:szCs w:val="22"/>
        </w:rPr>
        <w:t>. F</w:t>
      </w:r>
      <w:r>
        <w:rPr>
          <w:rFonts w:asciiTheme="minorHAnsi" w:hAnsiTheme="minorHAnsi" w:cstheme="minorHAnsi"/>
          <w:sz w:val="22"/>
          <w:szCs w:val="22"/>
        </w:rPr>
        <w:t xml:space="preserve">or example, using an N planning tool or decreasing the </w:t>
      </w:r>
      <w:r w:rsidR="00467E16">
        <w:rPr>
          <w:rFonts w:asciiTheme="minorHAnsi" w:hAnsiTheme="minorHAnsi" w:cstheme="minorHAnsi"/>
          <w:sz w:val="22"/>
          <w:szCs w:val="22"/>
        </w:rPr>
        <w:t>margin</w:t>
      </w:r>
      <w:r w:rsidR="005330A1">
        <w:rPr>
          <w:rFonts w:asciiTheme="minorHAnsi" w:hAnsiTheme="minorHAnsi" w:cstheme="minorHAnsi"/>
          <w:sz w:val="22"/>
          <w:szCs w:val="22"/>
        </w:rPr>
        <w:t xml:space="preserve"> </w:t>
      </w:r>
      <w:r>
        <w:rPr>
          <w:rFonts w:asciiTheme="minorHAnsi" w:hAnsiTheme="minorHAnsi" w:cstheme="minorHAnsi"/>
          <w:sz w:val="22"/>
          <w:szCs w:val="22"/>
        </w:rPr>
        <w:t xml:space="preserve">of </w:t>
      </w:r>
      <w:r w:rsidR="00467E16">
        <w:rPr>
          <w:rFonts w:asciiTheme="minorHAnsi" w:hAnsiTheme="minorHAnsi" w:cstheme="minorHAnsi"/>
          <w:sz w:val="22"/>
          <w:szCs w:val="22"/>
        </w:rPr>
        <w:t>error</w:t>
      </w:r>
      <w:r w:rsidR="005330A1">
        <w:rPr>
          <w:rFonts w:asciiTheme="minorHAnsi" w:hAnsiTheme="minorHAnsi" w:cstheme="minorHAnsi"/>
          <w:sz w:val="22"/>
          <w:szCs w:val="22"/>
        </w:rPr>
        <w:t xml:space="preserve"> </w:t>
      </w:r>
      <w:r>
        <w:rPr>
          <w:rFonts w:asciiTheme="minorHAnsi" w:hAnsiTheme="minorHAnsi" w:cstheme="minorHAnsi"/>
          <w:sz w:val="22"/>
          <w:szCs w:val="22"/>
        </w:rPr>
        <w:t xml:space="preserve">on application of both synthetic and organic N </w:t>
      </w:r>
      <w:r w:rsidR="00467E16">
        <w:rPr>
          <w:rFonts w:asciiTheme="minorHAnsi" w:hAnsiTheme="minorHAnsi" w:cstheme="minorHAnsi"/>
          <w:sz w:val="22"/>
          <w:szCs w:val="22"/>
        </w:rPr>
        <w:t>sources</w:t>
      </w:r>
      <w:r w:rsidR="005330A1">
        <w:rPr>
          <w:rFonts w:asciiTheme="minorHAnsi" w:hAnsiTheme="minorHAnsi" w:cstheme="minorHAnsi"/>
          <w:sz w:val="22"/>
          <w:szCs w:val="22"/>
        </w:rPr>
        <w:t xml:space="preserve"> </w:t>
      </w:r>
      <w:r>
        <w:rPr>
          <w:rFonts w:asciiTheme="minorHAnsi" w:hAnsiTheme="minorHAnsi" w:cstheme="minorHAnsi"/>
          <w:sz w:val="22"/>
          <w:szCs w:val="22"/>
        </w:rPr>
        <w:t>could reduce N</w:t>
      </w:r>
      <w:r>
        <w:rPr>
          <w:rFonts w:asciiTheme="minorHAnsi" w:hAnsiTheme="minorHAnsi" w:cstheme="minorHAnsi"/>
          <w:sz w:val="22"/>
          <w:szCs w:val="22"/>
          <w:vertAlign w:val="subscript"/>
        </w:rPr>
        <w:t>2</w:t>
      </w:r>
      <w:r>
        <w:rPr>
          <w:rFonts w:asciiTheme="minorHAnsi" w:hAnsiTheme="minorHAnsi" w:cstheme="minorHAnsi"/>
          <w:sz w:val="22"/>
          <w:szCs w:val="22"/>
        </w:rPr>
        <w:t xml:space="preserve">O emissions. However, there </w:t>
      </w:r>
      <w:r w:rsidR="003404AD">
        <w:rPr>
          <w:rFonts w:asciiTheme="minorHAnsi" w:hAnsiTheme="minorHAnsi" w:cstheme="minorHAnsi"/>
          <w:sz w:val="22"/>
          <w:szCs w:val="22"/>
        </w:rPr>
        <w:t xml:space="preserve">may be </w:t>
      </w:r>
      <w:r>
        <w:rPr>
          <w:rFonts w:asciiTheme="minorHAnsi" w:hAnsiTheme="minorHAnsi" w:cstheme="minorHAnsi"/>
          <w:sz w:val="22"/>
          <w:szCs w:val="22"/>
        </w:rPr>
        <w:t xml:space="preserve">a </w:t>
      </w:r>
      <w:r w:rsidR="00E71F2A">
        <w:rPr>
          <w:rFonts w:asciiTheme="minorHAnsi" w:hAnsiTheme="minorHAnsi" w:cstheme="minorHAnsi"/>
          <w:sz w:val="22"/>
          <w:szCs w:val="22"/>
        </w:rPr>
        <w:t>trade-off</w:t>
      </w:r>
      <w:r>
        <w:rPr>
          <w:rFonts w:asciiTheme="minorHAnsi" w:hAnsiTheme="minorHAnsi" w:cstheme="minorHAnsi"/>
          <w:sz w:val="22"/>
          <w:szCs w:val="22"/>
        </w:rPr>
        <w:t xml:space="preserve"> between abatement potential and cost, manure planning can </w:t>
      </w:r>
      <w:r w:rsidR="003404AD">
        <w:rPr>
          <w:rFonts w:asciiTheme="minorHAnsi" w:hAnsiTheme="minorHAnsi" w:cstheme="minorHAnsi"/>
          <w:sz w:val="22"/>
          <w:szCs w:val="22"/>
        </w:rPr>
        <w:t>save money but only has an</w:t>
      </w:r>
      <w:r>
        <w:rPr>
          <w:rFonts w:asciiTheme="minorHAnsi" w:hAnsiTheme="minorHAnsi" w:cstheme="minorHAnsi"/>
          <w:sz w:val="22"/>
          <w:szCs w:val="22"/>
        </w:rPr>
        <w:t xml:space="preserve"> estimated MTP of 18</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 xml:space="preserve">-1 </w:t>
      </w:r>
      <w:r w:rsidR="00D80376">
        <w:rPr>
          <w:rFonts w:asciiTheme="minorHAnsi" w:hAnsiTheme="minorHAnsi" w:cstheme="minorHAnsi"/>
          <w:sz w:val="22"/>
          <w:szCs w:val="22"/>
          <w:vertAlign w:val="superscript"/>
        </w:rPr>
        <w:t xml:space="preserve"> </w:t>
      </w:r>
      <w:r w:rsidR="00D80376">
        <w:rPr>
          <w:rFonts w:asciiTheme="minorHAnsi" w:hAnsiTheme="minorHAnsi" w:cstheme="minorHAnsi"/>
          <w:sz w:val="22"/>
          <w:szCs w:val="22"/>
        </w:rPr>
        <w:t>for UK agriculture w</w:t>
      </w:r>
      <w:r>
        <w:rPr>
          <w:rFonts w:asciiTheme="minorHAnsi" w:hAnsiTheme="minorHAnsi" w:cstheme="minorHAnsi"/>
          <w:sz w:val="22"/>
          <w:szCs w:val="22"/>
        </w:rPr>
        <w:t xml:space="preserve">hereas </w:t>
      </w:r>
      <w:r w:rsidR="00D80376">
        <w:rPr>
          <w:rFonts w:asciiTheme="minorHAnsi" w:hAnsiTheme="minorHAnsi" w:cstheme="minorHAnsi"/>
          <w:sz w:val="22"/>
          <w:szCs w:val="22"/>
        </w:rPr>
        <w:t xml:space="preserve">low-emission </w:t>
      </w:r>
      <w:r>
        <w:rPr>
          <w:rFonts w:asciiTheme="minorHAnsi" w:hAnsiTheme="minorHAnsi" w:cstheme="minorHAnsi"/>
          <w:sz w:val="22"/>
          <w:szCs w:val="22"/>
        </w:rPr>
        <w:t xml:space="preserve">manure spreading is one of the most expensive mitigation measures for beef and sheep farms but </w:t>
      </w:r>
      <w:r w:rsidR="003404AD">
        <w:rPr>
          <w:rFonts w:asciiTheme="minorHAnsi" w:hAnsiTheme="minorHAnsi" w:cstheme="minorHAnsi"/>
          <w:sz w:val="22"/>
          <w:szCs w:val="22"/>
        </w:rPr>
        <w:t xml:space="preserve">it has a high </w:t>
      </w:r>
      <w:r>
        <w:rPr>
          <w:rFonts w:asciiTheme="minorHAnsi" w:hAnsiTheme="minorHAnsi" w:cstheme="minorHAnsi"/>
          <w:sz w:val="22"/>
          <w:szCs w:val="22"/>
        </w:rPr>
        <w:t>MTP of 163</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-1</w:t>
      </w:r>
      <w:r>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ZOTERO_ITEM CSL_CITATION {"citationID":"PyfC9KqG","properties":{"formattedCitation":"(Eory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Pr>
          <w:rFonts w:asciiTheme="minorHAnsi" w:hAnsiTheme="minorHAnsi" w:cstheme="minorHAnsi"/>
          <w:sz w:val="22"/>
          <w:szCs w:val="22"/>
        </w:rPr>
        <w:fldChar w:fldCharType="separate"/>
      </w:r>
      <w:r w:rsidRPr="00B76815">
        <w:rPr>
          <w:rFonts w:ascii="Calibri" w:hAnsi="Calibri" w:cs="Calibri"/>
          <w:sz w:val="22"/>
        </w:rPr>
        <w:t>(</w:t>
      </w:r>
      <w:proofErr w:type="spellStart"/>
      <w:r w:rsidRPr="00B76815">
        <w:rPr>
          <w:rFonts w:ascii="Calibri" w:hAnsi="Calibri" w:cs="Calibri"/>
          <w:sz w:val="22"/>
        </w:rPr>
        <w:t>Eory</w:t>
      </w:r>
      <w:proofErr w:type="spellEnd"/>
      <w:r w:rsidRPr="00B76815">
        <w:rPr>
          <w:rFonts w:ascii="Calibri" w:hAnsi="Calibri" w:cs="Calibri"/>
          <w:sz w:val="22"/>
        </w:rPr>
        <w:t xml:space="preserve"> et al., 2015)</w:t>
      </w:r>
      <w:r>
        <w:rPr>
          <w:rFonts w:asciiTheme="minorHAnsi" w:hAnsiTheme="minorHAnsi" w:cstheme="minorHAnsi"/>
          <w:sz w:val="22"/>
          <w:szCs w:val="22"/>
        </w:rPr>
        <w:fldChar w:fldCharType="end"/>
      </w:r>
      <w:r>
        <w:rPr>
          <w:rFonts w:asciiTheme="minorHAnsi" w:hAnsiTheme="minorHAnsi" w:cstheme="minorHAnsi"/>
          <w:sz w:val="22"/>
          <w:szCs w:val="22"/>
        </w:rPr>
        <w:t xml:space="preserve">. Finally, mitigation measures could involve altering </w:t>
      </w:r>
      <w:r w:rsidRPr="002141EF">
        <w:rPr>
          <w:rFonts w:asciiTheme="minorHAnsi" w:hAnsiTheme="minorHAnsi" w:cstheme="minorHAnsi"/>
          <w:sz w:val="22"/>
          <w:szCs w:val="22"/>
        </w:rPr>
        <w:t>land management</w:t>
      </w:r>
      <w:r w:rsidR="009338CF">
        <w:rPr>
          <w:rFonts w:asciiTheme="minorHAnsi" w:hAnsiTheme="minorHAnsi" w:cstheme="minorHAnsi"/>
          <w:sz w:val="22"/>
          <w:szCs w:val="22"/>
        </w:rPr>
        <w:t>,</w:t>
      </w:r>
      <w:r>
        <w:rPr>
          <w:rFonts w:asciiTheme="minorHAnsi" w:hAnsiTheme="minorHAnsi" w:cstheme="minorHAnsi"/>
          <w:sz w:val="22"/>
          <w:szCs w:val="22"/>
        </w:rPr>
        <w:t xml:space="preserve"> e.g., inclusion of </w:t>
      </w:r>
      <w:r w:rsidRPr="002141EF">
        <w:rPr>
          <w:rFonts w:asciiTheme="minorHAnsi" w:hAnsiTheme="minorHAnsi" w:cstheme="minorHAnsi"/>
          <w:sz w:val="22"/>
          <w:szCs w:val="22"/>
        </w:rPr>
        <w:t>legume</w:t>
      </w:r>
      <w:r>
        <w:rPr>
          <w:rFonts w:asciiTheme="minorHAnsi" w:hAnsiTheme="minorHAnsi" w:cstheme="minorHAnsi"/>
          <w:sz w:val="22"/>
          <w:szCs w:val="22"/>
        </w:rPr>
        <w:t xml:space="preserve">s </w:t>
      </w:r>
      <w:r w:rsidR="00D80376">
        <w:rPr>
          <w:rFonts w:asciiTheme="minorHAnsi" w:hAnsiTheme="minorHAnsi" w:cstheme="minorHAnsi"/>
          <w:sz w:val="22"/>
          <w:szCs w:val="22"/>
        </w:rPr>
        <w:t>such as</w:t>
      </w:r>
      <w:r w:rsidR="009338CF">
        <w:rPr>
          <w:rFonts w:asciiTheme="minorHAnsi" w:hAnsiTheme="minorHAnsi" w:cstheme="minorHAnsi"/>
          <w:sz w:val="22"/>
          <w:szCs w:val="22"/>
        </w:rPr>
        <w:t xml:space="preserve"> </w:t>
      </w:r>
      <w:r w:rsidR="00D80376">
        <w:rPr>
          <w:rFonts w:asciiTheme="minorHAnsi" w:hAnsiTheme="minorHAnsi" w:cstheme="minorHAnsi"/>
          <w:sz w:val="22"/>
          <w:szCs w:val="22"/>
        </w:rPr>
        <w:t>(</w:t>
      </w:r>
      <w:r w:rsidR="00D80376" w:rsidRPr="00D80376">
        <w:rPr>
          <w:rFonts w:asciiTheme="minorHAnsi" w:hAnsiTheme="minorHAnsi" w:cstheme="minorHAnsi"/>
          <w:i/>
          <w:sz w:val="22"/>
          <w:szCs w:val="22"/>
        </w:rPr>
        <w:t>Trifolium repens</w:t>
      </w:r>
      <w:r w:rsidR="00D80376">
        <w:rPr>
          <w:rFonts w:asciiTheme="minorHAnsi" w:hAnsiTheme="minorHAnsi" w:cstheme="minorHAnsi"/>
          <w:sz w:val="22"/>
          <w:szCs w:val="22"/>
        </w:rPr>
        <w:t xml:space="preserve"> or red (</w:t>
      </w:r>
      <w:r w:rsidR="00D80376" w:rsidRPr="008E0A8D">
        <w:rPr>
          <w:rFonts w:asciiTheme="minorHAnsi" w:hAnsiTheme="minorHAnsi" w:cstheme="minorHAnsi"/>
          <w:i/>
          <w:sz w:val="22"/>
          <w:szCs w:val="22"/>
        </w:rPr>
        <w:t>T. pratense</w:t>
      </w:r>
      <w:r w:rsidR="00D80376">
        <w:rPr>
          <w:rFonts w:asciiTheme="minorHAnsi" w:hAnsiTheme="minorHAnsi" w:cstheme="minorHAnsi"/>
          <w:sz w:val="22"/>
          <w:szCs w:val="22"/>
        </w:rPr>
        <w:t>) clover</w:t>
      </w:r>
      <w:r w:rsidR="00D80376" w:rsidRPr="00D80376" w:rsidDel="00D80376">
        <w:rPr>
          <w:rFonts w:asciiTheme="minorHAnsi" w:hAnsiTheme="minorHAnsi" w:cstheme="minorHAnsi"/>
          <w:i/>
          <w:sz w:val="22"/>
          <w:szCs w:val="22"/>
        </w:rPr>
        <w:t xml:space="preserve"> </w:t>
      </w:r>
      <w:r>
        <w:rPr>
          <w:rFonts w:asciiTheme="minorHAnsi" w:hAnsiTheme="minorHAnsi" w:cstheme="minorHAnsi"/>
          <w:sz w:val="22"/>
          <w:szCs w:val="22"/>
        </w:rPr>
        <w:t xml:space="preserve">in </w:t>
      </w:r>
      <w:r w:rsidRPr="002141EF">
        <w:rPr>
          <w:rFonts w:asciiTheme="minorHAnsi" w:hAnsiTheme="minorHAnsi" w:cstheme="minorHAnsi"/>
          <w:sz w:val="22"/>
          <w:szCs w:val="22"/>
        </w:rPr>
        <w:t>grass mixtures</w:t>
      </w:r>
      <w:r>
        <w:rPr>
          <w:rFonts w:asciiTheme="minorHAnsi" w:hAnsiTheme="minorHAnsi" w:cstheme="minorHAnsi"/>
          <w:sz w:val="22"/>
          <w:szCs w:val="22"/>
        </w:rPr>
        <w:t xml:space="preserve">. Legumes fix nitrogen from the atmosphere, reducing the reliance on nitrogen fertiliser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ZOTERO_ITEM CSL_CITATION {"citationID":"TvduRkDl","properties":{"formattedCitation":"(Carswell et al., 2019)","plainCitation":"(Carswell et al., 2019)","noteIndex":0},"citationItems":[{"id":1065,"uris":["http://zotero.org/users/6500992/items/9I7FH7Z5"],"itemData":{"id":1065,"type":"article-journal","abstract":"There is currently much debate around the environmental implications of ruminant farming and a need for robust data on nitrogen (N) and carbon (C) fluxes from beef and sheep grazing systems. Here we use data collected from the North Wyke Farm Platform along with the SPACSYS model to examine the N and C budgets and the N use efficiency (NUE) of grassland swards at different stages of establishment. We assessed the transition from permanent pasture (PP) to a high-sugar grass (HSG), and a mixed sward of HSG with white clover (HSGC), identifying data specifically for the reseed (RS) years and the first year following RS (HSG-T and HSGC-T). Dominant fluxes for the N budget were N offtake as cut herbage and via livestock grazing, chemical-N fertiliser and N leaching at 88–280, 15–177, and 36–92 kg N ha−1 a−1, respectively. Net primary productivity, soil respiration and C offtake as cut herbage and via livestock grazing at 1.9–15.9, 1.74–12.5, and 0.34–11.7 t C ha−1 a−1, respectively, were the major C fluxes. No significant differences were found between the productivity of any of the swards apart from in the RS year of establishment. However, NUE of the livestock production system was significantly greater for the HSGC and HSGC-T swards at 32 and 42% compared to all other swards, associated with the low chemical-N fertiliser inputs to these clover-containing swards. Our findings demonstrate opportunities for improving NUE in grazing systems, but also the importance of setting realistic NUE targets for these systems to provide achievable goals for land-managers.","container-title":"Agriculture, Ecosystems &amp; Environment","DOI":"10.1016/j.agee.2019.106572","ISSN":"0167-8809","journalAbbreviation":"Agriculture, Ecosystems &amp; Environment","language":"en","page":"106572","source":"ScienceDirect","title":"Impact of transition from permanent pasture to new swards on the nitrogen use efficiency, nitrogen and carbon budgets of beef and sheep production","volume":"283","author":[{"family":"Carswell","given":"A. M."},{"family":"Gongadze","given":"K."},{"family":"Misselbrook","given":"T. H."},{"family":"Wu","given":"L."}],"issued":{"date-parts":[["2019",11,1]]}}}],"schema":"https://github.com/citation-style-language/schema/raw/master/csl-citation.json"} </w:instrText>
      </w:r>
      <w:r>
        <w:rPr>
          <w:rFonts w:asciiTheme="minorHAnsi" w:hAnsiTheme="minorHAnsi" w:cstheme="minorHAnsi"/>
          <w:sz w:val="22"/>
          <w:szCs w:val="22"/>
        </w:rPr>
        <w:fldChar w:fldCharType="separate"/>
      </w:r>
      <w:r w:rsidRPr="00A573B5">
        <w:rPr>
          <w:rFonts w:ascii="Calibri" w:hAnsi="Calibri" w:cs="Calibri"/>
          <w:sz w:val="22"/>
        </w:rPr>
        <w:t>(Carswell et al., 2019)</w:t>
      </w:r>
      <w:r>
        <w:rPr>
          <w:rFonts w:asciiTheme="minorHAnsi" w:hAnsiTheme="minorHAnsi" w:cstheme="minorHAnsi"/>
          <w:sz w:val="22"/>
          <w:szCs w:val="22"/>
        </w:rPr>
        <w:fldChar w:fldCharType="end"/>
      </w:r>
      <w:r>
        <w:rPr>
          <w:rFonts w:asciiTheme="minorHAnsi" w:hAnsiTheme="minorHAnsi" w:cstheme="minorHAnsi"/>
          <w:sz w:val="22"/>
          <w:szCs w:val="22"/>
        </w:rPr>
        <w:t xml:space="preserve">. This means </w:t>
      </w:r>
      <w:r w:rsidR="00EF3962">
        <w:rPr>
          <w:rFonts w:asciiTheme="minorHAnsi" w:hAnsiTheme="minorHAnsi" w:cstheme="minorHAnsi"/>
          <w:sz w:val="22"/>
          <w:szCs w:val="22"/>
        </w:rPr>
        <w:t xml:space="preserve">legumes </w:t>
      </w:r>
      <w:r w:rsidR="00EF3962">
        <w:rPr>
          <w:rFonts w:asciiTheme="minorHAnsi" w:hAnsiTheme="minorHAnsi" w:cstheme="minorHAnsi"/>
          <w:sz w:val="22"/>
          <w:szCs w:val="22"/>
        </w:rPr>
        <w:lastRenderedPageBreak/>
        <w:t>can be introduced</w:t>
      </w:r>
      <w:r>
        <w:rPr>
          <w:rFonts w:asciiTheme="minorHAnsi" w:hAnsiTheme="minorHAnsi" w:cstheme="minorHAnsi"/>
          <w:sz w:val="22"/>
          <w:szCs w:val="22"/>
        </w:rPr>
        <w:t xml:space="preserve"> a negative net cost as well as having an abatement potential 170</w:t>
      </w:r>
      <w:r w:rsidR="00C808D6">
        <w:rPr>
          <w:rFonts w:asciiTheme="minorHAnsi" w:hAnsiTheme="minorHAnsi" w:cstheme="minorHAnsi"/>
          <w:sz w:val="22"/>
          <w:szCs w:val="22"/>
        </w:rPr>
        <w:t xml:space="preserve"> kt </w:t>
      </w: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e yr</w:t>
      </w:r>
      <w:r>
        <w:rPr>
          <w:rFonts w:asciiTheme="minorHAnsi" w:hAnsiTheme="minorHAnsi" w:cstheme="minorHAnsi"/>
          <w:sz w:val="22"/>
          <w:szCs w:val="22"/>
          <w:vertAlign w:val="superscript"/>
        </w:rPr>
        <w:t xml:space="preserve">-1 </w:t>
      </w:r>
      <w:r>
        <w:rPr>
          <w:rFonts w:asciiTheme="minorHAnsi" w:hAnsiTheme="minorHAnsi" w:cstheme="minorHAnsi"/>
          <w:sz w:val="22"/>
          <w:szCs w:val="22"/>
          <w:vertAlign w:val="superscript"/>
        </w:rPr>
        <w:fldChar w:fldCharType="begin"/>
      </w:r>
      <w:r>
        <w:rPr>
          <w:rFonts w:asciiTheme="minorHAnsi" w:hAnsiTheme="minorHAnsi" w:cstheme="minorHAnsi"/>
          <w:sz w:val="22"/>
          <w:szCs w:val="22"/>
          <w:vertAlign w:val="superscript"/>
        </w:rPr>
        <w:instrText xml:space="preserve"> ADDIN ZOTERO_ITEM CSL_CITATION {"citationID":"rIKIvs4N","properties":{"formattedCitation":"(Eory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Pr>
          <w:rFonts w:asciiTheme="minorHAnsi" w:hAnsiTheme="minorHAnsi" w:cstheme="minorHAnsi"/>
          <w:sz w:val="22"/>
          <w:szCs w:val="22"/>
          <w:vertAlign w:val="superscript"/>
        </w:rPr>
        <w:fldChar w:fldCharType="separate"/>
      </w:r>
      <w:r w:rsidRPr="00531B51">
        <w:rPr>
          <w:rFonts w:ascii="Calibri" w:hAnsi="Calibri" w:cs="Calibri"/>
          <w:sz w:val="22"/>
        </w:rPr>
        <w:t>(</w:t>
      </w:r>
      <w:proofErr w:type="spellStart"/>
      <w:r w:rsidRPr="00531B51">
        <w:rPr>
          <w:rFonts w:ascii="Calibri" w:hAnsi="Calibri" w:cs="Calibri"/>
          <w:sz w:val="22"/>
        </w:rPr>
        <w:t>Eory</w:t>
      </w:r>
      <w:proofErr w:type="spellEnd"/>
      <w:r w:rsidRPr="00531B51">
        <w:rPr>
          <w:rFonts w:ascii="Calibri" w:hAnsi="Calibri" w:cs="Calibri"/>
          <w:sz w:val="22"/>
        </w:rPr>
        <w:t xml:space="preserve"> et al., 2015)</w:t>
      </w:r>
      <w:r>
        <w:rPr>
          <w:rFonts w:asciiTheme="minorHAnsi" w:hAnsiTheme="minorHAnsi" w:cstheme="minorHAnsi"/>
          <w:sz w:val="22"/>
          <w:szCs w:val="22"/>
          <w:vertAlign w:val="superscript"/>
        </w:rPr>
        <w:fldChar w:fldCharType="end"/>
      </w:r>
      <w:r>
        <w:rPr>
          <w:rFonts w:asciiTheme="minorHAnsi" w:hAnsiTheme="minorHAnsi" w:cstheme="minorHAnsi"/>
        </w:rPr>
        <w:t>.</w:t>
      </w:r>
      <w:r w:rsidR="00D13D83">
        <w:rPr>
          <w:rFonts w:asciiTheme="minorHAnsi" w:hAnsiTheme="minorHAnsi" w:cstheme="minorHAnsi"/>
          <w:b/>
          <w:bCs/>
        </w:rPr>
        <w:t xml:space="preserve"> </w:t>
      </w:r>
      <w:r w:rsidR="00B85146" w:rsidRPr="002141EF">
        <w:rPr>
          <w:rFonts w:asciiTheme="minorHAnsi" w:hAnsiTheme="minorHAnsi" w:cstheme="minorHAnsi"/>
          <w:sz w:val="22"/>
          <w:szCs w:val="22"/>
        </w:rPr>
        <w:t>Many of these measures</w:t>
      </w:r>
      <w:r w:rsidR="00B85146">
        <w:rPr>
          <w:rFonts w:asciiTheme="minorHAnsi" w:hAnsiTheme="minorHAnsi" w:cstheme="minorHAnsi"/>
          <w:sz w:val="22"/>
          <w:szCs w:val="22"/>
        </w:rPr>
        <w:t xml:space="preserve"> represent </w:t>
      </w:r>
      <w:r w:rsidR="003808B8">
        <w:rPr>
          <w:rFonts w:asciiTheme="minorHAnsi" w:hAnsiTheme="minorHAnsi" w:cstheme="minorHAnsi"/>
          <w:sz w:val="22"/>
          <w:szCs w:val="22"/>
        </w:rPr>
        <w:t xml:space="preserve">potential </w:t>
      </w:r>
      <w:r w:rsidR="00411814">
        <w:rPr>
          <w:rFonts w:asciiTheme="minorHAnsi" w:hAnsiTheme="minorHAnsi" w:cstheme="minorHAnsi"/>
          <w:sz w:val="22"/>
          <w:szCs w:val="22"/>
        </w:rPr>
        <w:t>co-</w:t>
      </w:r>
      <w:r w:rsidR="003808B8">
        <w:rPr>
          <w:rFonts w:asciiTheme="minorHAnsi" w:hAnsiTheme="minorHAnsi" w:cstheme="minorHAnsi"/>
          <w:sz w:val="22"/>
          <w:szCs w:val="22"/>
        </w:rPr>
        <w:t xml:space="preserve">benefits, so-called </w:t>
      </w:r>
      <w:r w:rsidR="00B85146">
        <w:rPr>
          <w:rFonts w:asciiTheme="minorHAnsi" w:hAnsiTheme="minorHAnsi" w:cstheme="minorHAnsi"/>
          <w:sz w:val="22"/>
          <w:szCs w:val="22"/>
        </w:rPr>
        <w:t>“win-win” scenarios</w:t>
      </w:r>
      <w:r w:rsidR="00C03C2F">
        <w:rPr>
          <w:rFonts w:asciiTheme="minorHAnsi" w:hAnsiTheme="minorHAnsi" w:cstheme="minorHAnsi"/>
          <w:sz w:val="22"/>
          <w:szCs w:val="22"/>
        </w:rPr>
        <w:t>;</w:t>
      </w:r>
      <w:r w:rsidR="00B85146">
        <w:rPr>
          <w:rFonts w:asciiTheme="minorHAnsi" w:hAnsiTheme="minorHAnsi" w:cstheme="minorHAnsi"/>
          <w:sz w:val="22"/>
          <w:szCs w:val="22"/>
        </w:rPr>
        <w:t xml:space="preserve"> for example</w:t>
      </w:r>
      <w:r w:rsidR="003808B8">
        <w:rPr>
          <w:rFonts w:asciiTheme="minorHAnsi" w:hAnsiTheme="minorHAnsi" w:cstheme="minorHAnsi"/>
          <w:sz w:val="22"/>
          <w:szCs w:val="22"/>
        </w:rPr>
        <w:t>,</w:t>
      </w:r>
      <w:r w:rsidR="00B85146">
        <w:rPr>
          <w:rFonts w:asciiTheme="minorHAnsi" w:hAnsiTheme="minorHAnsi" w:cstheme="minorHAnsi"/>
          <w:sz w:val="22"/>
          <w:szCs w:val="22"/>
        </w:rPr>
        <w:t xml:space="preserve"> improved production efficiencies not only reduce GHG emissions from livestock but </w:t>
      </w:r>
      <w:r w:rsidR="003808B8">
        <w:rPr>
          <w:rFonts w:asciiTheme="minorHAnsi" w:hAnsiTheme="minorHAnsi" w:cstheme="minorHAnsi"/>
          <w:sz w:val="22"/>
          <w:szCs w:val="22"/>
        </w:rPr>
        <w:t xml:space="preserve">can </w:t>
      </w:r>
      <w:r w:rsidR="00B85146">
        <w:rPr>
          <w:rFonts w:asciiTheme="minorHAnsi" w:hAnsiTheme="minorHAnsi" w:cstheme="minorHAnsi"/>
          <w:sz w:val="22"/>
          <w:szCs w:val="22"/>
        </w:rPr>
        <w:t xml:space="preserve">also increase </w:t>
      </w:r>
      <w:r w:rsidR="00CE36DB">
        <w:rPr>
          <w:rFonts w:asciiTheme="minorHAnsi" w:hAnsiTheme="minorHAnsi" w:cstheme="minorHAnsi"/>
          <w:sz w:val="22"/>
          <w:szCs w:val="22"/>
        </w:rPr>
        <w:t xml:space="preserve">animal- or area-based </w:t>
      </w:r>
      <w:r w:rsidR="00B85146">
        <w:rPr>
          <w:rFonts w:asciiTheme="minorHAnsi" w:hAnsiTheme="minorHAnsi" w:cstheme="minorHAnsi"/>
          <w:sz w:val="22"/>
          <w:szCs w:val="22"/>
        </w:rPr>
        <w:t xml:space="preserve">yields. Similarly with increasing clover cover, </w:t>
      </w:r>
      <w:r w:rsidR="00D80376">
        <w:rPr>
          <w:rFonts w:asciiTheme="minorHAnsi" w:hAnsiTheme="minorHAnsi" w:cstheme="minorHAnsi"/>
          <w:sz w:val="22"/>
          <w:szCs w:val="22"/>
        </w:rPr>
        <w:t xml:space="preserve">as well as </w:t>
      </w:r>
      <w:r w:rsidR="00E15BA0">
        <w:rPr>
          <w:rFonts w:asciiTheme="minorHAnsi" w:hAnsiTheme="minorHAnsi" w:cstheme="minorHAnsi"/>
          <w:sz w:val="22"/>
          <w:szCs w:val="22"/>
        </w:rPr>
        <w:t>reducing</w:t>
      </w:r>
      <w:r w:rsidR="00EF166C">
        <w:rPr>
          <w:rFonts w:asciiTheme="minorHAnsi" w:hAnsiTheme="minorHAnsi" w:cstheme="minorHAnsi"/>
          <w:sz w:val="22"/>
          <w:szCs w:val="22"/>
        </w:rPr>
        <w:t xml:space="preserve"> </w:t>
      </w:r>
      <w:r w:rsidR="009D37A0">
        <w:rPr>
          <w:rFonts w:asciiTheme="minorHAnsi" w:hAnsiTheme="minorHAnsi" w:cstheme="minorHAnsi"/>
          <w:sz w:val="22"/>
          <w:szCs w:val="22"/>
        </w:rPr>
        <w:t>CO</w:t>
      </w:r>
      <w:r w:rsidR="009D37A0" w:rsidRPr="00BF7191">
        <w:rPr>
          <w:rFonts w:asciiTheme="minorHAnsi" w:hAnsiTheme="minorHAnsi" w:cstheme="minorHAnsi"/>
          <w:sz w:val="22"/>
          <w:szCs w:val="22"/>
          <w:vertAlign w:val="subscript"/>
        </w:rPr>
        <w:t>2</w:t>
      </w:r>
      <w:r w:rsidR="009D37A0">
        <w:rPr>
          <w:rFonts w:asciiTheme="minorHAnsi" w:hAnsiTheme="minorHAnsi" w:cstheme="minorHAnsi"/>
          <w:sz w:val="22"/>
          <w:szCs w:val="22"/>
        </w:rPr>
        <w:t xml:space="preserve"> </w:t>
      </w:r>
      <w:r w:rsidR="00D80376" w:rsidRPr="00D80376">
        <w:rPr>
          <w:rFonts w:asciiTheme="minorHAnsi" w:hAnsiTheme="minorHAnsi" w:cstheme="minorHAnsi"/>
          <w:sz w:val="22"/>
          <w:szCs w:val="22"/>
        </w:rPr>
        <w:t>and N</w:t>
      </w:r>
      <w:r w:rsidR="00D80376" w:rsidRPr="00D80376">
        <w:rPr>
          <w:rFonts w:asciiTheme="minorHAnsi" w:hAnsiTheme="minorHAnsi" w:cstheme="minorHAnsi"/>
          <w:sz w:val="22"/>
          <w:szCs w:val="22"/>
          <w:vertAlign w:val="subscript"/>
        </w:rPr>
        <w:t>2</w:t>
      </w:r>
      <w:r w:rsidR="00D80376" w:rsidRPr="00D80376">
        <w:rPr>
          <w:rFonts w:asciiTheme="minorHAnsi" w:hAnsiTheme="minorHAnsi" w:cstheme="minorHAnsi"/>
          <w:sz w:val="22"/>
          <w:szCs w:val="22"/>
        </w:rPr>
        <w:t xml:space="preserve">O </w:t>
      </w:r>
      <w:r w:rsidR="009D37A0">
        <w:rPr>
          <w:rFonts w:asciiTheme="minorHAnsi" w:hAnsiTheme="minorHAnsi" w:cstheme="minorHAnsi"/>
          <w:sz w:val="22"/>
          <w:szCs w:val="22"/>
        </w:rPr>
        <w:t>emissions associated with fertiliser production</w:t>
      </w:r>
      <w:r w:rsidR="00D80376">
        <w:rPr>
          <w:rFonts w:asciiTheme="minorHAnsi" w:hAnsiTheme="minorHAnsi" w:cstheme="minorHAnsi"/>
          <w:sz w:val="22"/>
          <w:szCs w:val="22"/>
        </w:rPr>
        <w:t xml:space="preserve"> and application</w:t>
      </w:r>
      <w:r w:rsidR="003F2FAF">
        <w:rPr>
          <w:rFonts w:asciiTheme="minorHAnsi" w:hAnsiTheme="minorHAnsi" w:cstheme="minorHAnsi"/>
          <w:sz w:val="22"/>
          <w:szCs w:val="22"/>
        </w:rPr>
        <w:t>,</w:t>
      </w:r>
      <w:r w:rsidR="009D37A0">
        <w:rPr>
          <w:rFonts w:asciiTheme="minorHAnsi" w:hAnsiTheme="minorHAnsi" w:cstheme="minorHAnsi"/>
          <w:sz w:val="22"/>
          <w:szCs w:val="22"/>
        </w:rPr>
        <w:t xml:space="preserve"> </w:t>
      </w:r>
      <w:r w:rsidR="00D80376">
        <w:rPr>
          <w:rFonts w:asciiTheme="minorHAnsi" w:hAnsiTheme="minorHAnsi" w:cstheme="minorHAnsi"/>
          <w:sz w:val="22"/>
          <w:szCs w:val="22"/>
        </w:rPr>
        <w:t>they</w:t>
      </w:r>
      <w:r w:rsidR="00B85146">
        <w:rPr>
          <w:rFonts w:asciiTheme="minorHAnsi" w:hAnsiTheme="minorHAnsi" w:cstheme="minorHAnsi"/>
          <w:sz w:val="22"/>
          <w:szCs w:val="22"/>
        </w:rPr>
        <w:t xml:space="preserve"> are also likely to increase digestibility and crude protein of </w:t>
      </w:r>
      <w:r w:rsidR="00D80376">
        <w:rPr>
          <w:rFonts w:asciiTheme="minorHAnsi" w:hAnsiTheme="minorHAnsi" w:cstheme="minorHAnsi"/>
          <w:sz w:val="22"/>
          <w:szCs w:val="22"/>
        </w:rPr>
        <w:t>pasture,</w:t>
      </w:r>
      <w:r w:rsidR="009338CF">
        <w:rPr>
          <w:rFonts w:asciiTheme="minorHAnsi" w:hAnsiTheme="minorHAnsi" w:cstheme="minorHAnsi"/>
          <w:sz w:val="22"/>
          <w:szCs w:val="22"/>
        </w:rPr>
        <w:t xml:space="preserve"> </w:t>
      </w:r>
      <w:r w:rsidR="00B85146">
        <w:rPr>
          <w:rFonts w:asciiTheme="minorHAnsi" w:hAnsiTheme="minorHAnsi" w:cstheme="minorHAnsi"/>
          <w:sz w:val="22"/>
          <w:szCs w:val="22"/>
        </w:rPr>
        <w:t>therefore increasing animal yields</w:t>
      </w:r>
      <w:r w:rsidR="00582E75">
        <w:rPr>
          <w:rFonts w:asciiTheme="minorHAnsi" w:hAnsiTheme="minorHAnsi" w:cstheme="minorHAnsi"/>
          <w:sz w:val="22"/>
          <w:szCs w:val="22"/>
        </w:rPr>
        <w:t xml:space="preserve"> </w:t>
      </w:r>
      <w:r w:rsidR="005C291F">
        <w:rPr>
          <w:rFonts w:asciiTheme="minorHAnsi" w:hAnsiTheme="minorHAnsi" w:cstheme="minorHAnsi"/>
          <w:sz w:val="22"/>
          <w:szCs w:val="22"/>
        </w:rPr>
        <w:fldChar w:fldCharType="begin"/>
      </w:r>
      <w:r w:rsidR="005C291F">
        <w:rPr>
          <w:rFonts w:asciiTheme="minorHAnsi" w:hAnsiTheme="minorHAnsi" w:cstheme="minorHAnsi"/>
          <w:sz w:val="22"/>
          <w:szCs w:val="22"/>
        </w:rPr>
        <w:instrText xml:space="preserve"> ADDIN ZOTERO_ITEM CSL_CITATION {"citationID":"ofUj4keM","properties":{"formattedCitation":"(Jensen et al., 2012)","plainCitation":"(Jensen et al., 2012)","noteIndex":0},"citationItems":[{"id":774,"uris":["http://zotero.org/users/6500992/items/VVZ2TSZA"],"itemData":{"id":774,"type":"article-journal","abstract":"Humans are currently confronted by many global challenges. These include achieving food security for a rapidly expanding population, lowering the risk of climate change by reducing the net release of greenhouse gases into the atmosphere due to human activity, and meeting the increasing demand for energy in the face of dwindling reserves of fossil energy and uncertainties about future reliability of supply. Legumes deliver several important services to societies. They provide important sources of oil, fiber, and protein-rich food and feed while supplying nitrogen (N) to agro-ecosystems via their unique ability to fix atmospheric N2 in symbiosis with the soil bacteria rhizobia, increasing soil carbon content, and stimulating the productivity of the crops that follow. However, the role of legumes has rarely been considered in the context of their potential to contribute to the mitigation of climate change by reducing fossil fuel use or by providing feedstock for the emerging biobased economies where fossil sources of energy and industrial raw materials are replaced in part by sustainable and renewable biomass resources. The aim of this review was to collate the current knowledge regarding the capacity of legumes to (1) lower the emissions of the key greenhouse gases carbon dioxide (CO2) and nitrous oxide (N2O) compared to N-fertilized systems, (2) reduce the fossil energy used in the production of food and forage, (3) contribute to the sequestration of carbon (C) in soils, and (4) provide a viable source of biomass for the generation of biofuels and other materials in future biorefinery concepts. We estimated that globally between 350 and 500 Tg CO2 could be emitted as a result of the 33 to 46 Tg N that is biologically fixed by agricultural legumes each year. This compares to around 300 Tg CO2 released annually from the manufacture of 100 Tg fertilizer N. The main difference is that the CO2 respired from the nodulated roots of N2-fixing legumes originated from photosynthesis and will not represent a net contribution to atmospheric concentrations of CO2, whereas the CO2 generated during the synthesis of N fertilizer was derived from fossil fuels. Experimental measures of total N2O fluxes from legumes and N-fertilized systems were found to vary enormously (0.03–7.09 and 0.09–18.16 kg N2O–N ha−1, respectively). This reflected the data being collated from a diverse range of studies using different rates of N inputs, as well as the large number of climatic, soil, and management variables known to influence denitrification and the portion of the total N lost as N2O. Averages across 71 site-years of data, soils under legumes emitted a total of 1.29 kg N2O–N ha−1 during a growing season. This compared to a mean of 3.22 kg N2O–N ha−1 from 67 site-years of N-fertilized crops and pastures, and 1.20 kg N2O–N ha−1 from 33 site-years of data collected from unplanted soils or unfertilized non-legumes. It was concluded that there was little evidence that biological N2 fixation substantially contributed to total N2O emissions, and that losses of N2O from legume soil were generally lower than N-fertilized systems, especially when commercial rates of N fertilizer were applied. Elevated rates of N2O losses can occur following the termination of legume-based pastures, or where legumes had been green- or brown-manured and there was a rapid build-up of high concentrations of nitrate in soil. Legume crops and legume-based pastures use 35% to 60% less fossil energy than N-fertilized cereals or grasslands, and the inclusion of legumes in cropping sequences reduced the average annual energy usage over a rotation by 12% to 34%. The reduced energy use was primarily due to the removal of the need to apply N fertilizer and the subsequently lower N fertilizer requirements for crops grown following legumes. Life cycle energy balances of legume-based rotations were also assisted by a lower use of agrichemicals for crop protection as diversification of cropping sequences reduce the incidence of cereal pathogens and pests and assisted weed control, although it was noted that differences in fossil energy use between legumes and N-fertilized systems were greatly diminished if energy use was expressed per unit of biomass or grain produced. For a change in land use to result in a net increase C sequestration in soil, the inputs of C remaining in plant residues need to exceed the CO2 respired by soil microbes during the decomposition of plant residues or soil organic C, and the C lost through wind or water erosion. The net N-balance of the system was a key driver of changes in soil C stocks in many environments, and data collected from pasture, cropping, and agroforestry systems all indicated that legumes played a pivotal role in providing the additional organic N required to encourage the accumulation of soil C at rates greater than can be achieved by cereals or grasses even when they were supplied with N fertilizer. Legumes contain a range of compounds, which could be refined to produce raw industrial materials currently manufactured from petroleum-based sources, pharmaceuticals, surfactants, or food additives as valuable by-products if legume biomass was to be used to generate biodiesel, bioethanol, biojet A1 fuel, or biogas. The attraction of using leguminous material feedstock is that they do not need the inputs of N fertilizer that would otherwise be necessary to support the production of high grain yields or large amounts of plant biomass since it is the high fossil energy use in the synthesis, transport, and application of N fertilizers that often negates much of the net C benefits of many other bioenergy sources. The use of legume biomass for biorefineries needs careful thought as there will be significant trade-offs with the current role of legumes in contributing to the organic fertility of soils. Agricultural systems will require novel management and plant breeding solutions to provide the range of options that will be required to mitigate climate change. Given their array of ecosystem services and their ability to reduce greenhouse gas emissions, lower the use of fossil energy, accelerate rates of C sequestration in soil, and provide a valuable source of feedstock for biorefineries, legumes should be considered as important components in the development of future agroecosystems.","container-title":"Agronomy for Sustainable Development","DOI":"10.1007/s13593-011-0056-7","ISSN":"1773-0155","issue":"2","journalAbbreviation":"Agron. Sustain. Dev.","language":"en","page":"329-364","source":"Springer Link","title":"Legumes for mitigation of climate change and the provision of feedstock for biofuels and biorefineries. A review","volume":"32","author":[{"family":"Jensen","given":"Erik Steen"},{"family":"Peoples","given":"Mark B."},{"family":"Boddey","given":"Robert M."},{"family":"Gresshoff","given":"Peter M."},{"family":"Hauggaard-Nielsen","given":"Henrik"},{"family":"J.R. Alves","given":"Bruno"},{"family":"Morrison","given":"Malcolm J."}],"issued":{"date-parts":[["2012",4,1]]}}}],"schema":"https://github.com/citation-style-language/schema/raw/master/csl-citation.json"} </w:instrText>
      </w:r>
      <w:r w:rsidR="005C291F">
        <w:rPr>
          <w:rFonts w:asciiTheme="minorHAnsi" w:hAnsiTheme="minorHAnsi" w:cstheme="minorHAnsi"/>
          <w:sz w:val="22"/>
          <w:szCs w:val="22"/>
        </w:rPr>
        <w:fldChar w:fldCharType="separate"/>
      </w:r>
      <w:r w:rsidR="00A573B5" w:rsidRPr="00A573B5">
        <w:rPr>
          <w:rFonts w:ascii="Calibri" w:hAnsi="Calibri" w:cs="Calibri"/>
          <w:sz w:val="22"/>
        </w:rPr>
        <w:t>(Jensen et al., 2012)</w:t>
      </w:r>
      <w:r w:rsidR="005C291F">
        <w:rPr>
          <w:rFonts w:asciiTheme="minorHAnsi" w:hAnsiTheme="minorHAnsi" w:cstheme="minorHAnsi"/>
          <w:sz w:val="22"/>
          <w:szCs w:val="22"/>
        </w:rPr>
        <w:fldChar w:fldCharType="end"/>
      </w:r>
      <w:r w:rsidR="00B85146">
        <w:rPr>
          <w:rFonts w:asciiTheme="minorHAnsi" w:hAnsiTheme="minorHAnsi" w:cstheme="minorHAnsi"/>
          <w:sz w:val="22"/>
          <w:szCs w:val="22"/>
        </w:rPr>
        <w:t>.</w:t>
      </w:r>
    </w:p>
    <w:p w14:paraId="4BD24641" w14:textId="77777777" w:rsidR="00F82F11" w:rsidRPr="00B85146" w:rsidRDefault="00F82F11" w:rsidP="00BA3E62">
      <w:pPr>
        <w:spacing w:line="360" w:lineRule="auto"/>
        <w:jc w:val="both"/>
        <w:rPr>
          <w:rFonts w:asciiTheme="minorHAnsi" w:hAnsiTheme="minorHAnsi" w:cstheme="minorHAnsi"/>
          <w:sz w:val="22"/>
          <w:szCs w:val="22"/>
        </w:rPr>
      </w:pPr>
    </w:p>
    <w:p w14:paraId="220B3317" w14:textId="265C6A5A" w:rsidR="00BC0049" w:rsidRDefault="005867D0" w:rsidP="00BA3E62">
      <w:pPr>
        <w:spacing w:line="360" w:lineRule="auto"/>
        <w:jc w:val="both"/>
        <w:rPr>
          <w:rFonts w:asciiTheme="minorHAnsi" w:hAnsiTheme="minorHAnsi" w:cstheme="minorHAnsi"/>
          <w:sz w:val="22"/>
          <w:szCs w:val="22"/>
        </w:rPr>
      </w:pPr>
      <w:r>
        <w:rPr>
          <w:rFonts w:asciiTheme="minorHAnsi" w:hAnsiTheme="minorHAnsi" w:cstheme="minorHAnsi"/>
          <w:sz w:val="22"/>
          <w:szCs w:val="22"/>
        </w:rPr>
        <w:t>A</w:t>
      </w:r>
      <w:r w:rsidR="00B85146" w:rsidRPr="00B85146">
        <w:rPr>
          <w:rFonts w:asciiTheme="minorHAnsi" w:hAnsiTheme="minorHAnsi" w:cstheme="minorHAnsi"/>
          <w:sz w:val="22"/>
          <w:szCs w:val="22"/>
        </w:rPr>
        <w:t xml:space="preserve">fforestation </w:t>
      </w:r>
      <w:r w:rsidR="00321387">
        <w:rPr>
          <w:rFonts w:asciiTheme="minorHAnsi" w:hAnsiTheme="minorHAnsi" w:cstheme="minorHAnsi"/>
          <w:sz w:val="22"/>
          <w:szCs w:val="22"/>
        </w:rPr>
        <w:t xml:space="preserve">will </w:t>
      </w:r>
      <w:r>
        <w:rPr>
          <w:rFonts w:asciiTheme="minorHAnsi" w:hAnsiTheme="minorHAnsi" w:cstheme="minorHAnsi"/>
          <w:sz w:val="22"/>
          <w:szCs w:val="22"/>
        </w:rPr>
        <w:t xml:space="preserve">likely </w:t>
      </w:r>
      <w:r w:rsidR="00321387">
        <w:rPr>
          <w:rFonts w:asciiTheme="minorHAnsi" w:hAnsiTheme="minorHAnsi" w:cstheme="minorHAnsi"/>
          <w:sz w:val="22"/>
          <w:szCs w:val="22"/>
        </w:rPr>
        <w:t xml:space="preserve">play a vital role </w:t>
      </w:r>
      <w:r w:rsidR="008B3EBA">
        <w:rPr>
          <w:rFonts w:asciiTheme="minorHAnsi" w:hAnsiTheme="minorHAnsi" w:cstheme="minorHAnsi"/>
          <w:sz w:val="22"/>
          <w:szCs w:val="22"/>
        </w:rPr>
        <w:t>in removing GHG</w:t>
      </w:r>
      <w:r w:rsidR="00333F9D">
        <w:rPr>
          <w:rFonts w:asciiTheme="minorHAnsi" w:hAnsiTheme="minorHAnsi" w:cstheme="minorHAnsi"/>
          <w:sz w:val="22"/>
          <w:szCs w:val="22"/>
        </w:rPr>
        <w:t>s</w:t>
      </w:r>
      <w:r w:rsidR="008B3EBA">
        <w:rPr>
          <w:rFonts w:asciiTheme="minorHAnsi" w:hAnsiTheme="minorHAnsi" w:cstheme="minorHAnsi"/>
          <w:sz w:val="22"/>
          <w:szCs w:val="22"/>
        </w:rPr>
        <w:t xml:space="preserve"> from the atmosphere </w:t>
      </w:r>
      <w:r w:rsidR="00333F9D">
        <w:rPr>
          <w:rFonts w:asciiTheme="minorHAnsi" w:hAnsiTheme="minorHAnsi" w:cstheme="minorHAnsi"/>
          <w:sz w:val="22"/>
          <w:szCs w:val="22"/>
        </w:rPr>
        <w:fldChar w:fldCharType="begin"/>
      </w:r>
      <w:r w:rsidR="00F95D57">
        <w:rPr>
          <w:rFonts w:asciiTheme="minorHAnsi" w:hAnsiTheme="minorHAnsi" w:cstheme="minorHAnsi"/>
          <w:sz w:val="22"/>
          <w:szCs w:val="22"/>
        </w:rPr>
        <w:instrText xml:space="preserve"> ADDIN ZOTERO_ITEM CSL_CITATION {"citationID":"9Jgzpfge","properties":{"formattedCitation":"(Stark et al., 2019)","plainCitation":"(Stark et al., 2019)","noteIndex":0},"citationItems":[{"id":1255,"uris":["http://zotero.org/users/6500992/items/AHWRBGCU"],"itemData":{"id":1255,"type":"article-journal","note":"publisher: Committee on Climate Change","source":"Google Scholar","title":"Net Zero: The UK’s contribution to stopping global warming","title-short":"Net Zero","author":[{"family":"Stark","given":"Chris"},{"family":"Thompson","given":"Mike"},{"family":"Andrew","given":"Tom"},{"family":"Beasley","given":"Georgina"},{"family":"Bellamy","given":"Owen"},{"family":"Budden","given":"Peter"},{"family":"Cole","given":"Cloe"},{"family":"Darke","given":"James"},{"family":"Davies","given":"Ellie"},{"family":"Feliciano","given":"Diana"}],"issued":{"date-parts":[["2019"]]}}}],"schema":"https://github.com/citation-style-language/schema/raw/master/csl-citation.json"} </w:instrText>
      </w:r>
      <w:r w:rsidR="00333F9D">
        <w:rPr>
          <w:rFonts w:asciiTheme="minorHAnsi" w:hAnsiTheme="minorHAnsi" w:cstheme="minorHAnsi"/>
          <w:sz w:val="22"/>
          <w:szCs w:val="22"/>
        </w:rPr>
        <w:fldChar w:fldCharType="separate"/>
      </w:r>
      <w:r w:rsidR="00A573B5" w:rsidRPr="00A573B5">
        <w:rPr>
          <w:rFonts w:ascii="Calibri" w:hAnsi="Calibri" w:cs="Calibri"/>
          <w:sz w:val="22"/>
        </w:rPr>
        <w:t>(Stark et al., 2019)</w:t>
      </w:r>
      <w:r w:rsidR="00333F9D">
        <w:rPr>
          <w:rFonts w:asciiTheme="minorHAnsi" w:hAnsiTheme="minorHAnsi" w:cstheme="minorHAnsi"/>
          <w:sz w:val="22"/>
          <w:szCs w:val="22"/>
        </w:rPr>
        <w:fldChar w:fldCharType="end"/>
      </w:r>
      <w:r w:rsidR="00B85146">
        <w:rPr>
          <w:rFonts w:asciiTheme="minorHAnsi" w:hAnsiTheme="minorHAnsi" w:cstheme="minorHAnsi"/>
          <w:sz w:val="22"/>
          <w:szCs w:val="22"/>
        </w:rPr>
        <w:t>.</w:t>
      </w:r>
      <w:r w:rsidR="00B85146" w:rsidRPr="00B85146">
        <w:t xml:space="preserve"> </w:t>
      </w:r>
      <w:r w:rsidR="00B85146">
        <w:rPr>
          <w:rFonts w:asciiTheme="minorHAnsi" w:hAnsiTheme="minorHAnsi" w:cstheme="minorHAnsi"/>
          <w:sz w:val="22"/>
          <w:szCs w:val="22"/>
        </w:rPr>
        <w:t>A</w:t>
      </w:r>
      <w:r w:rsidR="00B85146" w:rsidRPr="00B85146">
        <w:rPr>
          <w:rFonts w:asciiTheme="minorHAnsi" w:hAnsiTheme="minorHAnsi" w:cstheme="minorHAnsi"/>
          <w:sz w:val="22"/>
          <w:szCs w:val="22"/>
        </w:rPr>
        <w:t>groforestry</w:t>
      </w:r>
      <w:r w:rsidR="00343DD1">
        <w:rPr>
          <w:rFonts w:asciiTheme="minorHAnsi" w:hAnsiTheme="minorHAnsi" w:cstheme="minorHAnsi"/>
          <w:sz w:val="22"/>
          <w:szCs w:val="22"/>
        </w:rPr>
        <w:t>, whereby woody biomass i</w:t>
      </w:r>
      <w:r w:rsidR="00A6447C">
        <w:rPr>
          <w:rFonts w:asciiTheme="minorHAnsi" w:hAnsiTheme="minorHAnsi" w:cstheme="minorHAnsi"/>
          <w:sz w:val="22"/>
          <w:szCs w:val="22"/>
        </w:rPr>
        <w:t>s</w:t>
      </w:r>
      <w:r w:rsidR="00343DD1">
        <w:rPr>
          <w:rFonts w:asciiTheme="minorHAnsi" w:hAnsiTheme="minorHAnsi" w:cstheme="minorHAnsi"/>
          <w:sz w:val="22"/>
          <w:szCs w:val="22"/>
        </w:rPr>
        <w:t xml:space="preserve"> integrated into agricultural systems (in the form of</w:t>
      </w:r>
      <w:r w:rsidR="00343DD1" w:rsidRPr="00B85146">
        <w:rPr>
          <w:rFonts w:asciiTheme="minorHAnsi" w:hAnsiTheme="minorHAnsi" w:cstheme="minorHAnsi"/>
          <w:sz w:val="22"/>
          <w:szCs w:val="22"/>
        </w:rPr>
        <w:t xml:space="preserve"> </w:t>
      </w:r>
      <w:proofErr w:type="spellStart"/>
      <w:r w:rsidR="00343DD1" w:rsidRPr="00B85146">
        <w:rPr>
          <w:rFonts w:asciiTheme="minorHAnsi" w:hAnsiTheme="minorHAnsi" w:cstheme="minorHAnsi"/>
          <w:sz w:val="22"/>
          <w:szCs w:val="22"/>
        </w:rPr>
        <w:t>silvopasture</w:t>
      </w:r>
      <w:proofErr w:type="spellEnd"/>
      <w:r w:rsidR="00343DD1" w:rsidRPr="00B85146">
        <w:rPr>
          <w:rFonts w:asciiTheme="minorHAnsi" w:hAnsiTheme="minorHAnsi" w:cstheme="minorHAnsi"/>
          <w:sz w:val="22"/>
          <w:szCs w:val="22"/>
        </w:rPr>
        <w:t>, hedgerows, shelterbelts and row systems</w:t>
      </w:r>
      <w:r w:rsidR="00343DD1">
        <w:rPr>
          <w:rFonts w:asciiTheme="minorHAnsi" w:hAnsiTheme="minorHAnsi" w:cstheme="minorHAnsi"/>
          <w:sz w:val="22"/>
          <w:szCs w:val="22"/>
        </w:rPr>
        <w:t>)</w:t>
      </w:r>
      <w:r w:rsidR="00B85146" w:rsidRPr="00B85146">
        <w:rPr>
          <w:rFonts w:asciiTheme="minorHAnsi" w:hAnsiTheme="minorHAnsi" w:cstheme="minorHAnsi"/>
          <w:sz w:val="22"/>
          <w:szCs w:val="22"/>
        </w:rPr>
        <w:t xml:space="preserve"> </w:t>
      </w:r>
      <w:r>
        <w:rPr>
          <w:rFonts w:asciiTheme="minorHAnsi" w:hAnsiTheme="minorHAnsi" w:cstheme="minorHAnsi"/>
          <w:sz w:val="22"/>
          <w:szCs w:val="22"/>
        </w:rPr>
        <w:t>could increase on-farm</w:t>
      </w:r>
      <w:r w:rsidR="00B85146" w:rsidRPr="00B85146">
        <w:rPr>
          <w:rFonts w:asciiTheme="minorHAnsi" w:hAnsiTheme="minorHAnsi" w:cstheme="minorHAnsi"/>
          <w:sz w:val="22"/>
          <w:szCs w:val="22"/>
        </w:rPr>
        <w:t xml:space="preserve"> sequestration </w:t>
      </w:r>
      <w:r w:rsidR="00345D63">
        <w:rPr>
          <w:rFonts w:asciiTheme="minorHAnsi" w:hAnsiTheme="minorHAnsi" w:cstheme="minorHAnsi"/>
          <w:sz w:val="22"/>
          <w:szCs w:val="22"/>
        </w:rPr>
        <w:t xml:space="preserve">and </w:t>
      </w:r>
      <w:r>
        <w:rPr>
          <w:rFonts w:asciiTheme="minorHAnsi" w:hAnsiTheme="minorHAnsi" w:cstheme="minorHAnsi"/>
          <w:sz w:val="22"/>
          <w:szCs w:val="22"/>
        </w:rPr>
        <w:t xml:space="preserve">deliver </w:t>
      </w:r>
      <w:r w:rsidR="00345D63">
        <w:rPr>
          <w:rFonts w:asciiTheme="minorHAnsi" w:hAnsiTheme="minorHAnsi" w:cstheme="minorHAnsi"/>
          <w:sz w:val="22"/>
          <w:szCs w:val="22"/>
        </w:rPr>
        <w:t xml:space="preserve">other environmental benefits </w:t>
      </w:r>
      <w:r w:rsidR="00B85146" w:rsidRPr="00B85146">
        <w:rPr>
          <w:rFonts w:asciiTheme="minorHAnsi" w:hAnsiTheme="minorHAnsi" w:cstheme="minorHAnsi"/>
          <w:sz w:val="22"/>
          <w:szCs w:val="22"/>
        </w:rPr>
        <w:t xml:space="preserve">without </w:t>
      </w:r>
      <w:r w:rsidR="00343DD1">
        <w:rPr>
          <w:rFonts w:asciiTheme="minorHAnsi" w:hAnsiTheme="minorHAnsi" w:cstheme="minorHAnsi"/>
          <w:sz w:val="22"/>
          <w:szCs w:val="22"/>
        </w:rPr>
        <w:t xml:space="preserve">adversely </w:t>
      </w:r>
      <w:r w:rsidR="00B85146" w:rsidRPr="00B85146">
        <w:rPr>
          <w:rFonts w:asciiTheme="minorHAnsi" w:hAnsiTheme="minorHAnsi" w:cstheme="minorHAnsi"/>
          <w:sz w:val="22"/>
          <w:szCs w:val="22"/>
        </w:rPr>
        <w:t xml:space="preserve">affecting farm </w:t>
      </w:r>
      <w:r w:rsidR="003F4FEE">
        <w:rPr>
          <w:rFonts w:asciiTheme="minorHAnsi" w:hAnsiTheme="minorHAnsi" w:cstheme="minorHAnsi"/>
          <w:sz w:val="22"/>
          <w:szCs w:val="22"/>
        </w:rPr>
        <w:t>production</w:t>
      </w:r>
      <w:r w:rsidR="00AE28C7">
        <w:rPr>
          <w:rFonts w:asciiTheme="minorHAnsi" w:hAnsiTheme="minorHAnsi" w:cstheme="minorHAnsi"/>
          <w:sz w:val="22"/>
          <w:szCs w:val="22"/>
        </w:rPr>
        <w:t xml:space="preserve"> </w:t>
      </w:r>
      <w:r w:rsidR="00E84245">
        <w:rPr>
          <w:rFonts w:asciiTheme="minorHAnsi" w:hAnsiTheme="minorHAnsi" w:cstheme="minorHAnsi"/>
          <w:sz w:val="22"/>
          <w:szCs w:val="22"/>
        </w:rPr>
        <w:fldChar w:fldCharType="begin"/>
      </w:r>
      <w:r w:rsidR="002C4DB2">
        <w:rPr>
          <w:rFonts w:asciiTheme="minorHAnsi" w:hAnsiTheme="minorHAnsi" w:cstheme="minorHAnsi"/>
          <w:sz w:val="22"/>
          <w:szCs w:val="22"/>
        </w:rPr>
        <w:instrText xml:space="preserve"> ADDIN ZOTERO_ITEM CSL_CITATION {"citationID":"XYKv9NR9","properties":{"formattedCitation":"(Jordon et al., 2020)","plainCitation":"(Jordon et al., 2020)","noteIndex":0},"citationItems":[{"id":1252,"uris":["http://zotero.org/users/6500992/items/Z7TY3Z2A"],"itemData":{"id":1252,"type":"article-journal","abstract":"The environmental impacts of ruminant livestock farming need to be mitigated to improve the sustainability of food production. These negative impacts have been compounded by the increased spatial and cultural separation of farming and forestry across multiple temperate landscapes and contexts over recent centuries, and could at least in part be alleviated by re-integration of livestock and trees via agroforestry systems. Such integration also has the potential to benefit the productivity and economics of livestock farming. However, the delivery of hoped-for benefits is highly likely to depend on context, which will necessitate the consideration of local synergies and trade-offs. Evaluating the extensive body of research on the synergies and trade-offs between agroforestry and environmental, productivity and economic indicators would provide a resource to support context-specific decision making by land managers. Here, we present a systematic evidence map of academic and grey literature to address the question “What are the impacts of temperate agroforestry systems on sheep and cattle productivity, environmental impacts and farm economic viability?”. We followed good practice guidance from the Collaboration for Environmental Evidence to find and select relevant studies to create an interactive systematic map. We identified 289 relevant studies from 22 countries across temperate regions of North and South America, Australasia and Europe. Our preliminary synthesis indicates that there is an emerging evidence base to demonstrate that temperate agroforestry can deliver environmental and economic benefits compared with pasture without trees. However, to date measures of livestock productivity (particularly weather-related mortality and heat- and cold-stress) have received insufficient attention in many temperate agroforestry systems. The evidence base assembled through this work provides a freely accessible resource applicable across temperate regions to support context-specific decision making.","container-title":"Forests","DOI":"10.3390/f11121321","ISSN":"1999-4907","issue":"12","language":"en","license":"http://creativecommons.org/licenses/by/3.0/","note":"number: 12\npublisher: Multidisciplinary Digital Publishing Institute","page":"1321","source":"www.mdpi.com","title":"Implications of Temperate Agroforestry on Sheep and Cattle Productivity, Environmental Impacts and Enterprise Economics. A Systematic Evidence Map","volume":"11","author":[{"family":"Jordon","given":"Matthew W."},{"family":"Willis","given":"Kathy J."},{"family":"Harvey","given":"William J."},{"family":"Petrokofsky","given":"Leo"},{"family":"Petrokofsky","given":"Gillian"}],"issued":{"date-parts":[["2020",12]]}}}],"schema":"https://github.com/citation-style-language/schema/raw/master/csl-citation.json"} </w:instrText>
      </w:r>
      <w:r w:rsidR="00E84245">
        <w:rPr>
          <w:rFonts w:asciiTheme="minorHAnsi" w:hAnsiTheme="minorHAnsi" w:cstheme="minorHAnsi"/>
          <w:sz w:val="22"/>
          <w:szCs w:val="22"/>
        </w:rPr>
        <w:fldChar w:fldCharType="separate"/>
      </w:r>
      <w:r w:rsidR="00A573B5" w:rsidRPr="00A573B5">
        <w:rPr>
          <w:rFonts w:ascii="Calibri" w:hAnsi="Calibri" w:cs="Calibri"/>
          <w:sz w:val="22"/>
        </w:rPr>
        <w:t>(Jordon et al., 2020)</w:t>
      </w:r>
      <w:r w:rsidR="00E84245">
        <w:rPr>
          <w:rFonts w:asciiTheme="minorHAnsi" w:hAnsiTheme="minorHAnsi" w:cstheme="minorHAnsi"/>
          <w:sz w:val="22"/>
          <w:szCs w:val="22"/>
        </w:rPr>
        <w:fldChar w:fldCharType="end"/>
      </w:r>
      <w:r w:rsidR="00B85146" w:rsidRPr="00B85146">
        <w:rPr>
          <w:rFonts w:asciiTheme="minorHAnsi" w:hAnsiTheme="minorHAnsi" w:cstheme="minorHAnsi"/>
          <w:sz w:val="22"/>
          <w:szCs w:val="22"/>
        </w:rPr>
        <w:t>.</w:t>
      </w:r>
      <w:r w:rsidR="00B85146">
        <w:rPr>
          <w:rFonts w:asciiTheme="minorHAnsi" w:hAnsiTheme="minorHAnsi" w:cstheme="minorHAnsi"/>
          <w:sz w:val="22"/>
          <w:szCs w:val="22"/>
        </w:rPr>
        <w:t xml:space="preserve"> </w:t>
      </w:r>
      <w:r w:rsidR="003A7FED" w:rsidRPr="003A7FED">
        <w:rPr>
          <w:rFonts w:asciiTheme="minorHAnsi" w:hAnsiTheme="minorHAnsi" w:cstheme="minorHAnsi"/>
          <w:sz w:val="22"/>
          <w:szCs w:val="22"/>
        </w:rPr>
        <w:t>Another option for GHG removal is increasing soil carbon sequestration</w:t>
      </w:r>
      <w:r w:rsidR="003A7FED">
        <w:rPr>
          <w:rFonts w:asciiTheme="minorHAnsi" w:hAnsiTheme="minorHAnsi" w:cstheme="minorHAnsi"/>
          <w:sz w:val="22"/>
          <w:szCs w:val="22"/>
        </w:rPr>
        <w:t>. There are numerous management options that can enhance sequestration of carbon in soils</w:t>
      </w:r>
      <w:r w:rsidR="00581F72">
        <w:rPr>
          <w:rFonts w:asciiTheme="minorHAnsi" w:hAnsiTheme="minorHAnsi" w:cstheme="minorHAnsi"/>
          <w:sz w:val="22"/>
          <w:szCs w:val="22"/>
        </w:rPr>
        <w:t>,</w:t>
      </w:r>
      <w:r w:rsidR="003A7FED">
        <w:rPr>
          <w:rFonts w:asciiTheme="minorHAnsi" w:hAnsiTheme="minorHAnsi" w:cstheme="minorHAnsi"/>
          <w:sz w:val="22"/>
          <w:szCs w:val="22"/>
        </w:rPr>
        <w:t xml:space="preserve"> however</w:t>
      </w:r>
      <w:r w:rsidR="00585035">
        <w:rPr>
          <w:rFonts w:asciiTheme="minorHAnsi" w:hAnsiTheme="minorHAnsi" w:cstheme="minorHAnsi"/>
          <w:sz w:val="22"/>
          <w:szCs w:val="22"/>
        </w:rPr>
        <w:t>,</w:t>
      </w:r>
      <w:r w:rsidR="003A7FED">
        <w:rPr>
          <w:rFonts w:asciiTheme="minorHAnsi" w:hAnsiTheme="minorHAnsi" w:cstheme="minorHAnsi"/>
          <w:sz w:val="22"/>
          <w:szCs w:val="22"/>
        </w:rPr>
        <w:t xml:space="preserve"> t</w:t>
      </w:r>
      <w:r w:rsidR="003A7FED" w:rsidRPr="003A7FED">
        <w:rPr>
          <w:rFonts w:asciiTheme="minorHAnsi" w:hAnsiTheme="minorHAnsi" w:cstheme="minorHAnsi"/>
          <w:sz w:val="22"/>
          <w:szCs w:val="22"/>
        </w:rPr>
        <w:t xml:space="preserve">he capacity to make significant further gains may be limited in </w:t>
      </w:r>
      <w:r w:rsidR="0010192B">
        <w:rPr>
          <w:rFonts w:asciiTheme="minorHAnsi" w:hAnsiTheme="minorHAnsi" w:cstheme="minorHAnsi"/>
          <w:sz w:val="22"/>
          <w:szCs w:val="22"/>
        </w:rPr>
        <w:t xml:space="preserve">many agricultural </w:t>
      </w:r>
      <w:r w:rsidR="003A7FED" w:rsidRPr="003A7FED">
        <w:rPr>
          <w:rFonts w:asciiTheme="minorHAnsi" w:hAnsiTheme="minorHAnsi" w:cstheme="minorHAnsi"/>
          <w:sz w:val="22"/>
          <w:szCs w:val="22"/>
        </w:rPr>
        <w:t xml:space="preserve">soils </w:t>
      </w:r>
      <w:r w:rsidR="001E6517">
        <w:rPr>
          <w:rFonts w:asciiTheme="minorHAnsi" w:hAnsiTheme="minorHAnsi" w:cstheme="minorHAnsi"/>
          <w:sz w:val="22"/>
          <w:szCs w:val="22"/>
        </w:rPr>
        <w:fldChar w:fldCharType="begin"/>
      </w:r>
      <w:r w:rsidR="001E6517">
        <w:rPr>
          <w:rFonts w:asciiTheme="minorHAnsi" w:hAnsiTheme="minorHAnsi" w:cstheme="minorHAnsi"/>
          <w:sz w:val="22"/>
          <w:szCs w:val="22"/>
        </w:rPr>
        <w:instrText xml:space="preserve"> ADDIN ZOTERO_ITEM CSL_CITATION {"citationID":"73ZQEj6E","properties":{"formattedCitation":"(Poulton et al., 2018)","plainCitation":"(Poulton et al., 2018)","noteIndex":0},"citationItems":[{"id":1078,"uris":["http://zotero.org/users/6500992/items/F6BK8FKU"],"itemData":{"id":1078,"type":"article-journal","abstract":"We evaluated the “4 per 1000” initiative for increasing soil organic carbon (SOC) by analysing rates of SOC increase in treatments in 16 long-term experiments in southeast United Kingdom. The initiative sets a goal for SOC stock to increase by 4‰ per year in the 0–40 cm soil depth, continued over 20 years. Our experiments, on three soil types, provided 114 treatment comparisons over 7–157 years. Treatments included organic additions (incorporated by inversion ploughing), N fertilizers, introducing pasture leys into continuous arable systems, and converting arable land to woodland. In 65% of cases, SOC increases occurred at &gt;7‰ per year in the 0–23 cm depth, approximately equivalent to 4‰ per year in the 0–40 cm depth. In the two longest running experiments (&gt;150 years), annual farmyard manure (FYM) applications at 35 t fresh material per hectare (equivalent to approx. 3.2 t organic C/ha/year) gave SOC increases of 18‰ and 43‰ per year in the 23 cm depth during the first 20 years. Increases exceeding 7‰ per year continued for 40–60 years. In other experiments, with FYM applied at lower rates or not every year, there were increases of 3‰–8‰ per year over several decades. Other treatments gave increases between zero and 19‰ per year over various periods. We conclude that there are severe limitations to achieving the “4 per 1000” goal in practical agriculture over large areas. The reasons include (1) farmers not having the necessary resources (e.g. insufficient manure); (2) some, though not all, practices favouring SOC already widely adopted; (3) practices uneconomic for farmers—potentially overcome by changes in regulations or subsidies; (4) practices undesirable for global food security. We suggest it is more realistic to promote practices for increasing SOC based on improving soil quality and functioning as small increases can have disproportionately large beneficial impacts, though not necessarily translating into increased crop yield.","container-title":"Global Change Biology","DOI":"10.1111/gcb.14066","ISSN":"1365-2486","issue":"6","language":"en","note":"_eprint: https://onlinelibrary.wiley.com/doi/pdf/10.1111/gcb.14066","page":"2563-2584","source":"Wiley Online Library","title":"Major limitations to achieving “4 per 1000” increases in soil organic carbon stock in temperate regions: Evidence from long-term experiments at Rothamsted Research, United Kingdom","title-short":"Major limitations to achieving “4 per 1000” increases in soil organic carbon stock in temperate regions","volume":"24","author":[{"family":"Poulton","given":"Paul"},{"family":"Johnston","given":"Johnny"},{"family":"Macdonald","given":"Andy"},{"family":"White","given":"Rodger"},{"family":"Powlson","given":"David"}],"issued":{"date-parts":[["2018"]]}}}],"schema":"https://github.com/citation-style-language/schema/raw/master/csl-citation.json"} </w:instrText>
      </w:r>
      <w:r w:rsidR="001E6517">
        <w:rPr>
          <w:rFonts w:asciiTheme="minorHAnsi" w:hAnsiTheme="minorHAnsi" w:cstheme="minorHAnsi"/>
          <w:sz w:val="22"/>
          <w:szCs w:val="22"/>
        </w:rPr>
        <w:fldChar w:fldCharType="separate"/>
      </w:r>
      <w:r w:rsidR="00A573B5" w:rsidRPr="00A573B5">
        <w:rPr>
          <w:rFonts w:ascii="Calibri" w:hAnsi="Calibri" w:cs="Calibri"/>
          <w:sz w:val="22"/>
        </w:rPr>
        <w:t>(Poulton et al., 2018)</w:t>
      </w:r>
      <w:r w:rsidR="001E6517">
        <w:rPr>
          <w:rFonts w:asciiTheme="minorHAnsi" w:hAnsiTheme="minorHAnsi" w:cstheme="minorHAnsi"/>
          <w:sz w:val="22"/>
          <w:szCs w:val="22"/>
        </w:rPr>
        <w:fldChar w:fldCharType="end"/>
      </w:r>
      <w:r w:rsidR="007A27D7">
        <w:rPr>
          <w:rFonts w:asciiTheme="minorHAnsi" w:hAnsiTheme="minorHAnsi" w:cstheme="minorHAnsi"/>
          <w:sz w:val="22"/>
          <w:szCs w:val="22"/>
        </w:rPr>
        <w:t xml:space="preserve">, particularly </w:t>
      </w:r>
      <w:r w:rsidR="003A7FED" w:rsidRPr="003A7FED">
        <w:rPr>
          <w:rFonts w:asciiTheme="minorHAnsi" w:hAnsiTheme="minorHAnsi" w:cstheme="minorHAnsi"/>
          <w:sz w:val="22"/>
          <w:szCs w:val="22"/>
        </w:rPr>
        <w:t xml:space="preserve">under permanent grasslands as they are </w:t>
      </w:r>
      <w:r w:rsidR="00C63BDF">
        <w:rPr>
          <w:rFonts w:asciiTheme="minorHAnsi" w:hAnsiTheme="minorHAnsi" w:cstheme="minorHAnsi"/>
          <w:sz w:val="22"/>
          <w:szCs w:val="22"/>
        </w:rPr>
        <w:t>often likely</w:t>
      </w:r>
      <w:r w:rsidR="003A7FED" w:rsidRPr="003A7FED">
        <w:rPr>
          <w:rFonts w:asciiTheme="minorHAnsi" w:hAnsiTheme="minorHAnsi" w:cstheme="minorHAnsi"/>
          <w:sz w:val="22"/>
          <w:szCs w:val="22"/>
        </w:rPr>
        <w:t xml:space="preserve"> be at a state of carbon equilibrium</w:t>
      </w:r>
      <w:r w:rsidR="009A1FDB">
        <w:rPr>
          <w:rFonts w:asciiTheme="minorHAnsi" w:hAnsiTheme="minorHAnsi" w:cstheme="minorHAnsi"/>
          <w:sz w:val="22"/>
          <w:szCs w:val="22"/>
        </w:rPr>
        <w:t xml:space="preserve"> </w:t>
      </w:r>
      <w:r w:rsidR="009A1FDB">
        <w:rPr>
          <w:rFonts w:asciiTheme="minorHAnsi" w:hAnsiTheme="minorHAnsi" w:cstheme="minorHAnsi"/>
          <w:sz w:val="22"/>
          <w:szCs w:val="22"/>
        </w:rPr>
        <w:fldChar w:fldCharType="begin"/>
      </w:r>
      <w:r w:rsidR="009A1FDB">
        <w:rPr>
          <w:rFonts w:asciiTheme="minorHAnsi" w:hAnsiTheme="minorHAnsi" w:cstheme="minorHAnsi"/>
          <w:sz w:val="22"/>
          <w:szCs w:val="22"/>
        </w:rPr>
        <w:instrText xml:space="preserve"> ADDIN ZOTERO_ITEM CSL_CITATION {"citationID":"U9I5OQU6","properties":{"formattedCitation":"(Smith, 2014)","plainCitation":"(Smith, 2014)","noteIndex":0},"citationItems":[{"id":1087,"uris":["http://zotero.org/users/6500992/items/T4TIN94F"],"itemData":{"id":1087,"type":"article-journal","abstract":"It is increasingly commonly suggested that grasslands are a perpetual sink for carbon, and that just maintaining grasslands will yield a net carbon sink. I examine the evidence for this from repeated soil surveys, long term grassland experiments and simple mass balance calculations. I conclude that it is untenable that grasslands act as a perpetual carbon sink, and the most likely explanation for observed grassland carbon sinks over short periods is legacy effects of land use and land management prior to the beginning of flux measurement periods. Simply having grassland does not result is a carbon sink, but judicious management or previously poorly managed grasslands can increase the sink capacity. Given that grasslands are a large store of carbon, and that it is easier and faster for soils to lose carbon that it is for them to gain carbon, it is an important management target to maintain these stocks.","container-title":"Global Change Biology","DOI":"10.1111/gcb.12561","ISSN":"1365-2486","issue":"9","language":"en","note":"_eprint: https://onlinelibrary.wiley.com/doi/pdf/10.1111/gcb.12561","page":"2708-2711","source":"Wiley Online Library","title":"Do grasslands act as a perpetual sink for carbon?","volume":"20","author":[{"family":"Smith","given":"Pete"}],"issued":{"date-parts":[["2014"]]}}}],"schema":"https://github.com/citation-style-language/schema/raw/master/csl-citation.json"} </w:instrText>
      </w:r>
      <w:r w:rsidR="009A1FDB">
        <w:rPr>
          <w:rFonts w:asciiTheme="minorHAnsi" w:hAnsiTheme="minorHAnsi" w:cstheme="minorHAnsi"/>
          <w:sz w:val="22"/>
          <w:szCs w:val="22"/>
        </w:rPr>
        <w:fldChar w:fldCharType="separate"/>
      </w:r>
      <w:r w:rsidR="00A573B5" w:rsidRPr="00A573B5">
        <w:rPr>
          <w:rFonts w:ascii="Calibri" w:hAnsi="Calibri" w:cs="Calibri"/>
          <w:sz w:val="22"/>
        </w:rPr>
        <w:t>(Smith, 2014)</w:t>
      </w:r>
      <w:r w:rsidR="009A1FDB">
        <w:rPr>
          <w:rFonts w:asciiTheme="minorHAnsi" w:hAnsiTheme="minorHAnsi" w:cstheme="minorHAnsi"/>
          <w:sz w:val="22"/>
          <w:szCs w:val="22"/>
        </w:rPr>
        <w:fldChar w:fldCharType="end"/>
      </w:r>
      <w:r w:rsidR="003A7FED" w:rsidRPr="003A7FED">
        <w:rPr>
          <w:rFonts w:asciiTheme="minorHAnsi" w:hAnsiTheme="minorHAnsi" w:cstheme="minorHAnsi"/>
          <w:sz w:val="22"/>
          <w:szCs w:val="22"/>
        </w:rPr>
        <w:t>.</w:t>
      </w:r>
      <w:r w:rsidR="00B22517">
        <w:rPr>
          <w:rFonts w:asciiTheme="minorHAnsi" w:hAnsiTheme="minorHAnsi" w:cstheme="minorHAnsi"/>
          <w:sz w:val="22"/>
          <w:szCs w:val="22"/>
        </w:rPr>
        <w:t xml:space="preserve"> </w:t>
      </w:r>
      <w:r w:rsidR="00581F72" w:rsidRPr="00581F72">
        <w:rPr>
          <w:rFonts w:asciiTheme="minorHAnsi" w:hAnsiTheme="minorHAnsi" w:cstheme="minorHAnsi"/>
          <w:sz w:val="22"/>
          <w:szCs w:val="22"/>
        </w:rPr>
        <w:t>Moreover, these management practices must be sustained to maintain soil organic matter levels and carbon sequestration</w:t>
      </w:r>
      <w:r w:rsidR="00581F72">
        <w:rPr>
          <w:rFonts w:asciiTheme="minorHAnsi" w:hAnsiTheme="minorHAnsi" w:cstheme="minorHAnsi"/>
          <w:sz w:val="22"/>
          <w:szCs w:val="22"/>
        </w:rPr>
        <w:t>.</w:t>
      </w:r>
    </w:p>
    <w:p w14:paraId="09509970" w14:textId="77777777" w:rsidR="00D202E5" w:rsidRPr="00D202E5" w:rsidRDefault="00D202E5" w:rsidP="00BA3E62">
      <w:pPr>
        <w:spacing w:line="360" w:lineRule="auto"/>
        <w:jc w:val="both"/>
      </w:pPr>
    </w:p>
    <w:p w14:paraId="4AC2F258" w14:textId="41C4ED13" w:rsidR="001050B3" w:rsidRDefault="00BC0049" w:rsidP="00BA3E62">
      <w:pPr>
        <w:pStyle w:val="NoSpacing"/>
        <w:spacing w:line="360" w:lineRule="auto"/>
        <w:jc w:val="both"/>
      </w:pPr>
      <w:r w:rsidRPr="00D50241">
        <w:t>Th</w:t>
      </w:r>
      <w:r w:rsidR="00C27D18" w:rsidRPr="00D50241">
        <w:t>e aims of this</w:t>
      </w:r>
      <w:r w:rsidRPr="00D50241">
        <w:t xml:space="preserve"> study </w:t>
      </w:r>
      <w:r w:rsidR="00330BDA" w:rsidRPr="00D50241">
        <w:t xml:space="preserve">were </w:t>
      </w:r>
      <w:r w:rsidRPr="00D50241">
        <w:t xml:space="preserve">to explore </w:t>
      </w:r>
      <w:r w:rsidR="00C63BDF" w:rsidRPr="00D50241">
        <w:t xml:space="preserve">the </w:t>
      </w:r>
      <w:r w:rsidRPr="00D50241">
        <w:t xml:space="preserve">opportunities currently available to </w:t>
      </w:r>
      <w:r w:rsidR="005867D0">
        <w:t xml:space="preserve">both </w:t>
      </w:r>
      <w:r w:rsidRPr="00D50241">
        <w:t xml:space="preserve">reduce </w:t>
      </w:r>
      <w:r w:rsidR="009A1FDB" w:rsidRPr="00D50241">
        <w:t>GHG</w:t>
      </w:r>
      <w:r w:rsidR="00462009" w:rsidRPr="00D50241">
        <w:t xml:space="preserve"> </w:t>
      </w:r>
      <w:r w:rsidRPr="00D50241">
        <w:t xml:space="preserve">emissions and enhance </w:t>
      </w:r>
      <w:r w:rsidR="00637241">
        <w:t xml:space="preserve">woodland </w:t>
      </w:r>
      <w:r w:rsidRPr="00D50241">
        <w:t>sequestration</w:t>
      </w:r>
      <w:r w:rsidR="00B9143C" w:rsidRPr="00D50241">
        <w:t xml:space="preserve"> on beef and sheep farms.</w:t>
      </w:r>
      <w:r w:rsidRPr="00D50241">
        <w:t xml:space="preserve"> </w:t>
      </w:r>
      <w:r w:rsidR="00B9143C" w:rsidRPr="00D50241">
        <w:t>U</w:t>
      </w:r>
      <w:r w:rsidRPr="00D50241">
        <w:t xml:space="preserve">sing </w:t>
      </w:r>
      <w:r w:rsidR="00C42C1D" w:rsidRPr="00D50241">
        <w:t xml:space="preserve">real farm data, </w:t>
      </w:r>
      <w:r w:rsidRPr="00D50241">
        <w:t xml:space="preserve">best available </w:t>
      </w:r>
      <w:r w:rsidR="00542BAA" w:rsidRPr="00D50241">
        <w:t>knowledge,</w:t>
      </w:r>
      <w:r w:rsidRPr="00D50241">
        <w:t xml:space="preserve"> and </w:t>
      </w:r>
      <w:r w:rsidR="007E0A53">
        <w:t xml:space="preserve">a </w:t>
      </w:r>
      <w:r w:rsidRPr="00D50241">
        <w:t>novel</w:t>
      </w:r>
      <w:r w:rsidR="007E0A53">
        <w:t xml:space="preserve"> </w:t>
      </w:r>
      <w:r w:rsidR="00597E99">
        <w:t>combination of accounting tools</w:t>
      </w:r>
      <w:r w:rsidR="00B9143C" w:rsidRPr="00D50241">
        <w:t>, we investigate</w:t>
      </w:r>
      <w:r w:rsidR="00330BDA" w:rsidRPr="00D50241">
        <w:t>d</w:t>
      </w:r>
      <w:r w:rsidR="00B9143C" w:rsidRPr="00D50241">
        <w:t xml:space="preserve"> </w:t>
      </w:r>
      <w:r w:rsidR="00D97BD1" w:rsidRPr="00D50241">
        <w:t xml:space="preserve">the </w:t>
      </w:r>
      <w:r w:rsidR="00D97BD1" w:rsidRPr="009713B1">
        <w:t xml:space="preserve">management interventions and </w:t>
      </w:r>
      <w:r w:rsidR="008C07E6" w:rsidRPr="009713B1">
        <w:t>afforestation</w:t>
      </w:r>
      <w:r w:rsidR="00D97BD1" w:rsidRPr="009713B1">
        <w:t xml:space="preserve"> that would be required to deliver</w:t>
      </w:r>
      <w:r w:rsidR="00B9143C" w:rsidRPr="009713B1">
        <w:t xml:space="preserve"> </w:t>
      </w:r>
      <w:r w:rsidR="00AB7536" w:rsidRPr="009713B1">
        <w:t>Net Zero</w:t>
      </w:r>
      <w:r w:rsidR="005A3C25" w:rsidRPr="009713B1">
        <w:t xml:space="preserve"> for each farm</w:t>
      </w:r>
      <w:r w:rsidR="00D334C2" w:rsidRPr="003811BD">
        <w:t>.</w:t>
      </w:r>
      <w:r w:rsidR="00D334C2" w:rsidRPr="009713B1">
        <w:t xml:space="preserve"> </w:t>
      </w:r>
      <w:r w:rsidR="00793FC3" w:rsidRPr="009713B1">
        <w:t>Using Wales as a case study, w</w:t>
      </w:r>
      <w:r w:rsidR="00D334C2" w:rsidRPr="009713B1">
        <w:t xml:space="preserve">e </w:t>
      </w:r>
      <w:r w:rsidR="00627290" w:rsidRPr="009713B1">
        <w:t xml:space="preserve">explored </w:t>
      </w:r>
      <w:r w:rsidR="00B9143C" w:rsidRPr="009713B1">
        <w:t>various</w:t>
      </w:r>
      <w:r w:rsidR="00142EF6" w:rsidRPr="009713B1">
        <w:t xml:space="preserve"> scenarios to achieve</w:t>
      </w:r>
      <w:r w:rsidR="00B9143C" w:rsidRPr="009713B1">
        <w:t xml:space="preserve"> </w:t>
      </w:r>
      <w:r w:rsidR="00AB7536" w:rsidRPr="009713B1">
        <w:t>Net Zero</w:t>
      </w:r>
      <w:r w:rsidR="00B9143C" w:rsidRPr="009713B1">
        <w:t xml:space="preserve"> </w:t>
      </w:r>
      <w:r w:rsidR="00585035" w:rsidRPr="009713B1">
        <w:t xml:space="preserve">without loss of </w:t>
      </w:r>
      <w:r w:rsidR="00AE0B7F" w:rsidRPr="009713B1">
        <w:t>production</w:t>
      </w:r>
      <w:r w:rsidR="00581F72" w:rsidRPr="0011138C">
        <w:t>,</w:t>
      </w:r>
      <w:r w:rsidR="00585035" w:rsidRPr="0011138C">
        <w:t xml:space="preserve"> </w:t>
      </w:r>
      <w:r w:rsidR="00343DD1" w:rsidRPr="0011138C">
        <w:t xml:space="preserve">for three distinct livestock systems </w:t>
      </w:r>
      <w:r w:rsidR="00C67D4A" w:rsidRPr="0011138C">
        <w:t>(</w:t>
      </w:r>
      <w:r w:rsidR="008C07E6" w:rsidRPr="0011138C">
        <w:t xml:space="preserve">hill, </w:t>
      </w:r>
      <w:proofErr w:type="gramStart"/>
      <w:r w:rsidR="008C07E6" w:rsidRPr="0011138C">
        <w:t>upland</w:t>
      </w:r>
      <w:proofErr w:type="gramEnd"/>
      <w:r w:rsidR="008C07E6" w:rsidRPr="0011138C">
        <w:t xml:space="preserve"> and lowland</w:t>
      </w:r>
      <w:r w:rsidR="00C67D4A" w:rsidRPr="0011138C">
        <w:t>)</w:t>
      </w:r>
      <w:r w:rsidR="00793FC3" w:rsidRPr="0011138C">
        <w:t>.</w:t>
      </w:r>
      <w:r w:rsidR="00B67BA9">
        <w:t xml:space="preserve"> </w:t>
      </w:r>
    </w:p>
    <w:p w14:paraId="3C36A5A9" w14:textId="4C3BAA89" w:rsidR="002B072E" w:rsidRPr="00D50241" w:rsidRDefault="002B072E" w:rsidP="00BA3E62">
      <w:pPr>
        <w:pStyle w:val="NoSpacing"/>
        <w:spacing w:line="360" w:lineRule="auto"/>
        <w:jc w:val="both"/>
      </w:pPr>
    </w:p>
    <w:p w14:paraId="1C1CE0E0" w14:textId="77777777" w:rsidR="00731D0E" w:rsidRPr="00D50241" w:rsidRDefault="00731D0E" w:rsidP="00E568F2">
      <w:pPr>
        <w:pStyle w:val="ListParagraph"/>
        <w:numPr>
          <w:ilvl w:val="0"/>
          <w:numId w:val="2"/>
        </w:numPr>
        <w:spacing w:line="360" w:lineRule="auto"/>
        <w:rPr>
          <w:rFonts w:asciiTheme="minorHAnsi" w:hAnsiTheme="minorHAnsi" w:cstheme="minorHAnsi"/>
          <w:b/>
          <w:bCs/>
          <w:sz w:val="22"/>
          <w:szCs w:val="22"/>
        </w:rPr>
      </w:pPr>
      <w:r w:rsidRPr="00D50241">
        <w:rPr>
          <w:rFonts w:asciiTheme="minorHAnsi" w:hAnsiTheme="minorHAnsi" w:cstheme="minorHAnsi"/>
          <w:b/>
          <w:bCs/>
          <w:sz w:val="22"/>
          <w:szCs w:val="22"/>
        </w:rPr>
        <w:t xml:space="preserve">Methods </w:t>
      </w:r>
    </w:p>
    <w:p w14:paraId="69409A6F" w14:textId="138A6121" w:rsidR="00731D0E" w:rsidRDefault="00731D0E" w:rsidP="00E568F2">
      <w:pPr>
        <w:pStyle w:val="ListParagraph"/>
        <w:numPr>
          <w:ilvl w:val="1"/>
          <w:numId w:val="2"/>
        </w:numPr>
        <w:spacing w:line="360" w:lineRule="auto"/>
        <w:rPr>
          <w:rFonts w:asciiTheme="minorHAnsi" w:hAnsiTheme="minorHAnsi" w:cstheme="minorHAnsi"/>
          <w:b/>
          <w:bCs/>
          <w:sz w:val="22"/>
          <w:szCs w:val="22"/>
        </w:rPr>
      </w:pPr>
      <w:r w:rsidRPr="00731D0E">
        <w:rPr>
          <w:rFonts w:asciiTheme="minorHAnsi" w:hAnsiTheme="minorHAnsi" w:cstheme="minorHAnsi"/>
          <w:b/>
          <w:bCs/>
          <w:sz w:val="22"/>
          <w:szCs w:val="22"/>
        </w:rPr>
        <w:t>Farm data collection</w:t>
      </w:r>
    </w:p>
    <w:p w14:paraId="62E605EC" w14:textId="77777777" w:rsidR="00731D0E" w:rsidRPr="00731D0E" w:rsidRDefault="00731D0E" w:rsidP="00E568F2">
      <w:pPr>
        <w:pStyle w:val="ListParagraph"/>
        <w:spacing w:line="360" w:lineRule="auto"/>
        <w:rPr>
          <w:rFonts w:asciiTheme="minorHAnsi" w:hAnsiTheme="minorHAnsi" w:cstheme="minorHAnsi"/>
          <w:b/>
          <w:bCs/>
          <w:sz w:val="22"/>
          <w:szCs w:val="22"/>
        </w:rPr>
      </w:pPr>
    </w:p>
    <w:p w14:paraId="0424BC5A" w14:textId="6CC30156" w:rsidR="00440512" w:rsidRDefault="00C36C32" w:rsidP="00BA3E6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This study focuses on the red meat sector in </w:t>
      </w:r>
      <w:r w:rsidRPr="009E4876">
        <w:rPr>
          <w:rFonts w:asciiTheme="minorHAnsi" w:hAnsiTheme="minorHAnsi" w:cstheme="minorHAnsi"/>
          <w:sz w:val="22"/>
          <w:szCs w:val="22"/>
        </w:rPr>
        <w:t>Wales</w:t>
      </w:r>
      <w:r w:rsidR="003A58B1">
        <w:rPr>
          <w:rFonts w:asciiTheme="minorHAnsi" w:hAnsiTheme="minorHAnsi" w:cstheme="minorHAnsi"/>
          <w:sz w:val="22"/>
          <w:szCs w:val="22"/>
        </w:rPr>
        <w:t>,</w:t>
      </w:r>
      <w:r w:rsidRPr="009E4876">
        <w:rPr>
          <w:rFonts w:asciiTheme="minorHAnsi" w:hAnsiTheme="minorHAnsi" w:cstheme="minorHAnsi"/>
          <w:sz w:val="22"/>
          <w:szCs w:val="22"/>
        </w:rPr>
        <w:t xml:space="preserve"> </w:t>
      </w:r>
      <w:r w:rsidR="00D21036" w:rsidRPr="009E4876">
        <w:rPr>
          <w:rFonts w:asciiTheme="minorHAnsi" w:hAnsiTheme="minorHAnsi" w:cstheme="minorHAnsi"/>
          <w:sz w:val="22"/>
          <w:szCs w:val="22"/>
        </w:rPr>
        <w:t>which</w:t>
      </w:r>
      <w:r w:rsidR="009808E8" w:rsidRPr="009E4876">
        <w:rPr>
          <w:rFonts w:asciiTheme="minorHAnsi" w:hAnsiTheme="minorHAnsi" w:cstheme="minorHAnsi"/>
          <w:sz w:val="22"/>
          <w:szCs w:val="22"/>
        </w:rPr>
        <w:t xml:space="preserve"> is representative </w:t>
      </w:r>
      <w:r w:rsidRPr="009E4876">
        <w:rPr>
          <w:rFonts w:asciiTheme="minorHAnsi" w:hAnsiTheme="minorHAnsi" w:cstheme="minorHAnsi"/>
          <w:sz w:val="22"/>
          <w:szCs w:val="22"/>
        </w:rPr>
        <w:t xml:space="preserve">of </w:t>
      </w:r>
      <w:r w:rsidR="0092285C">
        <w:rPr>
          <w:rFonts w:asciiTheme="minorHAnsi" w:hAnsiTheme="minorHAnsi" w:cstheme="minorHAnsi"/>
          <w:sz w:val="22"/>
          <w:szCs w:val="22"/>
        </w:rPr>
        <w:t xml:space="preserve">many </w:t>
      </w:r>
      <w:r w:rsidRPr="009E4876">
        <w:rPr>
          <w:rFonts w:asciiTheme="minorHAnsi" w:hAnsiTheme="minorHAnsi" w:cstheme="minorHAnsi"/>
          <w:sz w:val="22"/>
          <w:szCs w:val="22"/>
        </w:rPr>
        <w:t xml:space="preserve">temperate </w:t>
      </w:r>
      <w:r w:rsidR="00D21036" w:rsidRPr="009E4876">
        <w:rPr>
          <w:rFonts w:asciiTheme="minorHAnsi" w:hAnsiTheme="minorHAnsi" w:cstheme="minorHAnsi"/>
          <w:sz w:val="22"/>
          <w:szCs w:val="22"/>
        </w:rPr>
        <w:t>farming systems based on</w:t>
      </w:r>
      <w:r w:rsidRPr="009E4876">
        <w:rPr>
          <w:rFonts w:asciiTheme="minorHAnsi" w:hAnsiTheme="minorHAnsi" w:cstheme="minorHAnsi"/>
          <w:sz w:val="22"/>
          <w:szCs w:val="22"/>
        </w:rPr>
        <w:t xml:space="preserve"> grass-fed livestock production</w:t>
      </w:r>
      <w:r w:rsidR="00AD1335">
        <w:rPr>
          <w:rFonts w:asciiTheme="minorHAnsi" w:hAnsiTheme="minorHAnsi" w:cstheme="minorHAnsi"/>
          <w:sz w:val="22"/>
          <w:szCs w:val="22"/>
        </w:rPr>
        <w:t xml:space="preserve"> </w:t>
      </w:r>
      <w:r w:rsidR="00AD1335">
        <w:rPr>
          <w:rFonts w:asciiTheme="minorHAnsi" w:hAnsiTheme="minorHAnsi" w:cstheme="minorHAnsi"/>
          <w:sz w:val="22"/>
          <w:szCs w:val="22"/>
        </w:rPr>
        <w:fldChar w:fldCharType="begin"/>
      </w:r>
      <w:r w:rsidR="00375196">
        <w:rPr>
          <w:rFonts w:asciiTheme="minorHAnsi" w:hAnsiTheme="minorHAnsi" w:cstheme="minorHAnsi"/>
          <w:sz w:val="22"/>
          <w:szCs w:val="22"/>
        </w:rPr>
        <w:instrText xml:space="preserve"> ADDIN ZOTERO_ITEM CSL_CITATION {"citationID":"DGw0tN1o","properties":{"formattedCitation":"(DEFRA, 2021)","plainCitation":"(DEFRA, 2021)","noteIndex":0},"citationItems":[{"id":1680,"uris":["http://zotero.org/users/6500992/items/DFV8FC4Z"],"itemData":{"id":1680,"type":"report","page":"157","publisher":"Department for Environment, Food and Rural Affairs Department of Agriculture, Environment and Rural Affairs (Northern Ireland) Welsh Government, Knowledge and Analytical Services The Scottish Government, Rural and Environment Science and Analytical Services","title":"Agriculture in the United Kingdom 2020","URL":"https://assets.publishing.service.gov.uk/media/6215ff49e90e0710b9a8bdff/AUK2020_22feb22.pdf","author":[{"family":"DEFRA","given":""}],"accessed":{"date-parts":[["2023",11,27]]},"issued":{"date-parts":[["2021"]]}}}],"schema":"https://github.com/citation-style-language/schema/raw/master/csl-citation.json"} </w:instrText>
      </w:r>
      <w:r w:rsidR="00AD1335">
        <w:rPr>
          <w:rFonts w:asciiTheme="minorHAnsi" w:hAnsiTheme="minorHAnsi" w:cstheme="minorHAnsi"/>
          <w:sz w:val="22"/>
          <w:szCs w:val="22"/>
        </w:rPr>
        <w:fldChar w:fldCharType="separate"/>
      </w:r>
      <w:r w:rsidR="00375196" w:rsidRPr="00375196">
        <w:rPr>
          <w:rFonts w:ascii="Calibri" w:hAnsi="Calibri" w:cs="Calibri"/>
          <w:sz w:val="22"/>
        </w:rPr>
        <w:t>(DEFRA, 2021)</w:t>
      </w:r>
      <w:r w:rsidR="00AD1335">
        <w:rPr>
          <w:rFonts w:asciiTheme="minorHAnsi" w:hAnsiTheme="minorHAnsi" w:cstheme="minorHAnsi"/>
          <w:sz w:val="22"/>
          <w:szCs w:val="22"/>
        </w:rPr>
        <w:fldChar w:fldCharType="end"/>
      </w:r>
      <w:r w:rsidRPr="009E4876">
        <w:rPr>
          <w:rFonts w:asciiTheme="minorHAnsi" w:hAnsiTheme="minorHAnsi" w:cstheme="minorHAnsi"/>
          <w:sz w:val="22"/>
          <w:szCs w:val="22"/>
        </w:rPr>
        <w:t xml:space="preserve">. </w:t>
      </w:r>
      <w:r w:rsidR="00D21036" w:rsidRPr="009E4876">
        <w:rPr>
          <w:rFonts w:asciiTheme="minorHAnsi" w:hAnsiTheme="minorHAnsi" w:cstheme="minorHAnsi"/>
          <w:sz w:val="22"/>
          <w:szCs w:val="22"/>
        </w:rPr>
        <w:t>Red</w:t>
      </w:r>
      <w:r w:rsidRPr="00C36C32">
        <w:rPr>
          <w:rFonts w:asciiTheme="minorHAnsi" w:hAnsiTheme="minorHAnsi" w:cstheme="minorHAnsi"/>
          <w:sz w:val="22"/>
          <w:szCs w:val="22"/>
        </w:rPr>
        <w:t xml:space="preserve"> meat accounts for 41% of </w:t>
      </w:r>
      <w:r w:rsidR="00546191">
        <w:rPr>
          <w:rFonts w:asciiTheme="minorHAnsi" w:hAnsiTheme="minorHAnsi" w:cstheme="minorHAnsi"/>
          <w:sz w:val="22"/>
          <w:szCs w:val="22"/>
        </w:rPr>
        <w:t xml:space="preserve">the value </w:t>
      </w:r>
      <w:r w:rsidR="00775C18">
        <w:rPr>
          <w:rFonts w:asciiTheme="minorHAnsi" w:hAnsiTheme="minorHAnsi" w:cstheme="minorHAnsi"/>
          <w:sz w:val="22"/>
          <w:szCs w:val="22"/>
        </w:rPr>
        <w:t xml:space="preserve">of </w:t>
      </w:r>
      <w:r w:rsidR="00D21036">
        <w:rPr>
          <w:rFonts w:asciiTheme="minorHAnsi" w:hAnsiTheme="minorHAnsi" w:cstheme="minorHAnsi"/>
          <w:sz w:val="22"/>
          <w:szCs w:val="22"/>
        </w:rPr>
        <w:t>Welsh</w:t>
      </w:r>
      <w:r w:rsidRPr="00C36C32">
        <w:rPr>
          <w:rFonts w:asciiTheme="minorHAnsi" w:hAnsiTheme="minorHAnsi" w:cstheme="minorHAnsi"/>
          <w:sz w:val="22"/>
          <w:szCs w:val="22"/>
        </w:rPr>
        <w:t xml:space="preserve"> agricultural production, almost double the </w:t>
      </w:r>
      <w:r w:rsidR="007719C5">
        <w:rPr>
          <w:rFonts w:asciiTheme="minorHAnsi" w:hAnsiTheme="minorHAnsi" w:cstheme="minorHAnsi"/>
          <w:sz w:val="22"/>
          <w:szCs w:val="22"/>
        </w:rPr>
        <w:t>share</w:t>
      </w:r>
      <w:r w:rsidRPr="00C36C32">
        <w:rPr>
          <w:rFonts w:asciiTheme="minorHAnsi" w:hAnsiTheme="minorHAnsi" w:cstheme="minorHAnsi"/>
          <w:sz w:val="22"/>
          <w:szCs w:val="22"/>
        </w:rPr>
        <w:t xml:space="preserve"> for the rest of the UK </w:t>
      </w:r>
      <w:r w:rsidR="00D334C2">
        <w:rPr>
          <w:rFonts w:asciiTheme="minorHAnsi" w:hAnsiTheme="minorHAnsi" w:cstheme="minorHAnsi"/>
          <w:sz w:val="22"/>
          <w:szCs w:val="22"/>
        </w:rPr>
        <w:fldChar w:fldCharType="begin"/>
      </w:r>
      <w:r w:rsidR="00906DC1">
        <w:rPr>
          <w:rFonts w:asciiTheme="minorHAnsi" w:hAnsiTheme="minorHAnsi" w:cstheme="minorHAnsi"/>
          <w:sz w:val="22"/>
          <w:szCs w:val="22"/>
        </w:rPr>
        <w:instrText xml:space="preserve"> ADDIN ZOTERO_ITEM CSL_CITATION {"citationID":"YiSdullY","properties":{"formattedCitation":"(DEFRA, 2021, p. 20212)","plainCitation":"(DEFRA, 2021, p. 20212)","dontUpdate":true,"noteIndex":0},"citationItems":[{"id":1680,"uris":["http://zotero.org/users/6500992/items/DFV8FC4Z"],"itemData":{"id":1680,"type":"report","page":"157","publisher":"Department for Environment, Food and Rural Affairs Department of Agriculture, Environment and Rural Affairs (Northern Ireland) Welsh Government, Knowledge and Analytical Services The Scottish Government, Rural and Environment Science and Analytical Services","title":"Agriculture in the United Kingdom 2020","URL":"https://assets.publishing.service.gov.uk/media/6215ff49e90e0710b9a8bdff/AUK2020_22feb22.pdf","author":[{"family":"DEFRA","given":""}],"accessed":{"date-parts":[["2023",11,27]]},"issued":{"date-parts":[["2021"]]}},"locator":"20212"}],"schema":"https://github.com/citation-style-language/schema/raw/master/csl-citation.json"} </w:instrText>
      </w:r>
      <w:r w:rsidR="00D334C2">
        <w:rPr>
          <w:rFonts w:asciiTheme="minorHAnsi" w:hAnsiTheme="minorHAnsi" w:cstheme="minorHAnsi"/>
          <w:sz w:val="22"/>
          <w:szCs w:val="22"/>
        </w:rPr>
        <w:fldChar w:fldCharType="separate"/>
      </w:r>
      <w:r w:rsidR="00B6503A" w:rsidRPr="00B6503A">
        <w:rPr>
          <w:rFonts w:ascii="Calibri" w:hAnsi="Calibri" w:cs="Calibri"/>
          <w:sz w:val="22"/>
        </w:rPr>
        <w:t>(DEFRA, 2021)</w:t>
      </w:r>
      <w:r w:rsidR="00D334C2">
        <w:rPr>
          <w:rFonts w:asciiTheme="minorHAnsi" w:hAnsiTheme="minorHAnsi" w:cstheme="minorHAnsi"/>
          <w:sz w:val="22"/>
          <w:szCs w:val="22"/>
        </w:rPr>
        <w:fldChar w:fldCharType="end"/>
      </w:r>
      <w:r w:rsidR="00D334C2">
        <w:rPr>
          <w:rFonts w:asciiTheme="minorHAnsi" w:hAnsiTheme="minorHAnsi" w:cstheme="minorHAnsi"/>
          <w:sz w:val="22"/>
          <w:szCs w:val="22"/>
        </w:rPr>
        <w:t>.</w:t>
      </w:r>
      <w:r w:rsidRPr="00C36C32">
        <w:rPr>
          <w:rFonts w:asciiTheme="minorHAnsi" w:hAnsiTheme="minorHAnsi" w:cstheme="minorHAnsi"/>
          <w:sz w:val="22"/>
          <w:szCs w:val="22"/>
        </w:rPr>
        <w:t xml:space="preserve"> </w:t>
      </w:r>
      <w:r w:rsidR="00C63BDF">
        <w:rPr>
          <w:rFonts w:asciiTheme="minorHAnsi" w:hAnsiTheme="minorHAnsi" w:cstheme="minorHAnsi"/>
          <w:sz w:val="22"/>
          <w:szCs w:val="22"/>
        </w:rPr>
        <w:t>Data were collected from twenty farms that</w:t>
      </w:r>
      <w:r w:rsidR="00440512" w:rsidRPr="00440512">
        <w:rPr>
          <w:rFonts w:asciiTheme="minorHAnsi" w:hAnsiTheme="minorHAnsi" w:cstheme="minorHAnsi"/>
          <w:sz w:val="22"/>
          <w:szCs w:val="22"/>
        </w:rPr>
        <w:t xml:space="preserve"> were selected to </w:t>
      </w:r>
      <w:r w:rsidR="002E71E5">
        <w:rPr>
          <w:rFonts w:asciiTheme="minorHAnsi" w:hAnsiTheme="minorHAnsi" w:cstheme="minorHAnsi"/>
          <w:sz w:val="22"/>
          <w:szCs w:val="22"/>
        </w:rPr>
        <w:t>represent a cross-section</w:t>
      </w:r>
      <w:r w:rsidR="00440512" w:rsidRPr="00440512">
        <w:rPr>
          <w:rFonts w:asciiTheme="minorHAnsi" w:hAnsiTheme="minorHAnsi" w:cstheme="minorHAnsi"/>
          <w:sz w:val="22"/>
          <w:szCs w:val="22"/>
        </w:rPr>
        <w:t xml:space="preserve"> of </w:t>
      </w:r>
      <w:r w:rsidR="002E71E5">
        <w:rPr>
          <w:rFonts w:asciiTheme="minorHAnsi" w:hAnsiTheme="minorHAnsi" w:cstheme="minorHAnsi"/>
          <w:sz w:val="22"/>
          <w:szCs w:val="22"/>
        </w:rPr>
        <w:t xml:space="preserve">Welsh </w:t>
      </w:r>
      <w:r w:rsidR="00440512" w:rsidRPr="00440512">
        <w:rPr>
          <w:rFonts w:asciiTheme="minorHAnsi" w:hAnsiTheme="minorHAnsi" w:cstheme="minorHAnsi"/>
          <w:sz w:val="22"/>
          <w:szCs w:val="22"/>
        </w:rPr>
        <w:t xml:space="preserve">agricultural systems including hill, upland and lowland, and those </w:t>
      </w:r>
      <w:r w:rsidR="00D677E0">
        <w:rPr>
          <w:rFonts w:asciiTheme="minorHAnsi" w:hAnsiTheme="minorHAnsi" w:cstheme="minorHAnsi"/>
          <w:sz w:val="22"/>
          <w:szCs w:val="22"/>
        </w:rPr>
        <w:t>rearing</w:t>
      </w:r>
      <w:r w:rsidR="00D677E0" w:rsidRPr="00440512">
        <w:rPr>
          <w:rFonts w:asciiTheme="minorHAnsi" w:hAnsiTheme="minorHAnsi" w:cstheme="minorHAnsi"/>
          <w:sz w:val="22"/>
          <w:szCs w:val="22"/>
        </w:rPr>
        <w:t xml:space="preserve"> </w:t>
      </w:r>
      <w:r w:rsidR="00440512" w:rsidRPr="00440512">
        <w:rPr>
          <w:rFonts w:asciiTheme="minorHAnsi" w:hAnsiTheme="minorHAnsi" w:cstheme="minorHAnsi"/>
          <w:sz w:val="22"/>
          <w:szCs w:val="22"/>
        </w:rPr>
        <w:t xml:space="preserve">sheep, </w:t>
      </w:r>
      <w:proofErr w:type="gramStart"/>
      <w:r w:rsidR="00440512" w:rsidRPr="00440512">
        <w:rPr>
          <w:rFonts w:asciiTheme="minorHAnsi" w:hAnsiTheme="minorHAnsi" w:cstheme="minorHAnsi"/>
          <w:sz w:val="22"/>
          <w:szCs w:val="22"/>
        </w:rPr>
        <w:t>cattle</w:t>
      </w:r>
      <w:proofErr w:type="gramEnd"/>
      <w:r w:rsidR="00440512" w:rsidRPr="00440512">
        <w:rPr>
          <w:rFonts w:asciiTheme="minorHAnsi" w:hAnsiTheme="minorHAnsi" w:cstheme="minorHAnsi"/>
          <w:sz w:val="22"/>
          <w:szCs w:val="22"/>
        </w:rPr>
        <w:t xml:space="preserve"> or both. </w:t>
      </w:r>
      <w:r w:rsidR="00440512" w:rsidRPr="00440512">
        <w:rPr>
          <w:rFonts w:asciiTheme="minorHAnsi" w:hAnsiTheme="minorHAnsi" w:cstheme="minorHAnsi"/>
          <w:sz w:val="22"/>
          <w:szCs w:val="22"/>
        </w:rPr>
        <w:lastRenderedPageBreak/>
        <w:t>Participating farms were categorised into hill (n=11), upland (n=</w:t>
      </w:r>
      <w:r w:rsidR="00EE0F40">
        <w:rPr>
          <w:rFonts w:asciiTheme="minorHAnsi" w:hAnsiTheme="minorHAnsi" w:cstheme="minorHAnsi"/>
          <w:sz w:val="22"/>
          <w:szCs w:val="22"/>
        </w:rPr>
        <w:t>6</w:t>
      </w:r>
      <w:r w:rsidR="00440512" w:rsidRPr="00440512">
        <w:rPr>
          <w:rFonts w:asciiTheme="minorHAnsi" w:hAnsiTheme="minorHAnsi" w:cstheme="minorHAnsi"/>
          <w:sz w:val="22"/>
          <w:szCs w:val="22"/>
        </w:rPr>
        <w:t>) and lowland (n=</w:t>
      </w:r>
      <w:r w:rsidR="00EE0F40">
        <w:rPr>
          <w:rFonts w:asciiTheme="minorHAnsi" w:hAnsiTheme="minorHAnsi" w:cstheme="minorHAnsi"/>
          <w:sz w:val="22"/>
          <w:szCs w:val="22"/>
        </w:rPr>
        <w:t>3</w:t>
      </w:r>
      <w:r w:rsidR="00440512" w:rsidRPr="00440512">
        <w:rPr>
          <w:rFonts w:asciiTheme="minorHAnsi" w:hAnsiTheme="minorHAnsi" w:cstheme="minorHAnsi"/>
          <w:sz w:val="22"/>
          <w:szCs w:val="22"/>
        </w:rPr>
        <w:t>)</w:t>
      </w:r>
      <w:r w:rsidR="006F4E08">
        <w:rPr>
          <w:rFonts w:asciiTheme="minorHAnsi" w:hAnsiTheme="minorHAnsi" w:cstheme="minorHAnsi"/>
          <w:sz w:val="22"/>
          <w:szCs w:val="22"/>
        </w:rPr>
        <w:t xml:space="preserve"> farms</w:t>
      </w:r>
      <w:r w:rsidR="003D48DD">
        <w:rPr>
          <w:rFonts w:asciiTheme="minorHAnsi" w:hAnsiTheme="minorHAnsi" w:cstheme="minorHAnsi"/>
          <w:sz w:val="22"/>
          <w:szCs w:val="22"/>
        </w:rPr>
        <w:t xml:space="preserve"> based on </w:t>
      </w:r>
      <w:r w:rsidR="004213D7">
        <w:rPr>
          <w:rFonts w:asciiTheme="minorHAnsi" w:hAnsiTheme="minorHAnsi" w:cstheme="minorHAnsi"/>
          <w:sz w:val="22"/>
          <w:szCs w:val="22"/>
        </w:rPr>
        <w:t>the</w:t>
      </w:r>
      <w:r w:rsidR="005D5342">
        <w:rPr>
          <w:rFonts w:asciiTheme="minorHAnsi" w:hAnsiTheme="minorHAnsi" w:cstheme="minorHAnsi"/>
          <w:sz w:val="22"/>
          <w:szCs w:val="22"/>
        </w:rPr>
        <w:t xml:space="preserve"> </w:t>
      </w:r>
      <w:r w:rsidR="003D48DD">
        <w:rPr>
          <w:rFonts w:asciiTheme="minorHAnsi" w:hAnsiTheme="minorHAnsi" w:cstheme="minorHAnsi"/>
          <w:sz w:val="22"/>
          <w:szCs w:val="22"/>
        </w:rPr>
        <w:t>area</w:t>
      </w:r>
      <w:r w:rsidR="004213D7">
        <w:rPr>
          <w:rFonts w:asciiTheme="minorHAnsi" w:hAnsiTheme="minorHAnsi" w:cstheme="minorHAnsi"/>
          <w:sz w:val="22"/>
          <w:szCs w:val="22"/>
        </w:rPr>
        <w:t xml:space="preserve"> </w:t>
      </w:r>
      <w:r w:rsidR="00B309EE">
        <w:rPr>
          <w:rFonts w:asciiTheme="minorHAnsi" w:hAnsiTheme="minorHAnsi" w:cstheme="minorHAnsi"/>
          <w:sz w:val="22"/>
          <w:szCs w:val="22"/>
        </w:rPr>
        <w:t>where</w:t>
      </w:r>
      <w:r w:rsidR="003D48DD">
        <w:rPr>
          <w:rFonts w:asciiTheme="minorHAnsi" w:hAnsiTheme="minorHAnsi" w:cstheme="minorHAnsi"/>
          <w:sz w:val="22"/>
          <w:szCs w:val="22"/>
        </w:rPr>
        <w:t xml:space="preserve"> </w:t>
      </w:r>
      <w:proofErr w:type="gramStart"/>
      <w:r w:rsidR="003D48DD">
        <w:rPr>
          <w:rFonts w:asciiTheme="minorHAnsi" w:hAnsiTheme="minorHAnsi" w:cstheme="minorHAnsi"/>
          <w:sz w:val="22"/>
          <w:szCs w:val="22"/>
        </w:rPr>
        <w:t>the majority of</w:t>
      </w:r>
      <w:proofErr w:type="gramEnd"/>
      <w:r w:rsidR="005D5342">
        <w:rPr>
          <w:rFonts w:asciiTheme="minorHAnsi" w:hAnsiTheme="minorHAnsi" w:cstheme="minorHAnsi"/>
          <w:sz w:val="22"/>
          <w:szCs w:val="22"/>
        </w:rPr>
        <w:t xml:space="preserve"> their</w:t>
      </w:r>
      <w:r w:rsidR="003D48DD">
        <w:rPr>
          <w:rFonts w:asciiTheme="minorHAnsi" w:hAnsiTheme="minorHAnsi" w:cstheme="minorHAnsi"/>
          <w:sz w:val="22"/>
          <w:szCs w:val="22"/>
        </w:rPr>
        <w:t xml:space="preserve"> land f</w:t>
      </w:r>
      <w:r w:rsidR="0034012D">
        <w:rPr>
          <w:rFonts w:asciiTheme="minorHAnsi" w:hAnsiTheme="minorHAnsi" w:cstheme="minorHAnsi"/>
          <w:sz w:val="22"/>
          <w:szCs w:val="22"/>
        </w:rPr>
        <w:t>ell</w:t>
      </w:r>
      <w:r w:rsidR="00440512" w:rsidRPr="00440512">
        <w:rPr>
          <w:rFonts w:asciiTheme="minorHAnsi" w:hAnsiTheme="minorHAnsi" w:cstheme="minorHAnsi"/>
          <w:sz w:val="22"/>
          <w:szCs w:val="22"/>
        </w:rPr>
        <w:t xml:space="preserve">. </w:t>
      </w:r>
      <w:proofErr w:type="gramStart"/>
      <w:r w:rsidR="00440512" w:rsidRPr="00440512">
        <w:rPr>
          <w:rFonts w:asciiTheme="minorHAnsi" w:hAnsiTheme="minorHAnsi" w:cstheme="minorHAnsi"/>
          <w:sz w:val="22"/>
          <w:szCs w:val="22"/>
        </w:rPr>
        <w:t>The majority of</w:t>
      </w:r>
      <w:proofErr w:type="gramEnd"/>
      <w:r w:rsidR="00440512" w:rsidRPr="00440512">
        <w:rPr>
          <w:rFonts w:asciiTheme="minorHAnsi" w:hAnsiTheme="minorHAnsi" w:cstheme="minorHAnsi"/>
          <w:sz w:val="22"/>
          <w:szCs w:val="22"/>
        </w:rPr>
        <w:t xml:space="preserve"> farms were a mixture of both beef and sheep enterprises, with </w:t>
      </w:r>
      <w:r w:rsidR="00551869">
        <w:rPr>
          <w:rFonts w:asciiTheme="minorHAnsi" w:hAnsiTheme="minorHAnsi" w:cstheme="minorHAnsi"/>
          <w:sz w:val="22"/>
          <w:szCs w:val="22"/>
        </w:rPr>
        <w:t>three</w:t>
      </w:r>
      <w:r w:rsidR="00440512" w:rsidRPr="00440512">
        <w:rPr>
          <w:rFonts w:asciiTheme="minorHAnsi" w:hAnsiTheme="minorHAnsi" w:cstheme="minorHAnsi"/>
          <w:sz w:val="22"/>
          <w:szCs w:val="22"/>
        </w:rPr>
        <w:t xml:space="preserve"> being sheep</w:t>
      </w:r>
      <w:r w:rsidR="005507D9">
        <w:rPr>
          <w:rFonts w:asciiTheme="minorHAnsi" w:hAnsiTheme="minorHAnsi" w:cstheme="minorHAnsi"/>
          <w:sz w:val="22"/>
          <w:szCs w:val="22"/>
        </w:rPr>
        <w:t>-only</w:t>
      </w:r>
      <w:r w:rsidR="00440512" w:rsidRPr="00440512">
        <w:rPr>
          <w:rFonts w:asciiTheme="minorHAnsi" w:hAnsiTheme="minorHAnsi" w:cstheme="minorHAnsi"/>
          <w:sz w:val="22"/>
          <w:szCs w:val="22"/>
        </w:rPr>
        <w:t>. Enterprise types varied between farms for cattle; for example, a mixture of spring</w:t>
      </w:r>
      <w:r w:rsidR="00C63BDF">
        <w:rPr>
          <w:rFonts w:asciiTheme="minorHAnsi" w:hAnsiTheme="minorHAnsi" w:cstheme="minorHAnsi"/>
          <w:sz w:val="22"/>
          <w:szCs w:val="22"/>
        </w:rPr>
        <w:t xml:space="preserve"> and </w:t>
      </w:r>
      <w:r w:rsidR="00440512" w:rsidRPr="00440512">
        <w:rPr>
          <w:rFonts w:asciiTheme="minorHAnsi" w:hAnsiTheme="minorHAnsi" w:cstheme="minorHAnsi"/>
          <w:sz w:val="22"/>
          <w:szCs w:val="22"/>
        </w:rPr>
        <w:t>autumn calving suckler</w:t>
      </w:r>
      <w:r w:rsidR="009A132F">
        <w:rPr>
          <w:rFonts w:asciiTheme="minorHAnsi" w:hAnsiTheme="minorHAnsi" w:cstheme="minorHAnsi"/>
          <w:sz w:val="22"/>
          <w:szCs w:val="22"/>
        </w:rPr>
        <w:t xml:space="preserve"> herds,</w:t>
      </w:r>
      <w:r w:rsidR="00440512" w:rsidRPr="00440512">
        <w:rPr>
          <w:rFonts w:asciiTheme="minorHAnsi" w:hAnsiTheme="minorHAnsi" w:cstheme="minorHAnsi"/>
          <w:sz w:val="22"/>
          <w:szCs w:val="22"/>
        </w:rPr>
        <w:t xml:space="preserve"> breeder</w:t>
      </w:r>
      <w:r w:rsidR="00C63BDF">
        <w:rPr>
          <w:rFonts w:asciiTheme="minorHAnsi" w:hAnsiTheme="minorHAnsi" w:cstheme="minorHAnsi"/>
          <w:sz w:val="22"/>
          <w:szCs w:val="22"/>
        </w:rPr>
        <w:t>s</w:t>
      </w:r>
      <w:r w:rsidR="009A132F">
        <w:rPr>
          <w:rFonts w:asciiTheme="minorHAnsi" w:hAnsiTheme="minorHAnsi" w:cstheme="minorHAnsi"/>
          <w:sz w:val="22"/>
          <w:szCs w:val="22"/>
        </w:rPr>
        <w:t>,</w:t>
      </w:r>
      <w:r w:rsidR="00C63BDF">
        <w:rPr>
          <w:rFonts w:asciiTheme="minorHAnsi" w:hAnsiTheme="minorHAnsi" w:cstheme="minorHAnsi"/>
          <w:sz w:val="22"/>
          <w:szCs w:val="22"/>
        </w:rPr>
        <w:t xml:space="preserve"> and </w:t>
      </w:r>
      <w:r w:rsidR="00440512" w:rsidRPr="00440512">
        <w:rPr>
          <w:rFonts w:asciiTheme="minorHAnsi" w:hAnsiTheme="minorHAnsi" w:cstheme="minorHAnsi"/>
          <w:sz w:val="22"/>
          <w:szCs w:val="22"/>
        </w:rPr>
        <w:t xml:space="preserve">finishers. Similarly, with sheep systems there was a mixture of early and late lambing </w:t>
      </w:r>
      <w:r w:rsidR="009A132F">
        <w:rPr>
          <w:rFonts w:asciiTheme="minorHAnsi" w:hAnsiTheme="minorHAnsi" w:cstheme="minorHAnsi"/>
          <w:sz w:val="22"/>
          <w:szCs w:val="22"/>
        </w:rPr>
        <w:t xml:space="preserve">flocks, those that purchased or sold </w:t>
      </w:r>
      <w:r w:rsidR="00440512" w:rsidRPr="00440512">
        <w:rPr>
          <w:rFonts w:asciiTheme="minorHAnsi" w:hAnsiTheme="minorHAnsi" w:cstheme="minorHAnsi"/>
          <w:sz w:val="22"/>
          <w:szCs w:val="22"/>
        </w:rPr>
        <w:t>store</w:t>
      </w:r>
      <w:r w:rsidR="00C63BDF">
        <w:rPr>
          <w:rFonts w:asciiTheme="minorHAnsi" w:hAnsiTheme="minorHAnsi" w:cstheme="minorHAnsi"/>
          <w:sz w:val="22"/>
          <w:szCs w:val="22"/>
        </w:rPr>
        <w:t xml:space="preserve"> </w:t>
      </w:r>
      <w:r w:rsidR="009A132F">
        <w:rPr>
          <w:rFonts w:asciiTheme="minorHAnsi" w:hAnsiTheme="minorHAnsi" w:cstheme="minorHAnsi"/>
          <w:sz w:val="22"/>
          <w:szCs w:val="22"/>
        </w:rPr>
        <w:t xml:space="preserve">lambs, </w:t>
      </w:r>
      <w:r w:rsidR="00C63BDF">
        <w:rPr>
          <w:rFonts w:asciiTheme="minorHAnsi" w:hAnsiTheme="minorHAnsi" w:cstheme="minorHAnsi"/>
          <w:sz w:val="22"/>
          <w:szCs w:val="22"/>
        </w:rPr>
        <w:t xml:space="preserve">and </w:t>
      </w:r>
      <w:r w:rsidR="00440512" w:rsidRPr="00440512">
        <w:rPr>
          <w:rFonts w:asciiTheme="minorHAnsi" w:hAnsiTheme="minorHAnsi" w:cstheme="minorHAnsi"/>
          <w:sz w:val="22"/>
          <w:szCs w:val="22"/>
        </w:rPr>
        <w:t xml:space="preserve">finishers. </w:t>
      </w:r>
    </w:p>
    <w:p w14:paraId="786CE96C" w14:textId="3E600175" w:rsidR="00440512" w:rsidRPr="00440512" w:rsidRDefault="00440512" w:rsidP="00BA3E62">
      <w:pPr>
        <w:spacing w:line="360" w:lineRule="auto"/>
        <w:jc w:val="both"/>
        <w:rPr>
          <w:rFonts w:asciiTheme="minorHAnsi" w:hAnsiTheme="minorHAnsi" w:cstheme="minorHAnsi"/>
          <w:sz w:val="22"/>
          <w:szCs w:val="22"/>
        </w:rPr>
      </w:pPr>
      <w:r w:rsidRPr="00440512">
        <w:rPr>
          <w:rFonts w:asciiTheme="minorHAnsi" w:hAnsiTheme="minorHAnsi" w:cstheme="minorHAnsi"/>
          <w:sz w:val="22"/>
          <w:szCs w:val="22"/>
        </w:rPr>
        <w:t xml:space="preserve"> </w:t>
      </w:r>
    </w:p>
    <w:p w14:paraId="4CA8C48C" w14:textId="0259778E" w:rsidR="0072034D" w:rsidRDefault="009808E8" w:rsidP="00BA3E62">
      <w:pPr>
        <w:spacing w:line="360" w:lineRule="auto"/>
        <w:jc w:val="both"/>
        <w:rPr>
          <w:rFonts w:asciiTheme="minorHAnsi" w:hAnsiTheme="minorHAnsi" w:cstheme="minorHAnsi"/>
          <w:sz w:val="22"/>
          <w:szCs w:val="22"/>
        </w:rPr>
      </w:pPr>
      <w:r w:rsidRPr="009808E8">
        <w:rPr>
          <w:rFonts w:asciiTheme="minorHAnsi" w:hAnsiTheme="minorHAnsi" w:cstheme="minorHAnsi"/>
          <w:sz w:val="22"/>
          <w:szCs w:val="22"/>
        </w:rPr>
        <w:t>Data were self-reported by participating farmers using an Excel template</w:t>
      </w:r>
      <w:r w:rsidR="004C58FF">
        <w:rPr>
          <w:rFonts w:asciiTheme="minorHAnsi" w:hAnsiTheme="minorHAnsi" w:cstheme="minorHAnsi"/>
          <w:sz w:val="22"/>
          <w:szCs w:val="22"/>
        </w:rPr>
        <w:t xml:space="preserve"> in 2020</w:t>
      </w:r>
      <w:r w:rsidR="0046524A">
        <w:rPr>
          <w:rFonts w:asciiTheme="minorHAnsi" w:hAnsiTheme="minorHAnsi" w:cstheme="minorHAnsi"/>
          <w:sz w:val="22"/>
          <w:szCs w:val="22"/>
        </w:rPr>
        <w:t>,</w:t>
      </w:r>
      <w:r w:rsidR="00440512" w:rsidRPr="00440512">
        <w:rPr>
          <w:rFonts w:asciiTheme="minorHAnsi" w:hAnsiTheme="minorHAnsi" w:cstheme="minorHAnsi"/>
          <w:sz w:val="22"/>
          <w:szCs w:val="22"/>
        </w:rPr>
        <w:t xml:space="preserve"> and, in most cases, follow</w:t>
      </w:r>
      <w:r w:rsidR="00381044">
        <w:rPr>
          <w:rFonts w:asciiTheme="minorHAnsi" w:hAnsiTheme="minorHAnsi" w:cstheme="minorHAnsi"/>
          <w:sz w:val="22"/>
          <w:szCs w:val="22"/>
        </w:rPr>
        <w:t>-</w:t>
      </w:r>
      <w:r w:rsidR="00440512" w:rsidRPr="00440512">
        <w:rPr>
          <w:rFonts w:asciiTheme="minorHAnsi" w:hAnsiTheme="minorHAnsi" w:cstheme="minorHAnsi"/>
          <w:sz w:val="22"/>
          <w:szCs w:val="22"/>
        </w:rPr>
        <w:t xml:space="preserve">up emails and calls </w:t>
      </w:r>
      <w:r w:rsidR="0092285C">
        <w:rPr>
          <w:rFonts w:asciiTheme="minorHAnsi" w:hAnsiTheme="minorHAnsi" w:cstheme="minorHAnsi"/>
          <w:sz w:val="22"/>
          <w:szCs w:val="22"/>
        </w:rPr>
        <w:t xml:space="preserve">were made </w:t>
      </w:r>
      <w:r w:rsidR="00440512" w:rsidRPr="00440512">
        <w:rPr>
          <w:rFonts w:asciiTheme="minorHAnsi" w:hAnsiTheme="minorHAnsi" w:cstheme="minorHAnsi"/>
          <w:sz w:val="22"/>
          <w:szCs w:val="22"/>
        </w:rPr>
        <w:t xml:space="preserve">to participants </w:t>
      </w:r>
      <w:r w:rsidR="00381044">
        <w:rPr>
          <w:rFonts w:asciiTheme="minorHAnsi" w:hAnsiTheme="minorHAnsi" w:cstheme="minorHAnsi"/>
          <w:sz w:val="22"/>
          <w:szCs w:val="22"/>
        </w:rPr>
        <w:t xml:space="preserve">to </w:t>
      </w:r>
      <w:r w:rsidR="00440512" w:rsidRPr="00440512">
        <w:rPr>
          <w:rFonts w:asciiTheme="minorHAnsi" w:hAnsiTheme="minorHAnsi" w:cstheme="minorHAnsi"/>
          <w:sz w:val="22"/>
          <w:szCs w:val="22"/>
        </w:rPr>
        <w:t>verif</w:t>
      </w:r>
      <w:r w:rsidR="00381044">
        <w:rPr>
          <w:rFonts w:asciiTheme="minorHAnsi" w:hAnsiTheme="minorHAnsi" w:cstheme="minorHAnsi"/>
          <w:sz w:val="22"/>
          <w:szCs w:val="22"/>
        </w:rPr>
        <w:t xml:space="preserve">y the </w:t>
      </w:r>
      <w:r w:rsidR="00301609">
        <w:rPr>
          <w:rFonts w:asciiTheme="minorHAnsi" w:hAnsiTheme="minorHAnsi" w:cstheme="minorHAnsi"/>
          <w:sz w:val="22"/>
          <w:szCs w:val="22"/>
        </w:rPr>
        <w:t xml:space="preserve">information </w:t>
      </w:r>
      <w:r w:rsidR="00301609" w:rsidRPr="00E507FB">
        <w:rPr>
          <w:rFonts w:asciiTheme="minorHAnsi" w:hAnsiTheme="minorHAnsi" w:cstheme="minorHAnsi"/>
          <w:sz w:val="22"/>
          <w:szCs w:val="22"/>
        </w:rPr>
        <w:t>provided</w:t>
      </w:r>
      <w:r w:rsidR="00440512" w:rsidRPr="00E507FB">
        <w:rPr>
          <w:rFonts w:asciiTheme="minorHAnsi" w:hAnsiTheme="minorHAnsi" w:cstheme="minorHAnsi"/>
          <w:sz w:val="22"/>
          <w:szCs w:val="22"/>
        </w:rPr>
        <w:t xml:space="preserve">. </w:t>
      </w:r>
      <w:r w:rsidR="004D4405" w:rsidRPr="00E507FB">
        <w:rPr>
          <w:rFonts w:asciiTheme="minorHAnsi" w:hAnsiTheme="minorHAnsi" w:cstheme="minorHAnsi"/>
          <w:sz w:val="22"/>
          <w:szCs w:val="22"/>
        </w:rPr>
        <w:t>Th</w:t>
      </w:r>
      <w:r w:rsidR="0021209C" w:rsidRPr="00E507FB">
        <w:rPr>
          <w:rFonts w:asciiTheme="minorHAnsi" w:hAnsiTheme="minorHAnsi" w:cstheme="minorHAnsi"/>
          <w:sz w:val="22"/>
          <w:szCs w:val="22"/>
        </w:rPr>
        <w:t>ese</w:t>
      </w:r>
      <w:r w:rsidR="004D4405" w:rsidRPr="00E507FB">
        <w:rPr>
          <w:rFonts w:asciiTheme="minorHAnsi" w:hAnsiTheme="minorHAnsi" w:cstheme="minorHAnsi"/>
          <w:sz w:val="22"/>
          <w:szCs w:val="22"/>
        </w:rPr>
        <w:t xml:space="preserve"> data w</w:t>
      </w:r>
      <w:r w:rsidR="0021209C" w:rsidRPr="00E507FB">
        <w:rPr>
          <w:rFonts w:asciiTheme="minorHAnsi" w:hAnsiTheme="minorHAnsi" w:cstheme="minorHAnsi"/>
          <w:sz w:val="22"/>
          <w:szCs w:val="22"/>
        </w:rPr>
        <w:t>ere</w:t>
      </w:r>
      <w:r w:rsidR="004D4405" w:rsidRPr="00E507FB">
        <w:rPr>
          <w:rFonts w:asciiTheme="minorHAnsi" w:hAnsiTheme="minorHAnsi" w:cstheme="minorHAnsi"/>
          <w:sz w:val="22"/>
          <w:szCs w:val="22"/>
        </w:rPr>
        <w:t xml:space="preserve"> then </w:t>
      </w:r>
      <w:r w:rsidR="00F71F82" w:rsidRPr="00E507FB">
        <w:rPr>
          <w:rFonts w:asciiTheme="minorHAnsi" w:hAnsiTheme="minorHAnsi" w:cstheme="minorHAnsi"/>
          <w:sz w:val="22"/>
          <w:szCs w:val="22"/>
        </w:rPr>
        <w:t>cross</w:t>
      </w:r>
      <w:r w:rsidR="00381044" w:rsidRPr="00E507FB">
        <w:rPr>
          <w:rFonts w:asciiTheme="minorHAnsi" w:hAnsiTheme="minorHAnsi" w:cstheme="minorHAnsi"/>
          <w:sz w:val="22"/>
          <w:szCs w:val="22"/>
        </w:rPr>
        <w:t>-</w:t>
      </w:r>
      <w:r w:rsidR="00F71F82" w:rsidRPr="00E507FB">
        <w:rPr>
          <w:rFonts w:asciiTheme="minorHAnsi" w:hAnsiTheme="minorHAnsi" w:cstheme="minorHAnsi"/>
          <w:sz w:val="22"/>
          <w:szCs w:val="22"/>
        </w:rPr>
        <w:t>validated</w:t>
      </w:r>
      <w:r w:rsidR="004D4405" w:rsidRPr="00E507FB">
        <w:rPr>
          <w:rFonts w:asciiTheme="minorHAnsi" w:hAnsiTheme="minorHAnsi" w:cstheme="minorHAnsi"/>
          <w:sz w:val="22"/>
          <w:szCs w:val="22"/>
        </w:rPr>
        <w:t xml:space="preserve"> </w:t>
      </w:r>
      <w:r w:rsidR="0056747E" w:rsidRPr="00E507FB">
        <w:rPr>
          <w:rFonts w:asciiTheme="minorHAnsi" w:hAnsiTheme="minorHAnsi" w:cstheme="minorHAnsi"/>
          <w:sz w:val="22"/>
          <w:szCs w:val="22"/>
        </w:rPr>
        <w:t xml:space="preserve">with </w:t>
      </w:r>
      <w:r w:rsidR="00CE319F" w:rsidRPr="00E507FB">
        <w:rPr>
          <w:rFonts w:asciiTheme="minorHAnsi" w:hAnsiTheme="minorHAnsi" w:cstheme="minorHAnsi"/>
          <w:sz w:val="22"/>
          <w:szCs w:val="22"/>
        </w:rPr>
        <w:t xml:space="preserve">national </w:t>
      </w:r>
      <w:r w:rsidR="0056747E" w:rsidRPr="00E507FB">
        <w:rPr>
          <w:rFonts w:asciiTheme="minorHAnsi" w:hAnsiTheme="minorHAnsi" w:cstheme="minorHAnsi"/>
          <w:sz w:val="22"/>
          <w:szCs w:val="22"/>
        </w:rPr>
        <w:t xml:space="preserve">data from </w:t>
      </w:r>
      <w:r w:rsidR="008065AF" w:rsidRPr="00E507FB">
        <w:rPr>
          <w:rFonts w:asciiTheme="minorHAnsi" w:hAnsiTheme="minorHAnsi" w:cstheme="minorHAnsi"/>
          <w:sz w:val="22"/>
          <w:szCs w:val="22"/>
        </w:rPr>
        <w:t xml:space="preserve">the </w:t>
      </w:r>
      <w:r w:rsidR="00850324" w:rsidRPr="00E507FB">
        <w:rPr>
          <w:rFonts w:asciiTheme="minorHAnsi" w:hAnsiTheme="minorHAnsi" w:cstheme="minorHAnsi"/>
          <w:sz w:val="22"/>
          <w:szCs w:val="22"/>
        </w:rPr>
        <w:t xml:space="preserve">Survey of </w:t>
      </w:r>
      <w:r w:rsidR="00381044" w:rsidRPr="00E507FB">
        <w:rPr>
          <w:rFonts w:asciiTheme="minorHAnsi" w:hAnsiTheme="minorHAnsi" w:cstheme="minorHAnsi"/>
          <w:sz w:val="22"/>
          <w:szCs w:val="22"/>
        </w:rPr>
        <w:t>A</w:t>
      </w:r>
      <w:r w:rsidR="00850324" w:rsidRPr="00E507FB">
        <w:rPr>
          <w:rFonts w:asciiTheme="minorHAnsi" w:hAnsiTheme="minorHAnsi" w:cstheme="minorHAnsi"/>
          <w:sz w:val="22"/>
          <w:szCs w:val="22"/>
        </w:rPr>
        <w:t xml:space="preserve">griculture and </w:t>
      </w:r>
      <w:r w:rsidR="00381044" w:rsidRPr="00E507FB">
        <w:rPr>
          <w:rFonts w:asciiTheme="minorHAnsi" w:hAnsiTheme="minorHAnsi" w:cstheme="minorHAnsi"/>
          <w:sz w:val="22"/>
          <w:szCs w:val="22"/>
        </w:rPr>
        <w:t>H</w:t>
      </w:r>
      <w:r w:rsidR="00850324" w:rsidRPr="00E507FB">
        <w:rPr>
          <w:rFonts w:asciiTheme="minorHAnsi" w:hAnsiTheme="minorHAnsi" w:cstheme="minorHAnsi"/>
          <w:sz w:val="22"/>
          <w:szCs w:val="22"/>
        </w:rPr>
        <w:t>orticulture</w:t>
      </w:r>
      <w:r w:rsidR="001B327D">
        <w:rPr>
          <w:rFonts w:asciiTheme="minorHAnsi" w:hAnsiTheme="minorHAnsi" w:cstheme="minorHAnsi"/>
          <w:sz w:val="22"/>
          <w:szCs w:val="22"/>
        </w:rPr>
        <w:t xml:space="preserve"> </w:t>
      </w:r>
      <w:r w:rsidR="001B327D">
        <w:rPr>
          <w:rFonts w:asciiTheme="minorHAnsi" w:hAnsiTheme="minorHAnsi" w:cstheme="minorHAnsi"/>
          <w:sz w:val="22"/>
          <w:szCs w:val="22"/>
        </w:rPr>
        <w:fldChar w:fldCharType="begin"/>
      </w:r>
      <w:r w:rsidR="00906DC1">
        <w:rPr>
          <w:rFonts w:asciiTheme="minorHAnsi" w:hAnsiTheme="minorHAnsi" w:cstheme="minorHAnsi"/>
          <w:sz w:val="22"/>
          <w:szCs w:val="22"/>
        </w:rPr>
        <w:instrText xml:space="preserve"> ADDIN ZOTERO_ITEM CSL_CITATION {"citationID":"dJ5LCfVU","properties":{"formattedCitation":"(Welsh Government, 2021a)","plainCitation":"(Welsh Government, 2021a)","noteIndex":0},"citationItems":[{"id":1801,"uris":["http://zotero.org/users/6500992/items/L8AVT2ZD"],"itemData":{"id":1801,"type":"report","abstract":"Data for agricultural land use, livestock on farms and the number of people working on agricultural holdings in June 2021.","language":"en","publisher":"Welsh Government","title":"Survey of agriculture and horticulture: June 2021","title-short":"Survey of agriculture and horticulture","URL":"https://www.gov.wales/survey-agriculture-and-horticulture-june-2021","author":[{"family":"Welsh Government","given":""}],"accessed":{"date-parts":[["2023",12,6]]},"issued":{"date-parts":[["2021",11,23]]}}}],"schema":"https://github.com/citation-style-language/schema/raw/master/csl-citation.json"} </w:instrText>
      </w:r>
      <w:r w:rsidR="001B327D">
        <w:rPr>
          <w:rFonts w:asciiTheme="minorHAnsi" w:hAnsiTheme="minorHAnsi" w:cstheme="minorHAnsi"/>
          <w:sz w:val="22"/>
          <w:szCs w:val="22"/>
        </w:rPr>
        <w:fldChar w:fldCharType="separate"/>
      </w:r>
      <w:r w:rsidR="001B327D" w:rsidRPr="001B327D">
        <w:rPr>
          <w:rFonts w:ascii="Calibri" w:hAnsi="Calibri" w:cs="Calibri"/>
          <w:sz w:val="22"/>
        </w:rPr>
        <w:t>(Welsh Government, 2021a)</w:t>
      </w:r>
      <w:r w:rsidR="001B327D">
        <w:rPr>
          <w:rFonts w:asciiTheme="minorHAnsi" w:hAnsiTheme="minorHAnsi" w:cstheme="minorHAnsi"/>
          <w:sz w:val="22"/>
          <w:szCs w:val="22"/>
        </w:rPr>
        <w:fldChar w:fldCharType="end"/>
      </w:r>
      <w:r w:rsidR="00CE319F" w:rsidRPr="00E507FB">
        <w:rPr>
          <w:rFonts w:asciiTheme="minorHAnsi" w:hAnsiTheme="minorHAnsi" w:cstheme="minorHAnsi"/>
          <w:sz w:val="22"/>
          <w:szCs w:val="22"/>
        </w:rPr>
        <w:t xml:space="preserve"> </w:t>
      </w:r>
      <w:r w:rsidR="00E507FB" w:rsidRPr="00E507FB">
        <w:rPr>
          <w:rFonts w:asciiTheme="minorHAnsi" w:hAnsiTheme="minorHAnsi" w:cstheme="minorHAnsi"/>
          <w:sz w:val="22"/>
          <w:szCs w:val="22"/>
        </w:rPr>
        <w:t xml:space="preserve">and the British Survey of Fertiliser Practice </w:t>
      </w:r>
      <w:r w:rsidR="00C935C4">
        <w:rPr>
          <w:rFonts w:asciiTheme="minorHAnsi" w:hAnsiTheme="minorHAnsi" w:cstheme="minorHAnsi"/>
          <w:sz w:val="22"/>
          <w:szCs w:val="22"/>
        </w:rPr>
        <w:fldChar w:fldCharType="begin"/>
      </w:r>
      <w:r w:rsidR="00104B72">
        <w:rPr>
          <w:rFonts w:asciiTheme="minorHAnsi" w:hAnsiTheme="minorHAnsi" w:cstheme="minorHAnsi"/>
          <w:sz w:val="22"/>
          <w:szCs w:val="22"/>
        </w:rPr>
        <w:instrText xml:space="preserve"> ADDIN ZOTERO_ITEM CSL_CITATION {"citationID":"QBrTnej6","properties":{"formattedCitation":"(DEFRA, 2022)","plainCitation":"(DEFRA, 2022)","noteIndex":0},"citationItems":[{"id":1404,"uris":["http://zotero.org/users/6500992/items/F375MGAW"],"itemData":{"id":1404,"type":"book","ISBN":"ISBN 978-0-99297-357-5","number-of-pages":"124","title":"The British survey of fertiliser practice","URL":"https://assets.publishing.service.gov.uk/government/uploads/system/uploads/attachment_data/file/1094283/fertiliseruse-annualreport2021-28jul22.pdf","author":[{"family":"DEFRA","given":""}],"accessed":{"date-parts":[["2023",7,4]]},"issued":{"date-parts":[["2022"]]}}}],"schema":"https://github.com/citation-style-language/schema/raw/master/csl-citation.json"} </w:instrText>
      </w:r>
      <w:r w:rsidR="00C935C4">
        <w:rPr>
          <w:rFonts w:asciiTheme="minorHAnsi" w:hAnsiTheme="minorHAnsi" w:cstheme="minorHAnsi"/>
          <w:sz w:val="22"/>
          <w:szCs w:val="22"/>
        </w:rPr>
        <w:fldChar w:fldCharType="separate"/>
      </w:r>
      <w:r w:rsidR="00104B72" w:rsidRPr="00104B72">
        <w:rPr>
          <w:rFonts w:ascii="Calibri" w:hAnsi="Calibri" w:cs="Calibri"/>
          <w:sz w:val="22"/>
        </w:rPr>
        <w:t>(DEFRA, 2022)</w:t>
      </w:r>
      <w:r w:rsidR="00C935C4">
        <w:rPr>
          <w:rFonts w:asciiTheme="minorHAnsi" w:hAnsiTheme="minorHAnsi" w:cstheme="minorHAnsi"/>
          <w:sz w:val="22"/>
          <w:szCs w:val="22"/>
        </w:rPr>
        <w:fldChar w:fldCharType="end"/>
      </w:r>
      <w:r w:rsidR="00C935C4">
        <w:rPr>
          <w:rFonts w:asciiTheme="minorHAnsi" w:hAnsiTheme="minorHAnsi" w:cstheme="minorHAnsi"/>
          <w:sz w:val="22"/>
          <w:szCs w:val="22"/>
        </w:rPr>
        <w:t xml:space="preserve"> </w:t>
      </w:r>
      <w:r w:rsidR="00CE319F" w:rsidRPr="00E507FB">
        <w:rPr>
          <w:rFonts w:asciiTheme="minorHAnsi" w:hAnsiTheme="minorHAnsi" w:cstheme="minorHAnsi"/>
          <w:sz w:val="22"/>
          <w:szCs w:val="22"/>
        </w:rPr>
        <w:t xml:space="preserve">to ensure </w:t>
      </w:r>
      <w:r w:rsidR="00EE25FC" w:rsidRPr="00E507FB">
        <w:rPr>
          <w:rFonts w:asciiTheme="minorHAnsi" w:hAnsiTheme="minorHAnsi" w:cstheme="minorHAnsi"/>
          <w:sz w:val="22"/>
          <w:szCs w:val="22"/>
        </w:rPr>
        <w:t xml:space="preserve">representativeness of </w:t>
      </w:r>
      <w:r w:rsidR="00FE6932" w:rsidRPr="00E507FB">
        <w:rPr>
          <w:rFonts w:asciiTheme="minorHAnsi" w:hAnsiTheme="minorHAnsi" w:cstheme="minorHAnsi"/>
          <w:sz w:val="22"/>
          <w:szCs w:val="22"/>
        </w:rPr>
        <w:t xml:space="preserve">beef and sheep </w:t>
      </w:r>
      <w:r w:rsidR="00850324" w:rsidRPr="00E507FB">
        <w:rPr>
          <w:rFonts w:asciiTheme="minorHAnsi" w:hAnsiTheme="minorHAnsi" w:cstheme="minorHAnsi"/>
          <w:sz w:val="22"/>
          <w:szCs w:val="22"/>
        </w:rPr>
        <w:t>systems</w:t>
      </w:r>
      <w:r w:rsidR="00FE6932" w:rsidRPr="00E507FB">
        <w:rPr>
          <w:rFonts w:asciiTheme="minorHAnsi" w:hAnsiTheme="minorHAnsi" w:cstheme="minorHAnsi"/>
          <w:sz w:val="22"/>
          <w:szCs w:val="22"/>
        </w:rPr>
        <w:t xml:space="preserve"> in Wales</w:t>
      </w:r>
      <w:r w:rsidR="0091522F" w:rsidRPr="00E507FB">
        <w:rPr>
          <w:rFonts w:asciiTheme="minorHAnsi" w:hAnsiTheme="minorHAnsi" w:cstheme="minorHAnsi"/>
          <w:sz w:val="22"/>
          <w:szCs w:val="22"/>
        </w:rPr>
        <w:t xml:space="preserve"> (Table A.1)</w:t>
      </w:r>
      <w:r w:rsidR="0056747E" w:rsidRPr="00E507FB">
        <w:rPr>
          <w:rFonts w:asciiTheme="minorHAnsi" w:hAnsiTheme="minorHAnsi" w:cstheme="minorHAnsi"/>
          <w:sz w:val="22"/>
          <w:szCs w:val="22"/>
        </w:rPr>
        <w:t>.</w:t>
      </w:r>
      <w:r w:rsidR="00F71F82" w:rsidRPr="00E507FB">
        <w:rPr>
          <w:rFonts w:asciiTheme="minorHAnsi" w:hAnsiTheme="minorHAnsi" w:cstheme="minorHAnsi"/>
          <w:sz w:val="22"/>
          <w:szCs w:val="22"/>
        </w:rPr>
        <w:t xml:space="preserve">  </w:t>
      </w:r>
      <w:r w:rsidR="000B4EE6" w:rsidRPr="00E507FB">
        <w:rPr>
          <w:rFonts w:asciiTheme="minorHAnsi" w:hAnsiTheme="minorHAnsi" w:cstheme="minorHAnsi"/>
          <w:sz w:val="22"/>
          <w:szCs w:val="22"/>
        </w:rPr>
        <w:t>Three</w:t>
      </w:r>
      <w:r w:rsidR="000B4EE6">
        <w:rPr>
          <w:rFonts w:asciiTheme="minorHAnsi" w:hAnsiTheme="minorHAnsi" w:cstheme="minorHAnsi"/>
          <w:sz w:val="22"/>
          <w:szCs w:val="22"/>
        </w:rPr>
        <w:t xml:space="preserve"> </w:t>
      </w:r>
      <w:proofErr w:type="gramStart"/>
      <w:r w:rsidR="000B4EE6">
        <w:rPr>
          <w:rFonts w:asciiTheme="minorHAnsi" w:hAnsiTheme="minorHAnsi" w:cstheme="minorHAnsi"/>
          <w:sz w:val="22"/>
          <w:szCs w:val="22"/>
        </w:rPr>
        <w:t>years’</w:t>
      </w:r>
      <w:proofErr w:type="gramEnd"/>
      <w:r w:rsidR="000B4EE6">
        <w:rPr>
          <w:rFonts w:asciiTheme="minorHAnsi" w:hAnsiTheme="minorHAnsi" w:cstheme="minorHAnsi"/>
          <w:sz w:val="22"/>
          <w:szCs w:val="22"/>
        </w:rPr>
        <w:t xml:space="preserve"> of data</w:t>
      </w:r>
      <w:r w:rsidR="00440512" w:rsidRPr="00440512">
        <w:rPr>
          <w:rFonts w:asciiTheme="minorHAnsi" w:hAnsiTheme="minorHAnsi" w:cstheme="minorHAnsi"/>
          <w:sz w:val="22"/>
          <w:szCs w:val="22"/>
        </w:rPr>
        <w:t xml:space="preserve"> were </w:t>
      </w:r>
      <w:r w:rsidR="0093315B">
        <w:rPr>
          <w:rFonts w:asciiTheme="minorHAnsi" w:hAnsiTheme="minorHAnsi" w:cstheme="minorHAnsi"/>
          <w:sz w:val="22"/>
          <w:szCs w:val="22"/>
        </w:rPr>
        <w:t>available</w:t>
      </w:r>
      <w:r w:rsidR="00440512" w:rsidRPr="00440512">
        <w:rPr>
          <w:rFonts w:asciiTheme="minorHAnsi" w:hAnsiTheme="minorHAnsi" w:cstheme="minorHAnsi"/>
          <w:sz w:val="22"/>
          <w:szCs w:val="22"/>
        </w:rPr>
        <w:t xml:space="preserve"> for </w:t>
      </w:r>
      <w:r w:rsidR="009A132F">
        <w:rPr>
          <w:rFonts w:asciiTheme="minorHAnsi" w:hAnsiTheme="minorHAnsi" w:cstheme="minorHAnsi"/>
          <w:sz w:val="22"/>
          <w:szCs w:val="22"/>
        </w:rPr>
        <w:t>eight</w:t>
      </w:r>
      <w:r w:rsidR="00440512" w:rsidRPr="00440512">
        <w:rPr>
          <w:rFonts w:asciiTheme="minorHAnsi" w:hAnsiTheme="minorHAnsi" w:cstheme="minorHAnsi"/>
          <w:sz w:val="22"/>
          <w:szCs w:val="22"/>
        </w:rPr>
        <w:t xml:space="preserve"> farms, </w:t>
      </w:r>
      <w:r w:rsidR="00D21036">
        <w:rPr>
          <w:rFonts w:asciiTheme="minorHAnsi" w:hAnsiTheme="minorHAnsi" w:cstheme="minorHAnsi"/>
          <w:sz w:val="22"/>
          <w:szCs w:val="22"/>
        </w:rPr>
        <w:t>two</w:t>
      </w:r>
      <w:r w:rsidR="00440512" w:rsidRPr="00440512">
        <w:rPr>
          <w:rFonts w:asciiTheme="minorHAnsi" w:hAnsiTheme="minorHAnsi" w:cstheme="minorHAnsi"/>
          <w:sz w:val="22"/>
          <w:szCs w:val="22"/>
        </w:rPr>
        <w:t xml:space="preserve"> years for</w:t>
      </w:r>
      <w:r w:rsidR="009A132F">
        <w:rPr>
          <w:rFonts w:asciiTheme="minorHAnsi" w:hAnsiTheme="minorHAnsi" w:cstheme="minorHAnsi"/>
          <w:sz w:val="22"/>
          <w:szCs w:val="22"/>
        </w:rPr>
        <w:t xml:space="preserve"> three</w:t>
      </w:r>
      <w:r w:rsidR="00440512" w:rsidRPr="00440512">
        <w:rPr>
          <w:rFonts w:asciiTheme="minorHAnsi" w:hAnsiTheme="minorHAnsi" w:cstheme="minorHAnsi"/>
          <w:sz w:val="22"/>
          <w:szCs w:val="22"/>
        </w:rPr>
        <w:t xml:space="preserve"> farms, and </w:t>
      </w:r>
      <w:r w:rsidR="00D21036">
        <w:rPr>
          <w:rFonts w:asciiTheme="minorHAnsi" w:hAnsiTheme="minorHAnsi" w:cstheme="minorHAnsi"/>
          <w:sz w:val="22"/>
          <w:szCs w:val="22"/>
        </w:rPr>
        <w:t>one</w:t>
      </w:r>
      <w:r w:rsidR="00440512" w:rsidRPr="00440512">
        <w:rPr>
          <w:rFonts w:asciiTheme="minorHAnsi" w:hAnsiTheme="minorHAnsi" w:cstheme="minorHAnsi"/>
          <w:sz w:val="22"/>
          <w:szCs w:val="22"/>
        </w:rPr>
        <w:t xml:space="preserve"> year for a further </w:t>
      </w:r>
      <w:r w:rsidR="009A132F">
        <w:rPr>
          <w:rFonts w:asciiTheme="minorHAnsi" w:hAnsiTheme="minorHAnsi" w:cstheme="minorHAnsi"/>
          <w:sz w:val="22"/>
          <w:szCs w:val="22"/>
        </w:rPr>
        <w:t>nine</w:t>
      </w:r>
      <w:r w:rsidR="00440512" w:rsidRPr="00440512">
        <w:rPr>
          <w:rFonts w:asciiTheme="minorHAnsi" w:hAnsiTheme="minorHAnsi" w:cstheme="minorHAnsi"/>
          <w:sz w:val="22"/>
          <w:szCs w:val="22"/>
        </w:rPr>
        <w:t xml:space="preserve"> farms</w:t>
      </w:r>
      <w:r w:rsidR="00381044">
        <w:rPr>
          <w:rFonts w:asciiTheme="minorHAnsi" w:hAnsiTheme="minorHAnsi" w:cstheme="minorHAnsi"/>
          <w:sz w:val="22"/>
          <w:szCs w:val="22"/>
        </w:rPr>
        <w:t xml:space="preserve"> </w:t>
      </w:r>
      <w:r w:rsidR="00E56380">
        <w:rPr>
          <w:rFonts w:asciiTheme="minorHAnsi" w:hAnsiTheme="minorHAnsi" w:cstheme="minorHAnsi"/>
          <w:sz w:val="22"/>
          <w:szCs w:val="22"/>
        </w:rPr>
        <w:t>–</w:t>
      </w:r>
      <w:r w:rsidR="00381044">
        <w:rPr>
          <w:rFonts w:asciiTheme="minorHAnsi" w:hAnsiTheme="minorHAnsi" w:cstheme="minorHAnsi"/>
          <w:sz w:val="22"/>
          <w:szCs w:val="22"/>
        </w:rPr>
        <w:t xml:space="preserve"> </w:t>
      </w:r>
      <w:r w:rsidR="009A132F">
        <w:rPr>
          <w:rFonts w:asciiTheme="minorHAnsi" w:hAnsiTheme="minorHAnsi" w:cstheme="minorHAnsi"/>
          <w:sz w:val="22"/>
          <w:szCs w:val="22"/>
        </w:rPr>
        <w:t>d</w:t>
      </w:r>
      <w:r w:rsidR="00440512" w:rsidRPr="00440512">
        <w:rPr>
          <w:rFonts w:asciiTheme="minorHAnsi" w:hAnsiTheme="minorHAnsi" w:cstheme="minorHAnsi"/>
          <w:sz w:val="22"/>
          <w:szCs w:val="22"/>
        </w:rPr>
        <w:t>atasets from multiple years were averaged for each farm</w:t>
      </w:r>
      <w:r w:rsidR="00381044">
        <w:rPr>
          <w:rFonts w:asciiTheme="minorHAnsi" w:hAnsiTheme="minorHAnsi" w:cstheme="minorHAnsi"/>
          <w:sz w:val="22"/>
          <w:szCs w:val="22"/>
        </w:rPr>
        <w:t>, where possible</w:t>
      </w:r>
      <w:r w:rsidR="00440512" w:rsidRPr="00440512">
        <w:rPr>
          <w:rFonts w:asciiTheme="minorHAnsi" w:hAnsiTheme="minorHAnsi" w:cstheme="minorHAnsi"/>
          <w:sz w:val="22"/>
          <w:szCs w:val="22"/>
        </w:rPr>
        <w:t xml:space="preserve">. In cases where </w:t>
      </w:r>
      <w:r w:rsidR="007719C5">
        <w:rPr>
          <w:rFonts w:asciiTheme="minorHAnsi" w:hAnsiTheme="minorHAnsi" w:cstheme="minorHAnsi"/>
          <w:sz w:val="22"/>
          <w:szCs w:val="22"/>
        </w:rPr>
        <w:t xml:space="preserve">specific </w:t>
      </w:r>
      <w:r w:rsidR="00440512" w:rsidRPr="00440512">
        <w:rPr>
          <w:rFonts w:asciiTheme="minorHAnsi" w:hAnsiTheme="minorHAnsi" w:cstheme="minorHAnsi"/>
          <w:sz w:val="22"/>
          <w:szCs w:val="22"/>
        </w:rPr>
        <w:t>data were difficult to obtai</w:t>
      </w:r>
      <w:r w:rsidR="009C1D82">
        <w:rPr>
          <w:rFonts w:asciiTheme="minorHAnsi" w:hAnsiTheme="minorHAnsi" w:cstheme="minorHAnsi"/>
          <w:sz w:val="22"/>
          <w:szCs w:val="22"/>
        </w:rPr>
        <w:t xml:space="preserve">n </w:t>
      </w:r>
      <w:r w:rsidR="00440512" w:rsidRPr="00440512">
        <w:rPr>
          <w:rFonts w:asciiTheme="minorHAnsi" w:hAnsiTheme="minorHAnsi" w:cstheme="minorHAnsi"/>
          <w:sz w:val="22"/>
          <w:szCs w:val="22"/>
        </w:rPr>
        <w:t xml:space="preserve">or where any data were </w:t>
      </w:r>
      <w:r w:rsidR="00440512" w:rsidRPr="00D648D1">
        <w:rPr>
          <w:rFonts w:asciiTheme="minorHAnsi" w:hAnsiTheme="minorHAnsi" w:cstheme="minorHAnsi"/>
          <w:sz w:val="22"/>
          <w:szCs w:val="22"/>
        </w:rPr>
        <w:t>missing, recently published UK data or standardised estimates were used in their place</w:t>
      </w:r>
      <w:r w:rsidRPr="00D648D1">
        <w:rPr>
          <w:rFonts w:asciiTheme="minorHAnsi" w:hAnsiTheme="minorHAnsi" w:cstheme="minorHAnsi"/>
          <w:sz w:val="22"/>
          <w:szCs w:val="22"/>
        </w:rPr>
        <w:t xml:space="preserve"> </w:t>
      </w:r>
      <w:r w:rsidRPr="00D648D1">
        <w:rPr>
          <w:rFonts w:asciiTheme="minorHAnsi" w:hAnsiTheme="minorHAnsi" w:cstheme="minorHAnsi"/>
          <w:sz w:val="22"/>
          <w:szCs w:val="22"/>
        </w:rPr>
        <w:fldChar w:fldCharType="begin"/>
      </w:r>
      <w:r w:rsidRPr="00D648D1">
        <w:rPr>
          <w:rFonts w:asciiTheme="minorHAnsi" w:hAnsiTheme="minorHAnsi" w:cstheme="minorHAnsi"/>
          <w:sz w:val="22"/>
          <w:szCs w:val="22"/>
        </w:rPr>
        <w:instrText xml:space="preserve"> ADDIN ZOTERO_ITEM CSL_CITATION {"citationID":"wUYzUaY9","properties":{"formattedCitation":"(Craig, 2020)","plainCitation":"(Craig, 2020)","noteIndex":0},"citationItems":[{"id":842,"uris":["http://zotero.org/users/6500992/items/UGU4ZY3I"],"itemData":{"id":842,"type":"article-journal","abstract":"The 41st edition of the Farm Management Handbook is an essential tool for any progressive farm business, providing a comprehensive and up-to-date source of information for farmers, rural professionals, students…","container-title":"FAS","language":"en-GB","title":"Farm Management Handbook 2020/21","URL":"https://www.fas.scot/publication/fmh2021/","author":[{"family":"Craig","given":"Kara"}],"accessed":{"date-parts":[["2021",6,25]]},"issued":{"date-parts":[["2020"]]}}}],"schema":"https://github.com/citation-style-language/schema/raw/master/csl-citation.json"} </w:instrText>
      </w:r>
      <w:r w:rsidRPr="00D648D1">
        <w:rPr>
          <w:rFonts w:asciiTheme="minorHAnsi" w:hAnsiTheme="minorHAnsi" w:cstheme="minorHAnsi"/>
          <w:sz w:val="22"/>
          <w:szCs w:val="22"/>
        </w:rPr>
        <w:fldChar w:fldCharType="separate"/>
      </w:r>
      <w:r w:rsidR="00A573B5" w:rsidRPr="00A573B5">
        <w:rPr>
          <w:rFonts w:ascii="Calibri" w:hAnsi="Calibri" w:cs="Calibri"/>
          <w:sz w:val="22"/>
        </w:rPr>
        <w:t>(Craig, 2020)</w:t>
      </w:r>
      <w:r w:rsidRPr="00D648D1">
        <w:rPr>
          <w:rFonts w:asciiTheme="minorHAnsi" w:hAnsiTheme="minorHAnsi" w:cstheme="minorHAnsi"/>
          <w:sz w:val="22"/>
          <w:szCs w:val="22"/>
        </w:rPr>
        <w:fldChar w:fldCharType="end"/>
      </w:r>
      <w:r w:rsidR="00F31D20" w:rsidRPr="00D648D1">
        <w:rPr>
          <w:rFonts w:asciiTheme="minorHAnsi" w:hAnsiTheme="minorHAnsi" w:cstheme="minorHAnsi"/>
          <w:sz w:val="22"/>
          <w:szCs w:val="22"/>
        </w:rPr>
        <w:t>.</w:t>
      </w:r>
      <w:r w:rsidR="007E4055" w:rsidRPr="00D648D1">
        <w:rPr>
          <w:rFonts w:asciiTheme="minorHAnsi" w:hAnsiTheme="minorHAnsi" w:cstheme="minorHAnsi"/>
          <w:sz w:val="22"/>
          <w:szCs w:val="22"/>
        </w:rPr>
        <w:t xml:space="preserve"> </w:t>
      </w:r>
      <w:r w:rsidR="002F3401" w:rsidRPr="00D648D1">
        <w:rPr>
          <w:rFonts w:asciiTheme="minorHAnsi" w:hAnsiTheme="minorHAnsi" w:cstheme="minorHAnsi"/>
          <w:sz w:val="22"/>
          <w:szCs w:val="22"/>
        </w:rPr>
        <w:t>For example, many participating farms did not have detailed information on</w:t>
      </w:r>
      <w:r w:rsidR="00BB02BA" w:rsidRPr="00D648D1">
        <w:rPr>
          <w:rFonts w:asciiTheme="minorHAnsi" w:hAnsiTheme="minorHAnsi" w:cstheme="minorHAnsi"/>
          <w:sz w:val="22"/>
          <w:szCs w:val="22"/>
        </w:rPr>
        <w:t xml:space="preserve"> their</w:t>
      </w:r>
      <w:r w:rsidR="002F3401" w:rsidRPr="00D648D1">
        <w:rPr>
          <w:rFonts w:asciiTheme="minorHAnsi" w:hAnsiTheme="minorHAnsi" w:cstheme="minorHAnsi"/>
          <w:sz w:val="22"/>
          <w:szCs w:val="22"/>
        </w:rPr>
        <w:t xml:space="preserve"> silage production</w:t>
      </w:r>
      <w:r w:rsidR="003A58B1">
        <w:rPr>
          <w:rFonts w:asciiTheme="minorHAnsi" w:hAnsiTheme="minorHAnsi" w:cstheme="minorHAnsi"/>
          <w:sz w:val="22"/>
          <w:szCs w:val="22"/>
        </w:rPr>
        <w:t>,</w:t>
      </w:r>
      <w:r w:rsidR="00BB02BA" w:rsidRPr="00D648D1">
        <w:rPr>
          <w:rFonts w:asciiTheme="minorHAnsi" w:hAnsiTheme="minorHAnsi" w:cstheme="minorHAnsi"/>
          <w:sz w:val="22"/>
          <w:szCs w:val="22"/>
        </w:rPr>
        <w:t xml:space="preserve"> so </w:t>
      </w:r>
      <w:r w:rsidR="00A574B0" w:rsidRPr="00D648D1">
        <w:rPr>
          <w:rFonts w:asciiTheme="minorHAnsi" w:hAnsiTheme="minorHAnsi" w:cstheme="minorHAnsi"/>
          <w:sz w:val="22"/>
          <w:szCs w:val="22"/>
        </w:rPr>
        <w:t xml:space="preserve">total </w:t>
      </w:r>
      <w:r w:rsidR="00BB02BA" w:rsidRPr="00D648D1">
        <w:rPr>
          <w:rFonts w:asciiTheme="minorHAnsi" w:hAnsiTheme="minorHAnsi" w:cstheme="minorHAnsi"/>
          <w:sz w:val="22"/>
          <w:szCs w:val="22"/>
        </w:rPr>
        <w:t xml:space="preserve">silage yields were assumed to be </w:t>
      </w:r>
      <w:r w:rsidR="00866944" w:rsidRPr="00D648D1">
        <w:rPr>
          <w:rFonts w:asciiTheme="minorHAnsi" w:hAnsiTheme="minorHAnsi" w:cstheme="minorHAnsi"/>
          <w:sz w:val="22"/>
          <w:szCs w:val="22"/>
        </w:rPr>
        <w:t>38</w:t>
      </w:r>
      <w:r w:rsidR="00C808D6">
        <w:rPr>
          <w:rFonts w:asciiTheme="minorHAnsi" w:hAnsiTheme="minorHAnsi" w:cstheme="minorHAnsi"/>
          <w:sz w:val="22"/>
          <w:szCs w:val="22"/>
        </w:rPr>
        <w:t xml:space="preserve"> t </w:t>
      </w:r>
      <w:r w:rsidR="00866944" w:rsidRPr="00D648D1">
        <w:rPr>
          <w:rFonts w:asciiTheme="minorHAnsi" w:hAnsiTheme="minorHAnsi" w:cstheme="minorHAnsi"/>
          <w:sz w:val="22"/>
          <w:szCs w:val="22"/>
        </w:rPr>
        <w:t>ha</w:t>
      </w:r>
      <w:r w:rsidR="00521DCC">
        <w:rPr>
          <w:rFonts w:asciiTheme="minorHAnsi" w:hAnsiTheme="minorHAnsi" w:cstheme="minorHAnsi"/>
          <w:sz w:val="22"/>
          <w:szCs w:val="22"/>
          <w:vertAlign w:val="superscript"/>
        </w:rPr>
        <w:t>-1</w:t>
      </w:r>
      <w:r w:rsidR="00481B47" w:rsidRPr="00D648D1">
        <w:rPr>
          <w:rFonts w:asciiTheme="minorHAnsi" w:hAnsiTheme="minorHAnsi" w:cstheme="minorHAnsi"/>
          <w:sz w:val="22"/>
          <w:szCs w:val="22"/>
        </w:rPr>
        <w:t xml:space="preserve"> over </w:t>
      </w:r>
      <w:r w:rsidR="00D648D1" w:rsidRPr="00D648D1">
        <w:rPr>
          <w:rFonts w:asciiTheme="minorHAnsi" w:hAnsiTheme="minorHAnsi" w:cstheme="minorHAnsi"/>
          <w:sz w:val="22"/>
          <w:szCs w:val="22"/>
        </w:rPr>
        <w:t>two</w:t>
      </w:r>
      <w:r w:rsidR="00481B47" w:rsidRPr="00D648D1">
        <w:rPr>
          <w:rFonts w:asciiTheme="minorHAnsi" w:hAnsiTheme="minorHAnsi" w:cstheme="minorHAnsi"/>
          <w:sz w:val="22"/>
          <w:szCs w:val="22"/>
        </w:rPr>
        <w:t xml:space="preserve"> cuts</w:t>
      </w:r>
      <w:r w:rsidR="00866944" w:rsidRPr="00D648D1">
        <w:rPr>
          <w:rFonts w:asciiTheme="minorHAnsi" w:hAnsiTheme="minorHAnsi" w:cstheme="minorHAnsi"/>
          <w:sz w:val="22"/>
          <w:szCs w:val="22"/>
        </w:rPr>
        <w:t xml:space="preserve"> at 25% dry matter</w:t>
      </w:r>
      <w:r w:rsidR="000C477E">
        <w:rPr>
          <w:rFonts w:asciiTheme="minorHAnsi" w:hAnsiTheme="minorHAnsi" w:cstheme="minorHAnsi"/>
          <w:sz w:val="22"/>
          <w:szCs w:val="22"/>
        </w:rPr>
        <w:t xml:space="preserve"> (Craig, 2020)</w:t>
      </w:r>
      <w:r w:rsidR="002F3401" w:rsidRPr="00D648D1">
        <w:rPr>
          <w:rFonts w:asciiTheme="minorHAnsi" w:hAnsiTheme="minorHAnsi" w:cstheme="minorHAnsi"/>
          <w:sz w:val="22"/>
          <w:szCs w:val="22"/>
        </w:rPr>
        <w:t>.</w:t>
      </w:r>
      <w:r w:rsidR="002F3401">
        <w:rPr>
          <w:rFonts w:asciiTheme="minorHAnsi" w:hAnsiTheme="minorHAnsi" w:cstheme="minorHAnsi"/>
          <w:sz w:val="22"/>
          <w:szCs w:val="22"/>
        </w:rPr>
        <w:t xml:space="preserve"> </w:t>
      </w:r>
      <w:r w:rsidR="002A1E35">
        <w:rPr>
          <w:rFonts w:asciiTheme="minorHAnsi" w:hAnsiTheme="minorHAnsi" w:cstheme="minorHAnsi"/>
          <w:sz w:val="22"/>
          <w:szCs w:val="22"/>
        </w:rPr>
        <w:t xml:space="preserve">Additional </w:t>
      </w:r>
      <w:r w:rsidR="002F3401">
        <w:rPr>
          <w:rFonts w:asciiTheme="minorHAnsi" w:hAnsiTheme="minorHAnsi" w:cstheme="minorHAnsi"/>
          <w:sz w:val="22"/>
          <w:szCs w:val="22"/>
        </w:rPr>
        <w:t>f</w:t>
      </w:r>
      <w:r w:rsidR="006F4E08">
        <w:rPr>
          <w:rFonts w:asciiTheme="minorHAnsi" w:hAnsiTheme="minorHAnsi" w:cstheme="minorHAnsi"/>
          <w:sz w:val="22"/>
          <w:szCs w:val="22"/>
        </w:rPr>
        <w:t xml:space="preserve">arm data are summarised in Table </w:t>
      </w:r>
      <w:r w:rsidR="002A1E35">
        <w:rPr>
          <w:rFonts w:asciiTheme="minorHAnsi" w:hAnsiTheme="minorHAnsi" w:cstheme="minorHAnsi"/>
          <w:sz w:val="22"/>
          <w:szCs w:val="22"/>
        </w:rPr>
        <w:t>A</w:t>
      </w:r>
      <w:r w:rsidR="002311CA">
        <w:rPr>
          <w:rFonts w:asciiTheme="minorHAnsi" w:hAnsiTheme="minorHAnsi" w:cstheme="minorHAnsi"/>
          <w:sz w:val="22"/>
          <w:szCs w:val="22"/>
        </w:rPr>
        <w:t>.</w:t>
      </w:r>
      <w:r w:rsidR="002A1E35">
        <w:rPr>
          <w:rFonts w:asciiTheme="minorHAnsi" w:hAnsiTheme="minorHAnsi" w:cstheme="minorHAnsi"/>
          <w:sz w:val="22"/>
          <w:szCs w:val="22"/>
        </w:rPr>
        <w:t>1</w:t>
      </w:r>
      <w:r w:rsidR="002F3401">
        <w:rPr>
          <w:rFonts w:asciiTheme="minorHAnsi" w:hAnsiTheme="minorHAnsi" w:cstheme="minorHAnsi"/>
          <w:sz w:val="22"/>
          <w:szCs w:val="22"/>
        </w:rPr>
        <w:t>.</w:t>
      </w:r>
    </w:p>
    <w:p w14:paraId="7652EC50" w14:textId="77777777" w:rsidR="00444C85" w:rsidRDefault="00444C85" w:rsidP="00BA3E62">
      <w:pPr>
        <w:spacing w:line="360" w:lineRule="auto"/>
        <w:jc w:val="both"/>
        <w:rPr>
          <w:rFonts w:asciiTheme="minorHAnsi" w:hAnsiTheme="minorHAnsi" w:cstheme="minorHAnsi"/>
          <w:sz w:val="22"/>
          <w:szCs w:val="22"/>
        </w:rPr>
      </w:pPr>
    </w:p>
    <w:p w14:paraId="1BF90B4A" w14:textId="22EBE2A9" w:rsidR="009808E8" w:rsidRPr="00B12F80" w:rsidRDefault="00731D0E" w:rsidP="00E568F2">
      <w:pPr>
        <w:pStyle w:val="ListParagraph"/>
        <w:numPr>
          <w:ilvl w:val="1"/>
          <w:numId w:val="2"/>
        </w:numPr>
        <w:spacing w:line="360" w:lineRule="auto"/>
        <w:rPr>
          <w:rFonts w:asciiTheme="minorHAnsi" w:hAnsiTheme="minorHAnsi" w:cstheme="minorHAnsi"/>
          <w:b/>
          <w:bCs/>
          <w:sz w:val="22"/>
          <w:szCs w:val="22"/>
        </w:rPr>
      </w:pPr>
      <w:r>
        <w:rPr>
          <w:rFonts w:asciiTheme="minorHAnsi" w:hAnsiTheme="minorHAnsi" w:cstheme="minorHAnsi"/>
          <w:b/>
          <w:bCs/>
          <w:sz w:val="22"/>
          <w:szCs w:val="22"/>
        </w:rPr>
        <w:t>Baseline footprint calculations</w:t>
      </w:r>
    </w:p>
    <w:p w14:paraId="4B5D5548" w14:textId="276576AF" w:rsidR="00731D0E" w:rsidRPr="00695622" w:rsidRDefault="00731D0E" w:rsidP="00E568F2">
      <w:pPr>
        <w:pStyle w:val="ListParagraph"/>
        <w:numPr>
          <w:ilvl w:val="2"/>
          <w:numId w:val="2"/>
        </w:numPr>
        <w:spacing w:line="360" w:lineRule="auto"/>
        <w:rPr>
          <w:rFonts w:asciiTheme="minorHAnsi" w:hAnsiTheme="minorHAnsi" w:cstheme="minorHAnsi"/>
          <w:b/>
          <w:bCs/>
          <w:sz w:val="22"/>
          <w:szCs w:val="22"/>
        </w:rPr>
      </w:pPr>
      <w:r w:rsidRPr="00695622">
        <w:rPr>
          <w:rFonts w:asciiTheme="minorHAnsi" w:hAnsiTheme="minorHAnsi" w:cstheme="minorHAnsi"/>
          <w:b/>
          <w:bCs/>
          <w:sz w:val="22"/>
          <w:szCs w:val="22"/>
        </w:rPr>
        <w:t>Emission estimates</w:t>
      </w:r>
      <w:r w:rsidR="00695622" w:rsidRPr="00695622">
        <w:rPr>
          <w:rFonts w:asciiTheme="minorHAnsi" w:hAnsiTheme="minorHAnsi" w:cstheme="minorHAnsi"/>
          <w:b/>
          <w:bCs/>
          <w:sz w:val="22"/>
          <w:szCs w:val="22"/>
        </w:rPr>
        <w:t xml:space="preserve">: </w:t>
      </w:r>
      <w:proofErr w:type="spellStart"/>
      <w:r w:rsidR="00C42331">
        <w:rPr>
          <w:rFonts w:asciiTheme="minorHAnsi" w:hAnsiTheme="minorHAnsi" w:cstheme="minorHAnsi"/>
          <w:b/>
          <w:bCs/>
          <w:sz w:val="22"/>
          <w:szCs w:val="22"/>
        </w:rPr>
        <w:t>Agrecalc</w:t>
      </w:r>
      <w:proofErr w:type="spellEnd"/>
    </w:p>
    <w:p w14:paraId="76ACEBF8" w14:textId="77777777" w:rsidR="00731D0E" w:rsidRPr="00731D0E" w:rsidRDefault="00731D0E" w:rsidP="00E568F2">
      <w:pPr>
        <w:spacing w:line="360" w:lineRule="auto"/>
        <w:rPr>
          <w:rFonts w:asciiTheme="minorHAnsi" w:hAnsiTheme="minorHAnsi" w:cstheme="minorHAnsi"/>
          <w:b/>
          <w:bCs/>
          <w:sz w:val="22"/>
          <w:szCs w:val="22"/>
        </w:rPr>
      </w:pPr>
    </w:p>
    <w:p w14:paraId="039305ED" w14:textId="3E7E8147" w:rsidR="001152F6" w:rsidRDefault="008E607D" w:rsidP="00BA3E62">
      <w:pPr>
        <w:spacing w:line="360" w:lineRule="auto"/>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Reported farm activity </w:t>
      </w:r>
      <w:r w:rsidR="004D0787">
        <w:rPr>
          <w:rFonts w:asciiTheme="minorHAnsi" w:hAnsiTheme="minorHAnsi" w:cstheme="minorHAnsi"/>
          <w:sz w:val="22"/>
          <w:szCs w:val="22"/>
        </w:rPr>
        <w:t xml:space="preserve">and land use </w:t>
      </w:r>
      <w:r w:rsidR="00731D0E" w:rsidRPr="00731D0E">
        <w:rPr>
          <w:rFonts w:asciiTheme="minorHAnsi" w:hAnsiTheme="minorHAnsi" w:cstheme="minorHAnsi"/>
          <w:sz w:val="22"/>
          <w:szCs w:val="22"/>
        </w:rPr>
        <w:t xml:space="preserve">data </w:t>
      </w:r>
      <w:r w:rsidR="00C63BDF" w:rsidRPr="00731D0E">
        <w:rPr>
          <w:rFonts w:asciiTheme="minorHAnsi" w:hAnsiTheme="minorHAnsi" w:cstheme="minorHAnsi"/>
          <w:sz w:val="22"/>
          <w:szCs w:val="22"/>
        </w:rPr>
        <w:t>were</w:t>
      </w:r>
      <w:r w:rsidR="00731D0E" w:rsidRPr="00731D0E">
        <w:rPr>
          <w:rFonts w:asciiTheme="minorHAnsi" w:hAnsiTheme="minorHAnsi" w:cstheme="minorHAnsi"/>
          <w:sz w:val="22"/>
          <w:szCs w:val="22"/>
        </w:rPr>
        <w:t xml:space="preserve"> used to calculate baseline carbon footprints using </w:t>
      </w:r>
      <w:proofErr w:type="spellStart"/>
      <w:r w:rsidR="00C42331">
        <w:rPr>
          <w:rFonts w:asciiTheme="minorHAnsi" w:hAnsiTheme="minorHAnsi" w:cstheme="minorHAnsi"/>
          <w:sz w:val="22"/>
          <w:szCs w:val="22"/>
        </w:rPr>
        <w:t>Agrecalc</w:t>
      </w:r>
      <w:proofErr w:type="spellEnd"/>
      <w:r w:rsidR="00907923">
        <w:rPr>
          <w:rFonts w:asciiTheme="minorHAnsi" w:hAnsiTheme="minorHAnsi" w:cstheme="minorHAnsi"/>
          <w:color w:val="000000" w:themeColor="text1"/>
          <w:sz w:val="22"/>
          <w:szCs w:val="22"/>
        </w:rPr>
        <w:t xml:space="preserve"> </w:t>
      </w:r>
      <w:r w:rsidR="00695622">
        <w:rPr>
          <w:rFonts w:asciiTheme="minorHAnsi" w:hAnsiTheme="minorHAnsi" w:cstheme="minorHAnsi"/>
          <w:color w:val="000000" w:themeColor="text1"/>
          <w:sz w:val="22"/>
          <w:szCs w:val="22"/>
        </w:rPr>
        <w:t>(</w:t>
      </w:r>
      <w:r w:rsidR="00440512" w:rsidRPr="00440512">
        <w:rPr>
          <w:rFonts w:asciiTheme="minorHAnsi" w:hAnsiTheme="minorHAnsi" w:cstheme="minorHAnsi"/>
          <w:color w:val="000000" w:themeColor="text1"/>
          <w:sz w:val="22"/>
          <w:szCs w:val="22"/>
        </w:rPr>
        <w:t>Agricultural Resource Efficiency Calculator</w:t>
      </w:r>
      <w:r w:rsidR="00695622">
        <w:rPr>
          <w:rFonts w:asciiTheme="minorHAnsi" w:hAnsiTheme="minorHAnsi" w:cstheme="minorHAnsi"/>
          <w:color w:val="000000" w:themeColor="text1"/>
          <w:sz w:val="22"/>
          <w:szCs w:val="22"/>
        </w:rPr>
        <w:t>). This</w:t>
      </w:r>
      <w:r w:rsidR="00440512" w:rsidRPr="00440512">
        <w:rPr>
          <w:rFonts w:asciiTheme="minorHAnsi" w:hAnsiTheme="minorHAnsi" w:cstheme="minorHAnsi"/>
          <w:color w:val="000000" w:themeColor="text1"/>
          <w:sz w:val="22"/>
          <w:szCs w:val="22"/>
        </w:rPr>
        <w:t xml:space="preserve"> was developed by Scotland’s Rural College and has been found to be amongst the </w:t>
      </w:r>
      <w:r w:rsidR="0046524A">
        <w:rPr>
          <w:rFonts w:asciiTheme="minorHAnsi" w:hAnsiTheme="minorHAnsi" w:cstheme="minorHAnsi"/>
          <w:color w:val="000000" w:themeColor="text1"/>
          <w:sz w:val="22"/>
          <w:szCs w:val="22"/>
        </w:rPr>
        <w:t>best-</w:t>
      </w:r>
      <w:r w:rsidR="00440512" w:rsidRPr="00440512">
        <w:rPr>
          <w:rFonts w:asciiTheme="minorHAnsi" w:hAnsiTheme="minorHAnsi" w:cstheme="minorHAnsi"/>
          <w:color w:val="000000" w:themeColor="text1"/>
          <w:sz w:val="22"/>
          <w:szCs w:val="22"/>
        </w:rPr>
        <w:t>performing carbon accounting tool</w:t>
      </w:r>
      <w:r w:rsidR="0092285C">
        <w:rPr>
          <w:rFonts w:asciiTheme="minorHAnsi" w:hAnsiTheme="minorHAnsi" w:cstheme="minorHAnsi"/>
          <w:color w:val="000000" w:themeColor="text1"/>
          <w:sz w:val="22"/>
          <w:szCs w:val="22"/>
        </w:rPr>
        <w:t>s</w:t>
      </w:r>
      <w:r w:rsidR="00440512" w:rsidRPr="00440512">
        <w:rPr>
          <w:rFonts w:asciiTheme="minorHAnsi" w:hAnsiTheme="minorHAnsi" w:cstheme="minorHAnsi"/>
          <w:color w:val="000000" w:themeColor="text1"/>
          <w:sz w:val="22"/>
          <w:szCs w:val="22"/>
        </w:rPr>
        <w:t xml:space="preserve"> in terms of transparency, methodology and allocation for use on UK farms </w:t>
      </w:r>
      <w:r w:rsidR="00440512">
        <w:rPr>
          <w:rFonts w:asciiTheme="minorHAnsi" w:hAnsiTheme="minorHAnsi" w:cstheme="minorHAnsi"/>
          <w:color w:val="000000" w:themeColor="text1"/>
          <w:sz w:val="22"/>
          <w:szCs w:val="22"/>
        </w:rPr>
        <w:fldChar w:fldCharType="begin"/>
      </w:r>
      <w:r w:rsidR="00440512">
        <w:rPr>
          <w:rFonts w:asciiTheme="minorHAnsi" w:hAnsiTheme="minorHAnsi" w:cstheme="minorHAnsi"/>
          <w:color w:val="000000" w:themeColor="text1"/>
          <w:sz w:val="22"/>
          <w:szCs w:val="22"/>
        </w:rPr>
        <w:instrText xml:space="preserve"> ADDIN ZOTERO_ITEM CSL_CITATION {"citationID":"7wihEcaV","properties":{"formattedCitation":"(Sykes et al., 2017)","plainCitation":"(Sykes et al., 2017)","noteIndex":0},"citationItems":[{"id":186,"uris":["http://zotero.org/users/6500992/items/AYQ7BKQM"],"itemData":{"id":186,"type":"article-journal","abstract":"Farm-level greenhouse gas (GHG) footprinting tools produce markedly different results from common input datasets. These tools are typically empirical, broad scope models which are valuable for their ability to account for a range of on-farm GHG sources using non-specialist data. Many of these tools are publicly available, and are employed by users from a range of backgrounds to provide enterprise-level carbon footprints. They may be used to inform mitigation strategies and policy developments, though are often developed outside the peer-review system, and as such the methodology employed may be sparsely documented.","container-title":"Journal of Cleaner Production","DOI":"10.1016/j.jclepro.2017.06.197","journalAbbreviation":"Journal of Cleaner Production","source":"ResearchGate","title":"A comparison of farm-level greenhouse gas calculators in their application on beef production systems","volume":"164","author":[{"family":"Sykes","given":"Alasdair"},{"family":"Topp","given":"Kairsty"},{"family":"Wilson","given":"Ron"},{"family":"Reid","given":"Gillian"},{"family":"Rees","given":"Bob"}],"issued":{"date-parts":[["2017",6,1]]}}}],"schema":"https://github.com/citation-style-language/schema/raw/master/csl-citation.json"} </w:instrText>
      </w:r>
      <w:r w:rsidR="00440512">
        <w:rPr>
          <w:rFonts w:asciiTheme="minorHAnsi" w:hAnsiTheme="minorHAnsi" w:cstheme="minorHAnsi"/>
          <w:color w:val="000000" w:themeColor="text1"/>
          <w:sz w:val="22"/>
          <w:szCs w:val="22"/>
        </w:rPr>
        <w:fldChar w:fldCharType="separate"/>
      </w:r>
      <w:r w:rsidR="00A573B5" w:rsidRPr="00A573B5">
        <w:rPr>
          <w:rFonts w:ascii="Calibri" w:hAnsi="Calibri" w:cs="Calibri"/>
          <w:sz w:val="22"/>
        </w:rPr>
        <w:t>(Sykes et al., 2017)</w:t>
      </w:r>
      <w:r w:rsidR="00440512">
        <w:rPr>
          <w:rFonts w:asciiTheme="minorHAnsi" w:hAnsiTheme="minorHAnsi" w:cstheme="minorHAnsi"/>
          <w:color w:val="000000" w:themeColor="text1"/>
          <w:sz w:val="22"/>
          <w:szCs w:val="22"/>
        </w:rPr>
        <w:fldChar w:fldCharType="end"/>
      </w:r>
      <w:r w:rsidR="00440512" w:rsidRPr="00440512">
        <w:rPr>
          <w:rFonts w:asciiTheme="minorHAnsi" w:hAnsiTheme="minorHAnsi" w:cstheme="minorHAnsi"/>
          <w:color w:val="000000" w:themeColor="text1"/>
          <w:sz w:val="22"/>
          <w:szCs w:val="22"/>
        </w:rPr>
        <w:t xml:space="preserve">. </w:t>
      </w:r>
      <w:proofErr w:type="spellStart"/>
      <w:r w:rsidR="00416C2B">
        <w:rPr>
          <w:rFonts w:asciiTheme="minorHAnsi" w:hAnsiTheme="minorHAnsi" w:cstheme="minorHAnsi"/>
          <w:color w:val="000000" w:themeColor="text1"/>
          <w:sz w:val="22"/>
          <w:szCs w:val="22"/>
        </w:rPr>
        <w:t>Agrecalc</w:t>
      </w:r>
      <w:proofErr w:type="spellEnd"/>
      <w:r w:rsidR="00416C2B" w:rsidRPr="00416C2B">
        <w:rPr>
          <w:rFonts w:asciiTheme="minorHAnsi" w:hAnsiTheme="minorHAnsi" w:cstheme="minorHAnsi"/>
          <w:color w:val="000000" w:themeColor="text1"/>
          <w:sz w:val="22"/>
          <w:szCs w:val="22"/>
        </w:rPr>
        <w:t xml:space="preserve"> methodology is based on </w:t>
      </w:r>
      <w:r w:rsidR="00416C2B">
        <w:rPr>
          <w:rFonts w:asciiTheme="minorHAnsi" w:hAnsiTheme="minorHAnsi" w:cstheme="minorHAnsi"/>
          <w:color w:val="000000" w:themeColor="text1"/>
          <w:sz w:val="22"/>
          <w:szCs w:val="22"/>
        </w:rPr>
        <w:t>GHG</w:t>
      </w:r>
      <w:r w:rsidR="00416C2B" w:rsidRPr="00416C2B">
        <w:rPr>
          <w:rFonts w:asciiTheme="minorHAnsi" w:hAnsiTheme="minorHAnsi" w:cstheme="minorHAnsi"/>
          <w:color w:val="000000" w:themeColor="text1"/>
          <w:sz w:val="22"/>
          <w:szCs w:val="22"/>
        </w:rPr>
        <w:t xml:space="preserve"> reporting guidelines published by the IPCC for </w:t>
      </w:r>
      <w:r w:rsidR="00A618EC">
        <w:rPr>
          <w:rFonts w:asciiTheme="minorHAnsi" w:hAnsiTheme="minorHAnsi" w:cstheme="minorHAnsi"/>
          <w:color w:val="000000" w:themeColor="text1"/>
          <w:sz w:val="22"/>
          <w:szCs w:val="22"/>
        </w:rPr>
        <w:t>N</w:t>
      </w:r>
      <w:r w:rsidR="00416C2B" w:rsidRPr="00416C2B">
        <w:rPr>
          <w:rFonts w:asciiTheme="minorHAnsi" w:hAnsiTheme="minorHAnsi" w:cstheme="minorHAnsi"/>
          <w:color w:val="000000" w:themeColor="text1"/>
          <w:sz w:val="22"/>
          <w:szCs w:val="22"/>
        </w:rPr>
        <w:t xml:space="preserve">ational </w:t>
      </w:r>
      <w:r w:rsidR="00A618EC">
        <w:rPr>
          <w:rFonts w:asciiTheme="minorHAnsi" w:hAnsiTheme="minorHAnsi" w:cstheme="minorHAnsi"/>
          <w:color w:val="000000" w:themeColor="text1"/>
          <w:sz w:val="22"/>
          <w:szCs w:val="22"/>
        </w:rPr>
        <w:t>I</w:t>
      </w:r>
      <w:r w:rsidR="00416C2B" w:rsidRPr="00416C2B">
        <w:rPr>
          <w:rFonts w:asciiTheme="minorHAnsi" w:hAnsiTheme="minorHAnsi" w:cstheme="minorHAnsi"/>
          <w:color w:val="000000" w:themeColor="text1"/>
          <w:sz w:val="22"/>
          <w:szCs w:val="22"/>
        </w:rPr>
        <w:t>nventories</w:t>
      </w:r>
      <w:r w:rsidR="00A618EC">
        <w:rPr>
          <w:rFonts w:asciiTheme="minorHAnsi" w:hAnsiTheme="minorHAnsi" w:cstheme="minorHAnsi"/>
          <w:color w:val="000000" w:themeColor="text1"/>
          <w:sz w:val="22"/>
          <w:szCs w:val="22"/>
        </w:rPr>
        <w:t xml:space="preserve"> </w:t>
      </w:r>
      <w:r w:rsidR="00A618EC">
        <w:rPr>
          <w:rFonts w:asciiTheme="minorHAnsi" w:hAnsiTheme="minorHAnsi" w:cstheme="minorHAnsi"/>
          <w:color w:val="000000" w:themeColor="text1"/>
          <w:sz w:val="22"/>
          <w:szCs w:val="22"/>
        </w:rPr>
        <w:fldChar w:fldCharType="begin"/>
      </w:r>
      <w:r w:rsidR="00A618EC">
        <w:rPr>
          <w:rFonts w:asciiTheme="minorHAnsi" w:hAnsiTheme="minorHAnsi" w:cstheme="minorHAnsi"/>
          <w:color w:val="000000" w:themeColor="text1"/>
          <w:sz w:val="22"/>
          <w:szCs w:val="22"/>
        </w:rPr>
        <w:instrText xml:space="preserve"> ADDIN ZOTERO_ITEM CSL_CITATION {"citationID":"QgLb6vri","properties":{"formattedCitation":"(IPCC, 2019)","plainCitation":"(IPCC, 2019)","noteIndex":0},"citationItems":[{"id":249,"uris":["http://zotero.org/users/6500992/items/SHYSXT96"],"itemData":{"id":249,"type":"book","title":"2019 Refinement to the 2006 IPCC Guidelines for National Greenhouse Gas Inventories","URL":"https://www.ipcc-nggip.iges.or.jp/public/2019rf/pdf/4_Volume4/19R_V4_Ch11_Soils_N2O_CO2.pdf","volume":"4","author":[{"family":"IPCC","given":""}],"accessed":{"date-parts":[["2020",10,16]]},"issued":{"date-parts":[["2019"]]}}}],"schema":"https://github.com/citation-style-language/schema/raw/master/csl-citation.json"} </w:instrText>
      </w:r>
      <w:r w:rsidR="00A618EC">
        <w:rPr>
          <w:rFonts w:asciiTheme="minorHAnsi" w:hAnsiTheme="minorHAnsi" w:cstheme="minorHAnsi"/>
          <w:color w:val="000000" w:themeColor="text1"/>
          <w:sz w:val="22"/>
          <w:szCs w:val="22"/>
        </w:rPr>
        <w:fldChar w:fldCharType="separate"/>
      </w:r>
      <w:r w:rsidR="00A618EC" w:rsidRPr="00A618EC">
        <w:rPr>
          <w:rFonts w:ascii="Calibri" w:hAnsi="Calibri" w:cs="Calibri"/>
          <w:sz w:val="22"/>
        </w:rPr>
        <w:t>(IPCC, 2019)</w:t>
      </w:r>
      <w:r w:rsidR="00A618EC">
        <w:rPr>
          <w:rFonts w:asciiTheme="minorHAnsi" w:hAnsiTheme="minorHAnsi" w:cstheme="minorHAnsi"/>
          <w:color w:val="000000" w:themeColor="text1"/>
          <w:sz w:val="22"/>
          <w:szCs w:val="22"/>
        </w:rPr>
        <w:fldChar w:fldCharType="end"/>
      </w:r>
      <w:r w:rsidR="00902765">
        <w:rPr>
          <w:rFonts w:asciiTheme="minorHAnsi" w:hAnsiTheme="minorHAnsi" w:cstheme="minorHAnsi"/>
          <w:color w:val="000000" w:themeColor="text1"/>
          <w:sz w:val="22"/>
          <w:szCs w:val="22"/>
        </w:rPr>
        <w:t xml:space="preserve">. </w:t>
      </w:r>
      <w:r w:rsidR="00440512" w:rsidRPr="00440512">
        <w:rPr>
          <w:rFonts w:asciiTheme="minorHAnsi" w:hAnsiTheme="minorHAnsi" w:cstheme="minorHAnsi"/>
          <w:color w:val="000000" w:themeColor="text1"/>
          <w:sz w:val="22"/>
          <w:szCs w:val="22"/>
        </w:rPr>
        <w:t xml:space="preserve">The tool uses </w:t>
      </w:r>
      <w:r w:rsidR="00040B56">
        <w:rPr>
          <w:rFonts w:asciiTheme="minorHAnsi" w:hAnsiTheme="minorHAnsi" w:cstheme="minorHAnsi"/>
          <w:color w:val="000000" w:themeColor="text1"/>
          <w:sz w:val="22"/>
          <w:szCs w:val="22"/>
        </w:rPr>
        <w:t>mainly</w:t>
      </w:r>
      <w:r w:rsidR="00440512" w:rsidRPr="00440512">
        <w:rPr>
          <w:rFonts w:asciiTheme="minorHAnsi" w:hAnsiTheme="minorHAnsi" w:cstheme="minorHAnsi"/>
          <w:color w:val="000000" w:themeColor="text1"/>
          <w:sz w:val="22"/>
          <w:szCs w:val="22"/>
        </w:rPr>
        <w:t xml:space="preserve"> IPCC (20</w:t>
      </w:r>
      <w:r w:rsidR="00907923">
        <w:rPr>
          <w:rFonts w:asciiTheme="minorHAnsi" w:hAnsiTheme="minorHAnsi" w:cstheme="minorHAnsi"/>
          <w:color w:val="000000" w:themeColor="text1"/>
          <w:sz w:val="22"/>
          <w:szCs w:val="22"/>
        </w:rPr>
        <w:t>19</w:t>
      </w:r>
      <w:r w:rsidR="00440512" w:rsidRPr="00440512">
        <w:rPr>
          <w:rFonts w:asciiTheme="minorHAnsi" w:hAnsiTheme="minorHAnsi" w:cstheme="minorHAnsi"/>
          <w:color w:val="000000" w:themeColor="text1"/>
          <w:sz w:val="22"/>
          <w:szCs w:val="22"/>
        </w:rPr>
        <w:t xml:space="preserve">) Tier 2 </w:t>
      </w:r>
      <w:proofErr w:type="gramStart"/>
      <w:r w:rsidR="00440512" w:rsidRPr="00440512">
        <w:rPr>
          <w:rFonts w:asciiTheme="minorHAnsi" w:hAnsiTheme="minorHAnsi" w:cstheme="minorHAnsi"/>
          <w:color w:val="000000" w:themeColor="text1"/>
          <w:sz w:val="22"/>
          <w:szCs w:val="22"/>
        </w:rPr>
        <w:t>methodologies</w:t>
      </w:r>
      <w:r w:rsidR="00381044">
        <w:rPr>
          <w:rFonts w:asciiTheme="minorHAnsi" w:hAnsiTheme="minorHAnsi" w:cstheme="minorHAnsi"/>
          <w:color w:val="000000" w:themeColor="text1"/>
          <w:sz w:val="22"/>
          <w:szCs w:val="22"/>
        </w:rPr>
        <w:t>,</w:t>
      </w:r>
      <w:r w:rsidR="00440512" w:rsidRPr="00440512">
        <w:rPr>
          <w:rFonts w:asciiTheme="minorHAnsi" w:hAnsiTheme="minorHAnsi" w:cstheme="minorHAnsi"/>
          <w:color w:val="000000" w:themeColor="text1"/>
          <w:sz w:val="22"/>
          <w:szCs w:val="22"/>
        </w:rPr>
        <w:t xml:space="preserve"> and</w:t>
      </w:r>
      <w:proofErr w:type="gramEnd"/>
      <w:r w:rsidR="00440512" w:rsidRPr="00440512">
        <w:rPr>
          <w:rFonts w:asciiTheme="minorHAnsi" w:hAnsiTheme="minorHAnsi" w:cstheme="minorHAnsi"/>
          <w:color w:val="000000" w:themeColor="text1"/>
          <w:sz w:val="22"/>
          <w:szCs w:val="22"/>
        </w:rPr>
        <w:t xml:space="preserve"> conforms to PAS2050 </w:t>
      </w:r>
      <w:r w:rsidR="004D0787">
        <w:rPr>
          <w:rFonts w:asciiTheme="minorHAnsi" w:hAnsiTheme="minorHAnsi" w:cstheme="minorHAnsi"/>
          <w:color w:val="000000" w:themeColor="text1"/>
          <w:sz w:val="22"/>
          <w:szCs w:val="22"/>
        </w:rPr>
        <w:t xml:space="preserve">supply chain </w:t>
      </w:r>
      <w:r w:rsidR="00440512" w:rsidRPr="00440512">
        <w:rPr>
          <w:rFonts w:asciiTheme="minorHAnsi" w:hAnsiTheme="minorHAnsi" w:cstheme="minorHAnsi"/>
          <w:color w:val="000000" w:themeColor="text1"/>
          <w:sz w:val="22"/>
          <w:szCs w:val="22"/>
        </w:rPr>
        <w:t>standards</w:t>
      </w:r>
      <w:r w:rsidR="009B06EB">
        <w:rPr>
          <w:rFonts w:asciiTheme="minorHAnsi" w:hAnsiTheme="minorHAnsi" w:cstheme="minorHAnsi"/>
          <w:color w:val="000000" w:themeColor="text1"/>
          <w:sz w:val="22"/>
          <w:szCs w:val="22"/>
        </w:rPr>
        <w:t xml:space="preserve"> (2011)</w:t>
      </w:r>
      <w:r w:rsidR="00440512" w:rsidRPr="00440512">
        <w:rPr>
          <w:rFonts w:asciiTheme="minorHAnsi" w:hAnsiTheme="minorHAnsi" w:cstheme="minorHAnsi"/>
          <w:color w:val="000000" w:themeColor="text1"/>
          <w:sz w:val="22"/>
          <w:szCs w:val="22"/>
        </w:rPr>
        <w:t xml:space="preserve">. </w:t>
      </w:r>
      <w:r w:rsidR="0053459E" w:rsidRPr="00440512">
        <w:rPr>
          <w:rFonts w:asciiTheme="minorHAnsi" w:hAnsiTheme="minorHAnsi" w:cstheme="minorHAnsi"/>
          <w:color w:val="000000" w:themeColor="text1"/>
          <w:sz w:val="22"/>
          <w:szCs w:val="22"/>
        </w:rPr>
        <w:t>IPCC (20</w:t>
      </w:r>
      <w:r w:rsidR="0053459E">
        <w:rPr>
          <w:rFonts w:asciiTheme="minorHAnsi" w:hAnsiTheme="minorHAnsi" w:cstheme="minorHAnsi"/>
          <w:color w:val="000000" w:themeColor="text1"/>
          <w:sz w:val="22"/>
          <w:szCs w:val="22"/>
        </w:rPr>
        <w:t>19</w:t>
      </w:r>
      <w:r w:rsidR="0053459E" w:rsidRPr="00440512">
        <w:rPr>
          <w:rFonts w:asciiTheme="minorHAnsi" w:hAnsiTheme="minorHAnsi" w:cstheme="minorHAnsi"/>
          <w:color w:val="000000" w:themeColor="text1"/>
          <w:sz w:val="22"/>
          <w:szCs w:val="22"/>
        </w:rPr>
        <w:t xml:space="preserve">) Tier 2 </w:t>
      </w:r>
      <w:r w:rsidR="0053459E">
        <w:rPr>
          <w:rFonts w:asciiTheme="minorHAnsi" w:hAnsiTheme="minorHAnsi" w:cstheme="minorHAnsi"/>
          <w:color w:val="000000" w:themeColor="text1"/>
          <w:sz w:val="22"/>
          <w:szCs w:val="22"/>
        </w:rPr>
        <w:t>country</w:t>
      </w:r>
      <w:r w:rsidR="00695622">
        <w:rPr>
          <w:rFonts w:asciiTheme="minorHAnsi" w:hAnsiTheme="minorHAnsi" w:cstheme="minorHAnsi"/>
          <w:color w:val="000000" w:themeColor="text1"/>
          <w:sz w:val="22"/>
          <w:szCs w:val="22"/>
        </w:rPr>
        <w:t>-</w:t>
      </w:r>
      <w:r w:rsidR="0053459E">
        <w:rPr>
          <w:rFonts w:asciiTheme="minorHAnsi" w:hAnsiTheme="minorHAnsi" w:cstheme="minorHAnsi"/>
          <w:color w:val="000000" w:themeColor="text1"/>
          <w:sz w:val="22"/>
          <w:szCs w:val="22"/>
        </w:rPr>
        <w:t xml:space="preserve">specific </w:t>
      </w:r>
      <w:r w:rsidR="0053459E" w:rsidRPr="00440512">
        <w:rPr>
          <w:rFonts w:asciiTheme="minorHAnsi" w:hAnsiTheme="minorHAnsi" w:cstheme="minorHAnsi"/>
          <w:color w:val="000000" w:themeColor="text1"/>
          <w:sz w:val="22"/>
          <w:szCs w:val="22"/>
        </w:rPr>
        <w:t xml:space="preserve">calculations </w:t>
      </w:r>
      <w:r w:rsidR="0053459E">
        <w:rPr>
          <w:rFonts w:asciiTheme="minorHAnsi" w:hAnsiTheme="minorHAnsi" w:cstheme="minorHAnsi"/>
          <w:color w:val="000000" w:themeColor="text1"/>
          <w:sz w:val="22"/>
          <w:szCs w:val="22"/>
        </w:rPr>
        <w:t>were</w:t>
      </w:r>
      <w:r w:rsidR="0053459E" w:rsidRPr="00440512">
        <w:rPr>
          <w:rFonts w:asciiTheme="minorHAnsi" w:hAnsiTheme="minorHAnsi" w:cstheme="minorHAnsi"/>
          <w:color w:val="000000" w:themeColor="text1"/>
          <w:sz w:val="22"/>
          <w:szCs w:val="22"/>
        </w:rPr>
        <w:t xml:space="preserve"> employed for </w:t>
      </w:r>
      <w:r w:rsidR="0053459E">
        <w:rPr>
          <w:rFonts w:asciiTheme="minorHAnsi" w:hAnsiTheme="minorHAnsi" w:cstheme="minorHAnsi"/>
          <w:color w:val="000000" w:themeColor="text1"/>
          <w:sz w:val="22"/>
          <w:szCs w:val="22"/>
        </w:rPr>
        <w:t>all livestock</w:t>
      </w:r>
      <w:r w:rsidR="00664B3A">
        <w:rPr>
          <w:rFonts w:asciiTheme="minorHAnsi" w:hAnsiTheme="minorHAnsi" w:cstheme="minorHAnsi"/>
          <w:color w:val="000000" w:themeColor="text1"/>
          <w:sz w:val="22"/>
          <w:szCs w:val="22"/>
        </w:rPr>
        <w:t xml:space="preserve"> enteric</w:t>
      </w:r>
      <w:r w:rsidR="007C7A76">
        <w:rPr>
          <w:rFonts w:asciiTheme="minorHAnsi" w:hAnsiTheme="minorHAnsi" w:cstheme="minorHAnsi"/>
          <w:color w:val="000000" w:themeColor="text1"/>
          <w:sz w:val="22"/>
          <w:szCs w:val="22"/>
        </w:rPr>
        <w:t xml:space="preserve"> CH</w:t>
      </w:r>
      <w:r w:rsidR="007C7A76">
        <w:rPr>
          <w:rFonts w:asciiTheme="minorHAnsi" w:hAnsiTheme="minorHAnsi" w:cstheme="minorHAnsi"/>
          <w:color w:val="000000" w:themeColor="text1"/>
          <w:sz w:val="22"/>
          <w:szCs w:val="22"/>
          <w:vertAlign w:val="subscript"/>
        </w:rPr>
        <w:t>4</w:t>
      </w:r>
      <w:r w:rsidR="007C7A76">
        <w:rPr>
          <w:rFonts w:asciiTheme="minorHAnsi" w:hAnsiTheme="minorHAnsi" w:cstheme="minorHAnsi"/>
          <w:color w:val="000000" w:themeColor="text1"/>
          <w:sz w:val="22"/>
          <w:szCs w:val="22"/>
        </w:rPr>
        <w:t xml:space="preserve"> and N</w:t>
      </w:r>
      <w:r w:rsidR="007C7A76">
        <w:rPr>
          <w:rFonts w:asciiTheme="minorHAnsi" w:hAnsiTheme="minorHAnsi" w:cstheme="minorHAnsi"/>
          <w:color w:val="000000" w:themeColor="text1"/>
          <w:sz w:val="22"/>
          <w:szCs w:val="22"/>
          <w:vertAlign w:val="subscript"/>
        </w:rPr>
        <w:t>2</w:t>
      </w:r>
      <w:r w:rsidR="007C7A76">
        <w:rPr>
          <w:rFonts w:asciiTheme="minorHAnsi" w:hAnsiTheme="minorHAnsi" w:cstheme="minorHAnsi"/>
          <w:color w:val="000000" w:themeColor="text1"/>
          <w:sz w:val="22"/>
          <w:szCs w:val="22"/>
        </w:rPr>
        <w:t xml:space="preserve">O </w:t>
      </w:r>
      <w:r w:rsidR="0053459E">
        <w:rPr>
          <w:rFonts w:asciiTheme="minorHAnsi" w:hAnsiTheme="minorHAnsi" w:cstheme="minorHAnsi"/>
          <w:color w:val="000000" w:themeColor="text1"/>
          <w:sz w:val="22"/>
          <w:szCs w:val="22"/>
        </w:rPr>
        <w:t>emissions</w:t>
      </w:r>
      <w:r w:rsidR="00D2439D">
        <w:rPr>
          <w:rFonts w:asciiTheme="minorHAnsi" w:hAnsiTheme="minorHAnsi" w:cstheme="minorHAnsi"/>
          <w:color w:val="000000" w:themeColor="text1"/>
          <w:sz w:val="22"/>
          <w:szCs w:val="22"/>
        </w:rPr>
        <w:t xml:space="preserve"> from </w:t>
      </w:r>
      <w:r w:rsidR="00E13A30">
        <w:rPr>
          <w:rFonts w:asciiTheme="minorHAnsi" w:hAnsiTheme="minorHAnsi" w:cstheme="minorHAnsi"/>
          <w:color w:val="000000" w:themeColor="text1"/>
          <w:sz w:val="22"/>
          <w:szCs w:val="22"/>
        </w:rPr>
        <w:t>excreta</w:t>
      </w:r>
      <w:r w:rsidR="00D2439D">
        <w:rPr>
          <w:rFonts w:asciiTheme="minorHAnsi" w:hAnsiTheme="minorHAnsi" w:cstheme="minorHAnsi"/>
          <w:color w:val="000000" w:themeColor="text1"/>
          <w:sz w:val="22"/>
          <w:szCs w:val="22"/>
        </w:rPr>
        <w:t xml:space="preserve"> deposited on grazing land</w:t>
      </w:r>
      <w:r w:rsidR="0053459E" w:rsidRPr="00440512">
        <w:rPr>
          <w:rFonts w:asciiTheme="minorHAnsi" w:hAnsiTheme="minorHAnsi" w:cstheme="minorHAnsi"/>
          <w:color w:val="000000" w:themeColor="text1"/>
          <w:sz w:val="22"/>
          <w:szCs w:val="22"/>
        </w:rPr>
        <w:t>.</w:t>
      </w:r>
      <w:r w:rsidR="007B6022">
        <w:rPr>
          <w:rFonts w:asciiTheme="minorHAnsi" w:hAnsiTheme="minorHAnsi" w:cstheme="minorHAnsi"/>
          <w:color w:val="000000" w:themeColor="text1"/>
          <w:sz w:val="22"/>
          <w:szCs w:val="22"/>
        </w:rPr>
        <w:t xml:space="preserve"> </w:t>
      </w:r>
      <w:r w:rsidR="00480E3F">
        <w:rPr>
          <w:rFonts w:asciiTheme="minorHAnsi" w:hAnsiTheme="minorHAnsi" w:cstheme="minorHAnsi"/>
          <w:color w:val="000000" w:themeColor="text1"/>
          <w:sz w:val="22"/>
          <w:szCs w:val="22"/>
        </w:rPr>
        <w:t xml:space="preserve">Methane and </w:t>
      </w:r>
      <w:r w:rsidR="009C2F6D" w:rsidRPr="009C2F6D">
        <w:rPr>
          <w:rFonts w:asciiTheme="minorHAnsi" w:hAnsiTheme="minorHAnsi" w:cstheme="minorHAnsi"/>
          <w:color w:val="000000" w:themeColor="text1"/>
          <w:sz w:val="22"/>
          <w:szCs w:val="22"/>
        </w:rPr>
        <w:t>N</w:t>
      </w:r>
      <w:r w:rsidR="009C2F6D">
        <w:rPr>
          <w:rFonts w:asciiTheme="minorHAnsi" w:hAnsiTheme="minorHAnsi" w:cstheme="minorHAnsi"/>
          <w:color w:val="000000" w:themeColor="text1"/>
          <w:sz w:val="22"/>
          <w:szCs w:val="22"/>
          <w:vertAlign w:val="subscript"/>
        </w:rPr>
        <w:t>2</w:t>
      </w:r>
      <w:r w:rsidR="009C2F6D">
        <w:rPr>
          <w:rFonts w:asciiTheme="minorHAnsi" w:hAnsiTheme="minorHAnsi" w:cstheme="minorHAnsi"/>
          <w:color w:val="000000" w:themeColor="text1"/>
          <w:sz w:val="22"/>
          <w:szCs w:val="22"/>
        </w:rPr>
        <w:t xml:space="preserve">O emissions from manure management also use IPCC (2019) Tier 2 </w:t>
      </w:r>
      <w:r w:rsidR="001A12AF">
        <w:rPr>
          <w:rFonts w:asciiTheme="minorHAnsi" w:hAnsiTheme="minorHAnsi" w:cstheme="minorHAnsi"/>
          <w:color w:val="000000" w:themeColor="text1"/>
          <w:sz w:val="22"/>
          <w:szCs w:val="22"/>
        </w:rPr>
        <w:t xml:space="preserve">methods which </w:t>
      </w:r>
      <w:proofErr w:type="gramStart"/>
      <w:r w:rsidR="001A12AF">
        <w:rPr>
          <w:rFonts w:asciiTheme="minorHAnsi" w:hAnsiTheme="minorHAnsi" w:cstheme="minorHAnsi"/>
          <w:color w:val="000000" w:themeColor="text1"/>
          <w:sz w:val="22"/>
          <w:szCs w:val="22"/>
        </w:rPr>
        <w:t>take into account</w:t>
      </w:r>
      <w:proofErr w:type="gramEnd"/>
      <w:r w:rsidR="001A12AF">
        <w:rPr>
          <w:rFonts w:asciiTheme="minorHAnsi" w:hAnsiTheme="minorHAnsi" w:cstheme="minorHAnsi"/>
          <w:color w:val="000000" w:themeColor="text1"/>
          <w:sz w:val="22"/>
          <w:szCs w:val="22"/>
        </w:rPr>
        <w:t xml:space="preserve"> dietary characteristics and climate.</w:t>
      </w:r>
      <w:r w:rsidR="009C2F6D">
        <w:rPr>
          <w:rFonts w:asciiTheme="minorHAnsi" w:hAnsiTheme="minorHAnsi" w:cstheme="minorHAnsi"/>
          <w:color w:val="000000" w:themeColor="text1"/>
          <w:sz w:val="22"/>
          <w:szCs w:val="22"/>
        </w:rPr>
        <w:t xml:space="preserve"> </w:t>
      </w:r>
      <w:r w:rsidR="007B6022" w:rsidRPr="009C2F6D">
        <w:rPr>
          <w:rFonts w:asciiTheme="minorHAnsi" w:hAnsiTheme="minorHAnsi" w:cstheme="minorHAnsi"/>
          <w:color w:val="000000" w:themeColor="text1"/>
          <w:sz w:val="22"/>
          <w:szCs w:val="22"/>
        </w:rPr>
        <w:t>Direct</w:t>
      </w:r>
      <w:r w:rsidR="007B6022">
        <w:rPr>
          <w:rFonts w:asciiTheme="minorHAnsi" w:hAnsiTheme="minorHAnsi" w:cstheme="minorHAnsi"/>
          <w:color w:val="000000" w:themeColor="text1"/>
          <w:sz w:val="22"/>
          <w:szCs w:val="22"/>
        </w:rPr>
        <w:t xml:space="preserve"> N</w:t>
      </w:r>
      <w:r w:rsidR="007B6022">
        <w:rPr>
          <w:rFonts w:asciiTheme="minorHAnsi" w:hAnsiTheme="minorHAnsi" w:cstheme="minorHAnsi"/>
          <w:color w:val="000000" w:themeColor="text1"/>
          <w:sz w:val="22"/>
          <w:szCs w:val="22"/>
          <w:vertAlign w:val="subscript"/>
        </w:rPr>
        <w:t>2</w:t>
      </w:r>
      <w:r w:rsidR="007B6022">
        <w:rPr>
          <w:rFonts w:asciiTheme="minorHAnsi" w:hAnsiTheme="minorHAnsi" w:cstheme="minorHAnsi"/>
          <w:color w:val="000000" w:themeColor="text1"/>
          <w:sz w:val="22"/>
          <w:szCs w:val="22"/>
        </w:rPr>
        <w:t>O</w:t>
      </w:r>
      <w:r w:rsidR="00521624" w:rsidRPr="00440512">
        <w:rPr>
          <w:rFonts w:asciiTheme="minorHAnsi" w:hAnsiTheme="minorHAnsi" w:cstheme="minorHAnsi"/>
          <w:color w:val="000000" w:themeColor="text1"/>
          <w:sz w:val="22"/>
          <w:szCs w:val="22"/>
        </w:rPr>
        <w:t xml:space="preserve"> emissions from </w:t>
      </w:r>
      <w:r w:rsidR="00EA12CE">
        <w:rPr>
          <w:rFonts w:asciiTheme="minorHAnsi" w:hAnsiTheme="minorHAnsi" w:cstheme="minorHAnsi"/>
          <w:color w:val="000000" w:themeColor="text1"/>
          <w:sz w:val="22"/>
          <w:szCs w:val="22"/>
        </w:rPr>
        <w:t>soil following fertilise</w:t>
      </w:r>
      <w:r w:rsidR="00890BD8">
        <w:rPr>
          <w:rFonts w:asciiTheme="minorHAnsi" w:hAnsiTheme="minorHAnsi" w:cstheme="minorHAnsi"/>
          <w:color w:val="000000" w:themeColor="text1"/>
          <w:sz w:val="22"/>
          <w:szCs w:val="22"/>
        </w:rPr>
        <w:t>r</w:t>
      </w:r>
      <w:r w:rsidR="00144DC6">
        <w:rPr>
          <w:rFonts w:asciiTheme="minorHAnsi" w:hAnsiTheme="minorHAnsi" w:cstheme="minorHAnsi"/>
          <w:color w:val="000000" w:themeColor="text1"/>
          <w:sz w:val="22"/>
          <w:szCs w:val="22"/>
        </w:rPr>
        <w:t xml:space="preserve"> </w:t>
      </w:r>
      <w:r w:rsidR="001A12AF">
        <w:rPr>
          <w:rFonts w:asciiTheme="minorHAnsi" w:hAnsiTheme="minorHAnsi" w:cstheme="minorHAnsi"/>
          <w:color w:val="000000" w:themeColor="text1"/>
          <w:sz w:val="22"/>
          <w:szCs w:val="22"/>
        </w:rPr>
        <w:t>and</w:t>
      </w:r>
      <w:r w:rsidR="00144DC6">
        <w:rPr>
          <w:rFonts w:asciiTheme="minorHAnsi" w:hAnsiTheme="minorHAnsi" w:cstheme="minorHAnsi"/>
          <w:color w:val="000000" w:themeColor="text1"/>
          <w:sz w:val="22"/>
          <w:szCs w:val="22"/>
        </w:rPr>
        <w:t xml:space="preserve"> </w:t>
      </w:r>
      <w:r w:rsidR="00EA12CE">
        <w:rPr>
          <w:rFonts w:asciiTheme="minorHAnsi" w:hAnsiTheme="minorHAnsi" w:cstheme="minorHAnsi"/>
          <w:color w:val="000000" w:themeColor="text1"/>
          <w:sz w:val="22"/>
          <w:szCs w:val="22"/>
        </w:rPr>
        <w:t>manure applicat</w:t>
      </w:r>
      <w:r w:rsidR="00040B56">
        <w:rPr>
          <w:rFonts w:asciiTheme="minorHAnsi" w:hAnsiTheme="minorHAnsi" w:cstheme="minorHAnsi"/>
          <w:color w:val="000000" w:themeColor="text1"/>
          <w:sz w:val="22"/>
          <w:szCs w:val="22"/>
        </w:rPr>
        <w:t xml:space="preserve">ion </w:t>
      </w:r>
      <w:r w:rsidR="001A12AF">
        <w:rPr>
          <w:rFonts w:asciiTheme="minorHAnsi" w:hAnsiTheme="minorHAnsi" w:cstheme="minorHAnsi"/>
          <w:color w:val="000000" w:themeColor="text1"/>
          <w:sz w:val="22"/>
          <w:szCs w:val="22"/>
        </w:rPr>
        <w:t>follow</w:t>
      </w:r>
      <w:r w:rsidR="00521624" w:rsidRPr="00440512">
        <w:rPr>
          <w:rFonts w:asciiTheme="minorHAnsi" w:hAnsiTheme="minorHAnsi" w:cstheme="minorHAnsi"/>
          <w:color w:val="000000" w:themeColor="text1"/>
          <w:sz w:val="22"/>
          <w:szCs w:val="22"/>
        </w:rPr>
        <w:t xml:space="preserve"> IPCC Tier </w:t>
      </w:r>
      <w:r w:rsidR="00EA12CE">
        <w:rPr>
          <w:rFonts w:asciiTheme="minorHAnsi" w:hAnsiTheme="minorHAnsi" w:cstheme="minorHAnsi"/>
          <w:color w:val="000000" w:themeColor="text1"/>
          <w:sz w:val="22"/>
          <w:szCs w:val="22"/>
        </w:rPr>
        <w:t>2</w:t>
      </w:r>
      <w:r w:rsidR="00521624" w:rsidRPr="00440512">
        <w:rPr>
          <w:rFonts w:asciiTheme="minorHAnsi" w:hAnsiTheme="minorHAnsi" w:cstheme="minorHAnsi"/>
          <w:color w:val="000000" w:themeColor="text1"/>
          <w:sz w:val="22"/>
          <w:szCs w:val="22"/>
        </w:rPr>
        <w:t xml:space="preserve"> </w:t>
      </w:r>
      <w:r w:rsidR="005F62D5">
        <w:rPr>
          <w:rFonts w:asciiTheme="minorHAnsi" w:hAnsiTheme="minorHAnsi" w:cstheme="minorHAnsi"/>
          <w:color w:val="000000" w:themeColor="text1"/>
          <w:sz w:val="22"/>
          <w:szCs w:val="22"/>
        </w:rPr>
        <w:t>guidelines</w:t>
      </w:r>
      <w:r w:rsidR="00040B56">
        <w:rPr>
          <w:rFonts w:asciiTheme="minorHAnsi" w:hAnsiTheme="minorHAnsi" w:cstheme="minorHAnsi"/>
          <w:color w:val="000000" w:themeColor="text1"/>
          <w:sz w:val="22"/>
          <w:szCs w:val="22"/>
        </w:rPr>
        <w:t>.</w:t>
      </w:r>
      <w:r w:rsidR="00890BD8">
        <w:rPr>
          <w:rFonts w:asciiTheme="minorHAnsi" w:hAnsiTheme="minorHAnsi" w:cstheme="minorHAnsi"/>
          <w:color w:val="000000" w:themeColor="text1"/>
          <w:sz w:val="22"/>
          <w:szCs w:val="22"/>
        </w:rPr>
        <w:t xml:space="preserve"> </w:t>
      </w:r>
      <w:r w:rsidR="00144DC6">
        <w:rPr>
          <w:rFonts w:asciiTheme="minorHAnsi" w:hAnsiTheme="minorHAnsi" w:cstheme="minorHAnsi"/>
          <w:color w:val="000000" w:themeColor="text1"/>
          <w:sz w:val="22"/>
          <w:szCs w:val="22"/>
        </w:rPr>
        <w:t>IPCC (2019) Tier 1</w:t>
      </w:r>
      <w:r w:rsidR="00890BD8">
        <w:rPr>
          <w:rFonts w:asciiTheme="minorHAnsi" w:hAnsiTheme="minorHAnsi" w:cstheme="minorHAnsi"/>
          <w:color w:val="000000" w:themeColor="text1"/>
          <w:sz w:val="22"/>
          <w:szCs w:val="22"/>
        </w:rPr>
        <w:t xml:space="preserve"> </w:t>
      </w:r>
      <w:r w:rsidR="00B843A9">
        <w:rPr>
          <w:rFonts w:asciiTheme="minorHAnsi" w:hAnsiTheme="minorHAnsi" w:cstheme="minorHAnsi"/>
          <w:color w:val="000000" w:themeColor="text1"/>
          <w:sz w:val="22"/>
          <w:szCs w:val="22"/>
        </w:rPr>
        <w:t xml:space="preserve">are employed for </w:t>
      </w:r>
      <w:r w:rsidR="000B5BD8" w:rsidRPr="000B5BD8">
        <w:rPr>
          <w:rFonts w:asciiTheme="minorHAnsi" w:hAnsiTheme="minorHAnsi" w:cstheme="minorHAnsi"/>
          <w:color w:val="000000" w:themeColor="text1"/>
          <w:sz w:val="22"/>
          <w:szCs w:val="22"/>
        </w:rPr>
        <w:t>N</w:t>
      </w:r>
      <w:r w:rsidR="000B5BD8">
        <w:rPr>
          <w:rFonts w:asciiTheme="minorHAnsi" w:hAnsiTheme="minorHAnsi" w:cstheme="minorHAnsi"/>
          <w:color w:val="000000" w:themeColor="text1"/>
          <w:sz w:val="22"/>
          <w:szCs w:val="22"/>
          <w:vertAlign w:val="subscript"/>
        </w:rPr>
        <w:t>2</w:t>
      </w:r>
      <w:r w:rsidR="000B5BD8">
        <w:rPr>
          <w:rFonts w:asciiTheme="minorHAnsi" w:hAnsiTheme="minorHAnsi" w:cstheme="minorHAnsi"/>
          <w:color w:val="000000" w:themeColor="text1"/>
          <w:sz w:val="22"/>
          <w:szCs w:val="22"/>
        </w:rPr>
        <w:t xml:space="preserve">O </w:t>
      </w:r>
      <w:r w:rsidR="00B843A9" w:rsidRPr="000B5BD8">
        <w:rPr>
          <w:rFonts w:asciiTheme="minorHAnsi" w:hAnsiTheme="minorHAnsi" w:cstheme="minorHAnsi"/>
          <w:color w:val="000000" w:themeColor="text1"/>
          <w:sz w:val="22"/>
          <w:szCs w:val="22"/>
        </w:rPr>
        <w:t>emissions</w:t>
      </w:r>
      <w:r w:rsidR="00B843A9">
        <w:rPr>
          <w:rFonts w:asciiTheme="minorHAnsi" w:hAnsiTheme="minorHAnsi" w:cstheme="minorHAnsi"/>
          <w:color w:val="000000" w:themeColor="text1"/>
          <w:sz w:val="22"/>
          <w:szCs w:val="22"/>
        </w:rPr>
        <w:t xml:space="preserve"> </w:t>
      </w:r>
      <w:r w:rsidR="000B5BD8">
        <w:rPr>
          <w:rFonts w:asciiTheme="minorHAnsi" w:hAnsiTheme="minorHAnsi" w:cstheme="minorHAnsi"/>
          <w:color w:val="000000" w:themeColor="text1"/>
          <w:sz w:val="22"/>
          <w:szCs w:val="22"/>
        </w:rPr>
        <w:t xml:space="preserve">from </w:t>
      </w:r>
      <w:r w:rsidR="00B843A9">
        <w:rPr>
          <w:rFonts w:asciiTheme="minorHAnsi" w:hAnsiTheme="minorHAnsi" w:cstheme="minorHAnsi"/>
          <w:color w:val="000000" w:themeColor="text1"/>
          <w:sz w:val="22"/>
          <w:szCs w:val="22"/>
        </w:rPr>
        <w:t xml:space="preserve">crop residues and indirect </w:t>
      </w:r>
      <w:r w:rsidR="00B843A9" w:rsidRPr="00B843A9">
        <w:rPr>
          <w:rFonts w:asciiTheme="minorHAnsi" w:hAnsiTheme="minorHAnsi" w:cstheme="minorHAnsi"/>
          <w:color w:val="000000" w:themeColor="text1"/>
          <w:sz w:val="22"/>
          <w:szCs w:val="22"/>
        </w:rPr>
        <w:t>N</w:t>
      </w:r>
      <w:r w:rsidR="00B843A9">
        <w:rPr>
          <w:rFonts w:asciiTheme="minorHAnsi" w:hAnsiTheme="minorHAnsi" w:cstheme="minorHAnsi"/>
          <w:color w:val="000000" w:themeColor="text1"/>
          <w:sz w:val="22"/>
          <w:szCs w:val="22"/>
          <w:vertAlign w:val="subscript"/>
        </w:rPr>
        <w:t>2</w:t>
      </w:r>
      <w:r w:rsidR="00B843A9">
        <w:rPr>
          <w:rFonts w:asciiTheme="minorHAnsi" w:hAnsiTheme="minorHAnsi" w:cstheme="minorHAnsi"/>
          <w:color w:val="000000" w:themeColor="text1"/>
          <w:sz w:val="22"/>
          <w:szCs w:val="22"/>
        </w:rPr>
        <w:t xml:space="preserve">O emissions </w:t>
      </w:r>
      <w:r w:rsidR="000B5BD8">
        <w:rPr>
          <w:rFonts w:asciiTheme="minorHAnsi" w:hAnsiTheme="minorHAnsi" w:cstheme="minorHAnsi"/>
          <w:color w:val="000000" w:themeColor="text1"/>
          <w:sz w:val="22"/>
          <w:szCs w:val="22"/>
        </w:rPr>
        <w:t xml:space="preserve">related to </w:t>
      </w:r>
      <w:r w:rsidR="000B5BD8" w:rsidRPr="000B5BD8">
        <w:rPr>
          <w:rFonts w:asciiTheme="minorHAnsi" w:hAnsiTheme="minorHAnsi" w:cstheme="minorHAnsi"/>
          <w:color w:val="000000" w:themeColor="text1"/>
          <w:sz w:val="22"/>
          <w:szCs w:val="22"/>
        </w:rPr>
        <w:t>volati</w:t>
      </w:r>
      <w:r w:rsidR="007719C5">
        <w:rPr>
          <w:rFonts w:asciiTheme="minorHAnsi" w:hAnsiTheme="minorHAnsi" w:cstheme="minorHAnsi"/>
          <w:color w:val="000000" w:themeColor="text1"/>
          <w:sz w:val="22"/>
          <w:szCs w:val="22"/>
        </w:rPr>
        <w:t>li</w:t>
      </w:r>
      <w:r w:rsidR="000B5BD8" w:rsidRPr="000B5BD8">
        <w:rPr>
          <w:rFonts w:asciiTheme="minorHAnsi" w:hAnsiTheme="minorHAnsi" w:cstheme="minorHAnsi"/>
          <w:color w:val="000000" w:themeColor="text1"/>
          <w:sz w:val="22"/>
          <w:szCs w:val="22"/>
        </w:rPr>
        <w:t>sation and leaching</w:t>
      </w:r>
      <w:r w:rsidR="00521624">
        <w:rPr>
          <w:rFonts w:asciiTheme="minorHAnsi" w:hAnsiTheme="minorHAnsi" w:cstheme="minorHAnsi"/>
          <w:color w:val="000000" w:themeColor="text1"/>
          <w:sz w:val="22"/>
          <w:szCs w:val="22"/>
        </w:rPr>
        <w:t xml:space="preserve">. </w:t>
      </w:r>
      <w:r w:rsidR="00440512" w:rsidRPr="00440512">
        <w:rPr>
          <w:rFonts w:asciiTheme="minorHAnsi" w:hAnsiTheme="minorHAnsi" w:cstheme="minorHAnsi"/>
          <w:color w:val="000000" w:themeColor="text1"/>
          <w:sz w:val="22"/>
          <w:szCs w:val="22"/>
        </w:rPr>
        <w:t xml:space="preserve">Energy use emission estimates </w:t>
      </w:r>
      <w:r w:rsidR="00A14F3D">
        <w:rPr>
          <w:rFonts w:asciiTheme="minorHAnsi" w:hAnsiTheme="minorHAnsi" w:cstheme="minorHAnsi"/>
          <w:color w:val="000000" w:themeColor="text1"/>
          <w:sz w:val="22"/>
          <w:szCs w:val="22"/>
        </w:rPr>
        <w:t>were</w:t>
      </w:r>
      <w:r w:rsidR="00A14F3D" w:rsidRPr="00440512">
        <w:rPr>
          <w:rFonts w:asciiTheme="minorHAnsi" w:hAnsiTheme="minorHAnsi" w:cstheme="minorHAnsi"/>
          <w:color w:val="000000" w:themeColor="text1"/>
          <w:sz w:val="22"/>
          <w:szCs w:val="22"/>
        </w:rPr>
        <w:t xml:space="preserve"> </w:t>
      </w:r>
      <w:r w:rsidR="00440512" w:rsidRPr="00440512">
        <w:rPr>
          <w:rFonts w:asciiTheme="minorHAnsi" w:hAnsiTheme="minorHAnsi" w:cstheme="minorHAnsi"/>
          <w:color w:val="000000" w:themeColor="text1"/>
          <w:sz w:val="22"/>
          <w:szCs w:val="22"/>
        </w:rPr>
        <w:lastRenderedPageBreak/>
        <w:t xml:space="preserve">calculated using </w:t>
      </w:r>
      <w:r w:rsidR="00ED2CB7">
        <w:rPr>
          <w:rFonts w:asciiTheme="minorHAnsi" w:hAnsiTheme="minorHAnsi" w:cstheme="minorHAnsi"/>
          <w:color w:val="000000" w:themeColor="text1"/>
          <w:sz w:val="22"/>
          <w:szCs w:val="22"/>
        </w:rPr>
        <w:t>E</w:t>
      </w:r>
      <w:r w:rsidR="00C808D6">
        <w:rPr>
          <w:rFonts w:asciiTheme="minorHAnsi" w:hAnsiTheme="minorHAnsi" w:cstheme="minorHAnsi"/>
          <w:color w:val="000000" w:themeColor="text1"/>
          <w:sz w:val="22"/>
          <w:szCs w:val="22"/>
        </w:rPr>
        <w:t>F</w:t>
      </w:r>
      <w:r w:rsidR="00ED2CB7">
        <w:rPr>
          <w:rFonts w:asciiTheme="minorHAnsi" w:hAnsiTheme="minorHAnsi" w:cstheme="minorHAnsi"/>
          <w:color w:val="000000" w:themeColor="text1"/>
          <w:sz w:val="22"/>
          <w:szCs w:val="22"/>
        </w:rPr>
        <w:t>s</w:t>
      </w:r>
      <w:r w:rsidR="00440512" w:rsidRPr="00440512">
        <w:rPr>
          <w:rFonts w:asciiTheme="minorHAnsi" w:hAnsiTheme="minorHAnsi" w:cstheme="minorHAnsi"/>
          <w:color w:val="000000" w:themeColor="text1"/>
          <w:sz w:val="22"/>
          <w:szCs w:val="22"/>
        </w:rPr>
        <w:t xml:space="preserve"> from </w:t>
      </w:r>
      <w:r w:rsidR="00FB30CF">
        <w:rPr>
          <w:rFonts w:asciiTheme="minorHAnsi" w:hAnsiTheme="minorHAnsi" w:cstheme="minorHAnsi"/>
          <w:color w:val="000000" w:themeColor="text1"/>
          <w:sz w:val="22"/>
          <w:szCs w:val="22"/>
        </w:rPr>
        <w:fldChar w:fldCharType="begin"/>
      </w:r>
      <w:r w:rsidR="00906DC1">
        <w:rPr>
          <w:rFonts w:asciiTheme="minorHAnsi" w:hAnsiTheme="minorHAnsi" w:cstheme="minorHAnsi"/>
          <w:color w:val="000000" w:themeColor="text1"/>
          <w:sz w:val="22"/>
          <w:szCs w:val="22"/>
        </w:rPr>
        <w:instrText xml:space="preserve"> ADDIN ZOTERO_ITEM CSL_CITATION {"citationID":"B0Wx16c2","properties":{"formattedCitation":"(DEFRA, 2012)","plainCitation":"(DEFRA, 2012)","dontUpdate":true,"noteIndex":0},"citationItems":[{"id":665,"uris":["http://zotero.org/users/6500992/items/DQ8ZIGVB"],"itemData":{"id":665,"type":"document","title":"Guidelines to Defra Greenhouse Gas (GHG) Conversion Factors for Company Reporting. London, UK: Department for Environment, Food and Rural Affairs","author":[{"family":"DEFRA","given":""}],"issued":{"date-parts":[["2012"]]}}}],"schema":"https://github.com/citation-style-language/schema/raw/master/csl-citation.json"} </w:instrText>
      </w:r>
      <w:r w:rsidR="00FB30CF">
        <w:rPr>
          <w:rFonts w:asciiTheme="minorHAnsi" w:hAnsiTheme="minorHAnsi" w:cstheme="minorHAnsi"/>
          <w:color w:val="000000" w:themeColor="text1"/>
          <w:sz w:val="22"/>
          <w:szCs w:val="22"/>
        </w:rPr>
        <w:fldChar w:fldCharType="separate"/>
      </w:r>
      <w:r w:rsidR="00FB30CF" w:rsidRPr="00FB30CF">
        <w:rPr>
          <w:rFonts w:ascii="Calibri" w:hAnsi="Calibri" w:cs="Calibri"/>
          <w:sz w:val="22"/>
        </w:rPr>
        <w:t>DEFRA</w:t>
      </w:r>
      <w:r w:rsidR="00E34FE6">
        <w:rPr>
          <w:rFonts w:ascii="Calibri" w:hAnsi="Calibri" w:cs="Calibri"/>
          <w:sz w:val="22"/>
        </w:rPr>
        <w:t xml:space="preserve"> (</w:t>
      </w:r>
      <w:r w:rsidR="00FB30CF" w:rsidRPr="00FB30CF">
        <w:rPr>
          <w:rFonts w:ascii="Calibri" w:hAnsi="Calibri" w:cs="Calibri"/>
          <w:sz w:val="22"/>
        </w:rPr>
        <w:t>2012)</w:t>
      </w:r>
      <w:r w:rsidR="00FB30CF">
        <w:rPr>
          <w:rFonts w:asciiTheme="minorHAnsi" w:hAnsiTheme="minorHAnsi" w:cstheme="minorHAnsi"/>
          <w:color w:val="000000" w:themeColor="text1"/>
          <w:sz w:val="22"/>
          <w:szCs w:val="22"/>
        </w:rPr>
        <w:fldChar w:fldCharType="end"/>
      </w:r>
      <w:r w:rsidR="00440512" w:rsidRPr="00440512">
        <w:rPr>
          <w:rFonts w:asciiTheme="minorHAnsi" w:hAnsiTheme="minorHAnsi" w:cstheme="minorHAnsi"/>
          <w:color w:val="000000" w:themeColor="text1"/>
          <w:sz w:val="22"/>
          <w:szCs w:val="22"/>
        </w:rPr>
        <w:t xml:space="preserve">. Embedded fertiliser </w:t>
      </w:r>
      <w:r w:rsidR="00AC7632">
        <w:rPr>
          <w:rFonts w:asciiTheme="minorHAnsi" w:hAnsiTheme="minorHAnsi" w:cstheme="minorHAnsi"/>
          <w:color w:val="000000" w:themeColor="text1"/>
          <w:sz w:val="22"/>
          <w:szCs w:val="22"/>
        </w:rPr>
        <w:t>emissions were</w:t>
      </w:r>
      <w:r w:rsidR="00440512" w:rsidRPr="00440512">
        <w:rPr>
          <w:rFonts w:asciiTheme="minorHAnsi" w:hAnsiTheme="minorHAnsi" w:cstheme="minorHAnsi"/>
          <w:color w:val="000000" w:themeColor="text1"/>
          <w:sz w:val="22"/>
          <w:szCs w:val="22"/>
        </w:rPr>
        <w:t xml:space="preserve"> calculated using </w:t>
      </w:r>
      <w:r w:rsidR="004A2668">
        <w:rPr>
          <w:rFonts w:asciiTheme="minorHAnsi" w:hAnsiTheme="minorHAnsi" w:cstheme="minorHAnsi"/>
          <w:color w:val="000000" w:themeColor="text1"/>
          <w:sz w:val="22"/>
          <w:szCs w:val="22"/>
        </w:rPr>
        <w:t xml:space="preserve">values described by </w:t>
      </w:r>
      <w:r w:rsidR="00E50457">
        <w:rPr>
          <w:rFonts w:asciiTheme="minorHAnsi" w:hAnsiTheme="minorHAnsi" w:cstheme="minorHAnsi"/>
          <w:color w:val="000000" w:themeColor="text1"/>
          <w:sz w:val="22"/>
          <w:szCs w:val="22"/>
        </w:rPr>
        <w:fldChar w:fldCharType="begin"/>
      </w:r>
      <w:r w:rsidR="00906DC1">
        <w:rPr>
          <w:rFonts w:asciiTheme="minorHAnsi" w:hAnsiTheme="minorHAnsi" w:cstheme="minorHAnsi"/>
          <w:color w:val="000000" w:themeColor="text1"/>
          <w:sz w:val="22"/>
          <w:szCs w:val="22"/>
        </w:rPr>
        <w:instrText xml:space="preserve"> ADDIN ZOTERO_ITEM CSL_CITATION {"citationID":"xbeu5r5a","properties":{"formattedCitation":"(Kool et al., 2012)","plainCitation":"(Kool et al., 2012)","dontUpdate":true,"noteIndex":0},"citationItems":[{"id":672,"uris":["http://zotero.org/users/6500992/items/B4VZ4XH5"],"itemData":{"id":672,"type":"article-journal","language":"en","page":"20","source":"Zotero","title":"LCI data for the calculation tool Feedprint for greenhouse gas emissions of feed production and utilization","author":[{"family":"Kool","given":"A"},{"family":"Marinussen","given":"M"},{"family":"Blonk","given":"H"},{"family":"Consultants","given":"Blonk"}],"issued":{"date-parts":[["2012"]]}}}],"schema":"https://github.com/citation-style-language/schema/raw/master/csl-citation.json"} </w:instrText>
      </w:r>
      <w:r w:rsidR="00E50457">
        <w:rPr>
          <w:rFonts w:asciiTheme="minorHAnsi" w:hAnsiTheme="minorHAnsi" w:cstheme="minorHAnsi"/>
          <w:color w:val="000000" w:themeColor="text1"/>
          <w:sz w:val="22"/>
          <w:szCs w:val="22"/>
        </w:rPr>
        <w:fldChar w:fldCharType="separate"/>
      </w:r>
      <w:r w:rsidR="00E50457" w:rsidRPr="00E50457">
        <w:rPr>
          <w:rFonts w:ascii="Calibri" w:hAnsi="Calibri" w:cs="Calibri"/>
          <w:sz w:val="22"/>
        </w:rPr>
        <w:t xml:space="preserve">Kool et al. </w:t>
      </w:r>
      <w:r w:rsidR="00BF685B">
        <w:rPr>
          <w:rFonts w:ascii="Calibri" w:hAnsi="Calibri" w:cs="Calibri"/>
          <w:sz w:val="22"/>
        </w:rPr>
        <w:t>(</w:t>
      </w:r>
      <w:r w:rsidR="00E50457" w:rsidRPr="00E50457">
        <w:rPr>
          <w:rFonts w:ascii="Calibri" w:hAnsi="Calibri" w:cs="Calibri"/>
          <w:sz w:val="22"/>
        </w:rPr>
        <w:t>2012)</w:t>
      </w:r>
      <w:r w:rsidR="00E50457">
        <w:rPr>
          <w:rFonts w:asciiTheme="minorHAnsi" w:hAnsiTheme="minorHAnsi" w:cstheme="minorHAnsi"/>
          <w:color w:val="000000" w:themeColor="text1"/>
          <w:sz w:val="22"/>
          <w:szCs w:val="22"/>
        </w:rPr>
        <w:fldChar w:fldCharType="end"/>
      </w:r>
      <w:r w:rsidR="00E50457">
        <w:rPr>
          <w:rFonts w:asciiTheme="minorHAnsi" w:hAnsiTheme="minorHAnsi" w:cstheme="minorHAnsi"/>
          <w:color w:val="000000" w:themeColor="text1"/>
          <w:sz w:val="22"/>
          <w:szCs w:val="22"/>
        </w:rPr>
        <w:t xml:space="preserve"> </w:t>
      </w:r>
      <w:r w:rsidR="00440512" w:rsidRPr="00440512">
        <w:rPr>
          <w:rFonts w:asciiTheme="minorHAnsi" w:hAnsiTheme="minorHAnsi" w:cstheme="minorHAnsi"/>
          <w:color w:val="000000" w:themeColor="text1"/>
          <w:sz w:val="22"/>
          <w:szCs w:val="22"/>
        </w:rPr>
        <w:t>and</w:t>
      </w:r>
      <w:r w:rsidR="00AC7632">
        <w:rPr>
          <w:rFonts w:asciiTheme="minorHAnsi" w:hAnsiTheme="minorHAnsi" w:cstheme="minorHAnsi"/>
          <w:color w:val="000000" w:themeColor="text1"/>
          <w:sz w:val="22"/>
          <w:szCs w:val="22"/>
        </w:rPr>
        <w:t xml:space="preserve"> </w:t>
      </w:r>
      <w:r w:rsidR="005F62D5">
        <w:rPr>
          <w:rFonts w:asciiTheme="minorHAnsi" w:hAnsiTheme="minorHAnsi" w:cstheme="minorHAnsi"/>
          <w:color w:val="000000" w:themeColor="text1"/>
          <w:sz w:val="22"/>
          <w:szCs w:val="22"/>
        </w:rPr>
        <w:t xml:space="preserve">imported feed rations from the Dutch </w:t>
      </w:r>
      <w:proofErr w:type="spellStart"/>
      <w:r w:rsidR="005F62D5">
        <w:rPr>
          <w:rFonts w:asciiTheme="minorHAnsi" w:hAnsiTheme="minorHAnsi" w:cstheme="minorHAnsi"/>
          <w:color w:val="000000" w:themeColor="text1"/>
          <w:sz w:val="22"/>
          <w:szCs w:val="22"/>
        </w:rPr>
        <w:t>Feedprint</w:t>
      </w:r>
      <w:proofErr w:type="spellEnd"/>
      <w:r w:rsidR="005F62D5">
        <w:rPr>
          <w:rFonts w:asciiTheme="minorHAnsi" w:hAnsiTheme="minorHAnsi" w:cstheme="minorHAnsi"/>
          <w:color w:val="000000" w:themeColor="text1"/>
          <w:sz w:val="22"/>
          <w:szCs w:val="22"/>
        </w:rPr>
        <w:t xml:space="preserve"> database</w:t>
      </w:r>
      <w:r w:rsidR="0081162D">
        <w:rPr>
          <w:rFonts w:asciiTheme="minorHAnsi" w:hAnsiTheme="minorHAnsi" w:cstheme="minorHAnsi"/>
          <w:color w:val="000000" w:themeColor="text1"/>
          <w:sz w:val="22"/>
          <w:szCs w:val="22"/>
        </w:rPr>
        <w:t xml:space="preserve"> </w:t>
      </w:r>
      <w:r w:rsidR="0081162D">
        <w:rPr>
          <w:rFonts w:asciiTheme="minorHAnsi" w:hAnsiTheme="minorHAnsi" w:cstheme="minorHAnsi"/>
          <w:color w:val="000000" w:themeColor="text1"/>
          <w:sz w:val="22"/>
          <w:szCs w:val="22"/>
        </w:rPr>
        <w:fldChar w:fldCharType="begin"/>
      </w:r>
      <w:r w:rsidR="0081162D">
        <w:rPr>
          <w:rFonts w:asciiTheme="minorHAnsi" w:hAnsiTheme="minorHAnsi" w:cstheme="minorHAnsi"/>
          <w:color w:val="000000" w:themeColor="text1"/>
          <w:sz w:val="22"/>
          <w:szCs w:val="22"/>
        </w:rPr>
        <w:instrText xml:space="preserve"> ADDIN ZOTERO_ITEM CSL_CITATION {"citationID":"n8qhy2J8","properties":{"formattedCitation":"(Vellinga et al., 2013)","plainCitation":"(Vellinga et al., 2013)","noteIndex":0},"citationItems":[{"id":1205,"uris":["http://zotero.org/users/6500992/items/EH3GY8D3"],"itemData":{"id":1205,"type":"report","abstract":"The methodology for calculating greenhouse gas emissions of the feed production chain is described in detail. Beside using existing guidelines, flexibility is realised by a systematic breakdown of the feed production chain into stages and a standardised method to calculate transport emissions, improved allocation is realized by detailed analysis of industrial processes. The calculation tool FeedPrint covers the complete Dutch Feed list, over 300 feed materials, sourced from countries all over the globe. Animal nutrition is incorporated in the tool to evaluate the ultimate effect of changing rations.","event-place":"Lelystad","language":"eng","note":"ISSN: 1570-8616","number":"674","page":"-","publisher":"Wageningen UR Livestock Research","publisher-place":"Lelystad","source":"library.wur.nl","title":"Methodology used in FeedPrint: a tool quantifying greenhouse gas emissions of feed production and utilization","title-short":"Methodology used in FeedPrint","URL":"https://library.wur.nl/WebQuery/wurpubs/438366","author":[{"family":"Vellinga","given":"Th V."},{"family":"Blonk","given":"H."},{"family":"Marinussen","given":"M."},{"family":"Zeist","given":"W. J.","dropping-particle":"van"},{"family":"Starmans","given":"D. a. J."}],"accessed":{"date-parts":[["2022",10,17]]},"issued":{"date-parts":[["2013"]]}}}],"schema":"https://github.com/citation-style-language/schema/raw/master/csl-citation.json"} </w:instrText>
      </w:r>
      <w:r w:rsidR="0081162D">
        <w:rPr>
          <w:rFonts w:asciiTheme="minorHAnsi" w:hAnsiTheme="minorHAnsi" w:cstheme="minorHAnsi"/>
          <w:color w:val="000000" w:themeColor="text1"/>
          <w:sz w:val="22"/>
          <w:szCs w:val="22"/>
        </w:rPr>
        <w:fldChar w:fldCharType="separate"/>
      </w:r>
      <w:r w:rsidR="00A573B5" w:rsidRPr="00A573B5">
        <w:rPr>
          <w:rFonts w:ascii="Calibri" w:hAnsi="Calibri" w:cs="Calibri"/>
          <w:sz w:val="22"/>
        </w:rPr>
        <w:t>(Vellinga et al., 2013)</w:t>
      </w:r>
      <w:r w:rsidR="0081162D">
        <w:rPr>
          <w:rFonts w:asciiTheme="minorHAnsi" w:hAnsiTheme="minorHAnsi" w:cstheme="minorHAnsi"/>
          <w:color w:val="000000" w:themeColor="text1"/>
          <w:sz w:val="22"/>
          <w:szCs w:val="22"/>
        </w:rPr>
        <w:fldChar w:fldCharType="end"/>
      </w:r>
      <w:r w:rsidR="00521624">
        <w:rPr>
          <w:rFonts w:asciiTheme="minorHAnsi" w:hAnsiTheme="minorHAnsi" w:cstheme="minorHAnsi"/>
          <w:color w:val="000000" w:themeColor="text1"/>
          <w:sz w:val="22"/>
          <w:szCs w:val="22"/>
        </w:rPr>
        <w:t>.</w:t>
      </w:r>
      <w:r w:rsidR="0099507A">
        <w:rPr>
          <w:rFonts w:asciiTheme="minorHAnsi" w:hAnsiTheme="minorHAnsi" w:cstheme="minorHAnsi"/>
          <w:color w:val="000000" w:themeColor="text1"/>
          <w:sz w:val="22"/>
          <w:szCs w:val="22"/>
        </w:rPr>
        <w:t xml:space="preserve"> </w:t>
      </w:r>
      <w:r w:rsidR="00C5249E">
        <w:rPr>
          <w:rFonts w:asciiTheme="minorHAnsi" w:hAnsiTheme="minorHAnsi" w:cstheme="minorHAnsi"/>
          <w:color w:val="000000" w:themeColor="text1"/>
          <w:sz w:val="22"/>
          <w:szCs w:val="22"/>
        </w:rPr>
        <w:t>In cases of co-production</w:t>
      </w:r>
      <w:r w:rsidR="00DD5F2E">
        <w:rPr>
          <w:rFonts w:asciiTheme="minorHAnsi" w:hAnsiTheme="minorHAnsi" w:cstheme="minorHAnsi"/>
          <w:color w:val="000000" w:themeColor="text1"/>
          <w:sz w:val="22"/>
          <w:szCs w:val="22"/>
        </w:rPr>
        <w:t xml:space="preserve"> (e.g., meat and wool)</w:t>
      </w:r>
      <w:r w:rsidR="00C5249E">
        <w:rPr>
          <w:rFonts w:asciiTheme="minorHAnsi" w:hAnsiTheme="minorHAnsi" w:cstheme="minorHAnsi"/>
          <w:color w:val="000000" w:themeColor="text1"/>
          <w:sz w:val="22"/>
          <w:szCs w:val="22"/>
        </w:rPr>
        <w:t xml:space="preserve">, </w:t>
      </w:r>
      <w:proofErr w:type="spellStart"/>
      <w:r w:rsidR="00C5249E">
        <w:rPr>
          <w:rFonts w:asciiTheme="minorHAnsi" w:hAnsiTheme="minorHAnsi" w:cstheme="minorHAnsi"/>
          <w:color w:val="000000" w:themeColor="text1"/>
          <w:sz w:val="22"/>
          <w:szCs w:val="22"/>
        </w:rPr>
        <w:t>Agrecalc</w:t>
      </w:r>
      <w:proofErr w:type="spellEnd"/>
      <w:r w:rsidR="00C5249E">
        <w:rPr>
          <w:rFonts w:asciiTheme="minorHAnsi" w:hAnsiTheme="minorHAnsi" w:cstheme="minorHAnsi"/>
          <w:color w:val="000000" w:themeColor="text1"/>
          <w:sz w:val="22"/>
          <w:szCs w:val="22"/>
        </w:rPr>
        <w:t xml:space="preserve"> allocates emissions on an economic basis. </w:t>
      </w:r>
      <w:r w:rsidR="0099507A">
        <w:rPr>
          <w:rFonts w:asciiTheme="minorHAnsi" w:hAnsiTheme="minorHAnsi" w:cstheme="minorHAnsi"/>
          <w:color w:val="000000" w:themeColor="text1"/>
          <w:sz w:val="22"/>
          <w:szCs w:val="22"/>
        </w:rPr>
        <w:t xml:space="preserve">A full list of </w:t>
      </w:r>
      <w:r w:rsidR="00AA3B00">
        <w:rPr>
          <w:rFonts w:asciiTheme="minorHAnsi" w:hAnsiTheme="minorHAnsi" w:cstheme="minorHAnsi"/>
          <w:color w:val="000000" w:themeColor="text1"/>
          <w:sz w:val="22"/>
          <w:szCs w:val="22"/>
        </w:rPr>
        <w:t xml:space="preserve">EFs </w:t>
      </w:r>
      <w:r w:rsidR="0099507A">
        <w:rPr>
          <w:rFonts w:asciiTheme="minorHAnsi" w:hAnsiTheme="minorHAnsi" w:cstheme="minorHAnsi"/>
          <w:color w:val="000000" w:themeColor="text1"/>
          <w:sz w:val="22"/>
          <w:szCs w:val="22"/>
        </w:rPr>
        <w:t xml:space="preserve">can be found in Table </w:t>
      </w:r>
      <w:r w:rsidR="00A55667">
        <w:rPr>
          <w:rFonts w:asciiTheme="minorHAnsi" w:hAnsiTheme="minorHAnsi" w:cstheme="minorHAnsi"/>
          <w:color w:val="000000" w:themeColor="text1"/>
          <w:sz w:val="22"/>
          <w:szCs w:val="22"/>
        </w:rPr>
        <w:t>A</w:t>
      </w:r>
      <w:r w:rsidR="002311CA">
        <w:rPr>
          <w:rFonts w:asciiTheme="minorHAnsi" w:hAnsiTheme="minorHAnsi" w:cstheme="minorHAnsi"/>
          <w:color w:val="000000" w:themeColor="text1"/>
          <w:sz w:val="22"/>
          <w:szCs w:val="22"/>
        </w:rPr>
        <w:t>.</w:t>
      </w:r>
      <w:r w:rsidR="00A55667">
        <w:rPr>
          <w:rFonts w:asciiTheme="minorHAnsi" w:hAnsiTheme="minorHAnsi" w:cstheme="minorHAnsi"/>
          <w:color w:val="000000" w:themeColor="text1"/>
          <w:sz w:val="22"/>
          <w:szCs w:val="22"/>
        </w:rPr>
        <w:t>2</w:t>
      </w:r>
      <w:r w:rsidR="0099507A">
        <w:rPr>
          <w:rFonts w:asciiTheme="minorHAnsi" w:hAnsiTheme="minorHAnsi" w:cstheme="minorHAnsi"/>
          <w:color w:val="000000" w:themeColor="text1"/>
          <w:sz w:val="22"/>
          <w:szCs w:val="22"/>
        </w:rPr>
        <w:t>.</w:t>
      </w:r>
    </w:p>
    <w:p w14:paraId="17FA44BD" w14:textId="77777777" w:rsidR="00E242C6" w:rsidRPr="00E242C6" w:rsidRDefault="00E242C6" w:rsidP="00BA3E62">
      <w:pPr>
        <w:spacing w:line="360" w:lineRule="auto"/>
        <w:jc w:val="both"/>
        <w:rPr>
          <w:rFonts w:asciiTheme="minorHAnsi" w:hAnsiTheme="minorHAnsi" w:cstheme="minorHAnsi"/>
          <w:color w:val="000000" w:themeColor="text1"/>
          <w:sz w:val="22"/>
          <w:szCs w:val="22"/>
        </w:rPr>
      </w:pPr>
    </w:p>
    <w:p w14:paraId="57110DF4" w14:textId="727AB5A4" w:rsidR="00731D0E" w:rsidRDefault="009B06EB" w:rsidP="00BA3E62">
      <w:pPr>
        <w:spacing w:line="360" w:lineRule="auto"/>
        <w:jc w:val="both"/>
        <w:rPr>
          <w:rFonts w:ascii="Calibri" w:hAnsi="Calibri" w:cs="Calibri"/>
          <w:sz w:val="22"/>
          <w:szCs w:val="22"/>
        </w:rPr>
      </w:pPr>
      <w:r w:rsidRPr="009B06EB">
        <w:rPr>
          <w:rFonts w:asciiTheme="minorHAnsi" w:hAnsiTheme="minorHAnsi" w:cstheme="minorHAnsi"/>
          <w:color w:val="000000" w:themeColor="text1"/>
          <w:sz w:val="22"/>
          <w:szCs w:val="22"/>
        </w:rPr>
        <w:t xml:space="preserve">Standardised emissions estimates </w:t>
      </w:r>
      <w:r w:rsidR="009F6C5C">
        <w:rPr>
          <w:rFonts w:asciiTheme="minorHAnsi" w:hAnsiTheme="minorHAnsi" w:cstheme="minorHAnsi"/>
          <w:color w:val="000000" w:themeColor="text1"/>
          <w:sz w:val="22"/>
          <w:szCs w:val="22"/>
        </w:rPr>
        <w:t>were</w:t>
      </w:r>
      <w:r w:rsidRPr="009B06EB">
        <w:rPr>
          <w:rFonts w:asciiTheme="minorHAnsi" w:hAnsiTheme="minorHAnsi" w:cstheme="minorHAnsi"/>
          <w:color w:val="000000" w:themeColor="text1"/>
          <w:sz w:val="22"/>
          <w:szCs w:val="22"/>
        </w:rPr>
        <w:t xml:space="preserve"> reported in units of carbon dioxide equivalents (CO</w:t>
      </w:r>
      <w:r w:rsidRPr="009B06EB">
        <w:rPr>
          <w:rFonts w:asciiTheme="minorHAnsi" w:hAnsiTheme="minorHAnsi" w:cstheme="minorHAnsi"/>
          <w:color w:val="000000" w:themeColor="text1"/>
          <w:sz w:val="22"/>
          <w:szCs w:val="22"/>
          <w:vertAlign w:val="subscript"/>
        </w:rPr>
        <w:t>2</w:t>
      </w:r>
      <w:r w:rsidRPr="009B06EB">
        <w:rPr>
          <w:rFonts w:asciiTheme="minorHAnsi" w:hAnsiTheme="minorHAnsi" w:cstheme="minorHAnsi"/>
          <w:color w:val="000000" w:themeColor="text1"/>
          <w:sz w:val="22"/>
          <w:szCs w:val="22"/>
        </w:rPr>
        <w:t>e)</w:t>
      </w:r>
      <w:r w:rsidR="000F3994">
        <w:rPr>
          <w:rFonts w:asciiTheme="minorHAnsi" w:hAnsiTheme="minorHAnsi" w:cstheme="minorHAnsi"/>
          <w:color w:val="000000" w:themeColor="text1"/>
          <w:sz w:val="22"/>
          <w:szCs w:val="22"/>
        </w:rPr>
        <w:t xml:space="preserve"> using global warming potential over 100 years (GWP)</w:t>
      </w:r>
      <w:r w:rsidR="00F91EDD">
        <w:rPr>
          <w:rFonts w:asciiTheme="minorHAnsi" w:hAnsiTheme="minorHAnsi" w:cstheme="minorHAnsi"/>
          <w:color w:val="000000" w:themeColor="text1"/>
          <w:sz w:val="22"/>
          <w:szCs w:val="22"/>
        </w:rPr>
        <w:t xml:space="preserve">. </w:t>
      </w:r>
      <w:proofErr w:type="spellStart"/>
      <w:r w:rsidR="00C42331">
        <w:rPr>
          <w:rFonts w:asciiTheme="minorHAnsi" w:hAnsiTheme="minorHAnsi" w:cstheme="minorHAnsi"/>
          <w:color w:val="000000" w:themeColor="text1"/>
          <w:sz w:val="22"/>
          <w:szCs w:val="22"/>
        </w:rPr>
        <w:t>Agrecalc</w:t>
      </w:r>
      <w:proofErr w:type="spellEnd"/>
      <w:r w:rsidR="00F91EDD">
        <w:rPr>
          <w:rFonts w:asciiTheme="minorHAnsi" w:hAnsiTheme="minorHAnsi" w:cstheme="minorHAnsi"/>
          <w:color w:val="000000" w:themeColor="text1"/>
          <w:sz w:val="22"/>
          <w:szCs w:val="22"/>
        </w:rPr>
        <w:t xml:space="preserve"> uses </w:t>
      </w:r>
      <w:r w:rsidR="000F3994">
        <w:rPr>
          <w:rFonts w:asciiTheme="minorHAnsi" w:hAnsiTheme="minorHAnsi" w:cstheme="minorHAnsi"/>
          <w:color w:val="000000" w:themeColor="text1"/>
          <w:sz w:val="22"/>
          <w:szCs w:val="22"/>
        </w:rPr>
        <w:t>GWP</w:t>
      </w:r>
      <w:r w:rsidR="00F91EDD">
        <w:rPr>
          <w:rFonts w:asciiTheme="minorHAnsi" w:hAnsiTheme="minorHAnsi" w:cstheme="minorHAnsi"/>
          <w:color w:val="000000" w:themeColor="text1"/>
          <w:sz w:val="22"/>
          <w:szCs w:val="22"/>
        </w:rPr>
        <w:t xml:space="preserve"> values from the fourth assessment report (AR4)</w:t>
      </w:r>
      <w:r w:rsidR="00FB71EB">
        <w:rPr>
          <w:rFonts w:asciiTheme="minorHAnsi" w:hAnsiTheme="minorHAnsi" w:cstheme="minorHAnsi"/>
          <w:color w:val="000000" w:themeColor="text1"/>
          <w:sz w:val="22"/>
          <w:szCs w:val="22"/>
        </w:rPr>
        <w:t xml:space="preserve"> which are consistent with National Inventory reporting</w:t>
      </w:r>
      <w:r w:rsidR="000F3994">
        <w:rPr>
          <w:rFonts w:asciiTheme="minorHAnsi" w:hAnsiTheme="minorHAnsi" w:cstheme="minorHAnsi"/>
          <w:color w:val="000000" w:themeColor="text1"/>
          <w:sz w:val="22"/>
          <w:szCs w:val="22"/>
        </w:rPr>
        <w:t xml:space="preserve">. </w:t>
      </w:r>
      <w:r w:rsidR="000F3994" w:rsidRPr="000F3994">
        <w:rPr>
          <w:rFonts w:asciiTheme="minorHAnsi" w:hAnsiTheme="minorHAnsi" w:cstheme="minorHAnsi"/>
          <w:color w:val="000000" w:themeColor="text1"/>
          <w:sz w:val="22"/>
          <w:szCs w:val="22"/>
        </w:rPr>
        <w:t xml:space="preserve">For </w:t>
      </w:r>
      <w:r w:rsidR="004A2668">
        <w:rPr>
          <w:rFonts w:asciiTheme="minorHAnsi" w:hAnsiTheme="minorHAnsi" w:cstheme="minorHAnsi"/>
          <w:color w:val="000000" w:themeColor="text1"/>
          <w:sz w:val="22"/>
          <w:szCs w:val="22"/>
        </w:rPr>
        <w:t>CH</w:t>
      </w:r>
      <w:r w:rsidR="004A2668" w:rsidRPr="007D6DB8">
        <w:rPr>
          <w:rFonts w:asciiTheme="minorHAnsi" w:hAnsiTheme="minorHAnsi" w:cstheme="minorHAnsi"/>
          <w:color w:val="000000" w:themeColor="text1"/>
          <w:sz w:val="22"/>
          <w:szCs w:val="22"/>
          <w:vertAlign w:val="subscript"/>
        </w:rPr>
        <w:t>4</w:t>
      </w:r>
      <w:r w:rsidR="000F3994" w:rsidRPr="000F3994">
        <w:rPr>
          <w:rFonts w:asciiTheme="minorHAnsi" w:hAnsiTheme="minorHAnsi" w:cstheme="minorHAnsi"/>
          <w:color w:val="000000" w:themeColor="text1"/>
          <w:sz w:val="22"/>
          <w:szCs w:val="22"/>
        </w:rPr>
        <w:t>, the value of GWP</w:t>
      </w:r>
      <w:r w:rsidR="000F3994" w:rsidRPr="00486B92">
        <w:rPr>
          <w:rFonts w:asciiTheme="minorHAnsi" w:hAnsiTheme="minorHAnsi" w:cstheme="minorHAnsi"/>
          <w:color w:val="000000" w:themeColor="text1"/>
          <w:sz w:val="22"/>
          <w:szCs w:val="22"/>
          <w:vertAlign w:val="subscript"/>
        </w:rPr>
        <w:t>100</w:t>
      </w:r>
      <w:r w:rsidR="000F3994" w:rsidRPr="000F3994">
        <w:rPr>
          <w:rFonts w:asciiTheme="minorHAnsi" w:hAnsiTheme="minorHAnsi" w:cstheme="minorHAnsi"/>
          <w:color w:val="000000" w:themeColor="text1"/>
          <w:sz w:val="22"/>
          <w:szCs w:val="22"/>
        </w:rPr>
        <w:t xml:space="preserve"> is 25</w:t>
      </w:r>
      <w:r w:rsidR="000F3994">
        <w:rPr>
          <w:rFonts w:asciiTheme="minorHAnsi" w:hAnsiTheme="minorHAnsi" w:cstheme="minorHAnsi"/>
          <w:color w:val="000000" w:themeColor="text1"/>
          <w:sz w:val="22"/>
          <w:szCs w:val="22"/>
        </w:rPr>
        <w:t xml:space="preserve"> </w:t>
      </w:r>
      <w:r w:rsidR="000F3994" w:rsidRPr="000F3994">
        <w:rPr>
          <w:rFonts w:asciiTheme="minorHAnsi" w:hAnsiTheme="minorHAnsi" w:cstheme="minorHAnsi"/>
          <w:color w:val="000000" w:themeColor="text1"/>
          <w:sz w:val="22"/>
          <w:szCs w:val="22"/>
        </w:rPr>
        <w:t xml:space="preserve">and for </w:t>
      </w:r>
      <w:r w:rsidR="004A2668">
        <w:rPr>
          <w:rFonts w:asciiTheme="minorHAnsi" w:hAnsiTheme="minorHAnsi" w:cstheme="minorHAnsi"/>
          <w:color w:val="000000" w:themeColor="text1"/>
          <w:sz w:val="22"/>
          <w:szCs w:val="22"/>
        </w:rPr>
        <w:t>N</w:t>
      </w:r>
      <w:r w:rsidR="004A2668" w:rsidRPr="007D6DB8">
        <w:rPr>
          <w:rFonts w:asciiTheme="minorHAnsi" w:hAnsiTheme="minorHAnsi" w:cstheme="minorHAnsi"/>
          <w:color w:val="000000" w:themeColor="text1"/>
          <w:sz w:val="22"/>
          <w:szCs w:val="22"/>
          <w:vertAlign w:val="subscript"/>
        </w:rPr>
        <w:t>2</w:t>
      </w:r>
      <w:r w:rsidR="004A2668">
        <w:rPr>
          <w:rFonts w:asciiTheme="minorHAnsi" w:hAnsiTheme="minorHAnsi" w:cstheme="minorHAnsi"/>
          <w:color w:val="000000" w:themeColor="text1"/>
          <w:sz w:val="22"/>
          <w:szCs w:val="22"/>
        </w:rPr>
        <w:t>O</w:t>
      </w:r>
      <w:r w:rsidR="000F3994" w:rsidRPr="000F3994">
        <w:rPr>
          <w:rFonts w:asciiTheme="minorHAnsi" w:hAnsiTheme="minorHAnsi" w:cstheme="minorHAnsi"/>
          <w:color w:val="000000" w:themeColor="text1"/>
          <w:sz w:val="22"/>
          <w:szCs w:val="22"/>
        </w:rPr>
        <w:t xml:space="preserve"> the value is 298</w:t>
      </w:r>
      <w:r w:rsidR="00F11B23">
        <w:rPr>
          <w:rFonts w:asciiTheme="minorHAnsi" w:hAnsiTheme="minorHAnsi" w:cstheme="minorHAnsi"/>
          <w:color w:val="000000" w:themeColor="text1"/>
          <w:sz w:val="22"/>
          <w:szCs w:val="22"/>
        </w:rPr>
        <w:t xml:space="preserve"> </w:t>
      </w:r>
      <w:r w:rsidR="00F11B23">
        <w:rPr>
          <w:rFonts w:asciiTheme="minorHAnsi" w:hAnsiTheme="minorHAnsi" w:cstheme="minorHAnsi"/>
          <w:color w:val="000000" w:themeColor="text1"/>
          <w:sz w:val="22"/>
          <w:szCs w:val="22"/>
        </w:rPr>
        <w:fldChar w:fldCharType="begin"/>
      </w:r>
      <w:r w:rsidR="00F11B23">
        <w:rPr>
          <w:rFonts w:asciiTheme="minorHAnsi" w:hAnsiTheme="minorHAnsi" w:cstheme="minorHAnsi"/>
          <w:color w:val="000000" w:themeColor="text1"/>
          <w:sz w:val="22"/>
          <w:szCs w:val="22"/>
        </w:rPr>
        <w:instrText xml:space="preserve"> ADDIN ZOTERO_ITEM CSL_CITATION {"citationID":"2wCQLu3U","properties":{"formattedCitation":"(IPCC, 2007)","plainCitation":"(IPCC, 2007)","noteIndex":0},"citationItems":[{"id":2163,"uris":["http://zotero.org/users/6500992/items/WGKAGDYR"],"itemData":{"id":2163,"type":"article-journal","container-title":"Cambridge University Press, Cambridge, United Kingdom and New York, NY, USA","issue":"2007","page":"113–119","source":"Google Scholar","title":"The physical science basis. Contribution of working group I to the fourth assessment report of the Intergovernmental Panel on Climate Change","volume":"996","author":[{"family":"IPCC","given":"Climate Change"}],"issued":{"date-parts":[["2007"]]}}}],"schema":"https://github.com/citation-style-language/schema/raw/master/csl-citation.json"} </w:instrText>
      </w:r>
      <w:r w:rsidR="00F11B23">
        <w:rPr>
          <w:rFonts w:asciiTheme="minorHAnsi" w:hAnsiTheme="minorHAnsi" w:cstheme="minorHAnsi"/>
          <w:color w:val="000000" w:themeColor="text1"/>
          <w:sz w:val="22"/>
          <w:szCs w:val="22"/>
        </w:rPr>
        <w:fldChar w:fldCharType="separate"/>
      </w:r>
      <w:r w:rsidR="00F11B23" w:rsidRPr="00F11B23">
        <w:rPr>
          <w:rFonts w:ascii="Calibri" w:hAnsi="Calibri" w:cs="Calibri"/>
          <w:sz w:val="22"/>
        </w:rPr>
        <w:t>(IPCC, 2007)</w:t>
      </w:r>
      <w:r w:rsidR="00F11B23">
        <w:rPr>
          <w:rFonts w:asciiTheme="minorHAnsi" w:hAnsiTheme="minorHAnsi" w:cstheme="minorHAnsi"/>
          <w:color w:val="000000" w:themeColor="text1"/>
          <w:sz w:val="22"/>
          <w:szCs w:val="22"/>
        </w:rPr>
        <w:fldChar w:fldCharType="end"/>
      </w:r>
      <w:r w:rsidR="000F3994">
        <w:rPr>
          <w:rFonts w:asciiTheme="minorHAnsi" w:hAnsiTheme="minorHAnsi" w:cstheme="minorHAnsi"/>
          <w:color w:val="000000" w:themeColor="text1"/>
          <w:sz w:val="22"/>
          <w:szCs w:val="22"/>
        </w:rPr>
        <w:t>.</w:t>
      </w:r>
      <w:r w:rsidR="00F91EDD">
        <w:rPr>
          <w:rFonts w:asciiTheme="minorHAnsi" w:hAnsiTheme="minorHAnsi" w:cstheme="minorHAnsi"/>
          <w:color w:val="000000" w:themeColor="text1"/>
          <w:sz w:val="22"/>
          <w:szCs w:val="22"/>
        </w:rPr>
        <w:t xml:space="preserve"> M</w:t>
      </w:r>
      <w:r w:rsidRPr="009B06EB">
        <w:rPr>
          <w:rFonts w:asciiTheme="minorHAnsi" w:hAnsiTheme="minorHAnsi" w:cstheme="minorHAnsi"/>
          <w:color w:val="000000" w:themeColor="text1"/>
          <w:sz w:val="22"/>
          <w:szCs w:val="22"/>
        </w:rPr>
        <w:t xml:space="preserve">odel outputs </w:t>
      </w:r>
      <w:r w:rsidR="000139CC">
        <w:rPr>
          <w:rFonts w:asciiTheme="minorHAnsi" w:hAnsiTheme="minorHAnsi" w:cstheme="minorHAnsi"/>
          <w:color w:val="000000" w:themeColor="text1"/>
          <w:sz w:val="22"/>
          <w:szCs w:val="22"/>
        </w:rPr>
        <w:t xml:space="preserve">are </w:t>
      </w:r>
      <w:r w:rsidRPr="009B06EB">
        <w:rPr>
          <w:rFonts w:asciiTheme="minorHAnsi" w:hAnsiTheme="minorHAnsi" w:cstheme="minorHAnsi"/>
          <w:color w:val="000000" w:themeColor="text1"/>
          <w:sz w:val="22"/>
          <w:szCs w:val="22"/>
        </w:rPr>
        <w:t xml:space="preserve">expressed as </w:t>
      </w:r>
      <w:r>
        <w:rPr>
          <w:rFonts w:asciiTheme="minorHAnsi" w:hAnsiTheme="minorHAnsi" w:cstheme="minorHAnsi"/>
          <w:color w:val="000000" w:themeColor="text1"/>
          <w:sz w:val="22"/>
          <w:szCs w:val="22"/>
        </w:rPr>
        <w:t xml:space="preserve">both total emissions </w:t>
      </w:r>
      <w:r w:rsidR="00CB4D8E">
        <w:rPr>
          <w:rFonts w:asciiTheme="minorHAnsi" w:hAnsiTheme="minorHAnsi" w:cstheme="minorHAnsi"/>
          <w:color w:val="000000" w:themeColor="text1"/>
          <w:sz w:val="22"/>
          <w:szCs w:val="22"/>
        </w:rPr>
        <w:t xml:space="preserve">per farm </w:t>
      </w:r>
      <w:r>
        <w:rPr>
          <w:rFonts w:asciiTheme="minorHAnsi" w:hAnsiTheme="minorHAnsi" w:cstheme="minorHAnsi"/>
          <w:color w:val="000000" w:themeColor="text1"/>
          <w:sz w:val="22"/>
          <w:szCs w:val="22"/>
        </w:rPr>
        <w:t xml:space="preserve">and </w:t>
      </w:r>
      <w:r w:rsidRPr="009B06EB">
        <w:rPr>
          <w:rFonts w:asciiTheme="minorHAnsi" w:hAnsiTheme="minorHAnsi" w:cstheme="minorHAnsi"/>
          <w:color w:val="000000" w:themeColor="text1"/>
          <w:sz w:val="22"/>
          <w:szCs w:val="22"/>
        </w:rPr>
        <w:t>GHG emission</w:t>
      </w:r>
      <w:r>
        <w:rPr>
          <w:rFonts w:asciiTheme="minorHAnsi" w:hAnsiTheme="minorHAnsi" w:cstheme="minorHAnsi"/>
          <w:color w:val="000000" w:themeColor="text1"/>
          <w:sz w:val="22"/>
          <w:szCs w:val="22"/>
        </w:rPr>
        <w:t>s</w:t>
      </w:r>
      <w:r w:rsidRPr="009B06EB">
        <w:rPr>
          <w:rFonts w:asciiTheme="minorHAnsi" w:hAnsiTheme="minorHAnsi" w:cstheme="minorHAnsi"/>
          <w:color w:val="000000" w:themeColor="text1"/>
          <w:sz w:val="22"/>
          <w:szCs w:val="22"/>
        </w:rPr>
        <w:t xml:space="preserve"> per </w:t>
      </w:r>
      <w:r w:rsidRPr="003913C0">
        <w:rPr>
          <w:rFonts w:asciiTheme="minorHAnsi" w:hAnsiTheme="minorHAnsi" w:cstheme="minorHAnsi"/>
          <w:color w:val="000000" w:themeColor="text1"/>
          <w:sz w:val="22"/>
          <w:szCs w:val="22"/>
        </w:rPr>
        <w:t xml:space="preserve">unit of product </w:t>
      </w:r>
      <w:r w:rsidR="003913C0" w:rsidRPr="003913C0">
        <w:rPr>
          <w:rFonts w:asciiTheme="minorHAnsi" w:hAnsiTheme="minorHAnsi" w:cstheme="minorHAnsi"/>
          <w:color w:val="000000" w:themeColor="text1"/>
          <w:sz w:val="22"/>
          <w:szCs w:val="22"/>
        </w:rPr>
        <w:t>i.e.,</w:t>
      </w:r>
      <w:r w:rsidRPr="003913C0">
        <w:rPr>
          <w:rFonts w:asciiTheme="minorHAnsi" w:hAnsiTheme="minorHAnsi" w:cstheme="minorHAnsi"/>
          <w:color w:val="000000" w:themeColor="text1"/>
          <w:sz w:val="22"/>
          <w:szCs w:val="22"/>
        </w:rPr>
        <w:t xml:space="preserve"> kg CO</w:t>
      </w:r>
      <w:r w:rsidRPr="003913C0">
        <w:rPr>
          <w:rFonts w:asciiTheme="minorHAnsi" w:hAnsiTheme="minorHAnsi" w:cstheme="minorHAnsi"/>
          <w:color w:val="000000" w:themeColor="text1"/>
          <w:sz w:val="22"/>
          <w:szCs w:val="22"/>
          <w:vertAlign w:val="subscript"/>
        </w:rPr>
        <w:t>2</w:t>
      </w:r>
      <w:r w:rsidRPr="003913C0">
        <w:rPr>
          <w:rFonts w:asciiTheme="minorHAnsi" w:hAnsiTheme="minorHAnsi" w:cstheme="minorHAnsi"/>
          <w:color w:val="000000" w:themeColor="text1"/>
          <w:sz w:val="22"/>
          <w:szCs w:val="22"/>
        </w:rPr>
        <w:t>e</w:t>
      </w:r>
      <w:r w:rsidR="00112087" w:rsidRPr="003913C0">
        <w:rPr>
          <w:rFonts w:asciiTheme="minorHAnsi" w:hAnsiTheme="minorHAnsi" w:cstheme="minorHAnsi"/>
          <w:color w:val="000000" w:themeColor="text1"/>
          <w:sz w:val="22"/>
          <w:szCs w:val="22"/>
        </w:rPr>
        <w:t xml:space="preserve"> kg</w:t>
      </w:r>
      <w:r w:rsidR="00112087" w:rsidRPr="003913C0">
        <w:rPr>
          <w:rFonts w:asciiTheme="minorHAnsi" w:hAnsiTheme="minorHAnsi" w:cstheme="minorHAnsi"/>
          <w:color w:val="000000" w:themeColor="text1"/>
          <w:sz w:val="22"/>
          <w:szCs w:val="22"/>
          <w:vertAlign w:val="superscript"/>
        </w:rPr>
        <w:t>-1</w:t>
      </w:r>
      <w:r w:rsidRPr="003913C0">
        <w:rPr>
          <w:rFonts w:asciiTheme="minorHAnsi" w:hAnsiTheme="minorHAnsi" w:cstheme="minorHAnsi"/>
          <w:color w:val="000000" w:themeColor="text1"/>
          <w:sz w:val="22"/>
          <w:szCs w:val="22"/>
        </w:rPr>
        <w:t xml:space="preserve"> of </w:t>
      </w:r>
      <w:r w:rsidR="002B3642" w:rsidRPr="003913C0">
        <w:rPr>
          <w:rFonts w:asciiTheme="minorHAnsi" w:hAnsiTheme="minorHAnsi" w:cstheme="minorHAnsi"/>
          <w:color w:val="000000" w:themeColor="text1"/>
          <w:sz w:val="22"/>
          <w:szCs w:val="22"/>
        </w:rPr>
        <w:t>deadweight (</w:t>
      </w:r>
      <w:r w:rsidR="008C07E6" w:rsidRPr="003913C0">
        <w:rPr>
          <w:rFonts w:asciiTheme="minorHAnsi" w:hAnsiTheme="minorHAnsi" w:cstheme="minorHAnsi"/>
          <w:color w:val="000000" w:themeColor="text1"/>
          <w:sz w:val="22"/>
          <w:szCs w:val="22"/>
        </w:rPr>
        <w:t>dwt</w:t>
      </w:r>
      <w:r w:rsidR="002B3642" w:rsidRPr="003913C0">
        <w:rPr>
          <w:rFonts w:asciiTheme="minorHAnsi" w:hAnsiTheme="minorHAnsi" w:cstheme="minorHAnsi"/>
          <w:color w:val="000000" w:themeColor="text1"/>
          <w:sz w:val="22"/>
          <w:szCs w:val="22"/>
        </w:rPr>
        <w:t>)</w:t>
      </w:r>
      <w:r w:rsidR="00164465" w:rsidRPr="003913C0">
        <w:rPr>
          <w:rFonts w:asciiTheme="minorHAnsi" w:hAnsiTheme="minorHAnsi" w:cstheme="minorHAnsi"/>
          <w:color w:val="000000" w:themeColor="text1"/>
          <w:sz w:val="22"/>
          <w:szCs w:val="22"/>
        </w:rPr>
        <w:t xml:space="preserve"> </w:t>
      </w:r>
      <w:r w:rsidR="003913C0" w:rsidRPr="003913C0">
        <w:rPr>
          <w:rFonts w:asciiTheme="minorHAnsi" w:hAnsiTheme="minorHAnsi" w:cstheme="minorHAnsi"/>
          <w:color w:val="000000" w:themeColor="text1"/>
          <w:sz w:val="22"/>
          <w:szCs w:val="22"/>
        </w:rPr>
        <w:t xml:space="preserve">(which equates to </w:t>
      </w:r>
      <w:r w:rsidR="00164465" w:rsidRPr="003913C0">
        <w:rPr>
          <w:rFonts w:asciiTheme="minorHAnsi" w:hAnsiTheme="minorHAnsi" w:cstheme="minorHAnsi"/>
          <w:color w:val="000000" w:themeColor="text1"/>
          <w:sz w:val="22"/>
          <w:szCs w:val="22"/>
        </w:rPr>
        <w:t xml:space="preserve">carcass </w:t>
      </w:r>
      <w:r w:rsidR="00847ADF" w:rsidRPr="003913C0">
        <w:rPr>
          <w:rFonts w:asciiTheme="minorHAnsi" w:hAnsiTheme="minorHAnsi" w:cstheme="minorHAnsi"/>
          <w:color w:val="000000" w:themeColor="text1"/>
          <w:sz w:val="22"/>
          <w:szCs w:val="22"/>
        </w:rPr>
        <w:t>weight</w:t>
      </w:r>
      <w:r w:rsidR="00733BDC">
        <w:rPr>
          <w:rFonts w:asciiTheme="minorHAnsi" w:hAnsiTheme="minorHAnsi" w:cstheme="minorHAnsi"/>
          <w:color w:val="000000" w:themeColor="text1"/>
          <w:sz w:val="22"/>
          <w:szCs w:val="22"/>
        </w:rPr>
        <w:t>)</w:t>
      </w:r>
      <w:r w:rsidR="00847ADF" w:rsidRPr="003913C0">
        <w:rPr>
          <w:rFonts w:asciiTheme="minorHAnsi" w:hAnsiTheme="minorHAnsi" w:cstheme="minorHAnsi"/>
          <w:color w:val="000000" w:themeColor="text1"/>
          <w:sz w:val="22"/>
          <w:szCs w:val="22"/>
        </w:rPr>
        <w:t xml:space="preserve"> post slaughter</w:t>
      </w:r>
      <w:r w:rsidRPr="003913C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9F6C5C" w:rsidRPr="000139CC">
        <w:rPr>
          <w:rFonts w:asciiTheme="minorHAnsi" w:hAnsiTheme="minorHAnsi" w:cstheme="minorHAnsi"/>
          <w:color w:val="000000" w:themeColor="text1"/>
          <w:sz w:val="22"/>
          <w:szCs w:val="22"/>
        </w:rPr>
        <w:t xml:space="preserve">Baseline </w:t>
      </w:r>
      <w:r w:rsidR="005D6951" w:rsidRPr="000139CC">
        <w:rPr>
          <w:rFonts w:asciiTheme="minorHAnsi" w:hAnsiTheme="minorHAnsi" w:cstheme="minorHAnsi"/>
          <w:color w:val="000000" w:themeColor="text1"/>
          <w:sz w:val="22"/>
          <w:szCs w:val="22"/>
        </w:rPr>
        <w:t xml:space="preserve">farm </w:t>
      </w:r>
      <w:r w:rsidR="009F6C5C" w:rsidRPr="000139CC">
        <w:rPr>
          <w:rFonts w:asciiTheme="minorHAnsi" w:hAnsiTheme="minorHAnsi" w:cstheme="minorHAnsi"/>
          <w:color w:val="000000" w:themeColor="text1"/>
          <w:sz w:val="22"/>
          <w:szCs w:val="22"/>
        </w:rPr>
        <w:t>data were</w:t>
      </w:r>
      <w:r w:rsidR="009F6C5C">
        <w:rPr>
          <w:rFonts w:asciiTheme="minorHAnsi" w:hAnsiTheme="minorHAnsi" w:cstheme="minorHAnsi"/>
          <w:color w:val="000000" w:themeColor="text1"/>
          <w:sz w:val="22"/>
          <w:szCs w:val="22"/>
        </w:rPr>
        <w:t xml:space="preserve"> also </w:t>
      </w:r>
      <w:r w:rsidR="00C7628E">
        <w:rPr>
          <w:rFonts w:asciiTheme="minorHAnsi" w:hAnsiTheme="minorHAnsi" w:cstheme="minorHAnsi"/>
          <w:color w:val="000000" w:themeColor="text1"/>
          <w:sz w:val="22"/>
          <w:szCs w:val="22"/>
        </w:rPr>
        <w:t xml:space="preserve">expressed as </w:t>
      </w:r>
      <w:r w:rsidR="00013121">
        <w:rPr>
          <w:rFonts w:asciiTheme="minorHAnsi" w:hAnsiTheme="minorHAnsi" w:cstheme="minorHAnsi"/>
          <w:color w:val="000000" w:themeColor="text1"/>
          <w:sz w:val="22"/>
          <w:szCs w:val="22"/>
        </w:rPr>
        <w:t xml:space="preserve">production </w:t>
      </w:r>
      <w:r w:rsidR="00C7628E">
        <w:rPr>
          <w:rFonts w:asciiTheme="minorHAnsi" w:hAnsiTheme="minorHAnsi" w:cstheme="minorHAnsi"/>
          <w:color w:val="000000" w:themeColor="text1"/>
          <w:sz w:val="22"/>
          <w:szCs w:val="22"/>
        </w:rPr>
        <w:t>area footprint</w:t>
      </w:r>
      <w:r w:rsidR="0015629F">
        <w:rPr>
          <w:rFonts w:asciiTheme="minorHAnsi" w:hAnsiTheme="minorHAnsi" w:cstheme="minorHAnsi"/>
          <w:color w:val="000000" w:themeColor="text1"/>
          <w:sz w:val="22"/>
          <w:szCs w:val="22"/>
        </w:rPr>
        <w:t>s</w:t>
      </w:r>
      <w:r w:rsidR="00507747">
        <w:rPr>
          <w:rFonts w:asciiTheme="minorHAnsi" w:hAnsiTheme="minorHAnsi" w:cstheme="minorHAnsi"/>
          <w:color w:val="000000" w:themeColor="text1"/>
          <w:sz w:val="22"/>
          <w:szCs w:val="22"/>
        </w:rPr>
        <w:t>,</w:t>
      </w:r>
      <w:r w:rsidR="002F4E75">
        <w:rPr>
          <w:rFonts w:asciiTheme="minorHAnsi" w:hAnsiTheme="minorHAnsi" w:cstheme="minorHAnsi"/>
          <w:color w:val="000000" w:themeColor="text1"/>
          <w:sz w:val="22"/>
          <w:szCs w:val="22"/>
        </w:rPr>
        <w:t xml:space="preserve"> </w:t>
      </w:r>
      <w:r w:rsidR="00583BF8">
        <w:rPr>
          <w:rFonts w:asciiTheme="minorHAnsi" w:hAnsiTheme="minorHAnsi" w:cstheme="minorHAnsi"/>
          <w:color w:val="000000" w:themeColor="text1"/>
          <w:sz w:val="22"/>
          <w:szCs w:val="22"/>
        </w:rPr>
        <w:t xml:space="preserve">defined as </w:t>
      </w:r>
      <w:r w:rsidR="00072EBE">
        <w:rPr>
          <w:rFonts w:asciiTheme="minorHAnsi" w:hAnsiTheme="minorHAnsi" w:cstheme="minorHAnsi"/>
          <w:color w:val="000000" w:themeColor="text1"/>
          <w:sz w:val="22"/>
          <w:szCs w:val="22"/>
        </w:rPr>
        <w:t xml:space="preserve">the area </w:t>
      </w:r>
      <w:r w:rsidR="00A2634B">
        <w:rPr>
          <w:rFonts w:asciiTheme="minorHAnsi" w:hAnsiTheme="minorHAnsi" w:cstheme="minorHAnsi"/>
          <w:color w:val="000000" w:themeColor="text1"/>
          <w:sz w:val="22"/>
          <w:szCs w:val="22"/>
        </w:rPr>
        <w:t>of land</w:t>
      </w:r>
      <w:r w:rsidR="00DB0CB1">
        <w:rPr>
          <w:rFonts w:asciiTheme="minorHAnsi" w:hAnsiTheme="minorHAnsi" w:cstheme="minorHAnsi"/>
          <w:color w:val="000000" w:themeColor="text1"/>
          <w:sz w:val="22"/>
          <w:szCs w:val="22"/>
        </w:rPr>
        <w:t xml:space="preserve"> (in m</w:t>
      </w:r>
      <w:r w:rsidR="00DB0CB1">
        <w:rPr>
          <w:rFonts w:asciiTheme="minorHAnsi" w:hAnsiTheme="minorHAnsi" w:cstheme="minorHAnsi"/>
          <w:color w:val="000000" w:themeColor="text1"/>
          <w:sz w:val="22"/>
          <w:szCs w:val="22"/>
          <w:vertAlign w:val="superscript"/>
        </w:rPr>
        <w:t>2</w:t>
      </w:r>
      <w:r w:rsidR="00DB0CB1">
        <w:rPr>
          <w:rFonts w:asciiTheme="minorHAnsi" w:hAnsiTheme="minorHAnsi" w:cstheme="minorHAnsi"/>
          <w:color w:val="000000" w:themeColor="text1"/>
          <w:sz w:val="22"/>
          <w:szCs w:val="22"/>
        </w:rPr>
        <w:t>)</w:t>
      </w:r>
      <w:r w:rsidR="00A2634B">
        <w:rPr>
          <w:rFonts w:asciiTheme="minorHAnsi" w:hAnsiTheme="minorHAnsi" w:cstheme="minorHAnsi"/>
          <w:color w:val="000000" w:themeColor="text1"/>
          <w:sz w:val="22"/>
          <w:szCs w:val="22"/>
        </w:rPr>
        <w:t xml:space="preserve"> </w:t>
      </w:r>
      <w:r w:rsidR="00507747">
        <w:rPr>
          <w:rFonts w:asciiTheme="minorHAnsi" w:hAnsiTheme="minorHAnsi" w:cstheme="minorHAnsi"/>
          <w:color w:val="000000" w:themeColor="text1"/>
          <w:sz w:val="22"/>
          <w:szCs w:val="22"/>
        </w:rPr>
        <w:t>required</w:t>
      </w:r>
      <w:r w:rsidR="00A2634B">
        <w:rPr>
          <w:rFonts w:asciiTheme="minorHAnsi" w:hAnsiTheme="minorHAnsi" w:cstheme="minorHAnsi"/>
          <w:color w:val="000000" w:themeColor="text1"/>
          <w:sz w:val="22"/>
          <w:szCs w:val="22"/>
        </w:rPr>
        <w:t xml:space="preserve"> to produce 1</w:t>
      </w:r>
      <w:r w:rsidR="00695622">
        <w:rPr>
          <w:rFonts w:asciiTheme="minorHAnsi" w:hAnsiTheme="minorHAnsi" w:cstheme="minorHAnsi"/>
          <w:color w:val="000000" w:themeColor="text1"/>
          <w:sz w:val="22"/>
          <w:szCs w:val="22"/>
        </w:rPr>
        <w:t xml:space="preserve"> </w:t>
      </w:r>
      <w:r w:rsidR="00A2634B">
        <w:rPr>
          <w:rFonts w:asciiTheme="minorHAnsi" w:hAnsiTheme="minorHAnsi" w:cstheme="minorHAnsi"/>
          <w:color w:val="000000" w:themeColor="text1"/>
          <w:sz w:val="22"/>
          <w:szCs w:val="22"/>
        </w:rPr>
        <w:t xml:space="preserve">kg of </w:t>
      </w:r>
      <w:r w:rsidR="00ED6A6D">
        <w:rPr>
          <w:rFonts w:asciiTheme="minorHAnsi" w:hAnsiTheme="minorHAnsi" w:cstheme="minorHAnsi"/>
          <w:color w:val="000000" w:themeColor="text1"/>
          <w:sz w:val="22"/>
          <w:szCs w:val="22"/>
        </w:rPr>
        <w:t>dwt</w:t>
      </w:r>
      <w:r w:rsidR="00261199">
        <w:rPr>
          <w:rFonts w:asciiTheme="minorHAnsi" w:hAnsiTheme="minorHAnsi" w:cstheme="minorHAnsi"/>
          <w:color w:val="000000" w:themeColor="text1"/>
          <w:sz w:val="22"/>
          <w:szCs w:val="22"/>
        </w:rPr>
        <w:t xml:space="preserve"> </w:t>
      </w:r>
      <w:r w:rsidR="00E5517A">
        <w:rPr>
          <w:rFonts w:asciiTheme="minorHAnsi" w:hAnsiTheme="minorHAnsi" w:cstheme="minorHAnsi"/>
          <w:color w:val="000000" w:themeColor="text1"/>
          <w:sz w:val="22"/>
          <w:szCs w:val="22"/>
        </w:rPr>
        <w:t>per</w:t>
      </w:r>
      <w:r w:rsidR="00E23939">
        <w:rPr>
          <w:rFonts w:asciiTheme="minorHAnsi" w:hAnsiTheme="minorHAnsi" w:cstheme="minorHAnsi"/>
          <w:color w:val="000000" w:themeColor="text1"/>
          <w:sz w:val="22"/>
          <w:szCs w:val="22"/>
        </w:rPr>
        <w:t xml:space="preserve"> annum</w:t>
      </w:r>
      <w:r w:rsidR="007719C5">
        <w:rPr>
          <w:rFonts w:asciiTheme="minorHAnsi" w:hAnsiTheme="minorHAnsi" w:cstheme="minorHAnsi"/>
          <w:color w:val="000000" w:themeColor="text1"/>
          <w:sz w:val="22"/>
          <w:szCs w:val="22"/>
        </w:rPr>
        <w:t xml:space="preserve">, i.e. </w:t>
      </w:r>
      <w:r w:rsidR="002F4E75" w:rsidRPr="00131A43">
        <w:rPr>
          <w:rFonts w:ascii="Calibri" w:hAnsi="Calibri" w:cs="Calibri"/>
          <w:sz w:val="22"/>
          <w:szCs w:val="22"/>
        </w:rPr>
        <w:t>m</w:t>
      </w:r>
      <w:proofErr w:type="gramStart"/>
      <w:r w:rsidR="002F4E75" w:rsidRPr="00131A43">
        <w:rPr>
          <w:rFonts w:ascii="Calibri" w:hAnsi="Calibri" w:cs="Calibri"/>
          <w:sz w:val="22"/>
          <w:szCs w:val="22"/>
        </w:rPr>
        <w:t>²</w:t>
      </w:r>
      <w:r w:rsidR="00643518">
        <w:rPr>
          <w:rFonts w:ascii="Calibri" w:hAnsi="Calibri" w:cs="Calibri"/>
          <w:sz w:val="22"/>
          <w:szCs w:val="22"/>
        </w:rPr>
        <w:t>.</w:t>
      </w:r>
      <w:r w:rsidR="007719C5">
        <w:rPr>
          <w:rFonts w:ascii="Calibri" w:hAnsi="Calibri" w:cs="Calibri"/>
          <w:sz w:val="22"/>
          <w:szCs w:val="22"/>
        </w:rPr>
        <w:t>yr</w:t>
      </w:r>
      <w:proofErr w:type="gramEnd"/>
      <w:r w:rsidR="009A4774">
        <w:rPr>
          <w:rFonts w:ascii="Calibri" w:hAnsi="Calibri" w:cs="Calibri"/>
          <w:sz w:val="22"/>
          <w:szCs w:val="22"/>
        </w:rPr>
        <w:t xml:space="preserve"> </w:t>
      </w:r>
      <w:r w:rsidR="002F4E75" w:rsidRPr="00131A43">
        <w:rPr>
          <w:rFonts w:ascii="Calibri" w:hAnsi="Calibri" w:cs="Calibri"/>
          <w:sz w:val="22"/>
          <w:szCs w:val="22"/>
        </w:rPr>
        <w:t>kg</w:t>
      </w:r>
      <w:r w:rsidR="002F4E75" w:rsidRPr="00131A43">
        <w:rPr>
          <w:rFonts w:ascii="Calibri" w:hAnsi="Calibri" w:cs="Calibri"/>
          <w:sz w:val="22"/>
          <w:szCs w:val="22"/>
          <w:vertAlign w:val="superscript"/>
        </w:rPr>
        <w:t>-1</w:t>
      </w:r>
      <w:r w:rsidR="002F4E75" w:rsidRPr="00131A43">
        <w:rPr>
          <w:rFonts w:ascii="Calibri" w:hAnsi="Calibri" w:cs="Calibri"/>
          <w:sz w:val="22"/>
          <w:szCs w:val="22"/>
        </w:rPr>
        <w:t xml:space="preserve"> </w:t>
      </w:r>
      <w:r w:rsidR="00ED6A6D">
        <w:rPr>
          <w:rFonts w:asciiTheme="minorHAnsi" w:hAnsiTheme="minorHAnsi" w:cstheme="minorHAnsi"/>
          <w:color w:val="000000" w:themeColor="text1"/>
          <w:sz w:val="22"/>
          <w:szCs w:val="22"/>
        </w:rPr>
        <w:t>dwt</w:t>
      </w:r>
      <w:r w:rsidR="00795895">
        <w:rPr>
          <w:rFonts w:ascii="Calibri" w:hAnsi="Calibri" w:cs="Calibri"/>
          <w:sz w:val="22"/>
          <w:szCs w:val="22"/>
        </w:rPr>
        <w:t>.</w:t>
      </w:r>
    </w:p>
    <w:p w14:paraId="2759FE72" w14:textId="77777777" w:rsidR="00261199" w:rsidRPr="0013422E" w:rsidRDefault="00261199" w:rsidP="00E568F2">
      <w:pPr>
        <w:spacing w:line="360" w:lineRule="auto"/>
        <w:rPr>
          <w:rFonts w:asciiTheme="minorHAnsi" w:hAnsiTheme="minorHAnsi" w:cstheme="minorHAnsi"/>
          <w:sz w:val="22"/>
          <w:szCs w:val="22"/>
        </w:rPr>
      </w:pPr>
    </w:p>
    <w:p w14:paraId="31434512" w14:textId="37836F43" w:rsidR="00440512" w:rsidRPr="003A58B1" w:rsidRDefault="00731D0E" w:rsidP="00E568F2">
      <w:pPr>
        <w:pStyle w:val="ListParagraph"/>
        <w:numPr>
          <w:ilvl w:val="2"/>
          <w:numId w:val="2"/>
        </w:numPr>
        <w:spacing w:line="360" w:lineRule="auto"/>
        <w:rPr>
          <w:rFonts w:asciiTheme="minorHAnsi" w:hAnsiTheme="minorHAnsi" w:cstheme="minorHAnsi"/>
          <w:b/>
          <w:bCs/>
          <w:sz w:val="22"/>
          <w:szCs w:val="22"/>
        </w:rPr>
      </w:pPr>
      <w:r w:rsidRPr="003A58B1">
        <w:rPr>
          <w:rFonts w:asciiTheme="minorHAnsi" w:hAnsiTheme="minorHAnsi" w:cstheme="minorHAnsi"/>
          <w:b/>
          <w:bCs/>
          <w:sz w:val="22"/>
          <w:szCs w:val="22"/>
        </w:rPr>
        <w:t>Sequestration estimates</w:t>
      </w:r>
      <w:r w:rsidR="003A58B1" w:rsidRPr="003A58B1">
        <w:rPr>
          <w:rFonts w:asciiTheme="minorHAnsi" w:hAnsiTheme="minorHAnsi" w:cstheme="minorHAnsi"/>
          <w:b/>
          <w:bCs/>
          <w:sz w:val="22"/>
          <w:szCs w:val="22"/>
        </w:rPr>
        <w:t xml:space="preserve">: </w:t>
      </w:r>
      <w:r w:rsidR="003A58B1">
        <w:rPr>
          <w:rFonts w:asciiTheme="minorHAnsi" w:hAnsiTheme="minorHAnsi" w:cstheme="minorHAnsi"/>
          <w:b/>
          <w:bCs/>
          <w:sz w:val="22"/>
          <w:szCs w:val="22"/>
        </w:rPr>
        <w:t>t</w:t>
      </w:r>
      <w:r w:rsidR="009B06EB" w:rsidRPr="003A58B1">
        <w:rPr>
          <w:rFonts w:asciiTheme="minorHAnsi" w:hAnsiTheme="minorHAnsi" w:cstheme="minorHAnsi"/>
          <w:b/>
          <w:bCs/>
          <w:sz w:val="22"/>
          <w:szCs w:val="22"/>
        </w:rPr>
        <w:t>he Bangor Tool</w:t>
      </w:r>
    </w:p>
    <w:p w14:paraId="6D7B42B7" w14:textId="2928FE4F" w:rsidR="00703682" w:rsidRPr="00703682" w:rsidRDefault="00703682" w:rsidP="00E568F2">
      <w:pPr>
        <w:spacing w:line="360" w:lineRule="auto"/>
        <w:ind w:left="360"/>
        <w:rPr>
          <w:rFonts w:asciiTheme="minorHAnsi" w:hAnsiTheme="minorHAnsi" w:cstheme="minorHAnsi"/>
          <w:b/>
          <w:bCs/>
          <w:sz w:val="22"/>
          <w:szCs w:val="22"/>
        </w:rPr>
      </w:pPr>
    </w:p>
    <w:p w14:paraId="40C0967B" w14:textId="310CDD5E" w:rsidR="00C63BDF" w:rsidRDefault="00C63BDF" w:rsidP="00BA3E62">
      <w:pPr>
        <w:spacing w:line="360" w:lineRule="auto"/>
        <w:jc w:val="both"/>
        <w:rPr>
          <w:rFonts w:asciiTheme="minorHAnsi" w:hAnsiTheme="minorHAnsi" w:cstheme="minorHAnsi"/>
          <w:sz w:val="22"/>
          <w:szCs w:val="22"/>
        </w:rPr>
      </w:pPr>
      <w:r>
        <w:rPr>
          <w:rFonts w:asciiTheme="minorHAnsi" w:hAnsiTheme="minorHAnsi" w:cstheme="minorHAnsi"/>
          <w:sz w:val="22"/>
          <w:szCs w:val="22"/>
        </w:rPr>
        <w:t>The Bangor University Carbon</w:t>
      </w:r>
      <w:r w:rsidR="0046524A">
        <w:rPr>
          <w:rFonts w:asciiTheme="minorHAnsi" w:hAnsiTheme="minorHAnsi" w:cstheme="minorHAnsi"/>
          <w:sz w:val="22"/>
          <w:szCs w:val="22"/>
        </w:rPr>
        <w:t xml:space="preserve"> </w:t>
      </w:r>
      <w:proofErr w:type="spellStart"/>
      <w:r w:rsidR="00A14F3D">
        <w:rPr>
          <w:rFonts w:asciiTheme="minorHAnsi" w:hAnsiTheme="minorHAnsi" w:cstheme="minorHAnsi"/>
          <w:sz w:val="22"/>
          <w:szCs w:val="22"/>
        </w:rPr>
        <w:t>F</w:t>
      </w:r>
      <w:r>
        <w:rPr>
          <w:rFonts w:asciiTheme="minorHAnsi" w:hAnsiTheme="minorHAnsi" w:cstheme="minorHAnsi"/>
          <w:sz w:val="22"/>
          <w:szCs w:val="22"/>
        </w:rPr>
        <w:t>ootprinting</w:t>
      </w:r>
      <w:proofErr w:type="spellEnd"/>
      <w:r w:rsidR="00440512">
        <w:rPr>
          <w:rFonts w:asciiTheme="minorHAnsi" w:hAnsiTheme="minorHAnsi" w:cstheme="minorHAnsi"/>
          <w:sz w:val="22"/>
          <w:szCs w:val="22"/>
        </w:rPr>
        <w:t xml:space="preserve"> </w:t>
      </w:r>
      <w:r>
        <w:rPr>
          <w:rFonts w:asciiTheme="minorHAnsi" w:hAnsiTheme="minorHAnsi" w:cstheme="minorHAnsi"/>
          <w:sz w:val="22"/>
          <w:szCs w:val="22"/>
        </w:rPr>
        <w:t>T</w:t>
      </w:r>
      <w:r w:rsidR="00440512">
        <w:rPr>
          <w:rFonts w:asciiTheme="minorHAnsi" w:hAnsiTheme="minorHAnsi" w:cstheme="minorHAnsi"/>
          <w:sz w:val="22"/>
          <w:szCs w:val="22"/>
        </w:rPr>
        <w:t xml:space="preserve">ool </w:t>
      </w:r>
      <w:r w:rsidR="00A14F3D">
        <w:rPr>
          <w:rFonts w:asciiTheme="minorHAnsi" w:hAnsiTheme="minorHAnsi" w:cstheme="minorHAnsi"/>
          <w:sz w:val="22"/>
          <w:szCs w:val="22"/>
        </w:rPr>
        <w:fldChar w:fldCharType="begin"/>
      </w:r>
      <w:r w:rsidR="00A14F3D">
        <w:rPr>
          <w:rFonts w:asciiTheme="minorHAnsi" w:hAnsiTheme="minorHAnsi" w:cstheme="minorHAnsi"/>
          <w:sz w:val="22"/>
          <w:szCs w:val="22"/>
        </w:rPr>
        <w:instrText xml:space="preserve"> ADDIN ZOTERO_ITEM CSL_CITATION {"citationID":"JMA4VpfS","properties":{"formattedCitation":"(Edwards-Jones et al., 2009; Hyland et al., 2016; Jones et al., 2014)","plainCitation":"(Edwards-Jones et al., 2009; Hyland et al., 2016; Jones et al., 2014)","noteIndex":0},"citationItems":[{"id":28,"uris":["http://zotero.org/users/6500992/items/94UICP3X"],"itemData":{"id":28,"type":"article-journal","abstract":"Carbon footprinting is an increasingly important method of communicating the climate change impacts of food production to stakeholders. Few studies utilize empirical data collected from farms to calculate the carbon footprints of lamb and beef. Data from two farms in Wales, UK, were employed to undertake such an analysis for two system boundaries.Within a system boundary that considers the embodied greenhouse gases (GHGs) in inputs and on-farm emissions, producing 1 kg of lamb releases 1·3–4·4 kg CO2 eq/kg live weight (case study farm 1) and 1·5–4·7 kg CO2 eq/kg live weight (case study farm 2). The production of beef releases 1·5–5·3 and 1·4–4·4 kg CO2 eq/kg live weight.Within a wider system boundary that also includes GHG emissions from animals and farm soils, lamb released 8·1–31·7 and 20·3–143·5 kg CO2 eq/kg live weight on the two case study farms, and beef released 9·7–38·1 and 18·8–132·6 kg CO2 eq/kg live weight. The difference in emissions for this system boundary relates to nitrous oxides emitted from the organic soils on case study farm 2.These values overlap with nearly all other studies of GHG emissions from lamb and beef production. No direct comparisons between studies are possible due to substantial differences in the methodological approaches adopted.","container-title":"The Journal of Agricultural Science","DOI":"10.1017/S0021859609990165","ISSN":"1469-5146, 0021-8596","issue":"6","language":"en","note":"publisher: Cambridge University Press","page":"707-719","source":"Cambridge University Press","title":"Carbon footprinting of lamb and beef production systems: insights from an empirical analysis of farms in Wales, UK","title-short":"Carbon footprinting of lamb and beef production systems","volume":"147","author":[{"family":"Edwards-Jones","given":"G."},{"family":"Plassmann","given":"K."},{"family":"Harris","given":"I. M."}],"issued":{"date-parts":[["2009",12]]}}},{"id":57,"uris":["http://zotero.org/users/6500992/items/V5QXGRXR"],"itemData":{"id":57,"type":"article-journal","container-title":"Agricultural Systems","DOI":"10.1016/j.agsy.2016.06.006","ISSN":"0308521X","journalAbbreviation":"Agricultural Systems","language":"en","page":"123-131","source":"DOI.org (Crossref)","title":"Improving livestock production efficiencies presents a major opportunity to reduce sectoral greenhouse gas emissions","volume":"147","author":[{"family":"Hyland","given":"J.J."},{"family":"Styles","given":"D."},{"family":"Jones","given":"D.L."},{"family":"Williams","given":"A.P."}],"issued":{"date-parts":[["2016",9]]}}},{"id":30,"uris":["http://zotero.org/users/6500992/items/WJITUW8X"],"itemData":{"id":30,"type":"article-journal","abstract":"Carbon footprinting can be used to characterise the greenhouse gas emissions profile of agricultural products, providing a baseline against which mitigation targets can be set and progress measured. Farm-level emissions vary in relation to local conditions and management choices. Carbon footprinting models can be used to assess the impact of farm characteristics on emissions; however, the benefits of such models have been underexploited thus far for sheep production. This study estimated the cradle to farm-gate carbon footprints of 64 sheep farms across England and Wales using empirical farm data. This large dataset enabled an assessment of the relationship between farm variables and carbon footprint at a multi-farm level. Mean carbon footprints of 10.85, 12.85 and 17.86kg CO2e/kg live weight finished lamb were recorded for lowland, upland and hill farms respectively, from samples with coefficients of variation of 33%, 23% and 34%. Multiple linear regression models indicated that four farm management variables had a significant impact on the size of the carbon footprint of finished lamb. Irrespective of farm category, these were the number of lambs reared per ewe (head/ewe), lamb growth rate (g/day), the percentage of ewe and replacement ewe lamb flock not mated (%), and concentrate use (kg/livestock unit). Dominance analysis indicated that, of these, the number of lambs reared per ewe mated and lamb growth rate were the most influential. Productivity improvements are arguably most problematic for extensive hill farms; however, the top performing hill farms in this study outperformed the mean lowland and upland farms. The results suggest that, at a national level, the emphasis for reducing the carbon footprint of lamb should be on closing the productivity gap between poor and top performing farms.","container-title":"Agricultural Systems","DOI":"10.1016/j.agsy.2013.09.006","ISSN":"0308-521X","journalAbbreviation":"Agricultural Systems","language":"en","page":"97-107","source":"ScienceDirect","title":"The carbon footprint of lamb: Sources of variation and opportunities for mitigation","title-short":"The carbon footprint of lamb","volume":"123","author":[{"family":"Jones","given":"A. K."},{"family":"Jones","given":"D. L."},{"family":"Cross","given":"P."}],"issued":{"date-parts":[["2014",1,1]]}}}],"schema":"https://github.com/citation-style-language/schema/raw/master/csl-citation.json"} </w:instrText>
      </w:r>
      <w:r w:rsidR="00A14F3D">
        <w:rPr>
          <w:rFonts w:asciiTheme="minorHAnsi" w:hAnsiTheme="minorHAnsi" w:cstheme="minorHAnsi"/>
          <w:sz w:val="22"/>
          <w:szCs w:val="22"/>
        </w:rPr>
        <w:fldChar w:fldCharType="separate"/>
      </w:r>
      <w:r w:rsidR="00A573B5" w:rsidRPr="00A573B5">
        <w:rPr>
          <w:rFonts w:ascii="Calibri" w:hAnsi="Calibri" w:cs="Calibri"/>
          <w:sz w:val="22"/>
        </w:rPr>
        <w:t>(Edwards-Jones et al., 2009; Hyland et al., 2016; Jones et al., 2014)</w:t>
      </w:r>
      <w:r w:rsidR="00A14F3D">
        <w:rPr>
          <w:rFonts w:asciiTheme="minorHAnsi" w:hAnsiTheme="minorHAnsi" w:cstheme="minorHAnsi"/>
          <w:sz w:val="22"/>
          <w:szCs w:val="22"/>
        </w:rPr>
        <w:fldChar w:fldCharType="end"/>
      </w:r>
      <w:r w:rsidR="00EE2561">
        <w:rPr>
          <w:rFonts w:asciiTheme="minorHAnsi" w:hAnsiTheme="minorHAnsi" w:cstheme="minorHAnsi"/>
          <w:sz w:val="22"/>
          <w:szCs w:val="22"/>
        </w:rPr>
        <w:t xml:space="preserve"> </w:t>
      </w:r>
      <w:r w:rsidR="00440512">
        <w:rPr>
          <w:rFonts w:asciiTheme="minorHAnsi" w:hAnsiTheme="minorHAnsi" w:cstheme="minorHAnsi"/>
          <w:sz w:val="22"/>
          <w:szCs w:val="22"/>
        </w:rPr>
        <w:t xml:space="preserve">was </w:t>
      </w:r>
      <w:r w:rsidR="007376F7">
        <w:rPr>
          <w:rFonts w:asciiTheme="minorHAnsi" w:hAnsiTheme="minorHAnsi" w:cstheme="minorHAnsi"/>
          <w:sz w:val="22"/>
          <w:szCs w:val="22"/>
        </w:rPr>
        <w:t>selected</w:t>
      </w:r>
      <w:r w:rsidR="00440512">
        <w:rPr>
          <w:rFonts w:asciiTheme="minorHAnsi" w:hAnsiTheme="minorHAnsi" w:cstheme="minorHAnsi"/>
          <w:sz w:val="22"/>
          <w:szCs w:val="22"/>
        </w:rPr>
        <w:t xml:space="preserve"> </w:t>
      </w:r>
      <w:r w:rsidR="007376F7">
        <w:rPr>
          <w:rFonts w:asciiTheme="minorHAnsi" w:hAnsiTheme="minorHAnsi" w:cstheme="minorHAnsi"/>
          <w:sz w:val="22"/>
          <w:szCs w:val="22"/>
        </w:rPr>
        <w:t>for</w:t>
      </w:r>
      <w:r>
        <w:rPr>
          <w:rFonts w:asciiTheme="minorHAnsi" w:hAnsiTheme="minorHAnsi" w:cstheme="minorHAnsi"/>
          <w:sz w:val="22"/>
          <w:szCs w:val="22"/>
        </w:rPr>
        <w:t xml:space="preserve"> calculating</w:t>
      </w:r>
      <w:r w:rsidR="00440512">
        <w:rPr>
          <w:rFonts w:asciiTheme="minorHAnsi" w:hAnsiTheme="minorHAnsi" w:cstheme="minorHAnsi"/>
          <w:sz w:val="22"/>
          <w:szCs w:val="22"/>
        </w:rPr>
        <w:t xml:space="preserve"> carbon sequestration</w:t>
      </w:r>
      <w:r w:rsidR="00CB4D8E">
        <w:rPr>
          <w:rFonts w:asciiTheme="minorHAnsi" w:hAnsiTheme="minorHAnsi" w:cstheme="minorHAnsi"/>
          <w:sz w:val="22"/>
          <w:szCs w:val="22"/>
        </w:rPr>
        <w:t>,</w:t>
      </w:r>
      <w:r w:rsidR="007376F7">
        <w:rPr>
          <w:rFonts w:asciiTheme="minorHAnsi" w:hAnsiTheme="minorHAnsi" w:cstheme="minorHAnsi"/>
          <w:sz w:val="22"/>
          <w:szCs w:val="22"/>
        </w:rPr>
        <w:t xml:space="preserve"> </w:t>
      </w:r>
      <w:r>
        <w:rPr>
          <w:rFonts w:asciiTheme="minorHAnsi" w:hAnsiTheme="minorHAnsi" w:cstheme="minorHAnsi"/>
          <w:sz w:val="22"/>
          <w:szCs w:val="22"/>
        </w:rPr>
        <w:t>as</w:t>
      </w:r>
      <w:r w:rsidR="007376F7">
        <w:rPr>
          <w:rFonts w:asciiTheme="minorHAnsi" w:hAnsiTheme="minorHAnsi" w:cstheme="minorHAnsi"/>
          <w:sz w:val="22"/>
          <w:szCs w:val="22"/>
        </w:rPr>
        <w:t xml:space="preserve"> it </w:t>
      </w:r>
      <w:r w:rsidR="004602F2">
        <w:rPr>
          <w:rFonts w:asciiTheme="minorHAnsi" w:hAnsiTheme="minorHAnsi" w:cstheme="minorHAnsi"/>
          <w:sz w:val="22"/>
          <w:szCs w:val="22"/>
        </w:rPr>
        <w:t xml:space="preserve">includes the most comprehensive </w:t>
      </w:r>
      <w:r w:rsidR="00944798">
        <w:rPr>
          <w:rFonts w:asciiTheme="minorHAnsi" w:hAnsiTheme="minorHAnsi" w:cstheme="minorHAnsi"/>
          <w:sz w:val="22"/>
          <w:szCs w:val="22"/>
        </w:rPr>
        <w:t>set</w:t>
      </w:r>
      <w:r w:rsidR="004627FC">
        <w:rPr>
          <w:rFonts w:asciiTheme="minorHAnsi" w:hAnsiTheme="minorHAnsi" w:cstheme="minorHAnsi"/>
          <w:sz w:val="22"/>
          <w:szCs w:val="22"/>
        </w:rPr>
        <w:t xml:space="preserve"> of </w:t>
      </w:r>
      <w:r w:rsidR="007376F7">
        <w:rPr>
          <w:rFonts w:asciiTheme="minorHAnsi" w:hAnsiTheme="minorHAnsi" w:cstheme="minorHAnsi"/>
          <w:sz w:val="22"/>
          <w:szCs w:val="22"/>
        </w:rPr>
        <w:t>sequestration</w:t>
      </w:r>
      <w:r w:rsidR="00D87441">
        <w:rPr>
          <w:rFonts w:asciiTheme="minorHAnsi" w:hAnsiTheme="minorHAnsi" w:cstheme="minorHAnsi"/>
          <w:sz w:val="22"/>
          <w:szCs w:val="22"/>
        </w:rPr>
        <w:t xml:space="preserve"> </w:t>
      </w:r>
      <w:r w:rsidR="00AC4A14">
        <w:rPr>
          <w:rFonts w:asciiTheme="minorHAnsi" w:hAnsiTheme="minorHAnsi" w:cstheme="minorHAnsi"/>
          <w:sz w:val="22"/>
          <w:szCs w:val="22"/>
        </w:rPr>
        <w:t>calculations</w:t>
      </w:r>
      <w:r w:rsidR="00944798">
        <w:rPr>
          <w:rFonts w:asciiTheme="minorHAnsi" w:hAnsiTheme="minorHAnsi" w:cstheme="minorHAnsi"/>
          <w:sz w:val="22"/>
          <w:szCs w:val="22"/>
        </w:rPr>
        <w:t xml:space="preserve"> </w:t>
      </w:r>
      <w:r w:rsidR="000F3994">
        <w:rPr>
          <w:rFonts w:asciiTheme="minorHAnsi" w:hAnsiTheme="minorHAnsi" w:cstheme="minorHAnsi"/>
          <w:sz w:val="22"/>
          <w:szCs w:val="22"/>
        </w:rPr>
        <w:fldChar w:fldCharType="begin"/>
      </w:r>
      <w:r w:rsidR="000F3994">
        <w:rPr>
          <w:rFonts w:asciiTheme="minorHAnsi" w:hAnsiTheme="minorHAnsi" w:cstheme="minorHAnsi"/>
          <w:sz w:val="22"/>
          <w:szCs w:val="22"/>
        </w:rPr>
        <w:instrText xml:space="preserve"> ADDIN ZOTERO_ITEM CSL_CITATION {"citationID":"dDmgck57","properties":{"formattedCitation":"(Sykes et al., 2017; Taft et al., 2018)","plainCitation":"(Sykes et al., 2017; Taft et al., 2018)","noteIndex":0},"citationItems":[{"id":186,"uris":["http://zotero.org/users/6500992/items/AYQ7BKQM"],"itemData":{"id":186,"type":"article-journal","abstract":"Farm-level greenhouse gas (GHG) footprinting tools produce markedly different results from common input datasets. These tools are typically empirical, broad scope models which are valuable for their ability to account for a range of on-farm GHG sources using non-specialist data. Many of these tools are publicly available, and are employed by users from a range of backgrounds to provide enterprise-level carbon footprints. They may be used to inform mitigation strategies and policy developments, though are often developed outside the peer-review system, and as such the methodology employed may be sparsely documented.","container-title":"Journal of Cleaner Production","DOI":"10.1016/j.jclepro.2017.06.197","journalAbbreviation":"Journal of Cleaner Production","source":"ResearchGate","title":"A comparison of farm-level greenhouse gas calculators in their application on beef production systems","volume":"164","author":[{"family":"Sykes","given":"Alasdair"},{"family":"Topp","given":"Kairsty"},{"family":"Wilson","given":"Ron"},{"family":"Reid","given":"Gillian"},{"family":"Rees","given":"Bob"}],"issued":{"date-parts":[["2017",6,1]]}}},{"id":260,"uris":["http://zotero.org/users/6500992/items/DIV7DGDV"],"itemData":{"id":260,"type":"report","collection-title":"A Climate Smart Agriculture (Wales) Report","language":"en","page":"91","source":"Zotero","title":"A review of greenhouse gas calculators for use in the Welsh agricultural sector","author":[{"family":"Taft","given":"Helen"},{"family":"Chadwick","given":"Dave"},{"family":"Styles","given":"David"},{"family":"Kipling","given":"Richard"},{"family":"Newbold","given":"Jamie"},{"family":"Moorby","given":"Jon"}],"issued":{"date-parts":[["2018"]]}}}],"schema":"https://github.com/citation-style-language/schema/raw/master/csl-citation.json"} </w:instrText>
      </w:r>
      <w:r w:rsidR="000F3994">
        <w:rPr>
          <w:rFonts w:asciiTheme="minorHAnsi" w:hAnsiTheme="minorHAnsi" w:cstheme="minorHAnsi"/>
          <w:sz w:val="22"/>
          <w:szCs w:val="22"/>
        </w:rPr>
        <w:fldChar w:fldCharType="separate"/>
      </w:r>
      <w:r w:rsidR="00A573B5" w:rsidRPr="00A573B5">
        <w:rPr>
          <w:rFonts w:ascii="Calibri" w:hAnsi="Calibri" w:cs="Calibri"/>
          <w:sz w:val="22"/>
        </w:rPr>
        <w:t>(Sykes et al., 2017; Taft et al., 2018)</w:t>
      </w:r>
      <w:r w:rsidR="000F3994">
        <w:rPr>
          <w:rFonts w:asciiTheme="minorHAnsi" w:hAnsiTheme="minorHAnsi" w:cstheme="minorHAnsi"/>
          <w:sz w:val="22"/>
          <w:szCs w:val="22"/>
        </w:rPr>
        <w:fldChar w:fldCharType="end"/>
      </w:r>
      <w:r w:rsidR="00A76A09">
        <w:rPr>
          <w:rFonts w:asciiTheme="minorHAnsi" w:hAnsiTheme="minorHAnsi" w:cstheme="minorHAnsi"/>
          <w:sz w:val="22"/>
          <w:szCs w:val="22"/>
        </w:rPr>
        <w:t>,</w:t>
      </w:r>
      <w:r w:rsidR="00A21143">
        <w:rPr>
          <w:rFonts w:asciiTheme="minorHAnsi" w:hAnsiTheme="minorHAnsi" w:cstheme="minorHAnsi"/>
          <w:sz w:val="22"/>
          <w:szCs w:val="22"/>
        </w:rPr>
        <w:t xml:space="preserve"> </w:t>
      </w:r>
      <w:r w:rsidR="00A21143" w:rsidRPr="00663EE8">
        <w:rPr>
          <w:rFonts w:asciiTheme="minorHAnsi" w:hAnsiTheme="minorHAnsi" w:cstheme="minorHAnsi"/>
          <w:sz w:val="22"/>
          <w:szCs w:val="22"/>
        </w:rPr>
        <w:t xml:space="preserve">including </w:t>
      </w:r>
      <w:r w:rsidR="00D87441">
        <w:rPr>
          <w:rFonts w:asciiTheme="minorHAnsi" w:hAnsiTheme="minorHAnsi" w:cstheme="minorHAnsi"/>
          <w:sz w:val="22"/>
          <w:szCs w:val="22"/>
        </w:rPr>
        <w:t xml:space="preserve"> </w:t>
      </w:r>
      <w:r w:rsidR="00581F72">
        <w:rPr>
          <w:rFonts w:asciiTheme="minorHAnsi" w:hAnsiTheme="minorHAnsi" w:cstheme="minorHAnsi"/>
          <w:sz w:val="22"/>
          <w:szCs w:val="22"/>
        </w:rPr>
        <w:t>hedgerows,</w:t>
      </w:r>
      <w:r w:rsidR="00A21143" w:rsidRPr="00663EE8">
        <w:rPr>
          <w:rFonts w:asciiTheme="minorHAnsi" w:hAnsiTheme="minorHAnsi" w:cstheme="minorHAnsi"/>
          <w:sz w:val="22"/>
          <w:szCs w:val="22"/>
        </w:rPr>
        <w:t xml:space="preserve"> individual trees</w:t>
      </w:r>
      <w:r w:rsidR="00581F72">
        <w:rPr>
          <w:rFonts w:asciiTheme="minorHAnsi" w:hAnsiTheme="minorHAnsi" w:cstheme="minorHAnsi"/>
          <w:sz w:val="22"/>
          <w:szCs w:val="22"/>
        </w:rPr>
        <w:t xml:space="preserve">, </w:t>
      </w:r>
      <w:r w:rsidR="00A21143" w:rsidRPr="00663EE8">
        <w:rPr>
          <w:rFonts w:asciiTheme="minorHAnsi" w:hAnsiTheme="minorHAnsi" w:cstheme="minorHAnsi"/>
          <w:sz w:val="22"/>
          <w:szCs w:val="22"/>
        </w:rPr>
        <w:t xml:space="preserve">trees in </w:t>
      </w:r>
      <w:r w:rsidR="004D0787">
        <w:rPr>
          <w:rFonts w:asciiTheme="minorHAnsi" w:hAnsiTheme="minorHAnsi" w:cstheme="minorHAnsi"/>
          <w:sz w:val="22"/>
          <w:szCs w:val="22"/>
        </w:rPr>
        <w:t>silvicultural systems</w:t>
      </w:r>
      <w:r w:rsidR="00581F72">
        <w:rPr>
          <w:rFonts w:asciiTheme="minorHAnsi" w:hAnsiTheme="minorHAnsi" w:cstheme="minorHAnsi"/>
          <w:sz w:val="22"/>
          <w:szCs w:val="22"/>
        </w:rPr>
        <w:t xml:space="preserve"> and field boundaries,</w:t>
      </w:r>
      <w:r w:rsidR="004D0787">
        <w:rPr>
          <w:rFonts w:asciiTheme="minorHAnsi" w:hAnsiTheme="minorHAnsi" w:cstheme="minorHAnsi"/>
          <w:sz w:val="22"/>
          <w:szCs w:val="22"/>
        </w:rPr>
        <w:t xml:space="preserve"> </w:t>
      </w:r>
      <w:r w:rsidR="00A21143" w:rsidRPr="00663EE8">
        <w:rPr>
          <w:rFonts w:asciiTheme="minorHAnsi" w:hAnsiTheme="minorHAnsi" w:cstheme="minorHAnsi"/>
          <w:sz w:val="22"/>
          <w:szCs w:val="22"/>
        </w:rPr>
        <w:t>as well as areas of pur</w:t>
      </w:r>
      <w:r w:rsidR="00663EE8" w:rsidRPr="00663EE8">
        <w:rPr>
          <w:rFonts w:asciiTheme="minorHAnsi" w:hAnsiTheme="minorHAnsi" w:cstheme="minorHAnsi"/>
          <w:sz w:val="22"/>
          <w:szCs w:val="22"/>
        </w:rPr>
        <w:t>e</w:t>
      </w:r>
      <w:r>
        <w:rPr>
          <w:rFonts w:asciiTheme="minorHAnsi" w:hAnsiTheme="minorHAnsi" w:cstheme="minorHAnsi"/>
          <w:sz w:val="22"/>
          <w:szCs w:val="22"/>
        </w:rPr>
        <w:t xml:space="preserve"> </w:t>
      </w:r>
      <w:r w:rsidR="00A21143" w:rsidRPr="00663EE8">
        <w:rPr>
          <w:rFonts w:asciiTheme="minorHAnsi" w:hAnsiTheme="minorHAnsi" w:cstheme="minorHAnsi"/>
          <w:sz w:val="22"/>
          <w:szCs w:val="22"/>
        </w:rPr>
        <w:t>woodland</w:t>
      </w:r>
      <w:r w:rsidR="00A21143">
        <w:rPr>
          <w:rFonts w:asciiTheme="minorHAnsi" w:hAnsiTheme="minorHAnsi" w:cstheme="minorHAnsi"/>
          <w:sz w:val="22"/>
          <w:szCs w:val="22"/>
        </w:rPr>
        <w:t>.</w:t>
      </w:r>
      <w:r w:rsidR="007376F7">
        <w:rPr>
          <w:rFonts w:asciiTheme="minorHAnsi" w:hAnsiTheme="minorHAnsi" w:cstheme="minorHAnsi"/>
          <w:sz w:val="22"/>
          <w:szCs w:val="22"/>
        </w:rPr>
        <w:t xml:space="preserve"> </w:t>
      </w:r>
      <w:r w:rsidR="0053459E">
        <w:rPr>
          <w:rFonts w:asciiTheme="minorHAnsi" w:hAnsiTheme="minorHAnsi" w:cstheme="minorHAnsi"/>
          <w:sz w:val="22"/>
          <w:szCs w:val="22"/>
        </w:rPr>
        <w:t>Additionally, t</w:t>
      </w:r>
      <w:r w:rsidR="00A21143">
        <w:rPr>
          <w:rFonts w:asciiTheme="minorHAnsi" w:hAnsiTheme="minorHAnsi" w:cstheme="minorHAnsi"/>
          <w:sz w:val="22"/>
          <w:szCs w:val="22"/>
        </w:rPr>
        <w:t>he Bangor Tool</w:t>
      </w:r>
      <w:r w:rsidR="007376F7">
        <w:rPr>
          <w:rFonts w:asciiTheme="minorHAnsi" w:hAnsiTheme="minorHAnsi" w:cstheme="minorHAnsi"/>
          <w:sz w:val="22"/>
          <w:szCs w:val="22"/>
        </w:rPr>
        <w:t xml:space="preserve"> include</w:t>
      </w:r>
      <w:r w:rsidR="00885FD1">
        <w:rPr>
          <w:rFonts w:asciiTheme="minorHAnsi" w:hAnsiTheme="minorHAnsi" w:cstheme="minorHAnsi"/>
          <w:sz w:val="22"/>
          <w:szCs w:val="22"/>
        </w:rPr>
        <w:t>s</w:t>
      </w:r>
      <w:r w:rsidR="007376F7">
        <w:rPr>
          <w:rFonts w:asciiTheme="minorHAnsi" w:hAnsiTheme="minorHAnsi" w:cstheme="minorHAnsi"/>
          <w:sz w:val="22"/>
          <w:szCs w:val="22"/>
        </w:rPr>
        <w:t xml:space="preserve"> </w:t>
      </w:r>
      <w:r w:rsidR="004365CA">
        <w:rPr>
          <w:rFonts w:asciiTheme="minorHAnsi" w:hAnsiTheme="minorHAnsi" w:cstheme="minorHAnsi"/>
          <w:sz w:val="22"/>
          <w:szCs w:val="22"/>
        </w:rPr>
        <w:t xml:space="preserve">potential </w:t>
      </w:r>
      <w:r w:rsidR="007376F7">
        <w:rPr>
          <w:rFonts w:asciiTheme="minorHAnsi" w:hAnsiTheme="minorHAnsi" w:cstheme="minorHAnsi"/>
          <w:sz w:val="22"/>
          <w:szCs w:val="22"/>
        </w:rPr>
        <w:t xml:space="preserve">grassland soil sequestration </w:t>
      </w:r>
      <w:r w:rsidR="00A21143">
        <w:rPr>
          <w:rFonts w:asciiTheme="minorHAnsi" w:hAnsiTheme="minorHAnsi" w:cstheme="minorHAnsi"/>
          <w:sz w:val="22"/>
          <w:szCs w:val="22"/>
        </w:rPr>
        <w:t>in its calculations.</w:t>
      </w:r>
      <w:r w:rsidR="007376F7">
        <w:rPr>
          <w:rFonts w:asciiTheme="minorHAnsi" w:hAnsiTheme="minorHAnsi" w:cstheme="minorHAnsi"/>
          <w:sz w:val="22"/>
          <w:szCs w:val="22"/>
        </w:rPr>
        <w:t xml:space="preserve"> </w:t>
      </w:r>
      <w:r w:rsidR="00BD1077">
        <w:rPr>
          <w:rFonts w:asciiTheme="minorHAnsi" w:hAnsiTheme="minorHAnsi" w:cstheme="minorHAnsi"/>
          <w:sz w:val="22"/>
          <w:szCs w:val="22"/>
        </w:rPr>
        <w:t xml:space="preserve">In terms of woodland, </w:t>
      </w:r>
      <w:r w:rsidR="005012D4">
        <w:rPr>
          <w:rFonts w:asciiTheme="minorHAnsi" w:hAnsiTheme="minorHAnsi" w:cstheme="minorHAnsi"/>
          <w:sz w:val="22"/>
          <w:szCs w:val="22"/>
        </w:rPr>
        <w:t>the tool uses yield values from the Woodland Carbon Code</w:t>
      </w:r>
      <w:r w:rsidR="00523151">
        <w:rPr>
          <w:rFonts w:asciiTheme="minorHAnsi" w:hAnsiTheme="minorHAnsi" w:cstheme="minorHAnsi"/>
          <w:sz w:val="22"/>
          <w:szCs w:val="22"/>
        </w:rPr>
        <w:t xml:space="preserve"> </w:t>
      </w:r>
      <w:r w:rsidR="001656EC">
        <w:rPr>
          <w:rFonts w:asciiTheme="minorHAnsi" w:hAnsiTheme="minorHAnsi" w:cstheme="minorHAnsi"/>
          <w:sz w:val="22"/>
          <w:szCs w:val="22"/>
        </w:rPr>
        <w:t xml:space="preserve">(WCC) </w:t>
      </w:r>
      <w:r w:rsidR="00654E1B">
        <w:rPr>
          <w:rFonts w:asciiTheme="minorHAnsi" w:hAnsiTheme="minorHAnsi" w:cstheme="minorHAnsi"/>
          <w:sz w:val="22"/>
          <w:szCs w:val="22"/>
        </w:rPr>
        <w:fldChar w:fldCharType="begin"/>
      </w:r>
      <w:r w:rsidR="00D2069C">
        <w:rPr>
          <w:rFonts w:asciiTheme="minorHAnsi" w:hAnsiTheme="minorHAnsi" w:cstheme="minorHAnsi"/>
          <w:sz w:val="22"/>
          <w:szCs w:val="22"/>
        </w:rPr>
        <w:instrText xml:space="preserve"> ADDIN ZOTERO_ITEM CSL_CITATION {"citationID":"nAGJusWl","properties":{"formattedCitation":"(Forestry Commission, 2021)","plainCitation":"(Forestry Commission, 2021)","dontUpdate":true,"noteIndex":0},"citationItems":[{"id":1097,"uris":["http://zotero.org/users/6500992/items/CVINGGJX"],"itemData":{"id":1097,"type":"document","publisher":"Forestry Commission, Edinburgh","title":"Woodland Carbon Code: Carbon Lookup Tables.","author":[{"family":"Forestry Commission","given":""}],"issued":{"date-parts":[["2021"]]}}}],"schema":"https://github.com/citation-style-language/schema/raw/master/csl-citation.json"} </w:instrText>
      </w:r>
      <w:r w:rsidR="00654E1B">
        <w:rPr>
          <w:rFonts w:asciiTheme="minorHAnsi" w:hAnsiTheme="minorHAnsi" w:cstheme="minorHAnsi"/>
          <w:sz w:val="22"/>
          <w:szCs w:val="22"/>
        </w:rPr>
        <w:fldChar w:fldCharType="separate"/>
      </w:r>
      <w:r w:rsidR="00AB33BF" w:rsidRPr="00AB33BF">
        <w:rPr>
          <w:rFonts w:ascii="Calibri" w:hAnsi="Calibri" w:cs="Calibri"/>
          <w:sz w:val="22"/>
        </w:rPr>
        <w:t>(Forestry Commission, 20</w:t>
      </w:r>
      <w:r w:rsidR="00AB33BF">
        <w:rPr>
          <w:rFonts w:ascii="Calibri" w:hAnsi="Calibri" w:cs="Calibri"/>
          <w:sz w:val="22"/>
        </w:rPr>
        <w:t>18</w:t>
      </w:r>
      <w:r w:rsidR="00AB33BF" w:rsidRPr="00AB33BF">
        <w:rPr>
          <w:rFonts w:ascii="Calibri" w:hAnsi="Calibri" w:cs="Calibri"/>
          <w:sz w:val="22"/>
        </w:rPr>
        <w:t>)</w:t>
      </w:r>
      <w:r w:rsidR="00654E1B">
        <w:rPr>
          <w:rFonts w:asciiTheme="minorHAnsi" w:hAnsiTheme="minorHAnsi" w:cstheme="minorHAnsi"/>
          <w:sz w:val="22"/>
          <w:szCs w:val="22"/>
        </w:rPr>
        <w:fldChar w:fldCharType="end"/>
      </w:r>
      <w:r w:rsidR="005012D4">
        <w:rPr>
          <w:rFonts w:asciiTheme="minorHAnsi" w:hAnsiTheme="minorHAnsi" w:cstheme="minorHAnsi"/>
          <w:sz w:val="22"/>
          <w:szCs w:val="22"/>
        </w:rPr>
        <w:t xml:space="preserve">. </w:t>
      </w:r>
      <w:r w:rsidR="009C3229">
        <w:rPr>
          <w:rFonts w:asciiTheme="minorHAnsi" w:hAnsiTheme="minorHAnsi" w:cstheme="minorHAnsi"/>
          <w:sz w:val="22"/>
          <w:szCs w:val="22"/>
        </w:rPr>
        <w:t xml:space="preserve">All </w:t>
      </w:r>
      <w:r w:rsidR="00CD1ED2">
        <w:rPr>
          <w:rFonts w:asciiTheme="minorHAnsi" w:hAnsiTheme="minorHAnsi" w:cstheme="minorHAnsi"/>
          <w:sz w:val="22"/>
          <w:szCs w:val="22"/>
        </w:rPr>
        <w:t>biomass conversion and expansion factors</w:t>
      </w:r>
      <w:r w:rsidR="009C3229">
        <w:rPr>
          <w:rFonts w:asciiTheme="minorHAnsi" w:hAnsiTheme="minorHAnsi" w:cstheme="minorHAnsi"/>
          <w:sz w:val="22"/>
          <w:szCs w:val="22"/>
        </w:rPr>
        <w:t xml:space="preserve"> </w:t>
      </w:r>
      <w:r w:rsidR="006420D9">
        <w:rPr>
          <w:rFonts w:asciiTheme="minorHAnsi" w:hAnsiTheme="minorHAnsi" w:cstheme="minorHAnsi"/>
          <w:sz w:val="22"/>
          <w:szCs w:val="22"/>
        </w:rPr>
        <w:t>are taken</w:t>
      </w:r>
      <w:r w:rsidR="009C3229">
        <w:rPr>
          <w:rFonts w:asciiTheme="minorHAnsi" w:hAnsiTheme="minorHAnsi" w:cstheme="minorHAnsi"/>
          <w:sz w:val="22"/>
          <w:szCs w:val="22"/>
        </w:rPr>
        <w:t xml:space="preserve"> </w:t>
      </w:r>
      <w:r w:rsidR="00113A93">
        <w:rPr>
          <w:rFonts w:asciiTheme="minorHAnsi" w:hAnsiTheme="minorHAnsi" w:cstheme="minorHAnsi"/>
          <w:sz w:val="22"/>
          <w:szCs w:val="22"/>
        </w:rPr>
        <w:t xml:space="preserve">from </w:t>
      </w:r>
      <w:r w:rsidR="00113A93">
        <w:rPr>
          <w:rFonts w:asciiTheme="minorHAnsi" w:hAnsiTheme="minorHAnsi" w:cstheme="minorHAnsi"/>
          <w:sz w:val="22"/>
          <w:szCs w:val="22"/>
        </w:rPr>
        <w:fldChar w:fldCharType="begin"/>
      </w:r>
      <w:r w:rsidR="001807AB">
        <w:rPr>
          <w:rFonts w:asciiTheme="minorHAnsi" w:hAnsiTheme="minorHAnsi" w:cstheme="minorHAnsi"/>
          <w:sz w:val="22"/>
          <w:szCs w:val="22"/>
        </w:rPr>
        <w:instrText xml:space="preserve"> ADDIN ZOTERO_ITEM CSL_CITATION {"citationID":"zTAmdniJ","properties":{"formattedCitation":"(IPCC, 2019)","plainCitation":"(IPCC, 2019)","dontUpdate":true,"noteIndex":0},"citationItems":[{"id":249,"uris":["http://zotero.org/users/6500992/items/SHYSXT96"],"itemData":{"id":249,"type":"book","title":"2019 Refinement to the 2006 IPCC Guidelines for National Greenhouse Gas Inventories","URL":"https://www.ipcc-nggip.iges.or.jp/public/2019rf/pdf/4_Volume4/19R_V4_Ch11_Soils_N2O_CO2.pdf","volume":"4","author":[{"family":"IPCC","given":""}],"accessed":{"date-parts":[["2020",10,16]]},"issued":{"date-parts":[["2019"]]}}}],"schema":"https://github.com/citation-style-language/schema/raw/master/csl-citation.json"} </w:instrText>
      </w:r>
      <w:r w:rsidR="00113A93">
        <w:rPr>
          <w:rFonts w:asciiTheme="minorHAnsi" w:hAnsiTheme="minorHAnsi" w:cstheme="minorHAnsi"/>
          <w:sz w:val="22"/>
          <w:szCs w:val="22"/>
        </w:rPr>
        <w:fldChar w:fldCharType="separate"/>
      </w:r>
      <w:r w:rsidR="00113A93" w:rsidRPr="00113A93">
        <w:rPr>
          <w:rFonts w:ascii="Calibri" w:hAnsi="Calibri" w:cs="Calibri"/>
          <w:sz w:val="22"/>
        </w:rPr>
        <w:t>IPCC</w:t>
      </w:r>
      <w:r w:rsidR="00CD1ED2">
        <w:rPr>
          <w:rFonts w:ascii="Calibri" w:hAnsi="Calibri" w:cs="Calibri"/>
          <w:sz w:val="22"/>
        </w:rPr>
        <w:t xml:space="preserve"> (</w:t>
      </w:r>
      <w:r w:rsidR="00113A93" w:rsidRPr="00113A93">
        <w:rPr>
          <w:rFonts w:ascii="Calibri" w:hAnsi="Calibri" w:cs="Calibri"/>
          <w:sz w:val="22"/>
        </w:rPr>
        <w:t>20</w:t>
      </w:r>
      <w:r w:rsidR="009A4E22">
        <w:rPr>
          <w:rFonts w:ascii="Calibri" w:hAnsi="Calibri" w:cs="Calibri"/>
          <w:sz w:val="22"/>
        </w:rPr>
        <w:t>06</w:t>
      </w:r>
      <w:r w:rsidR="00113A93" w:rsidRPr="00113A93">
        <w:rPr>
          <w:rFonts w:ascii="Calibri" w:hAnsi="Calibri" w:cs="Calibri"/>
          <w:sz w:val="22"/>
        </w:rPr>
        <w:t>)</w:t>
      </w:r>
      <w:r w:rsidR="00113A93">
        <w:rPr>
          <w:rFonts w:asciiTheme="minorHAnsi" w:hAnsiTheme="minorHAnsi" w:cstheme="minorHAnsi"/>
          <w:sz w:val="22"/>
          <w:szCs w:val="22"/>
        </w:rPr>
        <w:fldChar w:fldCharType="end"/>
      </w:r>
      <w:r w:rsidR="00CD1ED2">
        <w:rPr>
          <w:rFonts w:asciiTheme="minorHAnsi" w:hAnsiTheme="minorHAnsi" w:cstheme="minorHAnsi"/>
          <w:sz w:val="22"/>
          <w:szCs w:val="22"/>
        </w:rPr>
        <w:t xml:space="preserve">. </w:t>
      </w:r>
      <w:r w:rsidR="005012D4">
        <w:rPr>
          <w:rFonts w:asciiTheme="minorHAnsi" w:hAnsiTheme="minorHAnsi" w:cstheme="minorHAnsi"/>
          <w:sz w:val="22"/>
          <w:szCs w:val="22"/>
        </w:rPr>
        <w:t>F</w:t>
      </w:r>
      <w:r w:rsidR="00BD1077">
        <w:rPr>
          <w:rFonts w:asciiTheme="minorHAnsi" w:hAnsiTheme="minorHAnsi" w:cstheme="minorHAnsi"/>
          <w:sz w:val="22"/>
          <w:szCs w:val="22"/>
        </w:rPr>
        <w:t>or</w:t>
      </w:r>
      <w:r w:rsidR="00E26DA7">
        <w:rPr>
          <w:rFonts w:asciiTheme="minorHAnsi" w:hAnsiTheme="minorHAnsi" w:cstheme="minorHAnsi"/>
          <w:sz w:val="22"/>
          <w:szCs w:val="22"/>
        </w:rPr>
        <w:t xml:space="preserve"> conifer</w:t>
      </w:r>
      <w:r w:rsidR="00BD1077">
        <w:rPr>
          <w:rFonts w:asciiTheme="minorHAnsi" w:hAnsiTheme="minorHAnsi" w:cstheme="minorHAnsi"/>
          <w:sz w:val="22"/>
          <w:szCs w:val="22"/>
        </w:rPr>
        <w:t>s</w:t>
      </w:r>
      <w:r w:rsidR="006420D9">
        <w:rPr>
          <w:rFonts w:asciiTheme="minorHAnsi" w:hAnsiTheme="minorHAnsi" w:cstheme="minorHAnsi"/>
          <w:sz w:val="22"/>
          <w:szCs w:val="22"/>
        </w:rPr>
        <w:t>,</w:t>
      </w:r>
      <w:r w:rsidR="00BD1077">
        <w:rPr>
          <w:rFonts w:asciiTheme="minorHAnsi" w:hAnsiTheme="minorHAnsi" w:cstheme="minorHAnsi"/>
          <w:sz w:val="22"/>
          <w:szCs w:val="22"/>
        </w:rPr>
        <w:t xml:space="preserve"> it uses mostly IPCC</w:t>
      </w:r>
      <w:r w:rsidR="004D0787">
        <w:rPr>
          <w:rFonts w:asciiTheme="minorHAnsi" w:hAnsiTheme="minorHAnsi" w:cstheme="minorHAnsi"/>
          <w:sz w:val="22"/>
          <w:szCs w:val="22"/>
        </w:rPr>
        <w:t xml:space="preserve"> Tier I</w:t>
      </w:r>
      <w:r w:rsidR="00BD1077">
        <w:rPr>
          <w:rFonts w:asciiTheme="minorHAnsi" w:hAnsiTheme="minorHAnsi" w:cstheme="minorHAnsi"/>
          <w:sz w:val="22"/>
          <w:szCs w:val="22"/>
        </w:rPr>
        <w:t xml:space="preserve"> values</w:t>
      </w:r>
      <w:r w:rsidR="00381044">
        <w:rPr>
          <w:rFonts w:asciiTheme="minorHAnsi" w:hAnsiTheme="minorHAnsi" w:cstheme="minorHAnsi"/>
          <w:sz w:val="22"/>
          <w:szCs w:val="22"/>
        </w:rPr>
        <w:t>,</w:t>
      </w:r>
      <w:r w:rsidR="00BD1077">
        <w:rPr>
          <w:rFonts w:asciiTheme="minorHAnsi" w:hAnsiTheme="minorHAnsi" w:cstheme="minorHAnsi"/>
          <w:sz w:val="22"/>
          <w:szCs w:val="22"/>
        </w:rPr>
        <w:t xml:space="preserve"> and for broadleaf</w:t>
      </w:r>
      <w:r w:rsidR="00D32FA4">
        <w:rPr>
          <w:rFonts w:asciiTheme="minorHAnsi" w:hAnsiTheme="minorHAnsi" w:cstheme="minorHAnsi"/>
          <w:sz w:val="22"/>
          <w:szCs w:val="22"/>
        </w:rPr>
        <w:t xml:space="preserve">, </w:t>
      </w:r>
      <w:r w:rsidR="00DC72E0">
        <w:rPr>
          <w:rFonts w:asciiTheme="minorHAnsi" w:hAnsiTheme="minorHAnsi" w:cstheme="minorHAnsi"/>
          <w:sz w:val="22"/>
          <w:szCs w:val="22"/>
        </w:rPr>
        <w:t>conversion factors</w:t>
      </w:r>
      <w:r w:rsidR="00C22D1F">
        <w:rPr>
          <w:rFonts w:asciiTheme="minorHAnsi" w:hAnsiTheme="minorHAnsi" w:cstheme="minorHAnsi"/>
          <w:sz w:val="22"/>
          <w:szCs w:val="22"/>
        </w:rPr>
        <w:t xml:space="preserve"> </w:t>
      </w:r>
      <w:r w:rsidR="00C3291E">
        <w:rPr>
          <w:rFonts w:asciiTheme="minorHAnsi" w:hAnsiTheme="minorHAnsi" w:cstheme="minorHAnsi"/>
          <w:sz w:val="22"/>
          <w:szCs w:val="22"/>
        </w:rPr>
        <w:t xml:space="preserve">were taken </w:t>
      </w:r>
      <w:r w:rsidR="00C22D1F">
        <w:rPr>
          <w:rFonts w:asciiTheme="minorHAnsi" w:hAnsiTheme="minorHAnsi" w:cstheme="minorHAnsi"/>
          <w:sz w:val="22"/>
          <w:szCs w:val="22"/>
        </w:rPr>
        <w:t>from</w:t>
      </w:r>
      <w:r w:rsidR="00D32FA4">
        <w:rPr>
          <w:rFonts w:asciiTheme="minorHAnsi" w:hAnsiTheme="minorHAnsi" w:cstheme="minorHAnsi"/>
          <w:sz w:val="22"/>
          <w:szCs w:val="22"/>
        </w:rPr>
        <w:t xml:space="preserve"> </w:t>
      </w:r>
      <w:r w:rsidR="00D32FA4">
        <w:rPr>
          <w:rFonts w:asciiTheme="minorHAnsi" w:hAnsiTheme="minorHAnsi" w:cstheme="minorHAnsi"/>
          <w:sz w:val="22"/>
          <w:szCs w:val="22"/>
        </w:rPr>
        <w:fldChar w:fldCharType="begin"/>
      </w:r>
      <w:r w:rsidR="001807AB">
        <w:rPr>
          <w:rFonts w:asciiTheme="minorHAnsi" w:hAnsiTheme="minorHAnsi" w:cstheme="minorHAnsi"/>
          <w:sz w:val="22"/>
          <w:szCs w:val="22"/>
        </w:rPr>
        <w:instrText xml:space="preserve"> ADDIN ZOTERO_ITEM CSL_CITATION {"citationID":"etFwCLmu","properties":{"formattedCitation":"(Milne and Brown, 1997)","plainCitation":"(Milne and Brown, 1997)","dontUpdate":true,"noteIndex":0},"citationItems":[{"id":685,"uris":["http://zotero.org/users/6500992/items/2AZSMZPH"],"itemData":{"id":685,"type":"article-journal","container-title":"Journal of Environmental Management","DOI":"10.1006/jema.1995.0118","ISSN":"03014797","issue":"4","journalAbbreviation":"Journal of Environmental Management","language":"en","page":"413-433","source":"DOI.org (Crossref)","title":"Carbon in the Vegetation and Soils of Great Britain","volume":"49","author":[{"family":"Milne","given":"R."},{"family":"Brown","given":"T.A."}],"issued":{"date-parts":[["1997",4]]}}}],"schema":"https://github.com/citation-style-language/schema/raw/master/csl-citation.json"} </w:instrText>
      </w:r>
      <w:r w:rsidR="00D32FA4">
        <w:rPr>
          <w:rFonts w:asciiTheme="minorHAnsi" w:hAnsiTheme="minorHAnsi" w:cstheme="minorHAnsi"/>
          <w:sz w:val="22"/>
          <w:szCs w:val="22"/>
        </w:rPr>
        <w:fldChar w:fldCharType="separate"/>
      </w:r>
      <w:r w:rsidR="00D32FA4" w:rsidRPr="00D32FA4">
        <w:rPr>
          <w:rFonts w:ascii="Calibri" w:hAnsi="Calibri" w:cs="Calibri"/>
          <w:sz w:val="22"/>
        </w:rPr>
        <w:t xml:space="preserve">Milne and Brown </w:t>
      </w:r>
      <w:r w:rsidR="00C22D1F">
        <w:rPr>
          <w:rFonts w:ascii="Calibri" w:hAnsi="Calibri" w:cs="Calibri"/>
          <w:sz w:val="22"/>
        </w:rPr>
        <w:t>(</w:t>
      </w:r>
      <w:r w:rsidR="00D32FA4" w:rsidRPr="00D32FA4">
        <w:rPr>
          <w:rFonts w:ascii="Calibri" w:hAnsi="Calibri" w:cs="Calibri"/>
          <w:sz w:val="22"/>
        </w:rPr>
        <w:t>1997)</w:t>
      </w:r>
      <w:r w:rsidR="00D32FA4">
        <w:rPr>
          <w:rFonts w:asciiTheme="minorHAnsi" w:hAnsiTheme="minorHAnsi" w:cstheme="minorHAnsi"/>
          <w:sz w:val="22"/>
          <w:szCs w:val="22"/>
        </w:rPr>
        <w:fldChar w:fldCharType="end"/>
      </w:r>
      <w:r w:rsidR="00A76A09">
        <w:rPr>
          <w:rFonts w:asciiTheme="minorHAnsi" w:hAnsiTheme="minorHAnsi" w:cstheme="minorHAnsi"/>
          <w:sz w:val="22"/>
          <w:szCs w:val="22"/>
        </w:rPr>
        <w:t>,</w:t>
      </w:r>
      <w:r w:rsidR="000D330D">
        <w:rPr>
          <w:rFonts w:asciiTheme="minorHAnsi" w:hAnsiTheme="minorHAnsi" w:cstheme="minorHAnsi"/>
          <w:sz w:val="22"/>
          <w:szCs w:val="22"/>
        </w:rPr>
        <w:t xml:space="preserve"> </w:t>
      </w:r>
      <w:r>
        <w:rPr>
          <w:rFonts w:asciiTheme="minorHAnsi" w:hAnsiTheme="minorHAnsi" w:cstheme="minorHAnsi"/>
          <w:sz w:val="22"/>
          <w:szCs w:val="22"/>
        </w:rPr>
        <w:t>with</w:t>
      </w:r>
      <w:r w:rsidR="000D330D">
        <w:rPr>
          <w:rFonts w:asciiTheme="minorHAnsi" w:hAnsiTheme="minorHAnsi" w:cstheme="minorHAnsi"/>
          <w:sz w:val="22"/>
          <w:szCs w:val="22"/>
        </w:rPr>
        <w:t xml:space="preserve"> </w:t>
      </w:r>
      <w:r w:rsidR="004D1386">
        <w:rPr>
          <w:rFonts w:asciiTheme="minorHAnsi" w:hAnsiTheme="minorHAnsi" w:cstheme="minorHAnsi"/>
          <w:sz w:val="22"/>
          <w:szCs w:val="22"/>
        </w:rPr>
        <w:t xml:space="preserve">above to below ground biomass ratios </w:t>
      </w:r>
      <w:r w:rsidR="0023401D">
        <w:rPr>
          <w:rFonts w:asciiTheme="minorHAnsi" w:hAnsiTheme="minorHAnsi" w:cstheme="minorHAnsi"/>
          <w:sz w:val="22"/>
          <w:szCs w:val="22"/>
        </w:rPr>
        <w:t xml:space="preserve">from </w:t>
      </w:r>
      <w:r w:rsidR="00E12422">
        <w:rPr>
          <w:rFonts w:asciiTheme="minorHAnsi" w:hAnsiTheme="minorHAnsi" w:cstheme="minorHAnsi"/>
          <w:sz w:val="22"/>
          <w:szCs w:val="22"/>
        </w:rPr>
        <w:fldChar w:fldCharType="begin"/>
      </w:r>
      <w:r w:rsidR="001807AB">
        <w:rPr>
          <w:rFonts w:asciiTheme="minorHAnsi" w:hAnsiTheme="minorHAnsi" w:cstheme="minorHAnsi"/>
          <w:sz w:val="22"/>
          <w:szCs w:val="22"/>
        </w:rPr>
        <w:instrText xml:space="preserve"> ADDIN ZOTERO_ITEM CSL_CITATION {"citationID":"qjzL3hDT","properties":{"formattedCitation":"(Mokany et al., 2006)","plainCitation":"(Mokany et al., 2006)","dontUpdate":true,"noteIndex":0},"citationItems":[{"id":682,"uris":["http://zotero.org/users/6500992/items/6GTBNXLS"],"itemData":{"id":682,"type":"article-journal","abstract":"One of the most common descriptors of the relationship between root and shoot biomass is the root : shoot ratio, which has become a core method for estimating root biomass from the more easily measured shoot biomass. Previous reviews have examined root : shoot ratio data, but have only considered particular vegetation types and have not always critically reviewed the data used. Reliable root : shoot ratios are needed for a wide range of vegetation types in order to improve the accuracy of root biomass estimates, including those required for estimating the effects of land management and land use change in National Greenhouse Gas Inventories. This study reviewed root : shoot ratios in terrestrial biomes. A key facet of our analysis was a critical methodological review, through which unreliable data were identified and omitted on the basis of specific criteria. Of the 786 root : shoot ratio observations collated, 62% were omitted because of inadequate or unverifiable root sampling methods. When only the reliable data were examined, root : shoot ratios were found to be negatively related to shoot biomass, mean annual precipitation, mean annual temperature, forest stand age, and forest stand height. Although a single allometric equation derived in this study reliably predicted root biomass from shoot biomass for forests and woodlands, in general, the use of vegetation-specific root : shoot ratios were found to be a more accurate method for predicting root biomass. When the root : shoot ratio data collated here were applied to an analysis of the global carbon budget, there was a 50% increase in estimated global root carbon stock, and a 12% increase in estimated total carbon stock of terrestrial vegetation. The use of the vegetation-specific root : shoot ratios presented in this study is likely to substantially improve the accuracy of root biomass estimates for purposes such as carbon accounting and for studies of ecosystem dynamics.","container-title":"Global Change Biology","DOI":"https://doi.org/10.1111/j.1365-2486.2005.001043.x","ISSN":"1365-2486","issue":"1","language":"en","note":"_eprint: https://onlinelibrary.wiley.com/doi/pdf/10.1111/j.1365-2486.2005.001043.x","page":"84-96","source":"Wiley Online Library","title":"Critical analysis of root : shoot ratios in terrestrial biomes","title-short":"Critical analysis of root","volume":"12","author":[{"family":"Mokany","given":"Karel"},{"family":"Raison","given":"R. John"},{"family":"Prokushkin","given":"Anatoly S."}],"issued":{"date-parts":[["2006"]]}}}],"schema":"https://github.com/citation-style-language/schema/raw/master/csl-citation.json"} </w:instrText>
      </w:r>
      <w:r w:rsidR="00E12422">
        <w:rPr>
          <w:rFonts w:asciiTheme="minorHAnsi" w:hAnsiTheme="minorHAnsi" w:cstheme="minorHAnsi"/>
          <w:sz w:val="22"/>
          <w:szCs w:val="22"/>
        </w:rPr>
        <w:fldChar w:fldCharType="separate"/>
      </w:r>
      <w:r w:rsidR="00E12422" w:rsidRPr="00E12422">
        <w:rPr>
          <w:rFonts w:ascii="Calibri" w:hAnsi="Calibri" w:cs="Calibri"/>
          <w:sz w:val="22"/>
        </w:rPr>
        <w:t xml:space="preserve">Mokany et al. </w:t>
      </w:r>
      <w:r w:rsidR="0063683D">
        <w:rPr>
          <w:rFonts w:ascii="Calibri" w:hAnsi="Calibri" w:cs="Calibri"/>
          <w:sz w:val="22"/>
        </w:rPr>
        <w:t>(</w:t>
      </w:r>
      <w:r w:rsidR="00E12422" w:rsidRPr="00E12422">
        <w:rPr>
          <w:rFonts w:ascii="Calibri" w:hAnsi="Calibri" w:cs="Calibri"/>
          <w:sz w:val="22"/>
        </w:rPr>
        <w:t>2006)</w:t>
      </w:r>
      <w:r w:rsidR="00E12422">
        <w:rPr>
          <w:rFonts w:asciiTheme="minorHAnsi" w:hAnsiTheme="minorHAnsi" w:cstheme="minorHAnsi"/>
          <w:sz w:val="22"/>
          <w:szCs w:val="22"/>
        </w:rPr>
        <w:fldChar w:fldCharType="end"/>
      </w:r>
      <w:r w:rsidR="000D330D">
        <w:rPr>
          <w:rFonts w:asciiTheme="minorHAnsi" w:hAnsiTheme="minorHAnsi" w:cstheme="minorHAnsi"/>
          <w:sz w:val="22"/>
          <w:szCs w:val="22"/>
        </w:rPr>
        <w:t>.</w:t>
      </w:r>
      <w:r w:rsidR="00E928BA">
        <w:rPr>
          <w:rFonts w:asciiTheme="minorHAnsi" w:hAnsiTheme="minorHAnsi" w:cstheme="minorHAnsi"/>
          <w:sz w:val="22"/>
          <w:szCs w:val="22"/>
        </w:rPr>
        <w:t xml:space="preserve"> </w:t>
      </w:r>
      <w:r w:rsidR="0089673B">
        <w:rPr>
          <w:rFonts w:asciiTheme="minorHAnsi" w:hAnsiTheme="minorHAnsi" w:cstheme="minorHAnsi"/>
          <w:sz w:val="22"/>
          <w:szCs w:val="22"/>
        </w:rPr>
        <w:t>Hedge sequestration is calculated as</w:t>
      </w:r>
      <w:r w:rsidR="00972327">
        <w:rPr>
          <w:rFonts w:asciiTheme="minorHAnsi" w:hAnsiTheme="minorHAnsi" w:cstheme="minorHAnsi"/>
          <w:sz w:val="22"/>
          <w:szCs w:val="22"/>
        </w:rPr>
        <w:t xml:space="preserve"> </w:t>
      </w:r>
      <w:r w:rsidR="00972327" w:rsidRPr="00825835">
        <w:rPr>
          <w:rFonts w:asciiTheme="minorHAnsi" w:hAnsiTheme="minorHAnsi" w:cstheme="minorHAnsi"/>
          <w:sz w:val="22"/>
          <w:szCs w:val="22"/>
        </w:rPr>
        <w:t>the</w:t>
      </w:r>
      <w:r w:rsidR="0089673B" w:rsidRPr="00825835">
        <w:rPr>
          <w:rFonts w:asciiTheme="minorHAnsi" w:hAnsiTheme="minorHAnsi" w:cstheme="minorHAnsi"/>
          <w:sz w:val="22"/>
          <w:szCs w:val="22"/>
        </w:rPr>
        <w:t xml:space="preserve"> area not </w:t>
      </w:r>
      <w:r w:rsidR="000F1678" w:rsidRPr="00825835">
        <w:rPr>
          <w:rFonts w:asciiTheme="minorHAnsi" w:hAnsiTheme="minorHAnsi" w:cstheme="minorHAnsi"/>
          <w:sz w:val="22"/>
          <w:szCs w:val="22"/>
        </w:rPr>
        <w:t>cut in the sam</w:t>
      </w:r>
      <w:r w:rsidR="00BD276D" w:rsidRPr="00825835">
        <w:rPr>
          <w:rFonts w:asciiTheme="minorHAnsi" w:hAnsiTheme="minorHAnsi" w:cstheme="minorHAnsi"/>
          <w:sz w:val="22"/>
          <w:szCs w:val="22"/>
        </w:rPr>
        <w:t>ple</w:t>
      </w:r>
      <w:r w:rsidR="000F1678" w:rsidRPr="00825835">
        <w:rPr>
          <w:rFonts w:asciiTheme="minorHAnsi" w:hAnsiTheme="minorHAnsi" w:cstheme="minorHAnsi"/>
          <w:sz w:val="22"/>
          <w:szCs w:val="22"/>
        </w:rPr>
        <w:t xml:space="preserve"> year</w:t>
      </w:r>
      <w:r w:rsidR="0089673B" w:rsidRPr="00825835">
        <w:rPr>
          <w:rFonts w:asciiTheme="minorHAnsi" w:hAnsiTheme="minorHAnsi" w:cstheme="minorHAnsi"/>
          <w:sz w:val="22"/>
          <w:szCs w:val="22"/>
        </w:rPr>
        <w:t xml:space="preserve"> </w:t>
      </w:r>
      <w:r w:rsidR="002171DF" w:rsidRPr="00825835">
        <w:rPr>
          <w:rFonts w:asciiTheme="minorHAnsi" w:hAnsiTheme="minorHAnsi" w:cstheme="minorHAnsi"/>
          <w:sz w:val="22"/>
          <w:szCs w:val="22"/>
        </w:rPr>
        <w:t>(</w:t>
      </w:r>
      <w:r w:rsidR="00381044" w:rsidRPr="00825835">
        <w:rPr>
          <w:rFonts w:asciiTheme="minorHAnsi" w:hAnsiTheme="minorHAnsi" w:cstheme="minorHAnsi"/>
          <w:sz w:val="22"/>
          <w:szCs w:val="22"/>
        </w:rPr>
        <w:t xml:space="preserve">as they are </w:t>
      </w:r>
      <w:r w:rsidR="002171DF" w:rsidRPr="00825835">
        <w:rPr>
          <w:rFonts w:asciiTheme="minorHAnsi" w:hAnsiTheme="minorHAnsi" w:cstheme="minorHAnsi"/>
          <w:sz w:val="22"/>
          <w:szCs w:val="22"/>
        </w:rPr>
        <w:t>considered to be in equilibrium</w:t>
      </w:r>
      <w:r w:rsidR="00A76A09" w:rsidRPr="00825835">
        <w:rPr>
          <w:rFonts w:asciiTheme="minorHAnsi" w:hAnsiTheme="minorHAnsi" w:cstheme="minorHAnsi"/>
          <w:sz w:val="22"/>
          <w:szCs w:val="22"/>
        </w:rPr>
        <w:t xml:space="preserve"> </w:t>
      </w:r>
      <w:r w:rsidR="00B57A8D" w:rsidRPr="00825835">
        <w:rPr>
          <w:rFonts w:asciiTheme="minorHAnsi" w:hAnsiTheme="minorHAnsi" w:cstheme="minorHAnsi"/>
          <w:sz w:val="22"/>
          <w:szCs w:val="22"/>
        </w:rPr>
        <w:fldChar w:fldCharType="begin"/>
      </w:r>
      <w:r w:rsidR="00B57A8D" w:rsidRPr="00825835">
        <w:rPr>
          <w:rFonts w:asciiTheme="minorHAnsi" w:hAnsiTheme="minorHAnsi" w:cstheme="minorHAnsi"/>
          <w:sz w:val="22"/>
          <w:szCs w:val="22"/>
        </w:rPr>
        <w:instrText xml:space="preserve"> ADDIN ZOTERO_ITEM CSL_CITATION {"citationID":"yu4J33cd","properties":{"formattedCitation":"(Axe, 2018)","plainCitation":"(Axe, 2018)","noteIndex":0},"citationItems":[{"id":1098,"uris":["http://zotero.org/users/6500992/items/XPSLULRB"],"itemData":{"id":1098,"type":"paper-conference","container-title":"European Agroforestry Conference-Agroforestry as Sustainable Land Use, 4th","publisher":"EURAF","source":"Google Scholar","title":"Hedgerow agroforestry in England and Wales: increasing width to sequester additional carbon","title-short":"Hedgerow agroforestry in England and Wales","author":[{"family":"Axe","given":"M. S."}],"issued":{"date-parts":[["2018"]]}}}],"schema":"https://github.com/citation-style-language/schema/raw/master/csl-citation.json"} </w:instrText>
      </w:r>
      <w:r w:rsidR="00B57A8D" w:rsidRPr="00825835">
        <w:rPr>
          <w:rFonts w:asciiTheme="minorHAnsi" w:hAnsiTheme="minorHAnsi" w:cstheme="minorHAnsi"/>
          <w:sz w:val="22"/>
          <w:szCs w:val="22"/>
        </w:rPr>
        <w:fldChar w:fldCharType="separate"/>
      </w:r>
      <w:r w:rsidR="00A573B5" w:rsidRPr="00A573B5">
        <w:rPr>
          <w:rFonts w:ascii="Calibri" w:hAnsi="Calibri" w:cs="Calibri"/>
          <w:sz w:val="22"/>
        </w:rPr>
        <w:t>(Axe, 2018)</w:t>
      </w:r>
      <w:r w:rsidR="00B57A8D" w:rsidRPr="00825835">
        <w:rPr>
          <w:rFonts w:asciiTheme="minorHAnsi" w:hAnsiTheme="minorHAnsi" w:cstheme="minorHAnsi"/>
          <w:sz w:val="22"/>
          <w:szCs w:val="22"/>
        </w:rPr>
        <w:fldChar w:fldCharType="end"/>
      </w:r>
      <w:r w:rsidR="002171DF" w:rsidRPr="00825835">
        <w:rPr>
          <w:rFonts w:asciiTheme="minorHAnsi" w:hAnsiTheme="minorHAnsi" w:cstheme="minorHAnsi"/>
          <w:sz w:val="22"/>
          <w:szCs w:val="22"/>
        </w:rPr>
        <w:t xml:space="preserve">) </w:t>
      </w:r>
      <w:r w:rsidR="0089673B" w:rsidRPr="00825835">
        <w:rPr>
          <w:rFonts w:asciiTheme="minorHAnsi" w:hAnsiTheme="minorHAnsi" w:cstheme="minorHAnsi"/>
          <w:sz w:val="22"/>
          <w:szCs w:val="22"/>
        </w:rPr>
        <w:t>and</w:t>
      </w:r>
      <w:r w:rsidR="009B7EB5">
        <w:rPr>
          <w:rFonts w:asciiTheme="minorHAnsi" w:hAnsiTheme="minorHAnsi" w:cstheme="minorHAnsi"/>
          <w:sz w:val="22"/>
          <w:szCs w:val="22"/>
        </w:rPr>
        <w:t xml:space="preserve"> biomass</w:t>
      </w:r>
      <w:r w:rsidR="00313642">
        <w:rPr>
          <w:rFonts w:asciiTheme="minorHAnsi" w:hAnsiTheme="minorHAnsi" w:cstheme="minorHAnsi"/>
          <w:sz w:val="22"/>
          <w:szCs w:val="22"/>
        </w:rPr>
        <w:t xml:space="preserve"> sequestration</w:t>
      </w:r>
      <w:r w:rsidR="009B7EB5">
        <w:rPr>
          <w:rFonts w:asciiTheme="minorHAnsi" w:hAnsiTheme="minorHAnsi" w:cstheme="minorHAnsi"/>
          <w:sz w:val="22"/>
          <w:szCs w:val="22"/>
        </w:rPr>
        <w:t xml:space="preserve"> </w:t>
      </w:r>
      <w:r w:rsidR="004365CA">
        <w:rPr>
          <w:rFonts w:asciiTheme="minorHAnsi" w:hAnsiTheme="minorHAnsi" w:cstheme="minorHAnsi"/>
          <w:sz w:val="22"/>
          <w:szCs w:val="22"/>
        </w:rPr>
        <w:t>rates are</w:t>
      </w:r>
      <w:r w:rsidR="009B7EB5">
        <w:rPr>
          <w:rFonts w:asciiTheme="minorHAnsi" w:hAnsiTheme="minorHAnsi" w:cstheme="minorHAnsi"/>
          <w:sz w:val="22"/>
          <w:szCs w:val="22"/>
        </w:rPr>
        <w:t xml:space="preserve"> assumed to </w:t>
      </w:r>
      <w:r w:rsidR="00313642">
        <w:rPr>
          <w:rFonts w:asciiTheme="minorHAnsi" w:hAnsiTheme="minorHAnsi" w:cstheme="minorHAnsi"/>
          <w:sz w:val="22"/>
          <w:szCs w:val="22"/>
        </w:rPr>
        <w:t xml:space="preserve">be </w:t>
      </w:r>
      <w:r w:rsidR="00F70217">
        <w:rPr>
          <w:rFonts w:asciiTheme="minorHAnsi" w:hAnsiTheme="minorHAnsi" w:cstheme="minorHAnsi"/>
          <w:sz w:val="22"/>
          <w:szCs w:val="22"/>
        </w:rPr>
        <w:t xml:space="preserve">equivalent </w:t>
      </w:r>
      <w:r w:rsidR="00313642">
        <w:rPr>
          <w:rFonts w:asciiTheme="minorHAnsi" w:hAnsiTheme="minorHAnsi" w:cstheme="minorHAnsi"/>
          <w:sz w:val="22"/>
          <w:szCs w:val="22"/>
        </w:rPr>
        <w:t>to</w:t>
      </w:r>
      <w:r w:rsidR="007A1478">
        <w:rPr>
          <w:rFonts w:asciiTheme="minorHAnsi" w:hAnsiTheme="minorHAnsi" w:cstheme="minorHAnsi"/>
          <w:sz w:val="22"/>
          <w:szCs w:val="22"/>
        </w:rPr>
        <w:t xml:space="preserve"> short rotation coppice using values from </w:t>
      </w:r>
      <w:r w:rsidR="007A1478">
        <w:rPr>
          <w:rFonts w:asciiTheme="minorHAnsi" w:hAnsiTheme="minorHAnsi" w:cstheme="minorHAnsi"/>
          <w:sz w:val="22"/>
          <w:szCs w:val="22"/>
        </w:rPr>
        <w:fldChar w:fldCharType="begin"/>
      </w:r>
      <w:r w:rsidR="001807AB">
        <w:rPr>
          <w:rFonts w:asciiTheme="minorHAnsi" w:hAnsiTheme="minorHAnsi" w:cstheme="minorHAnsi"/>
          <w:sz w:val="22"/>
          <w:szCs w:val="22"/>
        </w:rPr>
        <w:instrText xml:space="preserve"> ADDIN ZOTERO_ITEM CSL_CITATION {"citationID":"S5znYmSB","properties":{"formattedCitation":"(Laureysens et al., 2003)","plainCitation":"(Laureysens et al., 2003)","dontUpdate":true,"noteIndex":0},"citationItems":[{"id":894,"uris":["http://zotero.org/users/6500992/items/RWEQH4CF"],"itemData":{"id":894,"type":"article-journal","abstract":"Poplar trees have the capacity to regrow a number of shoots after being coppiced. In April 1996, a high density field trial with 17 different poplar (Populus) clones was established in Boom (Belgium) on a former waste disposal site. At the end of the establishment year (December 1996), all plants were cut back to a height of 5cm to create a coppice culture. Four years after the first coppicing in January 2001, the stand was cut back again. During 6 years (1996–2001), shoot diameters and number of stools and shoots were assessed every year for all clones. Before the second coppicing, biomass production of all clones was estimated. Significant clonal differences were found in stool mortality, number of shoots per stool and biomass production. After 6 years (December 2001), stool mortality averaged 7–65%. After the first coppicing (1997), the average number of shoots ranged between three and seven shoots per stool; after the second coppicing, the average number of shoots ranged between 8 and 19 shoots per stool. During the 4 years following the first coppicing, shoot density decreased exponentially, leaving mostly one or two dominant shoots per stool by the end of 2000. The other shoots had no significant influence on stool dry mass, since most of the surviving shoots were suppressed and small and made little contribution to total dry mass. The diameter of the dominant shoot(s) was the most important determinant of stool dry mass. Mean annual biomass production ranged from 2 to 11Mgha−1.","container-title":"Biomass and Bioenergy","DOI":"10.1016/S0961-9534(02)00105-8","ISSN":"0961-9534","issue":"2","journalAbbreviation":"Biomass and Bioenergy","language":"en","page":"81-95","source":"ScienceDirect","title":"Population dynamics in a 6-year old coppice culture of poplar. I. Clonal differences in stool mortality, shoot dynamics and shoot diameter distribution in relation to biomass production","volume":"24","author":[{"family":"Laureysens","given":"I"},{"family":"Deraedt","given":"W"},{"family":"Indeherberge","given":"T"},{"family":"Ceulemans","given":"R"}],"issued":{"date-parts":[["2003",2,1]]}}}],"schema":"https://github.com/citation-style-language/schema/raw/master/csl-citation.json"} </w:instrText>
      </w:r>
      <w:r w:rsidR="007A1478">
        <w:rPr>
          <w:rFonts w:asciiTheme="minorHAnsi" w:hAnsiTheme="minorHAnsi" w:cstheme="minorHAnsi"/>
          <w:sz w:val="22"/>
          <w:szCs w:val="22"/>
        </w:rPr>
        <w:fldChar w:fldCharType="separate"/>
      </w:r>
      <w:r w:rsidR="007A1478" w:rsidRPr="007A1478">
        <w:rPr>
          <w:rFonts w:ascii="Calibri" w:hAnsi="Calibri" w:cs="Calibri"/>
          <w:sz w:val="22"/>
        </w:rPr>
        <w:t xml:space="preserve">Laureysens et al. </w:t>
      </w:r>
      <w:r w:rsidR="007A1478">
        <w:rPr>
          <w:rFonts w:ascii="Calibri" w:hAnsi="Calibri" w:cs="Calibri"/>
          <w:sz w:val="22"/>
        </w:rPr>
        <w:t>(</w:t>
      </w:r>
      <w:r w:rsidR="007A1478" w:rsidRPr="007A1478">
        <w:rPr>
          <w:rFonts w:ascii="Calibri" w:hAnsi="Calibri" w:cs="Calibri"/>
          <w:sz w:val="22"/>
        </w:rPr>
        <w:t>2003)</w:t>
      </w:r>
      <w:r w:rsidR="007A1478">
        <w:rPr>
          <w:rFonts w:asciiTheme="minorHAnsi" w:hAnsiTheme="minorHAnsi" w:cstheme="minorHAnsi"/>
          <w:sz w:val="22"/>
          <w:szCs w:val="22"/>
        </w:rPr>
        <w:fldChar w:fldCharType="end"/>
      </w:r>
      <w:r>
        <w:rPr>
          <w:rFonts w:asciiTheme="minorHAnsi" w:hAnsiTheme="minorHAnsi" w:cstheme="minorHAnsi"/>
          <w:sz w:val="22"/>
          <w:szCs w:val="22"/>
        </w:rPr>
        <w:t>.</w:t>
      </w:r>
    </w:p>
    <w:p w14:paraId="7498247E" w14:textId="77777777" w:rsidR="00C63BDF" w:rsidRPr="000D330D" w:rsidRDefault="00C63BDF" w:rsidP="00BA3E62">
      <w:pPr>
        <w:spacing w:line="360" w:lineRule="auto"/>
        <w:jc w:val="both"/>
        <w:rPr>
          <w:rFonts w:asciiTheme="minorHAnsi" w:hAnsiTheme="minorHAnsi" w:cstheme="minorHAnsi"/>
          <w:sz w:val="22"/>
          <w:szCs w:val="22"/>
        </w:rPr>
      </w:pPr>
    </w:p>
    <w:p w14:paraId="797D996D" w14:textId="3D5E1026" w:rsidR="00E242C6" w:rsidRDefault="00D2319A" w:rsidP="00BA3E62">
      <w:pPr>
        <w:spacing w:line="360" w:lineRule="auto"/>
        <w:jc w:val="both"/>
        <w:rPr>
          <w:rFonts w:asciiTheme="minorHAnsi" w:hAnsiTheme="minorHAnsi" w:cstheme="minorHAnsi"/>
          <w:sz w:val="22"/>
          <w:szCs w:val="22"/>
        </w:rPr>
      </w:pPr>
      <w:r w:rsidRPr="008D6A45">
        <w:rPr>
          <w:rFonts w:asciiTheme="minorHAnsi" w:hAnsiTheme="minorHAnsi" w:cstheme="minorHAnsi"/>
          <w:sz w:val="22"/>
          <w:szCs w:val="22"/>
        </w:rPr>
        <w:t xml:space="preserve">In terms of soil carbon sequestration, all values were taken from </w:t>
      </w:r>
      <w:r w:rsidR="005B4255" w:rsidRPr="008D6A45">
        <w:rPr>
          <w:rFonts w:asciiTheme="minorHAnsi" w:hAnsiTheme="minorHAnsi" w:cstheme="minorHAnsi"/>
          <w:sz w:val="22"/>
          <w:szCs w:val="22"/>
        </w:rPr>
        <w:fldChar w:fldCharType="begin"/>
      </w:r>
      <w:r w:rsidR="001807AB">
        <w:rPr>
          <w:rFonts w:asciiTheme="minorHAnsi" w:hAnsiTheme="minorHAnsi" w:cstheme="minorHAnsi"/>
          <w:sz w:val="22"/>
          <w:szCs w:val="22"/>
        </w:rPr>
        <w:instrText xml:space="preserve"> ADDIN ZOTERO_ITEM CSL_CITATION {"citationID":"zDR6UhAF","properties":{"formattedCitation":"(Janssens et al., 2005)","plainCitation":"(Janssens et al., 2005)","dontUpdate":true,"noteIndex":0},"citationItems":[{"id":126,"uris":["http://zotero.org/users/6500992/items/KHKXU3HF"],"itemData":{"id":126,"type":"article-journal","abstract":"We summed estimates of the carbon balance of forests, grasslands, arable lands and peatlands to obtain country-speciﬁc estimates of the terrestrial carbon balance during the 1990s. Forests and grasslands were a net sink for carbon, whereas croplands were carbon sources in all European countries. Hence, countries dominated by arable lands tended to be losing carbon from their terrestrial ecosystems, whereas forest-dominated countries tended to be sequestering carbon. In some countries, draining and extraction of peatlands caused substantial reductions in the net carbon balance.","container-title":"Biogeosciences","DOI":"10.5194/bg-2-15-2005","ISSN":"1726-4189","issue":"1","journalAbbreviation":"Biogeosciences","language":"en","page":"15-26","source":"DOI.org (Crossref)","title":"The carbon budget of terrestrial ecosystems at country-scale – a European case study","volume":"2","author":[{"family":"Janssens","given":"I. A."},{"family":"Freibauer","given":"A."},{"family":"Schlamadinger","given":"B."},{"family":"Ceulemans","given":"R."},{"family":"Ciais","given":"P."},{"family":"Dolman","given":"A. J."},{"family":"Heimann","given":"M."},{"family":"Nabuurs","given":"G.-J."},{"family":"Smith","given":"P."},{"family":"Valentini","given":"R."},{"family":"Schulze","given":"E.-D."}],"issued":{"date-parts":[["2005",2,17]]}}}],"schema":"https://github.com/citation-style-language/schema/raw/master/csl-citation.json"} </w:instrText>
      </w:r>
      <w:r w:rsidR="005B4255" w:rsidRPr="008D6A45">
        <w:rPr>
          <w:rFonts w:asciiTheme="minorHAnsi" w:hAnsiTheme="minorHAnsi" w:cstheme="minorHAnsi"/>
          <w:sz w:val="22"/>
          <w:szCs w:val="22"/>
        </w:rPr>
        <w:fldChar w:fldCharType="separate"/>
      </w:r>
      <w:r w:rsidR="005B4255" w:rsidRPr="008D6A45">
        <w:rPr>
          <w:rFonts w:ascii="Calibri" w:hAnsi="Calibri" w:cs="Calibri"/>
          <w:sz w:val="22"/>
        </w:rPr>
        <w:t>Janssens et al.</w:t>
      </w:r>
      <w:r w:rsidR="00D66A3A" w:rsidRPr="008D6A45">
        <w:rPr>
          <w:rFonts w:ascii="Calibri" w:hAnsi="Calibri" w:cs="Calibri"/>
          <w:sz w:val="22"/>
        </w:rPr>
        <w:t xml:space="preserve"> (</w:t>
      </w:r>
      <w:r w:rsidR="005B4255" w:rsidRPr="008D6A45">
        <w:rPr>
          <w:rFonts w:ascii="Calibri" w:hAnsi="Calibri" w:cs="Calibri"/>
          <w:sz w:val="22"/>
        </w:rPr>
        <w:t>2005)</w:t>
      </w:r>
      <w:r w:rsidR="005B4255" w:rsidRPr="008D6A45">
        <w:rPr>
          <w:rFonts w:asciiTheme="minorHAnsi" w:hAnsiTheme="minorHAnsi" w:cstheme="minorHAnsi"/>
          <w:sz w:val="22"/>
          <w:szCs w:val="22"/>
        </w:rPr>
        <w:fldChar w:fldCharType="end"/>
      </w:r>
      <w:r w:rsidR="00307B90">
        <w:rPr>
          <w:rFonts w:asciiTheme="minorHAnsi" w:hAnsiTheme="minorHAnsi" w:cstheme="minorHAnsi"/>
          <w:sz w:val="22"/>
          <w:szCs w:val="22"/>
        </w:rPr>
        <w:t>,</w:t>
      </w:r>
      <w:r w:rsidR="009E58FF" w:rsidRPr="008D6A45">
        <w:rPr>
          <w:rFonts w:asciiTheme="minorHAnsi" w:hAnsiTheme="minorHAnsi" w:cstheme="minorHAnsi"/>
          <w:sz w:val="22"/>
          <w:szCs w:val="22"/>
        </w:rPr>
        <w:t xml:space="preserve"> </w:t>
      </w:r>
      <w:r w:rsidR="00307B90">
        <w:rPr>
          <w:rFonts w:asciiTheme="minorHAnsi" w:hAnsiTheme="minorHAnsi" w:cstheme="minorHAnsi"/>
          <w:sz w:val="22"/>
          <w:szCs w:val="22"/>
        </w:rPr>
        <w:t>u</w:t>
      </w:r>
      <w:r w:rsidR="00A76A09">
        <w:rPr>
          <w:rFonts w:asciiTheme="minorHAnsi" w:hAnsiTheme="minorHAnsi" w:cstheme="minorHAnsi"/>
          <w:sz w:val="22"/>
          <w:szCs w:val="22"/>
        </w:rPr>
        <w:t xml:space="preserve">sing </w:t>
      </w:r>
      <w:r w:rsidR="00307B90">
        <w:rPr>
          <w:rFonts w:asciiTheme="minorHAnsi" w:hAnsiTheme="minorHAnsi" w:cstheme="minorHAnsi"/>
          <w:sz w:val="22"/>
          <w:szCs w:val="22"/>
        </w:rPr>
        <w:t xml:space="preserve">the </w:t>
      </w:r>
      <w:r w:rsidR="004D0787">
        <w:rPr>
          <w:rFonts w:asciiTheme="minorHAnsi" w:hAnsiTheme="minorHAnsi" w:cstheme="minorHAnsi"/>
          <w:sz w:val="22"/>
          <w:szCs w:val="22"/>
        </w:rPr>
        <w:t xml:space="preserve">IPCC </w:t>
      </w:r>
      <w:r w:rsidR="00A76A09">
        <w:rPr>
          <w:rFonts w:asciiTheme="minorHAnsi" w:hAnsiTheme="minorHAnsi" w:cstheme="minorHAnsi"/>
          <w:sz w:val="22"/>
          <w:szCs w:val="22"/>
        </w:rPr>
        <w:t>Tier 1 methodology</w:t>
      </w:r>
      <w:r w:rsidR="00307B90">
        <w:rPr>
          <w:rFonts w:asciiTheme="minorHAnsi" w:hAnsiTheme="minorHAnsi" w:cstheme="minorHAnsi"/>
          <w:sz w:val="22"/>
          <w:szCs w:val="22"/>
        </w:rPr>
        <w:t>.</w:t>
      </w:r>
      <w:r w:rsidR="00A76A09">
        <w:rPr>
          <w:rFonts w:asciiTheme="minorHAnsi" w:hAnsiTheme="minorHAnsi" w:cstheme="minorHAnsi"/>
          <w:sz w:val="22"/>
          <w:szCs w:val="22"/>
        </w:rPr>
        <w:t xml:space="preserve"> </w:t>
      </w:r>
      <w:r w:rsidR="009B0753">
        <w:rPr>
          <w:rFonts w:asciiTheme="minorHAnsi" w:hAnsiTheme="minorHAnsi" w:cstheme="minorHAnsi"/>
          <w:sz w:val="22"/>
          <w:szCs w:val="22"/>
        </w:rPr>
        <w:t>Under Tier 1 methodology, s</w:t>
      </w:r>
      <w:r w:rsidR="00B75B92" w:rsidRPr="008D6A45">
        <w:rPr>
          <w:rFonts w:asciiTheme="minorHAnsi" w:hAnsiTheme="minorHAnsi" w:cstheme="minorHAnsi"/>
          <w:sz w:val="22"/>
          <w:szCs w:val="22"/>
        </w:rPr>
        <w:t xml:space="preserve">oil carbon </w:t>
      </w:r>
      <w:r w:rsidR="004365CA" w:rsidRPr="008D6A45">
        <w:rPr>
          <w:rFonts w:asciiTheme="minorHAnsi" w:hAnsiTheme="minorHAnsi" w:cstheme="minorHAnsi"/>
          <w:sz w:val="22"/>
          <w:szCs w:val="22"/>
        </w:rPr>
        <w:t xml:space="preserve">in mineral soil </w:t>
      </w:r>
      <w:r w:rsidR="00B75B92" w:rsidRPr="008D6A45">
        <w:rPr>
          <w:rFonts w:asciiTheme="minorHAnsi" w:hAnsiTheme="minorHAnsi" w:cstheme="minorHAnsi"/>
          <w:sz w:val="22"/>
          <w:szCs w:val="22"/>
        </w:rPr>
        <w:t>under woodland is assumed</w:t>
      </w:r>
      <w:r w:rsidR="00005FF4" w:rsidRPr="008D6A45">
        <w:rPr>
          <w:rFonts w:asciiTheme="minorHAnsi" w:hAnsiTheme="minorHAnsi" w:cstheme="minorHAnsi"/>
          <w:sz w:val="22"/>
          <w:szCs w:val="22"/>
        </w:rPr>
        <w:t xml:space="preserve"> to </w:t>
      </w:r>
      <w:r w:rsidR="004365CA">
        <w:rPr>
          <w:rFonts w:asciiTheme="minorHAnsi" w:hAnsiTheme="minorHAnsi" w:cstheme="minorHAnsi"/>
          <w:sz w:val="22"/>
          <w:szCs w:val="22"/>
        </w:rPr>
        <w:t xml:space="preserve">remain </w:t>
      </w:r>
      <w:r w:rsidR="00CC40A2">
        <w:rPr>
          <w:rFonts w:asciiTheme="minorHAnsi" w:hAnsiTheme="minorHAnsi" w:cstheme="minorHAnsi"/>
          <w:sz w:val="22"/>
          <w:szCs w:val="22"/>
        </w:rPr>
        <w:t>unchanged with management</w:t>
      </w:r>
      <w:r w:rsidR="004365CA">
        <w:rPr>
          <w:rFonts w:asciiTheme="minorHAnsi" w:hAnsiTheme="minorHAnsi" w:cstheme="minorHAnsi"/>
          <w:sz w:val="22"/>
          <w:szCs w:val="22"/>
        </w:rPr>
        <w:t xml:space="preserve">, </w:t>
      </w:r>
      <w:r w:rsidR="00005FF4" w:rsidRPr="008D6A45">
        <w:rPr>
          <w:rFonts w:asciiTheme="minorHAnsi" w:hAnsiTheme="minorHAnsi" w:cstheme="minorHAnsi"/>
          <w:sz w:val="22"/>
          <w:szCs w:val="22"/>
        </w:rPr>
        <w:t xml:space="preserve">due </w:t>
      </w:r>
      <w:r w:rsidR="00270FE6" w:rsidRPr="008D6A45">
        <w:rPr>
          <w:rFonts w:asciiTheme="minorHAnsi" w:hAnsiTheme="minorHAnsi" w:cstheme="minorHAnsi"/>
          <w:sz w:val="22"/>
          <w:szCs w:val="22"/>
        </w:rPr>
        <w:t xml:space="preserve">to </w:t>
      </w:r>
      <w:r w:rsidR="00270FE6">
        <w:rPr>
          <w:rFonts w:asciiTheme="minorHAnsi" w:hAnsiTheme="minorHAnsi" w:cstheme="minorHAnsi"/>
          <w:sz w:val="22"/>
          <w:szCs w:val="22"/>
        </w:rPr>
        <w:t>incomplete</w:t>
      </w:r>
      <w:r w:rsidR="00005FF4" w:rsidRPr="008D6A45">
        <w:rPr>
          <w:rFonts w:asciiTheme="minorHAnsi" w:hAnsiTheme="minorHAnsi" w:cstheme="minorHAnsi"/>
          <w:sz w:val="22"/>
          <w:szCs w:val="22"/>
        </w:rPr>
        <w:t xml:space="preserve"> scientific </w:t>
      </w:r>
      <w:r w:rsidR="007E7387" w:rsidRPr="00DC72E0">
        <w:rPr>
          <w:rFonts w:asciiTheme="minorHAnsi" w:hAnsiTheme="minorHAnsi" w:cstheme="minorHAnsi"/>
          <w:sz w:val="22"/>
          <w:szCs w:val="22"/>
        </w:rPr>
        <w:t>understanding</w:t>
      </w:r>
      <w:r w:rsidR="00CC40A2">
        <w:rPr>
          <w:rFonts w:asciiTheme="minorHAnsi" w:hAnsiTheme="minorHAnsi" w:cstheme="minorHAnsi"/>
          <w:sz w:val="22"/>
          <w:szCs w:val="22"/>
        </w:rPr>
        <w:t xml:space="preserve"> </w:t>
      </w:r>
      <w:r w:rsidR="00CC40A2">
        <w:rPr>
          <w:rFonts w:asciiTheme="minorHAnsi" w:hAnsiTheme="minorHAnsi" w:cstheme="minorHAnsi"/>
          <w:sz w:val="22"/>
          <w:szCs w:val="22"/>
        </w:rPr>
        <w:fldChar w:fldCharType="begin"/>
      </w:r>
      <w:r w:rsidR="00CC40A2">
        <w:rPr>
          <w:rFonts w:asciiTheme="minorHAnsi" w:hAnsiTheme="minorHAnsi" w:cstheme="minorHAnsi"/>
          <w:sz w:val="22"/>
          <w:szCs w:val="22"/>
        </w:rPr>
        <w:instrText xml:space="preserve"> ADDIN ZOTERO_ITEM CSL_CITATION {"citationID":"TA7A9agM","properties":{"formattedCitation":"(IPCC, 2006)","plainCitation":"(IPCC, 2006)","noteIndex":0},"citationItems":[{"id":667,"uris":["http://zotero.org/users/6500992/items/SZCLYNPB"],"itemData":{"id":667,"type":"book","title":"2006 IPCC Guidelines for National Greenhouse Gas Inventories Volume 4 Agriculture, Forestry and Other Land Use","URL":"https://www.ipcc-nggip.iges.or.jp/public/2006gl/","author":[{"family":"IPCC","given":""}],"accessed":{"date-parts":[["2021",5,10]]},"issued":{"date-parts":[["2006"]]}}}],"schema":"https://github.com/citation-style-language/schema/raw/master/csl-citation.json"} </w:instrText>
      </w:r>
      <w:r w:rsidR="00CC40A2">
        <w:rPr>
          <w:rFonts w:asciiTheme="minorHAnsi" w:hAnsiTheme="minorHAnsi" w:cstheme="minorHAnsi"/>
          <w:sz w:val="22"/>
          <w:szCs w:val="22"/>
        </w:rPr>
        <w:fldChar w:fldCharType="separate"/>
      </w:r>
      <w:r w:rsidR="00CC40A2" w:rsidRPr="00CC40A2">
        <w:rPr>
          <w:rFonts w:ascii="Calibri" w:hAnsi="Calibri" w:cs="Calibri"/>
          <w:sz w:val="22"/>
        </w:rPr>
        <w:t>(IPCC, 2006)</w:t>
      </w:r>
      <w:r w:rsidR="00CC40A2">
        <w:rPr>
          <w:rFonts w:asciiTheme="minorHAnsi" w:hAnsiTheme="minorHAnsi" w:cstheme="minorHAnsi"/>
          <w:sz w:val="22"/>
          <w:szCs w:val="22"/>
        </w:rPr>
        <w:fldChar w:fldCharType="end"/>
      </w:r>
      <w:r w:rsidR="009F68CE" w:rsidRPr="00DC72E0">
        <w:rPr>
          <w:rFonts w:asciiTheme="minorHAnsi" w:hAnsiTheme="minorHAnsi" w:cstheme="minorHAnsi"/>
          <w:sz w:val="22"/>
          <w:szCs w:val="22"/>
        </w:rPr>
        <w:t xml:space="preserve">. </w:t>
      </w:r>
      <w:r w:rsidR="0056545A">
        <w:rPr>
          <w:rFonts w:asciiTheme="minorHAnsi" w:hAnsiTheme="minorHAnsi" w:cstheme="minorHAnsi"/>
          <w:sz w:val="22"/>
          <w:szCs w:val="22"/>
        </w:rPr>
        <w:t xml:space="preserve">For organic soils under woodland, </w:t>
      </w:r>
      <w:r w:rsidR="00782C94" w:rsidRPr="00782C94">
        <w:rPr>
          <w:rFonts w:asciiTheme="minorHAnsi" w:hAnsiTheme="minorHAnsi" w:cstheme="minorHAnsi"/>
          <w:sz w:val="22"/>
          <w:szCs w:val="22"/>
        </w:rPr>
        <w:t>only C emissions due to drainage of forest organic soils</w:t>
      </w:r>
      <w:r w:rsidR="00782C94">
        <w:rPr>
          <w:rFonts w:asciiTheme="minorHAnsi" w:hAnsiTheme="minorHAnsi" w:cstheme="minorHAnsi"/>
          <w:sz w:val="22"/>
          <w:szCs w:val="22"/>
        </w:rPr>
        <w:t xml:space="preserve"> are considered under Tier 1</w:t>
      </w:r>
      <w:r w:rsidR="00782C94">
        <w:rPr>
          <w:rFonts w:asciiTheme="minorHAnsi" w:hAnsiTheme="minorHAnsi" w:cstheme="minorHAnsi"/>
          <w:sz w:val="22"/>
          <w:szCs w:val="22"/>
        </w:rPr>
        <w:fldChar w:fldCharType="begin"/>
      </w:r>
      <w:r w:rsidR="00782C94">
        <w:rPr>
          <w:rFonts w:asciiTheme="minorHAnsi" w:hAnsiTheme="minorHAnsi" w:cstheme="minorHAnsi"/>
          <w:sz w:val="22"/>
          <w:szCs w:val="22"/>
        </w:rPr>
        <w:instrText xml:space="preserve"> ADDIN ZOTERO_ITEM CSL_CITATION {"citationID":"R8tbZLaO","properties":{"formattedCitation":"(IPCC, 2006)","plainCitation":"(IPCC, 2006)","noteIndex":0},"citationItems":[{"id":667,"uris":["http://zotero.org/users/6500992/items/SZCLYNPB"],"itemData":{"id":667,"type":"book","title":"2006 IPCC Guidelines for National Greenhouse Gas Inventories Volume 4 Agriculture, Forestry and Other Land Use","URL":"https://www.ipcc-nggip.iges.or.jp/public/2006gl/","author":[{"family":"IPCC","given":""}],"accessed":{"date-parts":[["2021",5,10]]},"issued":{"date-parts":[["2006"]]}}}],"schema":"https://github.com/citation-style-language/schema/raw/master/csl-citation.json"} </w:instrText>
      </w:r>
      <w:r w:rsidR="00782C94">
        <w:rPr>
          <w:rFonts w:asciiTheme="minorHAnsi" w:hAnsiTheme="minorHAnsi" w:cstheme="minorHAnsi"/>
          <w:sz w:val="22"/>
          <w:szCs w:val="22"/>
        </w:rPr>
        <w:fldChar w:fldCharType="separate"/>
      </w:r>
      <w:r w:rsidR="00782C94" w:rsidRPr="00782C94">
        <w:rPr>
          <w:rFonts w:ascii="Calibri" w:hAnsi="Calibri" w:cs="Calibri"/>
          <w:sz w:val="22"/>
        </w:rPr>
        <w:t>(IPCC, 2006)</w:t>
      </w:r>
      <w:r w:rsidR="00782C94">
        <w:rPr>
          <w:rFonts w:asciiTheme="minorHAnsi" w:hAnsiTheme="minorHAnsi" w:cstheme="minorHAnsi"/>
          <w:sz w:val="22"/>
          <w:szCs w:val="22"/>
        </w:rPr>
        <w:fldChar w:fldCharType="end"/>
      </w:r>
      <w:r w:rsidR="00702451">
        <w:rPr>
          <w:rFonts w:asciiTheme="minorHAnsi" w:hAnsiTheme="minorHAnsi" w:cstheme="minorHAnsi"/>
          <w:sz w:val="22"/>
          <w:szCs w:val="22"/>
        </w:rPr>
        <w:t xml:space="preserve">. </w:t>
      </w:r>
      <w:r w:rsidR="001572FF" w:rsidRPr="00DC72E0">
        <w:rPr>
          <w:rFonts w:asciiTheme="minorHAnsi" w:hAnsiTheme="minorHAnsi" w:cstheme="minorHAnsi"/>
          <w:sz w:val="22"/>
          <w:szCs w:val="22"/>
        </w:rPr>
        <w:t xml:space="preserve">For </w:t>
      </w:r>
      <w:r w:rsidR="00D675E5">
        <w:rPr>
          <w:rFonts w:asciiTheme="minorHAnsi" w:hAnsiTheme="minorHAnsi" w:cstheme="minorHAnsi"/>
          <w:sz w:val="22"/>
          <w:szCs w:val="22"/>
        </w:rPr>
        <w:t xml:space="preserve">grassland </w:t>
      </w:r>
      <w:r w:rsidR="00931BB2">
        <w:rPr>
          <w:rFonts w:asciiTheme="minorHAnsi" w:hAnsiTheme="minorHAnsi" w:cstheme="minorHAnsi"/>
          <w:sz w:val="22"/>
          <w:szCs w:val="22"/>
        </w:rPr>
        <w:t>soil sequestration rate</w:t>
      </w:r>
      <w:r w:rsidR="00D675E5">
        <w:rPr>
          <w:rFonts w:asciiTheme="minorHAnsi" w:hAnsiTheme="minorHAnsi" w:cstheme="minorHAnsi"/>
          <w:sz w:val="22"/>
          <w:szCs w:val="22"/>
        </w:rPr>
        <w:t>s</w:t>
      </w:r>
      <w:r w:rsidR="00D857C8">
        <w:rPr>
          <w:rFonts w:asciiTheme="minorHAnsi" w:hAnsiTheme="minorHAnsi" w:cstheme="minorHAnsi"/>
          <w:sz w:val="22"/>
          <w:szCs w:val="22"/>
        </w:rPr>
        <w:t xml:space="preserve">, </w:t>
      </w:r>
      <w:r w:rsidR="00D675E5">
        <w:rPr>
          <w:rFonts w:asciiTheme="minorHAnsi" w:hAnsiTheme="minorHAnsi" w:cstheme="minorHAnsi"/>
          <w:sz w:val="22"/>
          <w:szCs w:val="22"/>
        </w:rPr>
        <w:t xml:space="preserve">the Bangor Tool </w:t>
      </w:r>
      <w:r w:rsidR="00D857C8">
        <w:rPr>
          <w:rFonts w:asciiTheme="minorHAnsi" w:hAnsiTheme="minorHAnsi" w:cstheme="minorHAnsi"/>
          <w:sz w:val="22"/>
          <w:szCs w:val="22"/>
        </w:rPr>
        <w:t>uses</w:t>
      </w:r>
      <w:r w:rsidR="00D675E5">
        <w:rPr>
          <w:rFonts w:asciiTheme="minorHAnsi" w:hAnsiTheme="minorHAnsi" w:cstheme="minorHAnsi"/>
          <w:sz w:val="22"/>
          <w:szCs w:val="22"/>
        </w:rPr>
        <w:t xml:space="preserve"> </w:t>
      </w:r>
      <w:r w:rsidR="00E43978">
        <w:rPr>
          <w:rFonts w:asciiTheme="minorHAnsi" w:hAnsiTheme="minorHAnsi" w:cstheme="minorHAnsi"/>
          <w:sz w:val="22"/>
          <w:szCs w:val="22"/>
        </w:rPr>
        <w:t xml:space="preserve">national </w:t>
      </w:r>
      <w:r w:rsidR="00931BB2">
        <w:rPr>
          <w:rFonts w:asciiTheme="minorHAnsi" w:hAnsiTheme="minorHAnsi" w:cstheme="minorHAnsi"/>
          <w:sz w:val="22"/>
          <w:szCs w:val="22"/>
        </w:rPr>
        <w:t>n</w:t>
      </w:r>
      <w:r w:rsidR="00931BB2" w:rsidRPr="00931BB2">
        <w:rPr>
          <w:rFonts w:asciiTheme="minorHAnsi" w:hAnsiTheme="minorHAnsi" w:cstheme="minorHAnsi"/>
          <w:sz w:val="22"/>
          <w:szCs w:val="22"/>
        </w:rPr>
        <w:t xml:space="preserve">et </w:t>
      </w:r>
      <w:r w:rsidR="00931BB2" w:rsidRPr="00931BB2">
        <w:rPr>
          <w:rFonts w:asciiTheme="minorHAnsi" w:hAnsiTheme="minorHAnsi" w:cstheme="minorHAnsi"/>
          <w:sz w:val="22"/>
          <w:szCs w:val="22"/>
        </w:rPr>
        <w:lastRenderedPageBreak/>
        <w:t>ecosystem</w:t>
      </w:r>
      <w:r w:rsidR="00931BB2">
        <w:rPr>
          <w:rFonts w:asciiTheme="minorHAnsi" w:hAnsiTheme="minorHAnsi" w:cstheme="minorHAnsi"/>
          <w:sz w:val="22"/>
          <w:szCs w:val="22"/>
        </w:rPr>
        <w:t xml:space="preserve"> </w:t>
      </w:r>
      <w:r w:rsidR="00771DA1">
        <w:rPr>
          <w:rFonts w:asciiTheme="minorHAnsi" w:hAnsiTheme="minorHAnsi" w:cstheme="minorHAnsi"/>
          <w:sz w:val="22"/>
          <w:szCs w:val="22"/>
        </w:rPr>
        <w:t>C</w:t>
      </w:r>
      <w:r w:rsidR="00771DA1" w:rsidRPr="00931BB2">
        <w:rPr>
          <w:rFonts w:asciiTheme="minorHAnsi" w:hAnsiTheme="minorHAnsi" w:cstheme="minorHAnsi"/>
          <w:sz w:val="22"/>
          <w:szCs w:val="22"/>
        </w:rPr>
        <w:t xml:space="preserve"> </w:t>
      </w:r>
      <w:r w:rsidR="00931BB2" w:rsidRPr="00931BB2">
        <w:rPr>
          <w:rFonts w:asciiTheme="minorHAnsi" w:hAnsiTheme="minorHAnsi" w:cstheme="minorHAnsi"/>
          <w:sz w:val="22"/>
          <w:szCs w:val="22"/>
        </w:rPr>
        <w:t>change under UK grasslands</w:t>
      </w:r>
      <w:r w:rsidR="00931BB2">
        <w:rPr>
          <w:rFonts w:asciiTheme="minorHAnsi" w:hAnsiTheme="minorHAnsi" w:cstheme="minorHAnsi"/>
          <w:sz w:val="22"/>
          <w:szCs w:val="22"/>
        </w:rPr>
        <w:t xml:space="preserve"> </w:t>
      </w:r>
      <w:r w:rsidR="007021C8">
        <w:rPr>
          <w:rFonts w:asciiTheme="minorHAnsi" w:hAnsiTheme="minorHAnsi" w:cstheme="minorHAnsi"/>
          <w:sz w:val="22"/>
          <w:szCs w:val="22"/>
        </w:rPr>
        <w:t xml:space="preserve">taken from </w:t>
      </w:r>
      <w:r w:rsidR="007021C8">
        <w:rPr>
          <w:rFonts w:asciiTheme="minorHAnsi" w:hAnsiTheme="minorHAnsi" w:cstheme="minorHAnsi"/>
          <w:sz w:val="22"/>
          <w:szCs w:val="22"/>
        </w:rPr>
        <w:fldChar w:fldCharType="begin"/>
      </w:r>
      <w:r w:rsidR="00A24917">
        <w:rPr>
          <w:rFonts w:asciiTheme="minorHAnsi" w:hAnsiTheme="minorHAnsi" w:cstheme="minorHAnsi"/>
          <w:sz w:val="22"/>
          <w:szCs w:val="22"/>
        </w:rPr>
        <w:instrText xml:space="preserve"> ADDIN ZOTERO_ITEM CSL_CITATION {"citationID":"ZAqXHDSb","properties":{"formattedCitation":"(Janssens et al., 2005)","plainCitation":"(Janssens et al., 2005)","dontUpdate":true,"noteIndex":0},"citationItems":[{"id":126,"uris":["http://zotero.org/users/6500992/items/KHKXU3HF"],"itemData":{"id":126,"type":"article-journal","abstract":"We summed estimates of the carbon balance of forests, grasslands, arable lands and peatlands to obtain country-speciﬁc estimates of the terrestrial carbon balance during the 1990s. Forests and grasslands were a net sink for carbon, whereas croplands were carbon sources in all European countries. Hence, countries dominated by arable lands tended to be losing carbon from their terrestrial ecosystems, whereas forest-dominated countries tended to be sequestering carbon. In some countries, draining and extraction of peatlands caused substantial reductions in the net carbon balance.","container-title":"Biogeosciences","DOI":"10.5194/bg-2-15-2005","ISSN":"1726-4189","issue":"1","journalAbbreviation":"Biogeosciences","language":"en","page":"15-26","source":"DOI.org (Crossref)","title":"The carbon budget of terrestrial ecosystems at country-scale – a European case study","volume":"2","author":[{"family":"Janssens","given":"I. A."},{"family":"Freibauer","given":"A."},{"family":"Schlamadinger","given":"B."},{"family":"Ceulemans","given":"R."},{"family":"Ciais","given":"P."},{"family":"Dolman","given":"A. J."},{"family":"Heimann","given":"M."},{"family":"Nabuurs","given":"G.-J."},{"family":"Smith","given":"P."},{"family":"Valentini","given":"R."},{"family":"Schulze","given":"E.-D."}],"issued":{"date-parts":[["2005",2,17]]}}}],"schema":"https://github.com/citation-style-language/schema/raw/master/csl-citation.json"} </w:instrText>
      </w:r>
      <w:r w:rsidR="007021C8">
        <w:rPr>
          <w:rFonts w:asciiTheme="minorHAnsi" w:hAnsiTheme="minorHAnsi" w:cstheme="minorHAnsi"/>
          <w:sz w:val="22"/>
          <w:szCs w:val="22"/>
        </w:rPr>
        <w:fldChar w:fldCharType="separate"/>
      </w:r>
      <w:r w:rsidR="007021C8" w:rsidRPr="007021C8">
        <w:rPr>
          <w:rFonts w:ascii="Calibri" w:hAnsi="Calibri" w:cs="Calibri"/>
          <w:sz w:val="22"/>
        </w:rPr>
        <w:t xml:space="preserve">Janssens et al. </w:t>
      </w:r>
      <w:r w:rsidR="007021C8">
        <w:rPr>
          <w:rFonts w:ascii="Calibri" w:hAnsi="Calibri" w:cs="Calibri"/>
          <w:sz w:val="22"/>
        </w:rPr>
        <w:t>(</w:t>
      </w:r>
      <w:r w:rsidR="007021C8" w:rsidRPr="007021C8">
        <w:rPr>
          <w:rFonts w:ascii="Calibri" w:hAnsi="Calibri" w:cs="Calibri"/>
          <w:sz w:val="22"/>
        </w:rPr>
        <w:t>2005)</w:t>
      </w:r>
      <w:r w:rsidR="007021C8">
        <w:rPr>
          <w:rFonts w:asciiTheme="minorHAnsi" w:hAnsiTheme="minorHAnsi" w:cstheme="minorHAnsi"/>
          <w:sz w:val="22"/>
          <w:szCs w:val="22"/>
        </w:rPr>
        <w:fldChar w:fldCharType="end"/>
      </w:r>
      <w:r w:rsidR="00702451">
        <w:rPr>
          <w:rFonts w:asciiTheme="minorHAnsi" w:hAnsiTheme="minorHAnsi" w:cstheme="minorHAnsi"/>
          <w:sz w:val="22"/>
          <w:szCs w:val="22"/>
        </w:rPr>
        <w:t xml:space="preserve">. </w:t>
      </w:r>
      <w:r w:rsidR="005C5F2F">
        <w:rPr>
          <w:rFonts w:asciiTheme="minorHAnsi" w:hAnsiTheme="minorHAnsi" w:cstheme="minorHAnsi"/>
          <w:sz w:val="22"/>
          <w:szCs w:val="22"/>
        </w:rPr>
        <w:t xml:space="preserve">A full list of </w:t>
      </w:r>
      <w:r w:rsidR="00D9704A">
        <w:rPr>
          <w:rFonts w:asciiTheme="minorHAnsi" w:hAnsiTheme="minorHAnsi" w:cstheme="minorHAnsi"/>
          <w:sz w:val="22"/>
          <w:szCs w:val="22"/>
        </w:rPr>
        <w:t xml:space="preserve">references </w:t>
      </w:r>
      <w:r w:rsidR="00D14350">
        <w:rPr>
          <w:rFonts w:asciiTheme="minorHAnsi" w:hAnsiTheme="minorHAnsi" w:cstheme="minorHAnsi"/>
          <w:sz w:val="22"/>
          <w:szCs w:val="22"/>
        </w:rPr>
        <w:t xml:space="preserve">for sequestration </w:t>
      </w:r>
      <w:r w:rsidR="00D9704A">
        <w:rPr>
          <w:rFonts w:asciiTheme="minorHAnsi" w:hAnsiTheme="minorHAnsi" w:cstheme="minorHAnsi"/>
          <w:sz w:val="22"/>
          <w:szCs w:val="22"/>
        </w:rPr>
        <w:t xml:space="preserve">can be found in Table </w:t>
      </w:r>
      <w:r w:rsidR="0056233B">
        <w:rPr>
          <w:rFonts w:asciiTheme="minorHAnsi" w:hAnsiTheme="minorHAnsi" w:cstheme="minorHAnsi"/>
          <w:sz w:val="22"/>
          <w:szCs w:val="22"/>
        </w:rPr>
        <w:t>A3</w:t>
      </w:r>
      <w:r w:rsidR="00CB4D8E">
        <w:rPr>
          <w:rFonts w:asciiTheme="minorHAnsi" w:hAnsiTheme="minorHAnsi" w:cstheme="minorHAnsi"/>
          <w:sz w:val="22"/>
          <w:szCs w:val="22"/>
        </w:rPr>
        <w:t>.</w:t>
      </w:r>
    </w:p>
    <w:p w14:paraId="6B87AAE4" w14:textId="256C0389" w:rsidR="00E242C6" w:rsidRDefault="00E242C6">
      <w:pPr>
        <w:spacing w:after="160" w:line="259" w:lineRule="auto"/>
        <w:rPr>
          <w:rFonts w:asciiTheme="minorHAnsi" w:hAnsiTheme="minorHAnsi" w:cstheme="minorHAnsi"/>
          <w:sz w:val="22"/>
          <w:szCs w:val="22"/>
        </w:rPr>
      </w:pPr>
    </w:p>
    <w:p w14:paraId="1055442E" w14:textId="7995826D" w:rsidR="00731D0E" w:rsidRPr="00AA49A9" w:rsidRDefault="00731D0E" w:rsidP="00E568F2">
      <w:pPr>
        <w:pStyle w:val="ListParagraph"/>
        <w:numPr>
          <w:ilvl w:val="1"/>
          <w:numId w:val="2"/>
        </w:numPr>
        <w:spacing w:line="360" w:lineRule="auto"/>
        <w:rPr>
          <w:rFonts w:asciiTheme="minorHAnsi" w:hAnsiTheme="minorHAnsi" w:cstheme="minorHAnsi"/>
          <w:b/>
          <w:bCs/>
          <w:sz w:val="22"/>
          <w:szCs w:val="22"/>
        </w:rPr>
      </w:pPr>
      <w:r w:rsidRPr="00AA49A9">
        <w:rPr>
          <w:rFonts w:asciiTheme="minorHAnsi" w:hAnsiTheme="minorHAnsi" w:cstheme="minorHAnsi"/>
          <w:b/>
          <w:bCs/>
          <w:sz w:val="22"/>
          <w:szCs w:val="22"/>
        </w:rPr>
        <w:t xml:space="preserve">Mitigation </w:t>
      </w:r>
      <w:r w:rsidR="009B694A">
        <w:rPr>
          <w:rFonts w:asciiTheme="minorHAnsi" w:hAnsiTheme="minorHAnsi" w:cstheme="minorHAnsi"/>
          <w:b/>
          <w:bCs/>
          <w:sz w:val="22"/>
          <w:szCs w:val="22"/>
        </w:rPr>
        <w:t>s</w:t>
      </w:r>
      <w:r w:rsidRPr="00AA49A9">
        <w:rPr>
          <w:rFonts w:asciiTheme="minorHAnsi" w:hAnsiTheme="minorHAnsi" w:cstheme="minorHAnsi"/>
          <w:b/>
          <w:bCs/>
          <w:sz w:val="22"/>
          <w:szCs w:val="22"/>
        </w:rPr>
        <w:t xml:space="preserve">cenario </w:t>
      </w:r>
      <w:r w:rsidR="009B694A">
        <w:rPr>
          <w:rFonts w:asciiTheme="minorHAnsi" w:hAnsiTheme="minorHAnsi" w:cstheme="minorHAnsi"/>
          <w:b/>
          <w:bCs/>
          <w:sz w:val="22"/>
          <w:szCs w:val="22"/>
        </w:rPr>
        <w:t>m</w:t>
      </w:r>
      <w:r w:rsidRPr="00AA49A9">
        <w:rPr>
          <w:rFonts w:asciiTheme="minorHAnsi" w:hAnsiTheme="minorHAnsi" w:cstheme="minorHAnsi"/>
          <w:b/>
          <w:bCs/>
          <w:sz w:val="22"/>
          <w:szCs w:val="22"/>
        </w:rPr>
        <w:t xml:space="preserve">odelling </w:t>
      </w:r>
    </w:p>
    <w:p w14:paraId="30A1638D" w14:textId="77777777" w:rsidR="00440512" w:rsidRPr="00731D0E" w:rsidRDefault="00440512" w:rsidP="00E568F2">
      <w:pPr>
        <w:pStyle w:val="ListParagraph"/>
        <w:spacing w:line="360" w:lineRule="auto"/>
        <w:rPr>
          <w:rFonts w:asciiTheme="minorHAnsi" w:hAnsiTheme="minorHAnsi" w:cstheme="minorHAnsi"/>
          <w:b/>
          <w:bCs/>
          <w:sz w:val="22"/>
          <w:szCs w:val="22"/>
        </w:rPr>
      </w:pPr>
    </w:p>
    <w:p w14:paraId="6D24D5D1" w14:textId="2EF0FEEE" w:rsidR="00444C85" w:rsidRDefault="00731D0E" w:rsidP="00BA3E62">
      <w:pPr>
        <w:spacing w:line="360" w:lineRule="auto"/>
        <w:jc w:val="both"/>
        <w:rPr>
          <w:rFonts w:asciiTheme="minorHAnsi" w:hAnsiTheme="minorHAnsi" w:cstheme="minorHAnsi"/>
          <w:sz w:val="22"/>
          <w:szCs w:val="22"/>
          <w:bdr w:val="none" w:sz="0" w:space="0" w:color="auto" w:frame="1"/>
        </w:rPr>
      </w:pPr>
      <w:r w:rsidRPr="00D96433">
        <w:rPr>
          <w:rFonts w:asciiTheme="minorHAnsi" w:hAnsiTheme="minorHAnsi" w:cstheme="minorHAnsi"/>
          <w:sz w:val="22"/>
          <w:szCs w:val="22"/>
        </w:rPr>
        <w:t xml:space="preserve">Scenarios were created to determine the </w:t>
      </w:r>
      <w:r w:rsidR="001E1A2D" w:rsidRPr="00D96433">
        <w:rPr>
          <w:rFonts w:asciiTheme="minorHAnsi" w:hAnsiTheme="minorHAnsi" w:cstheme="minorHAnsi"/>
          <w:sz w:val="22"/>
          <w:szCs w:val="22"/>
        </w:rPr>
        <w:t>emission reductions</w:t>
      </w:r>
      <w:r w:rsidR="00990CE7" w:rsidRPr="00D96433">
        <w:rPr>
          <w:rFonts w:asciiTheme="minorHAnsi" w:hAnsiTheme="minorHAnsi" w:cstheme="minorHAnsi"/>
          <w:sz w:val="22"/>
          <w:szCs w:val="22"/>
        </w:rPr>
        <w:t xml:space="preserve"> </w:t>
      </w:r>
      <w:r w:rsidRPr="00D96433">
        <w:rPr>
          <w:rFonts w:asciiTheme="minorHAnsi" w:hAnsiTheme="minorHAnsi" w:cstheme="minorHAnsi"/>
          <w:sz w:val="22"/>
          <w:szCs w:val="22"/>
        </w:rPr>
        <w:t>possible when a range of mitigation measures were implemented on each farm</w:t>
      </w:r>
      <w:r w:rsidR="004C076E" w:rsidRPr="00D96433">
        <w:rPr>
          <w:rFonts w:asciiTheme="minorHAnsi" w:hAnsiTheme="minorHAnsi" w:cstheme="minorHAnsi"/>
          <w:sz w:val="22"/>
          <w:szCs w:val="22"/>
        </w:rPr>
        <w:t xml:space="preserve"> and </w:t>
      </w:r>
      <w:r w:rsidRPr="00D96433">
        <w:rPr>
          <w:rFonts w:asciiTheme="minorHAnsi" w:hAnsiTheme="minorHAnsi" w:cstheme="minorHAnsi"/>
          <w:sz w:val="22"/>
          <w:szCs w:val="22"/>
        </w:rPr>
        <w:t xml:space="preserve">the area of woodland needed to offset the </w:t>
      </w:r>
      <w:r w:rsidR="00C63BDF" w:rsidRPr="00D96433">
        <w:rPr>
          <w:rFonts w:asciiTheme="minorHAnsi" w:hAnsiTheme="minorHAnsi" w:cstheme="minorHAnsi"/>
          <w:sz w:val="22"/>
          <w:szCs w:val="22"/>
        </w:rPr>
        <w:t>residual</w:t>
      </w:r>
      <w:r w:rsidRPr="00D96433">
        <w:rPr>
          <w:rFonts w:asciiTheme="minorHAnsi" w:hAnsiTheme="minorHAnsi" w:cstheme="minorHAnsi"/>
          <w:sz w:val="22"/>
          <w:szCs w:val="22"/>
        </w:rPr>
        <w:t xml:space="preserve"> emissions </w:t>
      </w:r>
      <w:r w:rsidR="008E607D" w:rsidRPr="00D96433">
        <w:rPr>
          <w:rFonts w:asciiTheme="minorHAnsi" w:hAnsiTheme="minorHAnsi" w:cstheme="minorHAnsi"/>
          <w:sz w:val="22"/>
          <w:szCs w:val="22"/>
        </w:rPr>
        <w:t xml:space="preserve">from each farm </w:t>
      </w:r>
      <w:r w:rsidRPr="00D96433">
        <w:rPr>
          <w:rFonts w:asciiTheme="minorHAnsi" w:hAnsiTheme="minorHAnsi" w:cstheme="minorHAnsi"/>
          <w:sz w:val="22"/>
          <w:szCs w:val="22"/>
        </w:rPr>
        <w:t xml:space="preserve">was calculated. </w:t>
      </w:r>
      <w:r w:rsidR="00FC4B3D" w:rsidRPr="00D96433">
        <w:rPr>
          <w:rFonts w:asciiTheme="minorHAnsi" w:hAnsiTheme="minorHAnsi" w:cstheme="minorHAnsi"/>
          <w:sz w:val="22"/>
          <w:szCs w:val="22"/>
        </w:rPr>
        <w:t>Area footprints</w:t>
      </w:r>
      <w:r w:rsidR="00FC4B3D">
        <w:rPr>
          <w:rFonts w:asciiTheme="minorHAnsi" w:hAnsiTheme="minorHAnsi" w:cstheme="minorHAnsi"/>
          <w:sz w:val="22"/>
          <w:szCs w:val="22"/>
        </w:rPr>
        <w:t xml:space="preserve"> were </w:t>
      </w:r>
      <w:r w:rsidR="00CA588C">
        <w:rPr>
          <w:rFonts w:asciiTheme="minorHAnsi" w:hAnsiTheme="minorHAnsi" w:cstheme="minorHAnsi"/>
          <w:sz w:val="22"/>
          <w:szCs w:val="22"/>
        </w:rPr>
        <w:t xml:space="preserve">calculated </w:t>
      </w:r>
      <w:r w:rsidR="002659CB">
        <w:rPr>
          <w:rFonts w:asciiTheme="minorHAnsi" w:hAnsiTheme="minorHAnsi" w:cstheme="minorHAnsi"/>
          <w:sz w:val="22"/>
          <w:szCs w:val="22"/>
        </w:rPr>
        <w:t xml:space="preserve">for production, with and without </w:t>
      </w:r>
      <w:r w:rsidR="00CA588C">
        <w:rPr>
          <w:rFonts w:asciiTheme="minorHAnsi" w:hAnsiTheme="minorHAnsi" w:cstheme="minorHAnsi"/>
          <w:sz w:val="22"/>
          <w:szCs w:val="22"/>
        </w:rPr>
        <w:t xml:space="preserve">the offset </w:t>
      </w:r>
      <w:r w:rsidR="00C430D6">
        <w:rPr>
          <w:rFonts w:asciiTheme="minorHAnsi" w:hAnsiTheme="minorHAnsi" w:cstheme="minorHAnsi"/>
          <w:sz w:val="22"/>
          <w:szCs w:val="22"/>
        </w:rPr>
        <w:t xml:space="preserve">(afforested) </w:t>
      </w:r>
      <w:r w:rsidR="00CA588C">
        <w:rPr>
          <w:rFonts w:asciiTheme="minorHAnsi" w:hAnsiTheme="minorHAnsi" w:cstheme="minorHAnsi"/>
          <w:sz w:val="22"/>
          <w:szCs w:val="22"/>
        </w:rPr>
        <w:t xml:space="preserve">area </w:t>
      </w:r>
      <w:r w:rsidR="00DD3B1D">
        <w:rPr>
          <w:rFonts w:asciiTheme="minorHAnsi" w:hAnsiTheme="minorHAnsi" w:cstheme="minorHAnsi"/>
          <w:sz w:val="22"/>
          <w:szCs w:val="22"/>
        </w:rPr>
        <w:t>need</w:t>
      </w:r>
      <w:r w:rsidR="00C63248">
        <w:rPr>
          <w:rFonts w:asciiTheme="minorHAnsi" w:hAnsiTheme="minorHAnsi" w:cstheme="minorHAnsi"/>
          <w:sz w:val="22"/>
          <w:szCs w:val="22"/>
        </w:rPr>
        <w:t>ed</w:t>
      </w:r>
      <w:r w:rsidR="00DD3B1D">
        <w:rPr>
          <w:rFonts w:asciiTheme="minorHAnsi" w:hAnsiTheme="minorHAnsi" w:cstheme="minorHAnsi"/>
          <w:sz w:val="22"/>
          <w:szCs w:val="22"/>
        </w:rPr>
        <w:t xml:space="preserve"> to achieve Net Zero. </w:t>
      </w:r>
      <w:r w:rsidR="007E334E">
        <w:rPr>
          <w:rFonts w:asciiTheme="minorHAnsi" w:hAnsiTheme="minorHAnsi" w:cstheme="minorHAnsi"/>
          <w:sz w:val="22"/>
          <w:szCs w:val="22"/>
        </w:rPr>
        <w:t>Between</w:t>
      </w:r>
      <w:r w:rsidR="007029FD">
        <w:rPr>
          <w:rFonts w:asciiTheme="minorHAnsi" w:hAnsiTheme="minorHAnsi" w:cstheme="minorHAnsi"/>
          <w:sz w:val="22"/>
          <w:szCs w:val="22"/>
        </w:rPr>
        <w:t xml:space="preserve"> </w:t>
      </w:r>
      <w:r w:rsidR="00C77043">
        <w:rPr>
          <w:rFonts w:asciiTheme="minorHAnsi" w:hAnsiTheme="minorHAnsi" w:cstheme="minorHAnsi"/>
          <w:sz w:val="22"/>
          <w:szCs w:val="22"/>
        </w:rPr>
        <w:t>five</w:t>
      </w:r>
      <w:r w:rsidR="00551869">
        <w:rPr>
          <w:rFonts w:asciiTheme="minorHAnsi" w:hAnsiTheme="minorHAnsi" w:cstheme="minorHAnsi"/>
          <w:sz w:val="22"/>
          <w:szCs w:val="22"/>
        </w:rPr>
        <w:t xml:space="preserve"> and seven </w:t>
      </w:r>
      <w:r w:rsidRPr="00AA6706">
        <w:rPr>
          <w:rFonts w:asciiTheme="minorHAnsi" w:hAnsiTheme="minorHAnsi" w:cstheme="minorHAnsi"/>
          <w:sz w:val="22"/>
          <w:szCs w:val="22"/>
        </w:rPr>
        <w:t>mitigation measures were implemented on each farm</w:t>
      </w:r>
      <w:r w:rsidR="007E334E">
        <w:rPr>
          <w:rFonts w:asciiTheme="minorHAnsi" w:hAnsiTheme="minorHAnsi" w:cstheme="minorHAnsi"/>
          <w:sz w:val="22"/>
          <w:szCs w:val="22"/>
        </w:rPr>
        <w:t xml:space="preserve"> depending </w:t>
      </w:r>
      <w:r w:rsidR="008E607D">
        <w:rPr>
          <w:rFonts w:asciiTheme="minorHAnsi" w:hAnsiTheme="minorHAnsi" w:cstheme="minorHAnsi"/>
          <w:sz w:val="22"/>
          <w:szCs w:val="22"/>
        </w:rPr>
        <w:t xml:space="preserve">on </w:t>
      </w:r>
      <w:r w:rsidR="00543881">
        <w:rPr>
          <w:rFonts w:asciiTheme="minorHAnsi" w:hAnsiTheme="minorHAnsi" w:cstheme="minorHAnsi"/>
          <w:sz w:val="22"/>
          <w:szCs w:val="22"/>
        </w:rPr>
        <w:t>their</w:t>
      </w:r>
      <w:r w:rsidR="00BA4A4C">
        <w:rPr>
          <w:rFonts w:asciiTheme="minorHAnsi" w:hAnsiTheme="minorHAnsi" w:cstheme="minorHAnsi"/>
          <w:sz w:val="22"/>
          <w:szCs w:val="22"/>
        </w:rPr>
        <w:t xml:space="preserve"> applicab</w:t>
      </w:r>
      <w:r w:rsidR="00995A77">
        <w:rPr>
          <w:rFonts w:asciiTheme="minorHAnsi" w:hAnsiTheme="minorHAnsi" w:cstheme="minorHAnsi"/>
          <w:sz w:val="22"/>
          <w:szCs w:val="22"/>
        </w:rPr>
        <w:t>ility</w:t>
      </w:r>
      <w:r w:rsidR="00BA4A4C">
        <w:rPr>
          <w:rFonts w:asciiTheme="minorHAnsi" w:hAnsiTheme="minorHAnsi" w:cstheme="minorHAnsi"/>
          <w:sz w:val="22"/>
          <w:szCs w:val="22"/>
        </w:rPr>
        <w:t xml:space="preserve"> to the </w:t>
      </w:r>
      <w:r w:rsidR="00BA4A4C" w:rsidRPr="002D3E8A">
        <w:rPr>
          <w:rFonts w:asciiTheme="minorHAnsi" w:hAnsiTheme="minorHAnsi" w:cstheme="minorHAnsi"/>
          <w:sz w:val="22"/>
          <w:szCs w:val="22"/>
        </w:rPr>
        <w:t>individual farms</w:t>
      </w:r>
      <w:r w:rsidRPr="002D3E8A">
        <w:rPr>
          <w:rFonts w:asciiTheme="minorHAnsi" w:hAnsiTheme="minorHAnsi" w:cstheme="minorHAnsi"/>
          <w:sz w:val="22"/>
          <w:szCs w:val="22"/>
        </w:rPr>
        <w:t xml:space="preserve">. </w:t>
      </w:r>
      <w:r w:rsidRPr="002D3E8A">
        <w:rPr>
          <w:rFonts w:asciiTheme="minorHAnsi" w:hAnsiTheme="minorHAnsi" w:cstheme="minorHAnsi"/>
          <w:sz w:val="22"/>
          <w:szCs w:val="22"/>
          <w:bdr w:val="none" w:sz="0" w:space="0" w:color="auto" w:frame="1"/>
        </w:rPr>
        <w:t xml:space="preserve">Mitigation measures and </w:t>
      </w:r>
      <w:r w:rsidR="00BA4A4C" w:rsidRPr="002D3E8A">
        <w:rPr>
          <w:rFonts w:asciiTheme="minorHAnsi" w:hAnsiTheme="minorHAnsi" w:cstheme="minorHAnsi"/>
          <w:sz w:val="22"/>
          <w:szCs w:val="22"/>
          <w:bdr w:val="none" w:sz="0" w:space="0" w:color="auto" w:frame="1"/>
        </w:rPr>
        <w:t xml:space="preserve">initial </w:t>
      </w:r>
      <w:r w:rsidRPr="002D3E8A">
        <w:rPr>
          <w:rFonts w:asciiTheme="minorHAnsi" w:hAnsiTheme="minorHAnsi" w:cstheme="minorHAnsi"/>
          <w:sz w:val="22"/>
          <w:szCs w:val="22"/>
          <w:bdr w:val="none" w:sz="0" w:space="0" w:color="auto" w:frame="1"/>
        </w:rPr>
        <w:t xml:space="preserve">abatement potentials </w:t>
      </w:r>
      <w:r w:rsidR="005E4736" w:rsidRPr="002D3E8A">
        <w:rPr>
          <w:rFonts w:asciiTheme="minorHAnsi" w:hAnsiTheme="minorHAnsi" w:cstheme="minorHAnsi"/>
          <w:sz w:val="22"/>
          <w:szCs w:val="22"/>
          <w:bdr w:val="none" w:sz="0" w:space="0" w:color="auto" w:frame="1"/>
        </w:rPr>
        <w:t xml:space="preserve">with </w:t>
      </w:r>
      <w:r w:rsidR="002D3E8A">
        <w:rPr>
          <w:rFonts w:asciiTheme="minorHAnsi" w:hAnsiTheme="minorHAnsi" w:cstheme="minorHAnsi"/>
          <w:sz w:val="22"/>
          <w:szCs w:val="22"/>
          <w:bdr w:val="none" w:sz="0" w:space="0" w:color="auto" w:frame="1"/>
        </w:rPr>
        <w:t xml:space="preserve">abatement </w:t>
      </w:r>
      <w:r w:rsidR="00D36A9C" w:rsidRPr="002D3E8A">
        <w:rPr>
          <w:rFonts w:asciiTheme="minorHAnsi" w:hAnsiTheme="minorHAnsi" w:cstheme="minorHAnsi"/>
          <w:sz w:val="22"/>
          <w:szCs w:val="22"/>
          <w:bdr w:val="none" w:sz="0" w:space="0" w:color="auto" w:frame="1"/>
        </w:rPr>
        <w:t xml:space="preserve">cost </w:t>
      </w:r>
      <w:r w:rsidR="005E4736" w:rsidRPr="002D3E8A">
        <w:rPr>
          <w:rFonts w:asciiTheme="minorHAnsi" w:hAnsiTheme="minorHAnsi" w:cstheme="minorHAnsi"/>
          <w:sz w:val="22"/>
          <w:szCs w:val="22"/>
          <w:bdr w:val="none" w:sz="0" w:space="0" w:color="auto" w:frame="1"/>
        </w:rPr>
        <w:t>of &lt; £</w:t>
      </w:r>
      <w:r w:rsidR="00D36A9C" w:rsidRPr="002D3E8A">
        <w:rPr>
          <w:rFonts w:asciiTheme="minorHAnsi" w:hAnsiTheme="minorHAnsi" w:cstheme="minorHAnsi"/>
          <w:sz w:val="22"/>
          <w:szCs w:val="22"/>
          <w:bdr w:val="none" w:sz="0" w:space="0" w:color="auto" w:frame="1"/>
        </w:rPr>
        <w:t>224</w:t>
      </w:r>
      <w:r w:rsidR="00C808D6">
        <w:rPr>
          <w:rFonts w:asciiTheme="minorHAnsi" w:hAnsiTheme="minorHAnsi" w:cstheme="minorHAnsi"/>
          <w:sz w:val="22"/>
          <w:szCs w:val="22"/>
          <w:bdr w:val="none" w:sz="0" w:space="0" w:color="auto" w:frame="1"/>
        </w:rPr>
        <w:t xml:space="preserve"> t </w:t>
      </w:r>
      <w:r w:rsidR="005E4736" w:rsidRPr="002D3E8A">
        <w:rPr>
          <w:rFonts w:asciiTheme="minorHAnsi" w:hAnsiTheme="minorHAnsi" w:cstheme="minorHAnsi"/>
          <w:sz w:val="22"/>
          <w:szCs w:val="22"/>
          <w:bdr w:val="none" w:sz="0" w:space="0" w:color="auto" w:frame="1"/>
        </w:rPr>
        <w:t>C</w:t>
      </w:r>
      <w:r w:rsidR="00A403FE" w:rsidRPr="002D3E8A">
        <w:rPr>
          <w:rFonts w:asciiTheme="minorHAnsi" w:hAnsiTheme="minorHAnsi" w:cstheme="minorHAnsi"/>
          <w:sz w:val="22"/>
          <w:szCs w:val="22"/>
          <w:bdr w:val="none" w:sz="0" w:space="0" w:color="auto" w:frame="1"/>
        </w:rPr>
        <w:t>O</w:t>
      </w:r>
      <w:r w:rsidR="00A403FE" w:rsidRPr="002D3E8A">
        <w:rPr>
          <w:rFonts w:asciiTheme="minorHAnsi" w:hAnsiTheme="minorHAnsi" w:cstheme="minorHAnsi"/>
          <w:sz w:val="22"/>
          <w:szCs w:val="22"/>
          <w:bdr w:val="none" w:sz="0" w:space="0" w:color="auto" w:frame="1"/>
          <w:vertAlign w:val="subscript"/>
        </w:rPr>
        <w:t>2</w:t>
      </w:r>
      <w:r w:rsidR="00A403FE" w:rsidRPr="002D3E8A">
        <w:rPr>
          <w:rFonts w:asciiTheme="minorHAnsi" w:hAnsiTheme="minorHAnsi" w:cstheme="minorHAnsi"/>
          <w:sz w:val="22"/>
          <w:szCs w:val="22"/>
          <w:bdr w:val="none" w:sz="0" w:space="0" w:color="auto" w:frame="1"/>
        </w:rPr>
        <w:t>e</w:t>
      </w:r>
      <w:r w:rsidR="00A403FE" w:rsidRPr="002D3E8A">
        <w:rPr>
          <w:rFonts w:asciiTheme="minorHAnsi" w:hAnsiTheme="minorHAnsi" w:cstheme="minorHAnsi"/>
          <w:sz w:val="22"/>
          <w:szCs w:val="22"/>
          <w:bdr w:val="none" w:sz="0" w:space="0" w:color="auto" w:frame="1"/>
          <w:vertAlign w:val="superscript"/>
        </w:rPr>
        <w:t>-1</w:t>
      </w:r>
      <w:r w:rsidR="005E4736" w:rsidRPr="002D3E8A">
        <w:rPr>
          <w:rFonts w:asciiTheme="minorHAnsi" w:hAnsiTheme="minorHAnsi" w:cstheme="minorHAnsi"/>
          <w:sz w:val="22"/>
          <w:szCs w:val="22"/>
          <w:bdr w:val="none" w:sz="0" w:space="0" w:color="auto" w:frame="1"/>
        </w:rPr>
        <w:t xml:space="preserve"> </w:t>
      </w:r>
      <w:r w:rsidRPr="002D3E8A">
        <w:rPr>
          <w:rFonts w:asciiTheme="minorHAnsi" w:hAnsiTheme="minorHAnsi" w:cstheme="minorHAnsi"/>
          <w:sz w:val="22"/>
          <w:szCs w:val="22"/>
          <w:bdr w:val="none" w:sz="0" w:space="0" w:color="auto" w:frame="1"/>
        </w:rPr>
        <w:t>were</w:t>
      </w:r>
      <w:r w:rsidRPr="00E52CDC">
        <w:rPr>
          <w:rFonts w:asciiTheme="minorHAnsi" w:hAnsiTheme="minorHAnsi" w:cstheme="minorHAnsi"/>
          <w:sz w:val="22"/>
          <w:szCs w:val="22"/>
          <w:bdr w:val="none" w:sz="0" w:space="0" w:color="auto" w:frame="1"/>
        </w:rPr>
        <w:t xml:space="preserve"> sourced from the most recent UK Marginal Abatement Cost Curve (MACC) </w:t>
      </w:r>
      <w:r w:rsidRPr="00E52CDC">
        <w:rPr>
          <w:rFonts w:asciiTheme="minorHAnsi" w:hAnsiTheme="minorHAnsi" w:cstheme="minorHAnsi"/>
          <w:sz w:val="22"/>
          <w:szCs w:val="22"/>
          <w:bdr w:val="none" w:sz="0" w:space="0" w:color="auto" w:frame="1"/>
        </w:rPr>
        <w:fldChar w:fldCharType="begin"/>
      </w:r>
      <w:r w:rsidR="003609EC">
        <w:rPr>
          <w:rFonts w:asciiTheme="minorHAnsi" w:hAnsiTheme="minorHAnsi" w:cstheme="minorHAnsi"/>
          <w:sz w:val="22"/>
          <w:szCs w:val="22"/>
          <w:bdr w:val="none" w:sz="0" w:space="0" w:color="auto" w:frame="1"/>
        </w:rPr>
        <w:instrText xml:space="preserve"> ADDIN ZOTERO_ITEM CSL_CITATION {"citationID":"GaWfiUa5","properties":{"formattedCitation":"(Eory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Pr="00E52CDC">
        <w:rPr>
          <w:rFonts w:asciiTheme="minorHAnsi" w:hAnsiTheme="minorHAnsi" w:cstheme="minorHAnsi"/>
          <w:sz w:val="22"/>
          <w:szCs w:val="22"/>
          <w:bdr w:val="none" w:sz="0" w:space="0" w:color="auto" w:frame="1"/>
        </w:rPr>
        <w:fldChar w:fldCharType="separate"/>
      </w:r>
      <w:r w:rsidR="003609EC" w:rsidRPr="003609EC">
        <w:rPr>
          <w:rFonts w:ascii="Calibri" w:hAnsi="Calibri" w:cs="Calibri"/>
          <w:sz w:val="22"/>
        </w:rPr>
        <w:t>(Eory et al., 2015)</w:t>
      </w:r>
      <w:r w:rsidRPr="00E52CDC">
        <w:rPr>
          <w:rFonts w:asciiTheme="minorHAnsi" w:hAnsiTheme="minorHAnsi" w:cstheme="minorHAnsi"/>
          <w:sz w:val="22"/>
          <w:szCs w:val="22"/>
          <w:bdr w:val="none" w:sz="0" w:space="0" w:color="auto" w:frame="1"/>
        </w:rPr>
        <w:fldChar w:fldCharType="end"/>
      </w:r>
      <w:r w:rsidR="00FA4E8D" w:rsidRPr="00E52CDC">
        <w:rPr>
          <w:rFonts w:asciiTheme="minorHAnsi" w:hAnsiTheme="minorHAnsi" w:cstheme="minorHAnsi"/>
          <w:sz w:val="22"/>
          <w:szCs w:val="22"/>
          <w:bdr w:val="none" w:sz="0" w:space="0" w:color="auto" w:frame="1"/>
        </w:rPr>
        <w:t xml:space="preserve"> (Table </w:t>
      </w:r>
      <w:r w:rsidR="006F345E" w:rsidRPr="00B54BCD">
        <w:rPr>
          <w:rFonts w:asciiTheme="minorHAnsi" w:hAnsiTheme="minorHAnsi" w:cstheme="minorHAnsi"/>
          <w:sz w:val="22"/>
          <w:szCs w:val="22"/>
          <w:bdr w:val="none" w:sz="0" w:space="0" w:color="auto" w:frame="1"/>
        </w:rPr>
        <w:t>1</w:t>
      </w:r>
      <w:r w:rsidR="00FA4E8D" w:rsidRPr="00B54BCD">
        <w:rPr>
          <w:rFonts w:asciiTheme="minorHAnsi" w:hAnsiTheme="minorHAnsi" w:cstheme="minorHAnsi"/>
          <w:sz w:val="22"/>
          <w:szCs w:val="22"/>
          <w:bdr w:val="none" w:sz="0" w:space="0" w:color="auto" w:frame="1"/>
        </w:rPr>
        <w:t>)</w:t>
      </w:r>
      <w:r w:rsidRPr="00B54BCD">
        <w:rPr>
          <w:rFonts w:asciiTheme="minorHAnsi" w:hAnsiTheme="minorHAnsi" w:cstheme="minorHAnsi"/>
          <w:sz w:val="22"/>
          <w:szCs w:val="22"/>
          <w:bdr w:val="none" w:sz="0" w:space="0" w:color="auto" w:frame="1"/>
        </w:rPr>
        <w:t>.</w:t>
      </w:r>
      <w:r w:rsidR="004B7B4C" w:rsidRPr="00B54BCD">
        <w:rPr>
          <w:rFonts w:asciiTheme="minorHAnsi" w:hAnsiTheme="minorHAnsi" w:cstheme="minorHAnsi"/>
          <w:sz w:val="22"/>
          <w:szCs w:val="22"/>
          <w:bdr w:val="none" w:sz="0" w:space="0" w:color="auto" w:frame="1"/>
        </w:rPr>
        <w:t xml:space="preserve"> </w:t>
      </w:r>
      <w:r w:rsidR="005A439E" w:rsidRPr="00B54BCD">
        <w:rPr>
          <w:rFonts w:asciiTheme="minorHAnsi" w:hAnsiTheme="minorHAnsi" w:cstheme="minorHAnsi"/>
          <w:sz w:val="22"/>
          <w:szCs w:val="22"/>
          <w:bdr w:val="none" w:sz="0" w:space="0" w:color="auto" w:frame="1"/>
        </w:rPr>
        <w:t xml:space="preserve">It was assumed all measures </w:t>
      </w:r>
      <w:r w:rsidR="006705CB" w:rsidRPr="00B54BCD">
        <w:rPr>
          <w:rFonts w:asciiTheme="minorHAnsi" w:hAnsiTheme="minorHAnsi" w:cstheme="minorHAnsi"/>
          <w:sz w:val="22"/>
          <w:szCs w:val="22"/>
          <w:bdr w:val="none" w:sz="0" w:space="0" w:color="auto" w:frame="1"/>
        </w:rPr>
        <w:t xml:space="preserve">were implemented in </w:t>
      </w:r>
      <w:r w:rsidR="000625DB" w:rsidRPr="00B54BCD">
        <w:rPr>
          <w:rFonts w:asciiTheme="minorHAnsi" w:hAnsiTheme="minorHAnsi" w:cstheme="minorHAnsi"/>
          <w:sz w:val="22"/>
          <w:szCs w:val="22"/>
          <w:bdr w:val="none" w:sz="0" w:space="0" w:color="auto" w:frame="1"/>
        </w:rPr>
        <w:t xml:space="preserve">full </w:t>
      </w:r>
      <w:r w:rsidR="00021322" w:rsidRPr="00B54BCD">
        <w:rPr>
          <w:rFonts w:asciiTheme="minorHAnsi" w:hAnsiTheme="minorHAnsi" w:cstheme="minorHAnsi"/>
          <w:sz w:val="22"/>
          <w:szCs w:val="22"/>
          <w:bdr w:val="none" w:sz="0" w:space="0" w:color="auto" w:frame="1"/>
        </w:rPr>
        <w:t xml:space="preserve">across the study farms, </w:t>
      </w:r>
      <w:r w:rsidR="006C1356" w:rsidRPr="00B54BCD">
        <w:rPr>
          <w:rFonts w:asciiTheme="minorHAnsi" w:hAnsiTheme="minorHAnsi" w:cstheme="minorHAnsi"/>
          <w:sz w:val="22"/>
          <w:szCs w:val="22"/>
          <w:bdr w:val="none" w:sz="0" w:space="0" w:color="auto" w:frame="1"/>
        </w:rPr>
        <w:t>and a</w:t>
      </w:r>
      <w:r w:rsidR="006432D8" w:rsidRPr="00B54BCD">
        <w:rPr>
          <w:rFonts w:asciiTheme="minorHAnsi" w:hAnsiTheme="minorHAnsi" w:cstheme="minorHAnsi"/>
          <w:sz w:val="22"/>
          <w:szCs w:val="22"/>
          <w:bdr w:val="none" w:sz="0" w:space="0" w:color="auto" w:frame="1"/>
        </w:rPr>
        <w:t xml:space="preserve">batement </w:t>
      </w:r>
      <w:r w:rsidR="00021322" w:rsidRPr="00B54BCD">
        <w:rPr>
          <w:rFonts w:asciiTheme="minorHAnsi" w:hAnsiTheme="minorHAnsi" w:cstheme="minorHAnsi"/>
          <w:sz w:val="22"/>
          <w:szCs w:val="22"/>
          <w:bdr w:val="none" w:sz="0" w:space="0" w:color="auto" w:frame="1"/>
        </w:rPr>
        <w:t xml:space="preserve">was calculated in terms of </w:t>
      </w:r>
      <w:r w:rsidR="006432D8" w:rsidRPr="00B54BCD">
        <w:rPr>
          <w:rFonts w:asciiTheme="minorHAnsi" w:hAnsiTheme="minorHAnsi" w:cstheme="minorHAnsi"/>
          <w:sz w:val="22"/>
          <w:szCs w:val="22"/>
          <w:bdr w:val="none" w:sz="0" w:space="0" w:color="auto" w:frame="1"/>
        </w:rPr>
        <w:t xml:space="preserve">annual </w:t>
      </w:r>
      <w:r w:rsidR="00021322" w:rsidRPr="00B54BCD">
        <w:rPr>
          <w:rFonts w:asciiTheme="minorHAnsi" w:hAnsiTheme="minorHAnsi" w:cstheme="minorHAnsi"/>
          <w:sz w:val="22"/>
          <w:szCs w:val="22"/>
          <w:bdr w:val="none" w:sz="0" w:space="0" w:color="auto" w:frame="1"/>
        </w:rPr>
        <w:t xml:space="preserve">emissions </w:t>
      </w:r>
      <w:r w:rsidR="00F8546A" w:rsidRPr="00B54BCD">
        <w:rPr>
          <w:rFonts w:asciiTheme="minorHAnsi" w:hAnsiTheme="minorHAnsi" w:cstheme="minorHAnsi"/>
          <w:sz w:val="22"/>
          <w:szCs w:val="22"/>
          <w:bdr w:val="none" w:sz="0" w:space="0" w:color="auto" w:frame="1"/>
        </w:rPr>
        <w:t>reduction at farm (or product) level</w:t>
      </w:r>
      <w:r w:rsidR="005A439E" w:rsidRPr="00B54BCD">
        <w:rPr>
          <w:rFonts w:asciiTheme="minorHAnsi" w:hAnsiTheme="minorHAnsi" w:cstheme="minorHAnsi"/>
          <w:sz w:val="22"/>
          <w:szCs w:val="22"/>
          <w:bdr w:val="none" w:sz="0" w:space="0" w:color="auto" w:frame="1"/>
        </w:rPr>
        <w:t>.</w:t>
      </w:r>
      <w:r w:rsidR="006432D8" w:rsidRPr="00B54BCD">
        <w:rPr>
          <w:rFonts w:asciiTheme="minorHAnsi" w:hAnsiTheme="minorHAnsi" w:cstheme="minorHAnsi"/>
          <w:sz w:val="22"/>
          <w:szCs w:val="22"/>
          <w:bdr w:val="none" w:sz="0" w:space="0" w:color="auto" w:frame="1"/>
        </w:rPr>
        <w:t xml:space="preserve"> </w:t>
      </w:r>
      <w:r w:rsidR="004B7B4C" w:rsidRPr="00B54BCD">
        <w:rPr>
          <w:rFonts w:asciiTheme="minorHAnsi" w:hAnsiTheme="minorHAnsi" w:cstheme="minorHAnsi"/>
          <w:sz w:val="22"/>
          <w:szCs w:val="22"/>
          <w:bdr w:val="none" w:sz="0" w:space="0" w:color="auto" w:frame="1"/>
        </w:rPr>
        <w:t>Measures were implemented in</w:t>
      </w:r>
      <w:r w:rsidR="000C0DC3" w:rsidRPr="00B54BCD">
        <w:rPr>
          <w:rFonts w:asciiTheme="minorHAnsi" w:hAnsiTheme="minorHAnsi" w:cstheme="minorHAnsi"/>
          <w:sz w:val="22"/>
          <w:szCs w:val="22"/>
          <w:bdr w:val="none" w:sz="0" w:space="0" w:color="auto" w:frame="1"/>
        </w:rPr>
        <w:t xml:space="preserve"> a sequential approach </w:t>
      </w:r>
      <w:r w:rsidR="00182B34" w:rsidRPr="00B54BCD">
        <w:rPr>
          <w:rFonts w:asciiTheme="minorHAnsi" w:hAnsiTheme="minorHAnsi" w:cstheme="minorHAnsi"/>
          <w:sz w:val="22"/>
          <w:szCs w:val="22"/>
          <w:bdr w:val="none" w:sz="0" w:space="0" w:color="auto" w:frame="1"/>
        </w:rPr>
        <w:t>which</w:t>
      </w:r>
      <w:r w:rsidR="000C0DC3" w:rsidRPr="00B54BCD">
        <w:rPr>
          <w:rFonts w:asciiTheme="minorHAnsi" w:hAnsiTheme="minorHAnsi" w:cstheme="minorHAnsi"/>
          <w:sz w:val="22"/>
          <w:szCs w:val="22"/>
          <w:bdr w:val="none" w:sz="0" w:space="0" w:color="auto" w:frame="1"/>
        </w:rPr>
        <w:t xml:space="preserve"> aimed to minimis</w:t>
      </w:r>
      <w:r w:rsidR="0017567C" w:rsidRPr="00B54BCD">
        <w:rPr>
          <w:rFonts w:asciiTheme="minorHAnsi" w:hAnsiTheme="minorHAnsi" w:cstheme="minorHAnsi"/>
          <w:sz w:val="22"/>
          <w:szCs w:val="22"/>
          <w:bdr w:val="none" w:sz="0" w:space="0" w:color="auto" w:frame="1"/>
        </w:rPr>
        <w:t xml:space="preserve">e any potential </w:t>
      </w:r>
      <w:r w:rsidR="00730492" w:rsidRPr="00B54BCD">
        <w:rPr>
          <w:rFonts w:asciiTheme="minorHAnsi" w:hAnsiTheme="minorHAnsi" w:cstheme="minorHAnsi"/>
          <w:sz w:val="22"/>
          <w:szCs w:val="22"/>
          <w:bdr w:val="none" w:sz="0" w:space="0" w:color="auto" w:frame="1"/>
        </w:rPr>
        <w:t>influence</w:t>
      </w:r>
      <w:r w:rsidR="0017567C" w:rsidRPr="00B54BCD">
        <w:rPr>
          <w:rFonts w:asciiTheme="minorHAnsi" w:hAnsiTheme="minorHAnsi" w:cstheme="minorHAnsi"/>
          <w:sz w:val="22"/>
          <w:szCs w:val="22"/>
          <w:bdr w:val="none" w:sz="0" w:space="0" w:color="auto" w:frame="1"/>
        </w:rPr>
        <w:t xml:space="preserve"> </w:t>
      </w:r>
      <w:r w:rsidR="00766703" w:rsidRPr="00B54BCD">
        <w:rPr>
          <w:rFonts w:asciiTheme="minorHAnsi" w:hAnsiTheme="minorHAnsi" w:cstheme="minorHAnsi"/>
          <w:sz w:val="22"/>
          <w:szCs w:val="22"/>
          <w:bdr w:val="none" w:sz="0" w:space="0" w:color="auto" w:frame="1"/>
        </w:rPr>
        <w:t>of</w:t>
      </w:r>
      <w:r w:rsidR="0017567C" w:rsidRPr="00B54BCD">
        <w:rPr>
          <w:rFonts w:asciiTheme="minorHAnsi" w:hAnsiTheme="minorHAnsi" w:cstheme="minorHAnsi"/>
          <w:sz w:val="22"/>
          <w:szCs w:val="22"/>
          <w:bdr w:val="none" w:sz="0" w:space="0" w:color="auto" w:frame="1"/>
        </w:rPr>
        <w:t xml:space="preserve"> the order of measure</w:t>
      </w:r>
      <w:r w:rsidR="00443502" w:rsidRPr="00B54BCD">
        <w:rPr>
          <w:rFonts w:asciiTheme="minorHAnsi" w:hAnsiTheme="minorHAnsi" w:cstheme="minorHAnsi"/>
          <w:sz w:val="22"/>
          <w:szCs w:val="22"/>
          <w:bdr w:val="none" w:sz="0" w:space="0" w:color="auto" w:frame="1"/>
        </w:rPr>
        <w:t>s</w:t>
      </w:r>
      <w:r w:rsidR="00F963BA" w:rsidRPr="00B54BCD">
        <w:rPr>
          <w:rFonts w:asciiTheme="minorHAnsi" w:hAnsiTheme="minorHAnsi" w:cstheme="minorHAnsi"/>
          <w:sz w:val="22"/>
          <w:szCs w:val="22"/>
          <w:bdr w:val="none" w:sz="0" w:space="0" w:color="auto" w:frame="1"/>
        </w:rPr>
        <w:t xml:space="preserve">. For example, </w:t>
      </w:r>
      <w:r w:rsidR="008B3310" w:rsidRPr="00B54BCD">
        <w:rPr>
          <w:rFonts w:asciiTheme="minorHAnsi" w:hAnsiTheme="minorHAnsi" w:cstheme="minorHAnsi"/>
          <w:sz w:val="22"/>
          <w:szCs w:val="22"/>
          <w:bdr w:val="none" w:sz="0" w:space="0" w:color="auto" w:frame="1"/>
        </w:rPr>
        <w:t>any measure which reduce</w:t>
      </w:r>
      <w:r w:rsidR="0067103A" w:rsidRPr="00B54BCD">
        <w:rPr>
          <w:rFonts w:asciiTheme="minorHAnsi" w:hAnsiTheme="minorHAnsi" w:cstheme="minorHAnsi"/>
          <w:sz w:val="22"/>
          <w:szCs w:val="22"/>
          <w:bdr w:val="none" w:sz="0" w:space="0" w:color="auto" w:frame="1"/>
        </w:rPr>
        <w:t>d synthetic</w:t>
      </w:r>
      <w:r w:rsidR="00695622" w:rsidRPr="00B54BCD">
        <w:rPr>
          <w:rFonts w:asciiTheme="minorHAnsi" w:hAnsiTheme="minorHAnsi" w:cstheme="minorHAnsi"/>
          <w:sz w:val="22"/>
          <w:szCs w:val="22"/>
          <w:bdr w:val="none" w:sz="0" w:space="0" w:color="auto" w:frame="1"/>
        </w:rPr>
        <w:t xml:space="preserve"> (fertiliser)</w:t>
      </w:r>
      <w:r w:rsidR="0067103A" w:rsidRPr="00B54BCD">
        <w:rPr>
          <w:rFonts w:asciiTheme="minorHAnsi" w:hAnsiTheme="minorHAnsi" w:cstheme="minorHAnsi"/>
          <w:sz w:val="22"/>
          <w:szCs w:val="22"/>
          <w:bdr w:val="none" w:sz="0" w:space="0" w:color="auto" w:frame="1"/>
        </w:rPr>
        <w:t xml:space="preserve"> N use</w:t>
      </w:r>
      <w:r w:rsidR="004365CA" w:rsidRPr="00B54BCD">
        <w:rPr>
          <w:rFonts w:asciiTheme="minorHAnsi" w:hAnsiTheme="minorHAnsi" w:cstheme="minorHAnsi"/>
          <w:sz w:val="22"/>
          <w:szCs w:val="22"/>
          <w:bdr w:val="none" w:sz="0" w:space="0" w:color="auto" w:frame="1"/>
        </w:rPr>
        <w:t>,</w:t>
      </w:r>
      <w:r w:rsidR="00C61C08" w:rsidRPr="00B54BCD">
        <w:rPr>
          <w:rFonts w:asciiTheme="minorHAnsi" w:hAnsiTheme="minorHAnsi" w:cstheme="minorHAnsi"/>
          <w:sz w:val="22"/>
          <w:szCs w:val="22"/>
          <w:bdr w:val="none" w:sz="0" w:space="0" w:color="auto" w:frame="1"/>
        </w:rPr>
        <w:t xml:space="preserve"> e.g. introducing legume-grass mixture</w:t>
      </w:r>
      <w:r w:rsidR="004365CA" w:rsidRPr="00B54BCD">
        <w:rPr>
          <w:rFonts w:asciiTheme="minorHAnsi" w:hAnsiTheme="minorHAnsi" w:cstheme="minorHAnsi"/>
          <w:sz w:val="22"/>
          <w:szCs w:val="22"/>
          <w:bdr w:val="none" w:sz="0" w:space="0" w:color="auto" w:frame="1"/>
        </w:rPr>
        <w:t>s,</w:t>
      </w:r>
      <w:r w:rsidR="0067103A" w:rsidRPr="00B54BCD">
        <w:rPr>
          <w:rFonts w:asciiTheme="minorHAnsi" w:hAnsiTheme="minorHAnsi" w:cstheme="minorHAnsi"/>
          <w:sz w:val="22"/>
          <w:szCs w:val="22"/>
          <w:bdr w:val="none" w:sz="0" w:space="0" w:color="auto" w:frame="1"/>
        </w:rPr>
        <w:t xml:space="preserve"> were implemented </w:t>
      </w:r>
      <w:r w:rsidR="00C61C08" w:rsidRPr="00B54BCD">
        <w:rPr>
          <w:rFonts w:asciiTheme="minorHAnsi" w:hAnsiTheme="minorHAnsi" w:cstheme="minorHAnsi"/>
          <w:sz w:val="22"/>
          <w:szCs w:val="22"/>
          <w:bdr w:val="none" w:sz="0" w:space="0" w:color="auto" w:frame="1"/>
        </w:rPr>
        <w:t>before nitrification inhibitors</w:t>
      </w:r>
      <w:r w:rsidR="00D42395" w:rsidRPr="00B54BCD">
        <w:rPr>
          <w:rFonts w:asciiTheme="minorHAnsi" w:hAnsiTheme="minorHAnsi" w:cstheme="minorHAnsi"/>
          <w:sz w:val="22"/>
          <w:szCs w:val="22"/>
          <w:bdr w:val="none" w:sz="0" w:space="0" w:color="auto" w:frame="1"/>
        </w:rPr>
        <w:t>,</w:t>
      </w:r>
      <w:r w:rsidR="00C61C08" w:rsidRPr="00B54BCD">
        <w:rPr>
          <w:rFonts w:asciiTheme="minorHAnsi" w:hAnsiTheme="minorHAnsi" w:cstheme="minorHAnsi"/>
          <w:sz w:val="22"/>
          <w:szCs w:val="22"/>
          <w:bdr w:val="none" w:sz="0" w:space="0" w:color="auto" w:frame="1"/>
        </w:rPr>
        <w:t xml:space="preserve"> </w:t>
      </w:r>
      <w:r w:rsidR="008C344D" w:rsidRPr="00B54BCD">
        <w:rPr>
          <w:rFonts w:asciiTheme="minorHAnsi" w:hAnsiTheme="minorHAnsi" w:cstheme="minorHAnsi"/>
          <w:sz w:val="22"/>
          <w:szCs w:val="22"/>
          <w:bdr w:val="none" w:sz="0" w:space="0" w:color="auto" w:frame="1"/>
        </w:rPr>
        <w:t>and</w:t>
      </w:r>
      <w:r w:rsidR="00C61C08" w:rsidRPr="00B54BCD">
        <w:rPr>
          <w:rFonts w:asciiTheme="minorHAnsi" w:hAnsiTheme="minorHAnsi" w:cstheme="minorHAnsi"/>
          <w:sz w:val="22"/>
          <w:szCs w:val="22"/>
          <w:bdr w:val="none" w:sz="0" w:space="0" w:color="auto" w:frame="1"/>
        </w:rPr>
        <w:t xml:space="preserve"> measures which affected livestock emission intensities </w:t>
      </w:r>
      <w:r w:rsidR="008C344D" w:rsidRPr="00B54BCD">
        <w:rPr>
          <w:rFonts w:asciiTheme="minorHAnsi" w:hAnsiTheme="minorHAnsi" w:cstheme="minorHAnsi"/>
          <w:sz w:val="22"/>
          <w:szCs w:val="22"/>
          <w:bdr w:val="none" w:sz="0" w:space="0" w:color="auto" w:frame="1"/>
        </w:rPr>
        <w:t xml:space="preserve">were implemented </w:t>
      </w:r>
      <w:r w:rsidR="00C53611" w:rsidRPr="00B54BCD">
        <w:rPr>
          <w:rFonts w:asciiTheme="minorHAnsi" w:hAnsiTheme="minorHAnsi" w:cstheme="minorHAnsi"/>
          <w:sz w:val="22"/>
          <w:szCs w:val="22"/>
          <w:bdr w:val="none" w:sz="0" w:space="0" w:color="auto" w:frame="1"/>
        </w:rPr>
        <w:t xml:space="preserve">before measures such as </w:t>
      </w:r>
      <w:r w:rsidR="004A2668" w:rsidRPr="00B54BCD">
        <w:rPr>
          <w:rFonts w:asciiTheme="minorHAnsi" w:hAnsiTheme="minorHAnsi" w:cstheme="minorHAnsi"/>
          <w:sz w:val="22"/>
          <w:szCs w:val="22"/>
          <w:bdr w:val="none" w:sz="0" w:space="0" w:color="auto" w:frame="1"/>
        </w:rPr>
        <w:t>CH</w:t>
      </w:r>
      <w:r w:rsidR="004A2668" w:rsidRPr="00B54BCD">
        <w:rPr>
          <w:rFonts w:asciiTheme="minorHAnsi" w:hAnsiTheme="minorHAnsi" w:cstheme="minorHAnsi"/>
          <w:sz w:val="22"/>
          <w:szCs w:val="22"/>
          <w:bdr w:val="none" w:sz="0" w:space="0" w:color="auto" w:frame="1"/>
          <w:vertAlign w:val="subscript"/>
        </w:rPr>
        <w:t>4</w:t>
      </w:r>
      <w:r w:rsidR="004A2668" w:rsidRPr="00B54BCD">
        <w:rPr>
          <w:rFonts w:asciiTheme="minorHAnsi" w:hAnsiTheme="minorHAnsi" w:cstheme="minorHAnsi"/>
          <w:sz w:val="22"/>
          <w:szCs w:val="22"/>
          <w:bdr w:val="none" w:sz="0" w:space="0" w:color="auto" w:frame="1"/>
        </w:rPr>
        <w:t xml:space="preserve"> </w:t>
      </w:r>
      <w:r w:rsidR="00C53611" w:rsidRPr="00B54BCD">
        <w:rPr>
          <w:rFonts w:asciiTheme="minorHAnsi" w:hAnsiTheme="minorHAnsi" w:cstheme="minorHAnsi"/>
          <w:sz w:val="22"/>
          <w:szCs w:val="22"/>
          <w:bdr w:val="none" w:sz="0" w:space="0" w:color="auto" w:frame="1"/>
        </w:rPr>
        <w:t>inhibitors or slurry acidification</w:t>
      </w:r>
      <w:r w:rsidR="005E39D9" w:rsidRPr="00B54BCD">
        <w:rPr>
          <w:rFonts w:asciiTheme="minorHAnsi" w:hAnsiTheme="minorHAnsi" w:cstheme="minorHAnsi"/>
          <w:sz w:val="22"/>
          <w:szCs w:val="22"/>
          <w:bdr w:val="none" w:sz="0" w:space="0" w:color="auto" w:frame="1"/>
        </w:rPr>
        <w:t>.</w:t>
      </w:r>
      <w:r w:rsidR="002F590F" w:rsidRPr="00B54BCD">
        <w:rPr>
          <w:rFonts w:asciiTheme="minorHAnsi" w:hAnsiTheme="minorHAnsi" w:cstheme="minorHAnsi"/>
          <w:sz w:val="22"/>
          <w:szCs w:val="22"/>
          <w:bdr w:val="none" w:sz="0" w:space="0" w:color="auto" w:frame="1"/>
        </w:rPr>
        <w:t xml:space="preserve"> </w:t>
      </w:r>
      <w:r w:rsidR="00457E96" w:rsidRPr="00B54BCD">
        <w:rPr>
          <w:rFonts w:asciiTheme="minorHAnsi" w:hAnsiTheme="minorHAnsi" w:cstheme="minorHAnsi"/>
          <w:sz w:val="22"/>
          <w:szCs w:val="22"/>
          <w:bdr w:val="none" w:sz="0" w:space="0" w:color="auto" w:frame="1"/>
        </w:rPr>
        <w:t xml:space="preserve">Although cost was not directly assessed in this </w:t>
      </w:r>
      <w:r w:rsidR="004630F2" w:rsidRPr="00B54BCD">
        <w:rPr>
          <w:rFonts w:asciiTheme="minorHAnsi" w:hAnsiTheme="minorHAnsi" w:cstheme="minorHAnsi"/>
          <w:sz w:val="22"/>
          <w:szCs w:val="22"/>
          <w:bdr w:val="none" w:sz="0" w:space="0" w:color="auto" w:frame="1"/>
        </w:rPr>
        <w:t>study</w:t>
      </w:r>
      <w:r w:rsidR="00F8546A" w:rsidRPr="00B54BCD">
        <w:rPr>
          <w:rFonts w:asciiTheme="minorHAnsi" w:hAnsiTheme="minorHAnsi" w:cstheme="minorHAnsi"/>
          <w:sz w:val="22"/>
          <w:szCs w:val="22"/>
          <w:bdr w:val="none" w:sz="0" w:space="0" w:color="auto" w:frame="1"/>
        </w:rPr>
        <w:t xml:space="preserve"> (outside of scope)</w:t>
      </w:r>
      <w:r w:rsidR="00457E96" w:rsidRPr="00B54BCD">
        <w:rPr>
          <w:rFonts w:asciiTheme="minorHAnsi" w:hAnsiTheme="minorHAnsi" w:cstheme="minorHAnsi"/>
          <w:sz w:val="22"/>
          <w:szCs w:val="22"/>
          <w:bdr w:val="none" w:sz="0" w:space="0" w:color="auto" w:frame="1"/>
        </w:rPr>
        <w:t>, mitigation measure</w:t>
      </w:r>
      <w:r w:rsidR="00F8546A" w:rsidRPr="00B54BCD">
        <w:rPr>
          <w:rFonts w:asciiTheme="minorHAnsi" w:hAnsiTheme="minorHAnsi" w:cstheme="minorHAnsi"/>
          <w:sz w:val="22"/>
          <w:szCs w:val="22"/>
          <w:bdr w:val="none" w:sz="0" w:space="0" w:color="auto" w:frame="1"/>
        </w:rPr>
        <w:t>s</w:t>
      </w:r>
      <w:r w:rsidR="00457E96" w:rsidRPr="00B54BCD">
        <w:rPr>
          <w:rFonts w:asciiTheme="minorHAnsi" w:hAnsiTheme="minorHAnsi" w:cstheme="minorHAnsi"/>
          <w:sz w:val="22"/>
          <w:szCs w:val="22"/>
          <w:bdr w:val="none" w:sz="0" w:space="0" w:color="auto" w:frame="1"/>
        </w:rPr>
        <w:t xml:space="preserve"> were chosen from the MACC</w:t>
      </w:r>
      <w:r w:rsidR="001048A6" w:rsidRPr="00B54BCD">
        <w:rPr>
          <w:rFonts w:asciiTheme="minorHAnsi" w:hAnsiTheme="minorHAnsi" w:cstheme="minorHAnsi"/>
          <w:sz w:val="22"/>
          <w:szCs w:val="22"/>
          <w:bdr w:val="none" w:sz="0" w:space="0" w:color="auto" w:frame="1"/>
        </w:rPr>
        <w:t xml:space="preserve"> to ensure</w:t>
      </w:r>
      <w:r w:rsidR="0080066F" w:rsidRPr="00B54BCD">
        <w:rPr>
          <w:rFonts w:asciiTheme="minorHAnsi" w:hAnsiTheme="minorHAnsi" w:cstheme="minorHAnsi"/>
          <w:sz w:val="22"/>
          <w:szCs w:val="22"/>
          <w:bdr w:val="none" w:sz="0" w:space="0" w:color="auto" w:frame="1"/>
        </w:rPr>
        <w:t xml:space="preserve"> </w:t>
      </w:r>
      <w:r w:rsidR="00737F43" w:rsidRPr="00B54BCD">
        <w:rPr>
          <w:rFonts w:asciiTheme="minorHAnsi" w:hAnsiTheme="minorHAnsi" w:cstheme="minorHAnsi"/>
          <w:sz w:val="22"/>
          <w:szCs w:val="22"/>
          <w:bdr w:val="none" w:sz="0" w:space="0" w:color="auto" w:frame="1"/>
        </w:rPr>
        <w:t xml:space="preserve">that they had </w:t>
      </w:r>
      <w:r w:rsidR="0089769D" w:rsidRPr="00B54BCD">
        <w:rPr>
          <w:rFonts w:asciiTheme="minorHAnsi" w:hAnsiTheme="minorHAnsi" w:cstheme="minorHAnsi"/>
          <w:sz w:val="22"/>
          <w:szCs w:val="22"/>
          <w:bdr w:val="none" w:sz="0" w:space="0" w:color="auto" w:frame="1"/>
        </w:rPr>
        <w:t xml:space="preserve">previously been deemed </w:t>
      </w:r>
      <w:r w:rsidR="00232734" w:rsidRPr="00B54BCD">
        <w:rPr>
          <w:rFonts w:asciiTheme="minorHAnsi" w:hAnsiTheme="minorHAnsi" w:cstheme="minorHAnsi"/>
          <w:sz w:val="22"/>
          <w:szCs w:val="22"/>
          <w:bdr w:val="none" w:sz="0" w:space="0" w:color="auto" w:frame="1"/>
        </w:rPr>
        <w:t xml:space="preserve"> as </w:t>
      </w:r>
      <w:r w:rsidR="00CC77CE" w:rsidRPr="00B54BCD">
        <w:rPr>
          <w:rFonts w:asciiTheme="minorHAnsi" w:hAnsiTheme="minorHAnsi" w:cstheme="minorHAnsi"/>
          <w:sz w:val="22"/>
          <w:szCs w:val="22"/>
          <w:bdr w:val="none" w:sz="0" w:space="0" w:color="auto" w:frame="1"/>
        </w:rPr>
        <w:t>cost</w:t>
      </w:r>
      <w:r w:rsidR="00945B81" w:rsidRPr="00B54BCD">
        <w:rPr>
          <w:rFonts w:asciiTheme="minorHAnsi" w:hAnsiTheme="minorHAnsi" w:cstheme="minorHAnsi"/>
          <w:sz w:val="22"/>
          <w:szCs w:val="22"/>
          <w:bdr w:val="none" w:sz="0" w:space="0" w:color="auto" w:frame="1"/>
        </w:rPr>
        <w:t>-</w:t>
      </w:r>
      <w:r w:rsidR="00CC77CE" w:rsidRPr="00B54BCD">
        <w:rPr>
          <w:rFonts w:asciiTheme="minorHAnsi" w:hAnsiTheme="minorHAnsi" w:cstheme="minorHAnsi"/>
          <w:sz w:val="22"/>
          <w:szCs w:val="22"/>
          <w:bdr w:val="none" w:sz="0" w:space="0" w:color="auto" w:frame="1"/>
        </w:rPr>
        <w:t xml:space="preserve">effective and </w:t>
      </w:r>
      <w:r w:rsidR="00E02130" w:rsidRPr="00B54BCD">
        <w:rPr>
          <w:rFonts w:asciiTheme="minorHAnsi" w:hAnsiTheme="minorHAnsi" w:cstheme="minorHAnsi"/>
          <w:sz w:val="22"/>
          <w:szCs w:val="22"/>
          <w:bdr w:val="none" w:sz="0" w:space="0" w:color="auto" w:frame="1"/>
        </w:rPr>
        <w:t>practically feasible</w:t>
      </w:r>
      <w:r w:rsidR="005E08C1" w:rsidRPr="00B54BCD">
        <w:rPr>
          <w:rFonts w:asciiTheme="minorHAnsi" w:hAnsiTheme="minorHAnsi" w:cstheme="minorHAnsi"/>
          <w:sz w:val="22"/>
          <w:szCs w:val="22"/>
          <w:bdr w:val="none" w:sz="0" w:space="0" w:color="auto" w:frame="1"/>
        </w:rPr>
        <w:t xml:space="preserve"> </w:t>
      </w:r>
      <w:r w:rsidR="005E08C1" w:rsidRPr="00B54BCD">
        <w:rPr>
          <w:rFonts w:asciiTheme="minorHAnsi" w:hAnsiTheme="minorHAnsi" w:cstheme="minorHAnsi"/>
          <w:sz w:val="22"/>
          <w:szCs w:val="22"/>
          <w:bdr w:val="none" w:sz="0" w:space="0" w:color="auto" w:frame="1"/>
        </w:rPr>
        <w:fldChar w:fldCharType="begin"/>
      </w:r>
      <w:r w:rsidR="003609EC">
        <w:rPr>
          <w:rFonts w:asciiTheme="minorHAnsi" w:hAnsiTheme="minorHAnsi" w:cstheme="minorHAnsi"/>
          <w:sz w:val="22"/>
          <w:szCs w:val="22"/>
          <w:bdr w:val="none" w:sz="0" w:space="0" w:color="auto" w:frame="1"/>
        </w:rPr>
        <w:instrText xml:space="preserve"> ADDIN ZOTERO_ITEM CSL_CITATION {"citationID":"VAvR92Th","properties":{"formattedCitation":"(Eory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005E08C1" w:rsidRPr="00B54BCD">
        <w:rPr>
          <w:rFonts w:asciiTheme="minorHAnsi" w:hAnsiTheme="minorHAnsi" w:cstheme="minorHAnsi"/>
          <w:sz w:val="22"/>
          <w:szCs w:val="22"/>
          <w:bdr w:val="none" w:sz="0" w:space="0" w:color="auto" w:frame="1"/>
        </w:rPr>
        <w:fldChar w:fldCharType="separate"/>
      </w:r>
      <w:r w:rsidR="003609EC" w:rsidRPr="003609EC">
        <w:rPr>
          <w:rFonts w:ascii="Calibri" w:hAnsi="Calibri" w:cs="Calibri"/>
          <w:sz w:val="22"/>
        </w:rPr>
        <w:t>(Eory et al., 2015)</w:t>
      </w:r>
      <w:r w:rsidR="005E08C1" w:rsidRPr="00B54BCD">
        <w:rPr>
          <w:rFonts w:asciiTheme="minorHAnsi" w:hAnsiTheme="minorHAnsi" w:cstheme="minorHAnsi"/>
          <w:sz w:val="22"/>
          <w:szCs w:val="22"/>
          <w:bdr w:val="none" w:sz="0" w:space="0" w:color="auto" w:frame="1"/>
        </w:rPr>
        <w:fldChar w:fldCharType="end"/>
      </w:r>
      <w:r w:rsidR="00E02130" w:rsidRPr="00B54BCD">
        <w:rPr>
          <w:rFonts w:asciiTheme="minorHAnsi" w:hAnsiTheme="minorHAnsi" w:cstheme="minorHAnsi"/>
          <w:sz w:val="22"/>
          <w:szCs w:val="22"/>
          <w:bdr w:val="none" w:sz="0" w:space="0" w:color="auto" w:frame="1"/>
        </w:rPr>
        <w:t>.</w:t>
      </w:r>
    </w:p>
    <w:p w14:paraId="5740FDBC" w14:textId="77777777" w:rsidR="00444C85" w:rsidRDefault="00444C85" w:rsidP="00BA3E62">
      <w:pPr>
        <w:spacing w:after="160" w:line="259" w:lineRule="auto"/>
        <w:jc w:val="both"/>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br w:type="page"/>
      </w:r>
    </w:p>
    <w:p w14:paraId="4D35F660" w14:textId="50CF1DE2" w:rsidR="00951975" w:rsidRPr="0033064E" w:rsidRDefault="00FA4E8D" w:rsidP="00E568F2">
      <w:pPr>
        <w:spacing w:line="360" w:lineRule="auto"/>
        <w:rPr>
          <w:rFonts w:asciiTheme="minorHAnsi" w:hAnsiTheme="minorHAnsi" w:cstheme="minorHAnsi"/>
          <w:sz w:val="22"/>
          <w:szCs w:val="22"/>
          <w:bdr w:val="none" w:sz="0" w:space="0" w:color="auto" w:frame="1"/>
        </w:rPr>
      </w:pPr>
      <w:r w:rsidRPr="0033064E">
        <w:rPr>
          <w:rFonts w:asciiTheme="minorHAnsi" w:hAnsiTheme="minorHAnsi" w:cstheme="minorHAnsi"/>
          <w:b/>
          <w:bCs/>
          <w:sz w:val="22"/>
          <w:szCs w:val="22"/>
          <w:bdr w:val="none" w:sz="0" w:space="0" w:color="auto" w:frame="1"/>
        </w:rPr>
        <w:lastRenderedPageBreak/>
        <w:t>Table 1:</w:t>
      </w:r>
      <w:r w:rsidR="005C7DC1" w:rsidRPr="0033064E">
        <w:rPr>
          <w:rFonts w:asciiTheme="minorHAnsi" w:hAnsiTheme="minorHAnsi" w:cstheme="minorHAnsi"/>
          <w:b/>
          <w:bCs/>
          <w:sz w:val="22"/>
          <w:szCs w:val="22"/>
          <w:bdr w:val="none" w:sz="0" w:space="0" w:color="auto" w:frame="1"/>
        </w:rPr>
        <w:t xml:space="preserve"> </w:t>
      </w:r>
      <w:r w:rsidRPr="0033064E">
        <w:rPr>
          <w:rFonts w:asciiTheme="minorHAnsi" w:hAnsiTheme="minorHAnsi" w:cstheme="minorHAnsi"/>
          <w:sz w:val="22"/>
          <w:szCs w:val="22"/>
          <w:bdr w:val="none" w:sz="0" w:space="0" w:color="auto" w:frame="1"/>
        </w:rPr>
        <w:t xml:space="preserve">Mitigation measures taken from the UK’s most recent </w:t>
      </w:r>
      <w:r w:rsidR="007B6C67" w:rsidRPr="00E52CDC">
        <w:rPr>
          <w:rFonts w:asciiTheme="minorHAnsi" w:hAnsiTheme="minorHAnsi" w:cstheme="minorHAnsi"/>
          <w:sz w:val="22"/>
          <w:szCs w:val="22"/>
          <w:bdr w:val="none" w:sz="0" w:space="0" w:color="auto" w:frame="1"/>
        </w:rPr>
        <w:t xml:space="preserve">Marginal Abatement Cost Curve </w:t>
      </w:r>
      <w:r w:rsidR="007B6C67">
        <w:rPr>
          <w:rFonts w:asciiTheme="minorHAnsi" w:hAnsiTheme="minorHAnsi" w:cstheme="minorHAnsi"/>
          <w:sz w:val="22"/>
          <w:szCs w:val="22"/>
          <w:bdr w:val="none" w:sz="0" w:space="0" w:color="auto" w:frame="1"/>
        </w:rPr>
        <w:t>(</w:t>
      </w:r>
      <w:r w:rsidRPr="0033064E">
        <w:rPr>
          <w:rFonts w:asciiTheme="minorHAnsi" w:hAnsiTheme="minorHAnsi" w:cstheme="minorHAnsi"/>
          <w:sz w:val="22"/>
          <w:szCs w:val="22"/>
          <w:bdr w:val="none" w:sz="0" w:space="0" w:color="auto" w:frame="1"/>
        </w:rPr>
        <w:t>MACC</w:t>
      </w:r>
      <w:r w:rsidR="007B6C67">
        <w:rPr>
          <w:rFonts w:asciiTheme="minorHAnsi" w:hAnsiTheme="minorHAnsi" w:cstheme="minorHAnsi"/>
          <w:sz w:val="22"/>
          <w:szCs w:val="22"/>
          <w:bdr w:val="none" w:sz="0" w:space="0" w:color="auto" w:frame="1"/>
        </w:rPr>
        <w:t>)</w:t>
      </w:r>
      <w:r w:rsidRPr="0033064E">
        <w:rPr>
          <w:rFonts w:asciiTheme="minorHAnsi" w:hAnsiTheme="minorHAnsi" w:cstheme="minorHAnsi"/>
          <w:sz w:val="22"/>
          <w:szCs w:val="22"/>
          <w:bdr w:val="none" w:sz="0" w:space="0" w:color="auto" w:frame="1"/>
        </w:rPr>
        <w:t xml:space="preserve"> and the abatement potentials used in this study </w:t>
      </w:r>
      <w:r w:rsidRPr="0033064E">
        <w:rPr>
          <w:rFonts w:asciiTheme="minorHAnsi" w:hAnsiTheme="minorHAnsi" w:cstheme="minorHAnsi"/>
          <w:b/>
          <w:bCs/>
          <w:sz w:val="22"/>
          <w:szCs w:val="22"/>
          <w:bdr w:val="none" w:sz="0" w:space="0" w:color="auto" w:frame="1"/>
        </w:rPr>
        <w:fldChar w:fldCharType="begin"/>
      </w:r>
      <w:r w:rsidR="001759CC">
        <w:rPr>
          <w:rFonts w:asciiTheme="minorHAnsi" w:hAnsiTheme="minorHAnsi" w:cstheme="minorHAnsi"/>
          <w:b/>
          <w:bCs/>
          <w:sz w:val="22"/>
          <w:szCs w:val="22"/>
          <w:bdr w:val="none" w:sz="0" w:space="0" w:color="auto" w:frame="1"/>
        </w:rPr>
        <w:instrText xml:space="preserve"> ADDIN ZOTERO_ITEM CSL_CITATION {"citationID":"nSMteenK","properties":{"formattedCitation":"(Eory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Pr="0033064E">
        <w:rPr>
          <w:rFonts w:asciiTheme="minorHAnsi" w:hAnsiTheme="minorHAnsi" w:cstheme="minorHAnsi"/>
          <w:b/>
          <w:bCs/>
          <w:sz w:val="22"/>
          <w:szCs w:val="22"/>
          <w:bdr w:val="none" w:sz="0" w:space="0" w:color="auto" w:frame="1"/>
        </w:rPr>
        <w:fldChar w:fldCharType="separate"/>
      </w:r>
      <w:r w:rsidR="001759CC" w:rsidRPr="001759CC">
        <w:rPr>
          <w:rFonts w:ascii="Calibri" w:hAnsi="Calibri" w:cs="Calibri"/>
          <w:sz w:val="22"/>
        </w:rPr>
        <w:t>(Eory et al., 2015)</w:t>
      </w:r>
      <w:r w:rsidRPr="0033064E">
        <w:rPr>
          <w:rFonts w:asciiTheme="minorHAnsi" w:hAnsiTheme="minorHAnsi" w:cstheme="minorHAnsi"/>
          <w:b/>
          <w:bCs/>
          <w:sz w:val="22"/>
          <w:szCs w:val="22"/>
          <w:bdr w:val="none" w:sz="0" w:space="0" w:color="auto" w:frame="1"/>
        </w:rPr>
        <w:fldChar w:fldCharType="end"/>
      </w:r>
    </w:p>
    <w:tbl>
      <w:tblPr>
        <w:tblpPr w:leftFromText="180" w:rightFromText="180" w:vertAnchor="text" w:horzAnchor="page" w:tblpX="751" w:tblpY="124"/>
        <w:tblW w:w="10419" w:type="dxa"/>
        <w:tblLook w:val="04A0" w:firstRow="1" w:lastRow="0" w:firstColumn="1" w:lastColumn="0" w:noHBand="0" w:noVBand="1"/>
      </w:tblPr>
      <w:tblGrid>
        <w:gridCol w:w="4971"/>
        <w:gridCol w:w="5448"/>
      </w:tblGrid>
      <w:tr w:rsidR="00906E53" w:rsidRPr="0091052B" w14:paraId="58B7336C" w14:textId="77777777" w:rsidTr="00C808D6">
        <w:trPr>
          <w:trHeight w:val="239"/>
        </w:trPr>
        <w:tc>
          <w:tcPr>
            <w:tcW w:w="4971" w:type="dxa"/>
            <w:tcBorders>
              <w:top w:val="single" w:sz="4" w:space="0" w:color="auto"/>
              <w:bottom w:val="single" w:sz="4" w:space="0" w:color="auto"/>
            </w:tcBorders>
            <w:noWrap/>
            <w:hideMark/>
          </w:tcPr>
          <w:p w14:paraId="0A523C2A" w14:textId="5FCB1F98" w:rsidR="00906E53" w:rsidRPr="00FB348F" w:rsidRDefault="00906E53" w:rsidP="00E568F2">
            <w:pPr>
              <w:spacing w:line="360" w:lineRule="auto"/>
              <w:rPr>
                <w:rFonts w:ascii="Calibri" w:hAnsi="Calibri" w:cs="Calibri"/>
                <w:b/>
                <w:bCs/>
                <w:sz w:val="22"/>
                <w:szCs w:val="22"/>
              </w:rPr>
            </w:pPr>
            <w:r w:rsidRPr="00FB348F">
              <w:rPr>
                <w:rFonts w:ascii="Calibri" w:hAnsi="Calibri" w:cs="Calibri"/>
                <w:b/>
                <w:bCs/>
                <w:sz w:val="22"/>
                <w:szCs w:val="22"/>
              </w:rPr>
              <w:t xml:space="preserve">Mitigation </w:t>
            </w:r>
            <w:r w:rsidR="009B694A" w:rsidRPr="00FB348F">
              <w:rPr>
                <w:rFonts w:ascii="Calibri" w:hAnsi="Calibri" w:cs="Calibri"/>
                <w:b/>
                <w:bCs/>
                <w:sz w:val="22"/>
                <w:szCs w:val="22"/>
              </w:rPr>
              <w:t>m</w:t>
            </w:r>
            <w:r w:rsidRPr="00FB348F">
              <w:rPr>
                <w:rFonts w:ascii="Calibri" w:hAnsi="Calibri" w:cs="Calibri"/>
                <w:b/>
                <w:bCs/>
                <w:sz w:val="22"/>
                <w:szCs w:val="22"/>
              </w:rPr>
              <w:t>easure</w:t>
            </w:r>
          </w:p>
        </w:tc>
        <w:tc>
          <w:tcPr>
            <w:tcW w:w="5448" w:type="dxa"/>
            <w:tcBorders>
              <w:top w:val="single" w:sz="4" w:space="0" w:color="auto"/>
              <w:bottom w:val="single" w:sz="4" w:space="0" w:color="auto"/>
            </w:tcBorders>
            <w:noWrap/>
            <w:hideMark/>
          </w:tcPr>
          <w:p w14:paraId="0FDAD201" w14:textId="144EC4D1" w:rsidR="00906E53" w:rsidRPr="00FB348F" w:rsidRDefault="00906E53" w:rsidP="00E568F2">
            <w:pPr>
              <w:spacing w:line="360" w:lineRule="auto"/>
              <w:rPr>
                <w:rFonts w:ascii="Calibri" w:hAnsi="Calibri" w:cs="Calibri"/>
                <w:b/>
                <w:bCs/>
                <w:sz w:val="22"/>
                <w:szCs w:val="22"/>
              </w:rPr>
            </w:pPr>
            <w:r w:rsidRPr="00FB348F">
              <w:rPr>
                <w:rFonts w:ascii="Calibri" w:hAnsi="Calibri" w:cs="Calibri"/>
                <w:b/>
                <w:bCs/>
                <w:sz w:val="22"/>
                <w:szCs w:val="22"/>
              </w:rPr>
              <w:t xml:space="preserve">Abatement </w:t>
            </w:r>
            <w:r w:rsidR="009B694A" w:rsidRPr="00FB348F">
              <w:rPr>
                <w:rFonts w:ascii="Calibri" w:hAnsi="Calibri" w:cs="Calibri"/>
                <w:b/>
                <w:bCs/>
                <w:sz w:val="22"/>
                <w:szCs w:val="22"/>
              </w:rPr>
              <w:t>p</w:t>
            </w:r>
            <w:r w:rsidRPr="00FB348F">
              <w:rPr>
                <w:rFonts w:ascii="Calibri" w:hAnsi="Calibri" w:cs="Calibri"/>
                <w:b/>
                <w:bCs/>
                <w:sz w:val="22"/>
                <w:szCs w:val="22"/>
              </w:rPr>
              <w:t>otential</w:t>
            </w:r>
          </w:p>
        </w:tc>
      </w:tr>
      <w:tr w:rsidR="00434B68" w:rsidRPr="0091052B" w14:paraId="7651F870" w14:textId="77777777" w:rsidTr="00C808D6">
        <w:trPr>
          <w:trHeight w:val="239"/>
        </w:trPr>
        <w:tc>
          <w:tcPr>
            <w:tcW w:w="4971" w:type="dxa"/>
            <w:tcBorders>
              <w:top w:val="single" w:sz="4" w:space="0" w:color="auto"/>
            </w:tcBorders>
            <w:noWrap/>
          </w:tcPr>
          <w:p w14:paraId="0A56C27A" w14:textId="30409ED6" w:rsidR="00434B68" w:rsidRPr="00C808D6" w:rsidRDefault="00434B68" w:rsidP="00E568F2">
            <w:pPr>
              <w:spacing w:line="360" w:lineRule="auto"/>
              <w:rPr>
                <w:rFonts w:ascii="Calibri" w:hAnsi="Calibri" w:cs="Calibri"/>
                <w:b/>
                <w:bCs/>
                <w:color w:val="000000"/>
                <w:sz w:val="22"/>
                <w:szCs w:val="22"/>
              </w:rPr>
            </w:pPr>
            <w:r w:rsidRPr="00C808D6">
              <w:rPr>
                <w:rFonts w:ascii="Calibri" w:hAnsi="Calibri" w:cs="Calibri"/>
                <w:b/>
                <w:bCs/>
                <w:color w:val="000000"/>
                <w:sz w:val="22"/>
                <w:szCs w:val="22"/>
              </w:rPr>
              <w:t>Energy and Fuel</w:t>
            </w:r>
          </w:p>
        </w:tc>
        <w:tc>
          <w:tcPr>
            <w:tcW w:w="5448" w:type="dxa"/>
            <w:tcBorders>
              <w:top w:val="single" w:sz="4" w:space="0" w:color="auto"/>
            </w:tcBorders>
            <w:noWrap/>
          </w:tcPr>
          <w:p w14:paraId="3D6F6A68" w14:textId="77777777" w:rsidR="00434B68" w:rsidRPr="0091052B" w:rsidRDefault="00434B68" w:rsidP="00E568F2">
            <w:pPr>
              <w:spacing w:line="360" w:lineRule="auto"/>
              <w:rPr>
                <w:rFonts w:ascii="Calibri" w:hAnsi="Calibri" w:cs="Calibri"/>
                <w:b/>
                <w:bCs/>
                <w:color w:val="000000"/>
                <w:sz w:val="22"/>
                <w:szCs w:val="22"/>
              </w:rPr>
            </w:pPr>
          </w:p>
        </w:tc>
      </w:tr>
      <w:tr w:rsidR="00434B68" w:rsidRPr="0091052B" w14:paraId="23A9F4C4" w14:textId="77777777" w:rsidTr="00C808D6">
        <w:trPr>
          <w:trHeight w:val="239"/>
        </w:trPr>
        <w:tc>
          <w:tcPr>
            <w:tcW w:w="4971" w:type="dxa"/>
            <w:noWrap/>
          </w:tcPr>
          <w:p w14:paraId="15CD1811" w14:textId="3A1A5148"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Behavioural change in fuel efficiency</w:t>
            </w:r>
          </w:p>
        </w:tc>
        <w:tc>
          <w:tcPr>
            <w:tcW w:w="5448" w:type="dxa"/>
            <w:noWrap/>
          </w:tcPr>
          <w:p w14:paraId="7820F6D3" w14:textId="1EAD1352"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20% reduction in fuel use</w:t>
            </w:r>
          </w:p>
        </w:tc>
      </w:tr>
      <w:tr w:rsidR="00434B68" w:rsidRPr="0091052B" w14:paraId="71F710F9" w14:textId="77777777" w:rsidTr="00C808D6">
        <w:trPr>
          <w:trHeight w:val="239"/>
        </w:trPr>
        <w:tc>
          <w:tcPr>
            <w:tcW w:w="4971" w:type="dxa"/>
            <w:noWrap/>
            <w:hideMark/>
          </w:tcPr>
          <w:p w14:paraId="073CA5E2" w14:textId="77777777"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Land and Nutrient Management</w:t>
            </w:r>
          </w:p>
        </w:tc>
        <w:tc>
          <w:tcPr>
            <w:tcW w:w="5448" w:type="dxa"/>
            <w:noWrap/>
            <w:hideMark/>
          </w:tcPr>
          <w:p w14:paraId="3CB474F1" w14:textId="77777777" w:rsidR="00434B68" w:rsidRPr="0091052B" w:rsidRDefault="00434B68" w:rsidP="00E568F2">
            <w:pPr>
              <w:spacing w:line="360" w:lineRule="auto"/>
              <w:rPr>
                <w:rFonts w:ascii="Calibri" w:hAnsi="Calibri" w:cs="Calibri"/>
                <w:b/>
                <w:bCs/>
                <w:color w:val="000000"/>
                <w:sz w:val="22"/>
                <w:szCs w:val="22"/>
              </w:rPr>
            </w:pPr>
          </w:p>
        </w:tc>
      </w:tr>
      <w:tr w:rsidR="00434B68" w:rsidRPr="0091052B" w14:paraId="1666383E" w14:textId="77777777" w:rsidTr="00C808D6">
        <w:trPr>
          <w:trHeight w:val="239"/>
        </w:trPr>
        <w:tc>
          <w:tcPr>
            <w:tcW w:w="4971" w:type="dxa"/>
            <w:noWrap/>
            <w:hideMark/>
          </w:tcPr>
          <w:p w14:paraId="2E530EFA" w14:textId="77777777"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Improved synthetic N use</w:t>
            </w:r>
          </w:p>
        </w:tc>
        <w:tc>
          <w:tcPr>
            <w:tcW w:w="5448" w:type="dxa"/>
            <w:noWrap/>
            <w:hideMark/>
          </w:tcPr>
          <w:p w14:paraId="437263AA" w14:textId="77777777"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10 kg N ha</w:t>
            </w:r>
            <w:r w:rsidRPr="00D7647C">
              <w:rPr>
                <w:rFonts w:ascii="Calibri" w:hAnsi="Calibri" w:cs="Calibri"/>
                <w:color w:val="000000"/>
                <w:sz w:val="22"/>
                <w:szCs w:val="22"/>
                <w:vertAlign w:val="superscript"/>
              </w:rPr>
              <w:t>-1</w:t>
            </w:r>
            <w:r w:rsidRPr="0091052B">
              <w:rPr>
                <w:rFonts w:ascii="Calibri" w:hAnsi="Calibri" w:cs="Calibri"/>
                <w:color w:val="000000"/>
                <w:sz w:val="22"/>
                <w:szCs w:val="22"/>
              </w:rPr>
              <w:t xml:space="preserve"> synthetic N use </w:t>
            </w:r>
          </w:p>
        </w:tc>
      </w:tr>
      <w:tr w:rsidR="00434B68" w:rsidRPr="0091052B" w14:paraId="308676E9" w14:textId="77777777" w:rsidTr="00C808D6">
        <w:trPr>
          <w:trHeight w:val="478"/>
        </w:trPr>
        <w:tc>
          <w:tcPr>
            <w:tcW w:w="4971" w:type="dxa"/>
            <w:noWrap/>
            <w:hideMark/>
          </w:tcPr>
          <w:p w14:paraId="6A8860F0" w14:textId="77777777"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Legume-grass mixtures</w:t>
            </w:r>
          </w:p>
        </w:tc>
        <w:tc>
          <w:tcPr>
            <w:tcW w:w="5448" w:type="dxa"/>
            <w:hideMark/>
          </w:tcPr>
          <w:p w14:paraId="0CFBBCCB" w14:textId="65AD2276"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 xml:space="preserve">25, 50 or 75% reduction in synthetic N use for hill, </w:t>
            </w:r>
            <w:proofErr w:type="gramStart"/>
            <w:r w:rsidRPr="0091052B">
              <w:rPr>
                <w:rFonts w:ascii="Calibri" w:hAnsi="Calibri" w:cs="Calibri"/>
                <w:color w:val="000000"/>
                <w:sz w:val="22"/>
                <w:szCs w:val="22"/>
              </w:rPr>
              <w:t>upland</w:t>
            </w:r>
            <w:proofErr w:type="gramEnd"/>
            <w:r w:rsidRPr="0091052B">
              <w:rPr>
                <w:rFonts w:ascii="Calibri" w:hAnsi="Calibri" w:cs="Calibri"/>
                <w:color w:val="000000"/>
                <w:sz w:val="22"/>
                <w:szCs w:val="22"/>
              </w:rPr>
              <w:t xml:space="preserve"> and lowland farms</w:t>
            </w:r>
            <w:r w:rsidR="007B6C67">
              <w:rPr>
                <w:rFonts w:ascii="Calibri" w:hAnsi="Calibri" w:cs="Calibri"/>
                <w:color w:val="000000"/>
                <w:sz w:val="22"/>
                <w:szCs w:val="22"/>
              </w:rPr>
              <w:t>,</w:t>
            </w:r>
            <w:r w:rsidRPr="0091052B">
              <w:rPr>
                <w:rFonts w:ascii="Calibri" w:hAnsi="Calibri" w:cs="Calibri"/>
                <w:color w:val="000000"/>
                <w:sz w:val="22"/>
                <w:szCs w:val="22"/>
              </w:rPr>
              <w:t xml:space="preserve"> respectively </w:t>
            </w:r>
          </w:p>
        </w:tc>
      </w:tr>
      <w:tr w:rsidR="00434B68" w:rsidRPr="0091052B" w14:paraId="5B0DBB58" w14:textId="77777777" w:rsidTr="00C808D6">
        <w:trPr>
          <w:trHeight w:val="478"/>
        </w:trPr>
        <w:tc>
          <w:tcPr>
            <w:tcW w:w="4971" w:type="dxa"/>
            <w:noWrap/>
            <w:hideMark/>
          </w:tcPr>
          <w:p w14:paraId="318CA735" w14:textId="77777777"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Nitrification inhibitors (dicyandiamide)</w:t>
            </w:r>
          </w:p>
        </w:tc>
        <w:tc>
          <w:tcPr>
            <w:tcW w:w="5448" w:type="dxa"/>
            <w:hideMark/>
          </w:tcPr>
          <w:p w14:paraId="7BF75891" w14:textId="3E10022D"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 xml:space="preserve">66, </w:t>
            </w:r>
            <w:r w:rsidR="00CC4FFE">
              <w:rPr>
                <w:rFonts w:ascii="Calibri" w:hAnsi="Calibri" w:cs="Calibri"/>
                <w:color w:val="000000"/>
                <w:sz w:val="22"/>
                <w:szCs w:val="22"/>
              </w:rPr>
              <w:t>46</w:t>
            </w:r>
            <w:r w:rsidRPr="0091052B">
              <w:rPr>
                <w:rFonts w:ascii="Calibri" w:hAnsi="Calibri" w:cs="Calibri"/>
                <w:color w:val="000000"/>
                <w:sz w:val="22"/>
                <w:szCs w:val="22"/>
              </w:rPr>
              <w:t xml:space="preserve"> and 56% reduction in N</w:t>
            </w:r>
            <w:r w:rsidRPr="004C3D13">
              <w:rPr>
                <w:rFonts w:ascii="Calibri" w:hAnsi="Calibri" w:cs="Calibri"/>
                <w:color w:val="000000"/>
                <w:sz w:val="22"/>
                <w:szCs w:val="22"/>
                <w:vertAlign w:val="subscript"/>
              </w:rPr>
              <w:t>2</w:t>
            </w:r>
            <w:r w:rsidRPr="0091052B">
              <w:rPr>
                <w:rFonts w:ascii="Calibri" w:hAnsi="Calibri" w:cs="Calibri"/>
                <w:color w:val="000000"/>
                <w:sz w:val="22"/>
                <w:szCs w:val="22"/>
              </w:rPr>
              <w:t xml:space="preserve">O associated with synthetic N, cattle </w:t>
            </w:r>
            <w:proofErr w:type="gramStart"/>
            <w:r w:rsidRPr="0091052B">
              <w:rPr>
                <w:rFonts w:ascii="Calibri" w:hAnsi="Calibri" w:cs="Calibri"/>
                <w:color w:val="000000"/>
                <w:sz w:val="22"/>
                <w:szCs w:val="22"/>
              </w:rPr>
              <w:t>urine</w:t>
            </w:r>
            <w:proofErr w:type="gramEnd"/>
            <w:r w:rsidRPr="0091052B">
              <w:rPr>
                <w:rFonts w:ascii="Calibri" w:hAnsi="Calibri" w:cs="Calibri"/>
                <w:color w:val="000000"/>
                <w:sz w:val="22"/>
                <w:szCs w:val="22"/>
              </w:rPr>
              <w:t xml:space="preserve"> and cattle slurry</w:t>
            </w:r>
            <w:r w:rsidR="007B6C67">
              <w:rPr>
                <w:rFonts w:ascii="Calibri" w:hAnsi="Calibri" w:cs="Calibri"/>
                <w:color w:val="000000"/>
                <w:sz w:val="22"/>
                <w:szCs w:val="22"/>
              </w:rPr>
              <w:t>,</w:t>
            </w:r>
            <w:r w:rsidRPr="0091052B">
              <w:rPr>
                <w:rFonts w:ascii="Calibri" w:hAnsi="Calibri" w:cs="Calibri"/>
                <w:color w:val="000000"/>
                <w:sz w:val="22"/>
                <w:szCs w:val="22"/>
              </w:rPr>
              <w:t xml:space="preserve"> respectively</w:t>
            </w:r>
          </w:p>
        </w:tc>
      </w:tr>
      <w:tr w:rsidR="00434B68" w:rsidRPr="0091052B" w14:paraId="4153E8E8" w14:textId="77777777" w:rsidTr="00C808D6">
        <w:trPr>
          <w:trHeight w:val="239"/>
        </w:trPr>
        <w:tc>
          <w:tcPr>
            <w:tcW w:w="4971" w:type="dxa"/>
            <w:noWrap/>
            <w:hideMark/>
          </w:tcPr>
          <w:p w14:paraId="38D904CC" w14:textId="77777777" w:rsidR="00434B68" w:rsidRPr="00C808D6" w:rsidRDefault="00434B68" w:rsidP="00E568F2">
            <w:pPr>
              <w:spacing w:line="360" w:lineRule="auto"/>
              <w:rPr>
                <w:rFonts w:ascii="Calibri" w:hAnsi="Calibri" w:cs="Calibri"/>
                <w:b/>
                <w:bCs/>
                <w:color w:val="000000"/>
                <w:sz w:val="22"/>
                <w:szCs w:val="22"/>
              </w:rPr>
            </w:pPr>
            <w:r w:rsidRPr="00C808D6">
              <w:rPr>
                <w:rFonts w:ascii="Calibri" w:hAnsi="Calibri" w:cs="Calibri"/>
                <w:b/>
                <w:bCs/>
                <w:color w:val="000000"/>
                <w:sz w:val="22"/>
                <w:szCs w:val="22"/>
              </w:rPr>
              <w:t>Animal Management</w:t>
            </w:r>
          </w:p>
        </w:tc>
        <w:tc>
          <w:tcPr>
            <w:tcW w:w="5448" w:type="dxa"/>
            <w:noWrap/>
            <w:hideMark/>
          </w:tcPr>
          <w:p w14:paraId="7899DA2D" w14:textId="77777777" w:rsidR="00434B68" w:rsidRPr="0091052B" w:rsidRDefault="00434B68" w:rsidP="00E568F2">
            <w:pPr>
              <w:spacing w:line="360" w:lineRule="auto"/>
              <w:rPr>
                <w:rFonts w:ascii="Calibri" w:hAnsi="Calibri" w:cs="Calibri"/>
                <w:b/>
                <w:bCs/>
                <w:color w:val="000000"/>
                <w:sz w:val="22"/>
                <w:szCs w:val="22"/>
              </w:rPr>
            </w:pPr>
          </w:p>
        </w:tc>
      </w:tr>
      <w:tr w:rsidR="00434B68" w:rsidRPr="0091052B" w14:paraId="2ED48B90" w14:textId="77777777" w:rsidTr="00C808D6">
        <w:trPr>
          <w:trHeight w:val="478"/>
        </w:trPr>
        <w:tc>
          <w:tcPr>
            <w:tcW w:w="4971" w:type="dxa"/>
            <w:noWrap/>
            <w:hideMark/>
          </w:tcPr>
          <w:p w14:paraId="4B1AF029" w14:textId="4D7E7675"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Improv</w:t>
            </w:r>
            <w:r w:rsidR="00581F72">
              <w:rPr>
                <w:rFonts w:ascii="Calibri" w:hAnsi="Calibri" w:cs="Calibri"/>
                <w:color w:val="000000"/>
                <w:sz w:val="22"/>
                <w:szCs w:val="22"/>
              </w:rPr>
              <w:t>ed</w:t>
            </w:r>
            <w:r w:rsidRPr="0091052B">
              <w:rPr>
                <w:rFonts w:ascii="Calibri" w:hAnsi="Calibri" w:cs="Calibri"/>
                <w:color w:val="000000"/>
                <w:sz w:val="22"/>
                <w:szCs w:val="22"/>
              </w:rPr>
              <w:t xml:space="preserve"> cattle and sheep health</w:t>
            </w:r>
          </w:p>
        </w:tc>
        <w:tc>
          <w:tcPr>
            <w:tcW w:w="5448" w:type="dxa"/>
            <w:hideMark/>
          </w:tcPr>
          <w:p w14:paraId="637C339A" w14:textId="77777777"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5% reduction in sheep emission intensity                               6% reduction in beef emission intensity</w:t>
            </w:r>
          </w:p>
        </w:tc>
      </w:tr>
      <w:tr w:rsidR="00434B68" w:rsidRPr="0091052B" w14:paraId="53DAC92B" w14:textId="77777777" w:rsidTr="00C808D6">
        <w:trPr>
          <w:trHeight w:val="239"/>
        </w:trPr>
        <w:tc>
          <w:tcPr>
            <w:tcW w:w="4971" w:type="dxa"/>
            <w:noWrap/>
            <w:hideMark/>
          </w:tcPr>
          <w:p w14:paraId="2AFAED61" w14:textId="77777777"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Selection for balanced breeding goals in beef cattle</w:t>
            </w:r>
          </w:p>
        </w:tc>
        <w:tc>
          <w:tcPr>
            <w:tcW w:w="5448" w:type="dxa"/>
            <w:noWrap/>
            <w:hideMark/>
          </w:tcPr>
          <w:p w14:paraId="77716273" w14:textId="77777777"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6% reduction in beef emission intensity</w:t>
            </w:r>
          </w:p>
        </w:tc>
      </w:tr>
      <w:tr w:rsidR="00434B68" w:rsidRPr="0091052B" w14:paraId="5E86EED4" w14:textId="77777777" w:rsidTr="00C808D6">
        <w:trPr>
          <w:trHeight w:val="239"/>
        </w:trPr>
        <w:tc>
          <w:tcPr>
            <w:tcW w:w="4971" w:type="dxa"/>
            <w:noWrap/>
            <w:hideMark/>
          </w:tcPr>
          <w:p w14:paraId="0B6445F9" w14:textId="77777777" w:rsidR="00434B68" w:rsidRPr="00C808D6" w:rsidRDefault="00434B68" w:rsidP="00E568F2">
            <w:pPr>
              <w:spacing w:line="360" w:lineRule="auto"/>
              <w:rPr>
                <w:rFonts w:ascii="Calibri" w:hAnsi="Calibri" w:cs="Calibri"/>
                <w:b/>
                <w:bCs/>
                <w:color w:val="000000"/>
                <w:sz w:val="22"/>
                <w:szCs w:val="22"/>
              </w:rPr>
            </w:pPr>
            <w:r w:rsidRPr="00C808D6">
              <w:rPr>
                <w:rFonts w:ascii="Calibri" w:hAnsi="Calibri" w:cs="Calibri"/>
                <w:b/>
                <w:bCs/>
                <w:color w:val="000000"/>
                <w:sz w:val="22"/>
                <w:szCs w:val="22"/>
              </w:rPr>
              <w:t>Manure Management</w:t>
            </w:r>
          </w:p>
        </w:tc>
        <w:tc>
          <w:tcPr>
            <w:tcW w:w="5448" w:type="dxa"/>
            <w:noWrap/>
            <w:hideMark/>
          </w:tcPr>
          <w:p w14:paraId="20DD22A6" w14:textId="77777777" w:rsidR="00434B68" w:rsidRPr="0091052B" w:rsidRDefault="00434B68" w:rsidP="00E568F2">
            <w:pPr>
              <w:spacing w:line="360" w:lineRule="auto"/>
              <w:rPr>
                <w:rFonts w:ascii="Calibri" w:hAnsi="Calibri" w:cs="Calibri"/>
                <w:b/>
                <w:bCs/>
                <w:color w:val="000000"/>
                <w:sz w:val="22"/>
                <w:szCs w:val="22"/>
              </w:rPr>
            </w:pPr>
          </w:p>
        </w:tc>
      </w:tr>
      <w:tr w:rsidR="00434B68" w:rsidRPr="0091052B" w14:paraId="2298836C" w14:textId="77777777" w:rsidTr="00C808D6">
        <w:trPr>
          <w:trHeight w:val="239"/>
        </w:trPr>
        <w:tc>
          <w:tcPr>
            <w:tcW w:w="4971" w:type="dxa"/>
            <w:noWrap/>
            <w:hideMark/>
          </w:tcPr>
          <w:p w14:paraId="79852184" w14:textId="77777777"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Improved organic N use</w:t>
            </w:r>
          </w:p>
        </w:tc>
        <w:tc>
          <w:tcPr>
            <w:tcW w:w="5448" w:type="dxa"/>
            <w:noWrap/>
            <w:hideMark/>
          </w:tcPr>
          <w:p w14:paraId="0363B161" w14:textId="77777777"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14.4 kg N ha</w:t>
            </w:r>
            <w:r w:rsidRPr="00D7647C">
              <w:rPr>
                <w:rFonts w:ascii="Calibri" w:hAnsi="Calibri" w:cs="Calibri"/>
                <w:color w:val="000000"/>
                <w:sz w:val="22"/>
                <w:szCs w:val="22"/>
                <w:vertAlign w:val="superscript"/>
              </w:rPr>
              <w:t>-1</w:t>
            </w:r>
            <w:r w:rsidRPr="0091052B">
              <w:rPr>
                <w:rFonts w:ascii="Calibri" w:hAnsi="Calibri" w:cs="Calibri"/>
                <w:color w:val="000000"/>
                <w:sz w:val="22"/>
                <w:szCs w:val="22"/>
              </w:rPr>
              <w:t xml:space="preserve"> synthetic N use </w:t>
            </w:r>
          </w:p>
        </w:tc>
      </w:tr>
      <w:tr w:rsidR="00434B68" w:rsidRPr="0091052B" w14:paraId="2F899325" w14:textId="77777777" w:rsidTr="00C808D6">
        <w:trPr>
          <w:trHeight w:val="239"/>
        </w:trPr>
        <w:tc>
          <w:tcPr>
            <w:tcW w:w="4971" w:type="dxa"/>
            <w:noWrap/>
            <w:hideMark/>
          </w:tcPr>
          <w:p w14:paraId="4FF68E04" w14:textId="77777777"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Slurry acidification</w:t>
            </w:r>
          </w:p>
        </w:tc>
        <w:tc>
          <w:tcPr>
            <w:tcW w:w="5448" w:type="dxa"/>
            <w:noWrap/>
            <w:hideMark/>
          </w:tcPr>
          <w:p w14:paraId="40B309BE" w14:textId="2E1177EF"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 xml:space="preserve">75% reduction in </w:t>
            </w:r>
            <w:r w:rsidRPr="0033064E">
              <w:rPr>
                <w:rFonts w:ascii="Calibri" w:hAnsi="Calibri" w:cs="Calibri"/>
                <w:sz w:val="22"/>
                <w:szCs w:val="22"/>
              </w:rPr>
              <w:t xml:space="preserve">manure </w:t>
            </w:r>
            <w:r w:rsidRPr="0033064E">
              <w:rPr>
                <w:rFonts w:asciiTheme="minorHAnsi" w:hAnsiTheme="minorHAnsi" w:cstheme="minorHAnsi"/>
                <w:sz w:val="22"/>
                <w:szCs w:val="22"/>
              </w:rPr>
              <w:t>CH</w:t>
            </w:r>
            <w:r w:rsidRPr="0033064E">
              <w:rPr>
                <w:rFonts w:asciiTheme="minorHAnsi" w:hAnsiTheme="minorHAnsi" w:cstheme="minorHAnsi"/>
                <w:sz w:val="22"/>
                <w:szCs w:val="22"/>
                <w:vertAlign w:val="subscript"/>
              </w:rPr>
              <w:t xml:space="preserve">4 </w:t>
            </w:r>
            <w:r w:rsidRPr="0033064E">
              <w:rPr>
                <w:rFonts w:ascii="Calibri" w:hAnsi="Calibri" w:cs="Calibri"/>
                <w:sz w:val="22"/>
                <w:szCs w:val="22"/>
              </w:rPr>
              <w:t xml:space="preserve">conversion </w:t>
            </w:r>
            <w:r w:rsidRPr="0091052B">
              <w:rPr>
                <w:rFonts w:ascii="Calibri" w:hAnsi="Calibri" w:cs="Calibri"/>
                <w:color w:val="000000"/>
                <w:sz w:val="22"/>
                <w:szCs w:val="22"/>
              </w:rPr>
              <w:t xml:space="preserve">factor </w:t>
            </w:r>
          </w:p>
        </w:tc>
      </w:tr>
      <w:tr w:rsidR="00434B68" w:rsidRPr="0091052B" w14:paraId="79E11E24" w14:textId="77777777" w:rsidTr="00C808D6">
        <w:trPr>
          <w:trHeight w:val="239"/>
        </w:trPr>
        <w:tc>
          <w:tcPr>
            <w:tcW w:w="4971" w:type="dxa"/>
            <w:noWrap/>
            <w:hideMark/>
          </w:tcPr>
          <w:p w14:paraId="4BDEB31B" w14:textId="77777777" w:rsidR="00434B68" w:rsidRPr="00C808D6" w:rsidRDefault="00434B68" w:rsidP="00E568F2">
            <w:pPr>
              <w:spacing w:line="360" w:lineRule="auto"/>
              <w:rPr>
                <w:rFonts w:ascii="Calibri" w:hAnsi="Calibri" w:cs="Calibri"/>
                <w:b/>
                <w:bCs/>
                <w:color w:val="000000"/>
                <w:sz w:val="22"/>
                <w:szCs w:val="22"/>
              </w:rPr>
            </w:pPr>
            <w:r w:rsidRPr="00C808D6">
              <w:rPr>
                <w:rFonts w:ascii="Calibri" w:hAnsi="Calibri" w:cs="Calibri"/>
                <w:b/>
                <w:bCs/>
                <w:color w:val="000000"/>
                <w:sz w:val="22"/>
                <w:szCs w:val="22"/>
              </w:rPr>
              <w:t>Nutrition and Feed additives</w:t>
            </w:r>
          </w:p>
        </w:tc>
        <w:tc>
          <w:tcPr>
            <w:tcW w:w="5448" w:type="dxa"/>
            <w:noWrap/>
            <w:hideMark/>
          </w:tcPr>
          <w:p w14:paraId="3989E348" w14:textId="77777777" w:rsidR="00434B68" w:rsidRPr="0091052B" w:rsidRDefault="00434B68" w:rsidP="00E568F2">
            <w:pPr>
              <w:spacing w:line="360" w:lineRule="auto"/>
              <w:rPr>
                <w:rFonts w:ascii="Calibri" w:hAnsi="Calibri" w:cs="Calibri"/>
                <w:b/>
                <w:bCs/>
                <w:color w:val="000000"/>
                <w:sz w:val="22"/>
                <w:szCs w:val="22"/>
              </w:rPr>
            </w:pPr>
          </w:p>
        </w:tc>
      </w:tr>
      <w:tr w:rsidR="00434B68" w:rsidRPr="0091052B" w14:paraId="535C2319" w14:textId="77777777" w:rsidTr="00C808D6">
        <w:trPr>
          <w:trHeight w:val="239"/>
        </w:trPr>
        <w:tc>
          <w:tcPr>
            <w:tcW w:w="4971" w:type="dxa"/>
            <w:noWrap/>
            <w:hideMark/>
          </w:tcPr>
          <w:p w14:paraId="4C4E34E0" w14:textId="29BE8859"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Improv</w:t>
            </w:r>
            <w:r w:rsidR="00581F72">
              <w:rPr>
                <w:rFonts w:ascii="Calibri" w:hAnsi="Calibri" w:cs="Calibri"/>
                <w:color w:val="000000"/>
                <w:sz w:val="22"/>
                <w:szCs w:val="22"/>
              </w:rPr>
              <w:t>ed</w:t>
            </w:r>
            <w:r w:rsidRPr="0091052B">
              <w:rPr>
                <w:rFonts w:ascii="Calibri" w:hAnsi="Calibri" w:cs="Calibri"/>
                <w:color w:val="000000"/>
                <w:sz w:val="22"/>
                <w:szCs w:val="22"/>
              </w:rPr>
              <w:t xml:space="preserve"> beef and sheep nutrition</w:t>
            </w:r>
          </w:p>
        </w:tc>
        <w:tc>
          <w:tcPr>
            <w:tcW w:w="5448" w:type="dxa"/>
            <w:noWrap/>
            <w:hideMark/>
          </w:tcPr>
          <w:p w14:paraId="6F4F617E" w14:textId="77777777"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2% increase in digestibility of all feed</w:t>
            </w:r>
          </w:p>
        </w:tc>
      </w:tr>
      <w:tr w:rsidR="00434B68" w:rsidRPr="0091052B" w14:paraId="412D356B" w14:textId="77777777" w:rsidTr="00C808D6">
        <w:trPr>
          <w:trHeight w:val="239"/>
        </w:trPr>
        <w:tc>
          <w:tcPr>
            <w:tcW w:w="4971" w:type="dxa"/>
            <w:tcBorders>
              <w:bottom w:val="single" w:sz="4" w:space="0" w:color="auto"/>
            </w:tcBorders>
            <w:noWrap/>
            <w:hideMark/>
          </w:tcPr>
          <w:p w14:paraId="10BB4788" w14:textId="77777777" w:rsidR="00434B68" w:rsidRPr="0091052B" w:rsidRDefault="00434B68" w:rsidP="00E568F2">
            <w:pPr>
              <w:spacing w:line="360" w:lineRule="auto"/>
              <w:rPr>
                <w:rFonts w:ascii="Calibri" w:hAnsi="Calibri" w:cs="Calibri"/>
                <w:b/>
                <w:bCs/>
                <w:color w:val="000000"/>
                <w:sz w:val="22"/>
                <w:szCs w:val="22"/>
              </w:rPr>
            </w:pPr>
            <w:r w:rsidRPr="0091052B">
              <w:rPr>
                <w:rFonts w:ascii="Calibri" w:hAnsi="Calibri" w:cs="Calibri"/>
                <w:color w:val="000000"/>
                <w:sz w:val="22"/>
                <w:szCs w:val="22"/>
              </w:rPr>
              <w:t>3NOP as feed additive</w:t>
            </w:r>
          </w:p>
        </w:tc>
        <w:tc>
          <w:tcPr>
            <w:tcW w:w="5448" w:type="dxa"/>
            <w:tcBorders>
              <w:bottom w:val="single" w:sz="4" w:space="0" w:color="auto"/>
            </w:tcBorders>
            <w:noWrap/>
            <w:hideMark/>
          </w:tcPr>
          <w:p w14:paraId="7BB3F0E3" w14:textId="093712E3" w:rsidR="00434B68" w:rsidRPr="0091052B" w:rsidRDefault="00434B68" w:rsidP="00E568F2">
            <w:pPr>
              <w:spacing w:line="360" w:lineRule="auto"/>
              <w:rPr>
                <w:rFonts w:ascii="Calibri" w:hAnsi="Calibri" w:cs="Calibri"/>
                <w:color w:val="000000"/>
                <w:sz w:val="22"/>
                <w:szCs w:val="22"/>
              </w:rPr>
            </w:pPr>
            <w:r w:rsidRPr="0091052B">
              <w:rPr>
                <w:rFonts w:ascii="Calibri" w:hAnsi="Calibri" w:cs="Calibri"/>
                <w:color w:val="000000"/>
                <w:sz w:val="22"/>
                <w:szCs w:val="22"/>
              </w:rPr>
              <w:t xml:space="preserve">20% reduction in the enteric </w:t>
            </w:r>
            <w:r w:rsidRPr="0033064E">
              <w:rPr>
                <w:rFonts w:asciiTheme="minorHAnsi" w:hAnsiTheme="minorHAnsi" w:cstheme="minorHAnsi"/>
                <w:sz w:val="22"/>
                <w:szCs w:val="22"/>
              </w:rPr>
              <w:t>CH</w:t>
            </w:r>
            <w:r w:rsidRPr="0033064E">
              <w:rPr>
                <w:rFonts w:asciiTheme="minorHAnsi" w:hAnsiTheme="minorHAnsi" w:cstheme="minorHAnsi"/>
                <w:sz w:val="22"/>
                <w:szCs w:val="22"/>
                <w:vertAlign w:val="subscript"/>
              </w:rPr>
              <w:t>4</w:t>
            </w:r>
            <w:r w:rsidRPr="0033064E">
              <w:rPr>
                <w:rFonts w:asciiTheme="minorHAnsi" w:hAnsiTheme="minorHAnsi" w:cstheme="minorHAnsi"/>
                <w:sz w:val="22"/>
                <w:szCs w:val="22"/>
              </w:rPr>
              <w:t xml:space="preserve"> </w:t>
            </w:r>
            <w:r w:rsidRPr="0033064E">
              <w:rPr>
                <w:rFonts w:ascii="Calibri" w:hAnsi="Calibri" w:cs="Calibri"/>
                <w:sz w:val="22"/>
                <w:szCs w:val="22"/>
              </w:rPr>
              <w:t xml:space="preserve">conversion </w:t>
            </w:r>
            <w:r w:rsidRPr="0091052B">
              <w:rPr>
                <w:rFonts w:ascii="Calibri" w:hAnsi="Calibri" w:cs="Calibri"/>
                <w:color w:val="000000"/>
                <w:sz w:val="22"/>
                <w:szCs w:val="22"/>
              </w:rPr>
              <w:t>factor</w:t>
            </w:r>
          </w:p>
        </w:tc>
      </w:tr>
    </w:tbl>
    <w:p w14:paraId="284182E4" w14:textId="77777777" w:rsidR="00914B3C" w:rsidRDefault="00914B3C" w:rsidP="00E568F2">
      <w:pPr>
        <w:spacing w:line="360" w:lineRule="auto"/>
        <w:rPr>
          <w:rFonts w:asciiTheme="minorHAnsi" w:hAnsiTheme="minorHAnsi" w:cstheme="minorHAnsi"/>
          <w:color w:val="FF0000"/>
          <w:sz w:val="22"/>
          <w:szCs w:val="22"/>
          <w:bdr w:val="none" w:sz="0" w:space="0" w:color="auto" w:frame="1"/>
        </w:rPr>
        <w:sectPr w:rsidR="00914B3C" w:rsidSect="00336756">
          <w:type w:val="continuous"/>
          <w:pgSz w:w="11906" w:h="16838"/>
          <w:pgMar w:top="1440" w:right="1440" w:bottom="1440" w:left="1440" w:header="708" w:footer="708" w:gutter="0"/>
          <w:lnNumType w:countBy="1" w:restart="continuous"/>
          <w:cols w:space="708"/>
          <w:titlePg/>
          <w:docGrid w:linePitch="360"/>
        </w:sectPr>
      </w:pPr>
    </w:p>
    <w:p w14:paraId="5E7563E3" w14:textId="77777777" w:rsidR="00525533" w:rsidRDefault="00525533" w:rsidP="00E568F2">
      <w:pPr>
        <w:spacing w:line="360" w:lineRule="auto"/>
        <w:rPr>
          <w:rFonts w:asciiTheme="minorHAnsi" w:hAnsiTheme="minorHAnsi" w:cstheme="minorHAnsi"/>
          <w:color w:val="FF0000"/>
          <w:sz w:val="22"/>
          <w:szCs w:val="22"/>
          <w:bdr w:val="none" w:sz="0" w:space="0" w:color="auto" w:frame="1"/>
        </w:rPr>
      </w:pPr>
    </w:p>
    <w:p w14:paraId="74472C88" w14:textId="19B87F6C" w:rsidR="00914B3C" w:rsidRDefault="00731D0E" w:rsidP="00BA3E62">
      <w:pPr>
        <w:spacing w:line="360" w:lineRule="auto"/>
        <w:jc w:val="both"/>
        <w:rPr>
          <w:rFonts w:asciiTheme="minorHAnsi" w:hAnsiTheme="minorHAnsi" w:cstheme="minorHAnsi"/>
          <w:sz w:val="22"/>
          <w:szCs w:val="22"/>
          <w:bdr w:val="none" w:sz="0" w:space="0" w:color="auto" w:frame="1"/>
        </w:rPr>
        <w:sectPr w:rsidR="00914B3C" w:rsidSect="00336756">
          <w:type w:val="continuous"/>
          <w:pgSz w:w="11906" w:h="16838"/>
          <w:pgMar w:top="1440" w:right="1440" w:bottom="1440" w:left="1440" w:header="708" w:footer="708" w:gutter="0"/>
          <w:lnNumType w:countBy="1" w:restart="continuous"/>
          <w:cols w:space="708"/>
          <w:titlePg/>
          <w:docGrid w:linePitch="360"/>
        </w:sectPr>
      </w:pPr>
      <w:r w:rsidRPr="00AA6706">
        <w:rPr>
          <w:rFonts w:asciiTheme="minorHAnsi" w:hAnsiTheme="minorHAnsi" w:cstheme="minorHAnsi"/>
          <w:color w:val="000000" w:themeColor="text1"/>
          <w:sz w:val="22"/>
          <w:szCs w:val="22"/>
          <w:bdr w:val="none" w:sz="0" w:space="0" w:color="auto" w:frame="1"/>
        </w:rPr>
        <w:t xml:space="preserve">Although </w:t>
      </w:r>
      <w:proofErr w:type="spellStart"/>
      <w:r w:rsidR="00C42331">
        <w:rPr>
          <w:rFonts w:asciiTheme="minorHAnsi" w:hAnsiTheme="minorHAnsi" w:cstheme="minorHAnsi"/>
          <w:color w:val="000000" w:themeColor="text1"/>
          <w:sz w:val="22"/>
          <w:szCs w:val="22"/>
          <w:bdr w:val="none" w:sz="0" w:space="0" w:color="auto" w:frame="1"/>
        </w:rPr>
        <w:t>Agrecalc</w:t>
      </w:r>
      <w:proofErr w:type="spellEnd"/>
      <w:r w:rsidRPr="00AA6706">
        <w:rPr>
          <w:rFonts w:asciiTheme="minorHAnsi" w:hAnsiTheme="minorHAnsi" w:cstheme="minorHAnsi"/>
          <w:color w:val="000000" w:themeColor="text1"/>
          <w:sz w:val="22"/>
          <w:szCs w:val="22"/>
          <w:bdr w:val="none" w:sz="0" w:space="0" w:color="auto" w:frame="1"/>
        </w:rPr>
        <w:t xml:space="preserve"> </w:t>
      </w:r>
      <w:r w:rsidR="00D7647C">
        <w:rPr>
          <w:rFonts w:asciiTheme="minorHAnsi" w:hAnsiTheme="minorHAnsi" w:cstheme="minorHAnsi"/>
          <w:color w:val="000000" w:themeColor="text1"/>
          <w:sz w:val="22"/>
          <w:szCs w:val="22"/>
          <w:bdr w:val="none" w:sz="0" w:space="0" w:color="auto" w:frame="1"/>
        </w:rPr>
        <w:t>accounts for</w:t>
      </w:r>
      <w:r w:rsidRPr="00AA6706">
        <w:rPr>
          <w:rFonts w:asciiTheme="minorHAnsi" w:hAnsiTheme="minorHAnsi" w:cstheme="minorHAnsi"/>
          <w:color w:val="000000" w:themeColor="text1"/>
          <w:sz w:val="22"/>
          <w:szCs w:val="22"/>
          <w:bdr w:val="none" w:sz="0" w:space="0" w:color="auto" w:frame="1"/>
        </w:rPr>
        <w:t xml:space="preserve"> direct effects of some mitigation </w:t>
      </w:r>
      <w:r w:rsidR="007B6C3C">
        <w:rPr>
          <w:rFonts w:asciiTheme="minorHAnsi" w:hAnsiTheme="minorHAnsi" w:cstheme="minorHAnsi"/>
          <w:color w:val="000000" w:themeColor="text1"/>
          <w:sz w:val="22"/>
          <w:szCs w:val="22"/>
          <w:bdr w:val="none" w:sz="0" w:space="0" w:color="auto" w:frame="1"/>
        </w:rPr>
        <w:t>measures</w:t>
      </w:r>
      <w:r w:rsidRPr="00AA6706">
        <w:rPr>
          <w:rFonts w:asciiTheme="minorHAnsi" w:hAnsiTheme="minorHAnsi" w:cstheme="minorHAnsi"/>
          <w:color w:val="000000" w:themeColor="text1"/>
          <w:sz w:val="22"/>
          <w:szCs w:val="22"/>
          <w:bdr w:val="none" w:sz="0" w:space="0" w:color="auto" w:frame="1"/>
        </w:rPr>
        <w:t xml:space="preserve"> such as reduced fertiliser and fuel use, the </w:t>
      </w:r>
      <w:r w:rsidR="00E76261">
        <w:rPr>
          <w:rFonts w:asciiTheme="minorHAnsi" w:hAnsiTheme="minorHAnsi" w:cstheme="minorHAnsi"/>
          <w:color w:val="000000" w:themeColor="text1"/>
          <w:sz w:val="22"/>
          <w:szCs w:val="22"/>
          <w:bdr w:val="none" w:sz="0" w:space="0" w:color="auto" w:frame="1"/>
        </w:rPr>
        <w:t>remaining</w:t>
      </w:r>
      <w:r w:rsidRPr="00AA6706">
        <w:rPr>
          <w:rFonts w:asciiTheme="minorHAnsi" w:hAnsiTheme="minorHAnsi" w:cstheme="minorHAnsi"/>
          <w:color w:val="000000" w:themeColor="text1"/>
          <w:sz w:val="22"/>
          <w:szCs w:val="22"/>
          <w:bdr w:val="none" w:sz="0" w:space="0" w:color="auto" w:frame="1"/>
        </w:rPr>
        <w:t xml:space="preserve"> mitigation options exhibit indirect effects</w:t>
      </w:r>
      <w:r w:rsidR="004365CA">
        <w:rPr>
          <w:rFonts w:asciiTheme="minorHAnsi" w:hAnsiTheme="minorHAnsi" w:cstheme="minorHAnsi"/>
          <w:color w:val="000000" w:themeColor="text1"/>
          <w:sz w:val="22"/>
          <w:szCs w:val="22"/>
          <w:bdr w:val="none" w:sz="0" w:space="0" w:color="auto" w:frame="1"/>
        </w:rPr>
        <w:t xml:space="preserve"> that may not be directly represented in farm-level emission calculators</w:t>
      </w:r>
      <w:r w:rsidR="0005442F">
        <w:rPr>
          <w:rFonts w:asciiTheme="minorHAnsi" w:hAnsiTheme="minorHAnsi" w:cstheme="minorHAnsi"/>
          <w:color w:val="000000" w:themeColor="text1"/>
          <w:sz w:val="22"/>
          <w:szCs w:val="22"/>
          <w:bdr w:val="none" w:sz="0" w:space="0" w:color="auto" w:frame="1"/>
        </w:rPr>
        <w:t>.</w:t>
      </w:r>
      <w:r w:rsidRPr="00AA6706">
        <w:rPr>
          <w:rFonts w:asciiTheme="minorHAnsi" w:hAnsiTheme="minorHAnsi" w:cstheme="minorHAnsi"/>
          <w:color w:val="000000" w:themeColor="text1"/>
          <w:sz w:val="22"/>
          <w:szCs w:val="22"/>
          <w:bdr w:val="none" w:sz="0" w:space="0" w:color="auto" w:frame="1"/>
        </w:rPr>
        <w:t xml:space="preserve"> </w:t>
      </w:r>
      <w:r w:rsidR="0005442F">
        <w:rPr>
          <w:rFonts w:asciiTheme="minorHAnsi" w:hAnsiTheme="minorHAnsi" w:cstheme="minorHAnsi"/>
          <w:color w:val="000000" w:themeColor="text1"/>
          <w:sz w:val="22"/>
          <w:szCs w:val="22"/>
          <w:bdr w:val="none" w:sz="0" w:space="0" w:color="auto" w:frame="1"/>
        </w:rPr>
        <w:t>F</w:t>
      </w:r>
      <w:r w:rsidRPr="00AA6706">
        <w:rPr>
          <w:rFonts w:asciiTheme="minorHAnsi" w:hAnsiTheme="minorHAnsi" w:cstheme="minorHAnsi"/>
          <w:color w:val="000000" w:themeColor="text1"/>
          <w:sz w:val="22"/>
          <w:szCs w:val="22"/>
          <w:bdr w:val="none" w:sz="0" w:space="0" w:color="auto" w:frame="1"/>
        </w:rPr>
        <w:t>or example</w:t>
      </w:r>
      <w:r w:rsidR="00E76261">
        <w:rPr>
          <w:rFonts w:asciiTheme="minorHAnsi" w:hAnsiTheme="minorHAnsi" w:cstheme="minorHAnsi"/>
          <w:color w:val="000000" w:themeColor="text1"/>
          <w:sz w:val="22"/>
          <w:szCs w:val="22"/>
          <w:bdr w:val="none" w:sz="0" w:space="0" w:color="auto" w:frame="1"/>
        </w:rPr>
        <w:t>,</w:t>
      </w:r>
      <w:r w:rsidRPr="00AA6706">
        <w:rPr>
          <w:rFonts w:asciiTheme="minorHAnsi" w:hAnsiTheme="minorHAnsi" w:cstheme="minorHAnsi"/>
          <w:color w:val="000000" w:themeColor="text1"/>
          <w:sz w:val="22"/>
          <w:szCs w:val="22"/>
          <w:bdr w:val="none" w:sz="0" w:space="0" w:color="auto" w:frame="1"/>
        </w:rPr>
        <w:t xml:space="preserve"> mitigation measures relating to animal breeding and husbandry </w:t>
      </w:r>
      <w:r w:rsidR="002659CB">
        <w:rPr>
          <w:rFonts w:asciiTheme="minorHAnsi" w:hAnsiTheme="minorHAnsi" w:cstheme="minorHAnsi"/>
          <w:color w:val="000000" w:themeColor="text1"/>
          <w:sz w:val="22"/>
          <w:szCs w:val="22"/>
          <w:bdr w:val="none" w:sz="0" w:space="0" w:color="auto" w:frame="1"/>
        </w:rPr>
        <w:t>manifest</w:t>
      </w:r>
      <w:r w:rsidRPr="00AA6706">
        <w:rPr>
          <w:rFonts w:asciiTheme="minorHAnsi" w:hAnsiTheme="minorHAnsi" w:cstheme="minorHAnsi"/>
          <w:color w:val="000000" w:themeColor="text1"/>
          <w:sz w:val="22"/>
          <w:szCs w:val="22"/>
          <w:bdr w:val="none" w:sz="0" w:space="0" w:color="auto" w:frame="1"/>
        </w:rPr>
        <w:t xml:space="preserve"> through increased production and are therefore </w:t>
      </w:r>
      <w:r w:rsidR="004365CA">
        <w:rPr>
          <w:rFonts w:asciiTheme="minorHAnsi" w:hAnsiTheme="minorHAnsi" w:cstheme="minorHAnsi"/>
          <w:color w:val="000000" w:themeColor="text1"/>
          <w:sz w:val="22"/>
          <w:szCs w:val="22"/>
          <w:bdr w:val="none" w:sz="0" w:space="0" w:color="auto" w:frame="1"/>
        </w:rPr>
        <w:t xml:space="preserve">likely to </w:t>
      </w:r>
      <w:r w:rsidR="00881B7C">
        <w:rPr>
          <w:rFonts w:asciiTheme="minorHAnsi" w:hAnsiTheme="minorHAnsi" w:cstheme="minorHAnsi"/>
          <w:color w:val="000000" w:themeColor="text1"/>
          <w:sz w:val="22"/>
          <w:szCs w:val="22"/>
          <w:bdr w:val="none" w:sz="0" w:space="0" w:color="auto" w:frame="1"/>
        </w:rPr>
        <w:t>translate to</w:t>
      </w:r>
      <w:r w:rsidR="004365CA">
        <w:rPr>
          <w:rFonts w:asciiTheme="minorHAnsi" w:hAnsiTheme="minorHAnsi" w:cstheme="minorHAnsi"/>
          <w:color w:val="000000" w:themeColor="text1"/>
          <w:sz w:val="22"/>
          <w:szCs w:val="22"/>
          <w:bdr w:val="none" w:sz="0" w:space="0" w:color="auto" w:frame="1"/>
        </w:rPr>
        <w:t xml:space="preserve"> reduced emissions intensities (and possibly </w:t>
      </w:r>
      <w:r w:rsidR="00881B7C">
        <w:rPr>
          <w:rFonts w:asciiTheme="minorHAnsi" w:hAnsiTheme="minorHAnsi" w:cstheme="minorHAnsi"/>
          <w:color w:val="000000" w:themeColor="text1"/>
          <w:sz w:val="22"/>
          <w:szCs w:val="22"/>
          <w:bdr w:val="none" w:sz="0" w:space="0" w:color="auto" w:frame="1"/>
        </w:rPr>
        <w:t xml:space="preserve">reduced </w:t>
      </w:r>
      <w:r w:rsidR="004365CA">
        <w:rPr>
          <w:rFonts w:asciiTheme="minorHAnsi" w:hAnsiTheme="minorHAnsi" w:cstheme="minorHAnsi"/>
          <w:color w:val="000000" w:themeColor="text1"/>
          <w:sz w:val="22"/>
          <w:szCs w:val="22"/>
          <w:bdr w:val="none" w:sz="0" w:space="0" w:color="auto" w:frame="1"/>
        </w:rPr>
        <w:t>national emissions</w:t>
      </w:r>
      <w:r w:rsidR="00881B7C">
        <w:rPr>
          <w:rFonts w:asciiTheme="minorHAnsi" w:hAnsiTheme="minorHAnsi" w:cstheme="minorHAnsi"/>
          <w:color w:val="000000" w:themeColor="text1"/>
          <w:sz w:val="22"/>
          <w:szCs w:val="22"/>
          <w:bdr w:val="none" w:sz="0" w:space="0" w:color="auto" w:frame="1"/>
        </w:rPr>
        <w:t>,</w:t>
      </w:r>
      <w:r w:rsidR="004365CA">
        <w:rPr>
          <w:rFonts w:asciiTheme="minorHAnsi" w:hAnsiTheme="minorHAnsi" w:cstheme="minorHAnsi"/>
          <w:color w:val="000000" w:themeColor="text1"/>
          <w:sz w:val="22"/>
          <w:szCs w:val="22"/>
          <w:bdr w:val="none" w:sz="0" w:space="0" w:color="auto" w:frame="1"/>
        </w:rPr>
        <w:t xml:space="preserve"> at a given level of output) but not necessarily </w:t>
      </w:r>
      <w:r w:rsidR="00881B7C">
        <w:rPr>
          <w:rFonts w:asciiTheme="minorHAnsi" w:hAnsiTheme="minorHAnsi" w:cstheme="minorHAnsi"/>
          <w:color w:val="000000" w:themeColor="text1"/>
          <w:sz w:val="22"/>
          <w:szCs w:val="22"/>
          <w:bdr w:val="none" w:sz="0" w:space="0" w:color="auto" w:frame="1"/>
        </w:rPr>
        <w:t xml:space="preserve">to reduced </w:t>
      </w:r>
      <w:r w:rsidR="004365CA">
        <w:rPr>
          <w:rFonts w:asciiTheme="minorHAnsi" w:hAnsiTheme="minorHAnsi" w:cstheme="minorHAnsi"/>
          <w:color w:val="000000" w:themeColor="text1"/>
          <w:sz w:val="22"/>
          <w:szCs w:val="22"/>
          <w:bdr w:val="none" w:sz="0" w:space="0" w:color="auto" w:frame="1"/>
        </w:rPr>
        <w:t>emissions at farm level</w:t>
      </w:r>
      <w:r w:rsidR="00881B7C">
        <w:rPr>
          <w:rFonts w:asciiTheme="minorHAnsi" w:hAnsiTheme="minorHAnsi" w:cstheme="minorHAnsi"/>
          <w:color w:val="000000" w:themeColor="text1"/>
          <w:sz w:val="22"/>
          <w:szCs w:val="22"/>
          <w:bdr w:val="none" w:sz="0" w:space="0" w:color="auto" w:frame="1"/>
        </w:rPr>
        <w:t xml:space="preserve"> (because production may increase)</w:t>
      </w:r>
      <w:r w:rsidR="004365CA">
        <w:rPr>
          <w:rFonts w:asciiTheme="minorHAnsi" w:hAnsiTheme="minorHAnsi" w:cstheme="minorHAnsi"/>
          <w:color w:val="000000" w:themeColor="text1"/>
          <w:sz w:val="22"/>
          <w:szCs w:val="22"/>
          <w:bdr w:val="none" w:sz="0" w:space="0" w:color="auto" w:frame="1"/>
        </w:rPr>
        <w:t xml:space="preserve">. </w:t>
      </w:r>
      <w:r w:rsidR="00F61BE9">
        <w:rPr>
          <w:rFonts w:asciiTheme="minorHAnsi" w:hAnsiTheme="minorHAnsi" w:cstheme="minorHAnsi"/>
          <w:color w:val="000000" w:themeColor="text1"/>
          <w:sz w:val="22"/>
          <w:szCs w:val="22"/>
          <w:bdr w:val="none" w:sz="0" w:space="0" w:color="auto" w:frame="1"/>
        </w:rPr>
        <w:t>In</w:t>
      </w:r>
      <w:r w:rsidR="006F345E">
        <w:rPr>
          <w:rFonts w:asciiTheme="minorHAnsi" w:hAnsiTheme="minorHAnsi" w:cstheme="minorHAnsi"/>
          <w:color w:val="000000" w:themeColor="text1"/>
          <w:sz w:val="22"/>
          <w:szCs w:val="22"/>
          <w:bdr w:val="none" w:sz="0" w:space="0" w:color="auto" w:frame="1"/>
        </w:rPr>
        <w:t xml:space="preserve"> this study, production was </w:t>
      </w:r>
      <w:r w:rsidR="007E2E84">
        <w:rPr>
          <w:rFonts w:asciiTheme="minorHAnsi" w:hAnsiTheme="minorHAnsi" w:cstheme="minorHAnsi"/>
          <w:color w:val="000000" w:themeColor="text1"/>
          <w:sz w:val="22"/>
          <w:szCs w:val="22"/>
          <w:bdr w:val="none" w:sz="0" w:space="0" w:color="auto" w:frame="1"/>
        </w:rPr>
        <w:t xml:space="preserve">held </w:t>
      </w:r>
      <w:r w:rsidR="006F345E">
        <w:rPr>
          <w:rFonts w:asciiTheme="minorHAnsi" w:hAnsiTheme="minorHAnsi" w:cstheme="minorHAnsi"/>
          <w:color w:val="000000" w:themeColor="text1"/>
          <w:sz w:val="22"/>
          <w:szCs w:val="22"/>
          <w:bdr w:val="none" w:sz="0" w:space="0" w:color="auto" w:frame="1"/>
        </w:rPr>
        <w:t xml:space="preserve">constant and any increases in productivity following the implementation of mitigation measures were </w:t>
      </w:r>
      <w:r w:rsidR="00F61BE9">
        <w:rPr>
          <w:rFonts w:asciiTheme="minorHAnsi" w:hAnsiTheme="minorHAnsi" w:cstheme="minorHAnsi"/>
          <w:color w:val="000000" w:themeColor="text1"/>
          <w:sz w:val="22"/>
          <w:szCs w:val="22"/>
          <w:bdr w:val="none" w:sz="0" w:space="0" w:color="auto" w:frame="1"/>
        </w:rPr>
        <w:t xml:space="preserve">assumed to be </w:t>
      </w:r>
      <w:r w:rsidR="006F345E">
        <w:rPr>
          <w:rFonts w:asciiTheme="minorHAnsi" w:hAnsiTheme="minorHAnsi" w:cstheme="minorHAnsi"/>
          <w:color w:val="000000" w:themeColor="text1"/>
          <w:sz w:val="22"/>
          <w:szCs w:val="22"/>
          <w:bdr w:val="none" w:sz="0" w:space="0" w:color="auto" w:frame="1"/>
        </w:rPr>
        <w:t xml:space="preserve">translated into a reduction in </w:t>
      </w:r>
      <w:r w:rsidR="00444C85">
        <w:rPr>
          <w:rFonts w:asciiTheme="minorHAnsi" w:hAnsiTheme="minorHAnsi" w:cstheme="minorHAnsi"/>
          <w:color w:val="000000" w:themeColor="text1"/>
          <w:sz w:val="22"/>
          <w:szCs w:val="22"/>
          <w:bdr w:val="none" w:sz="0" w:space="0" w:color="auto" w:frame="1"/>
        </w:rPr>
        <w:t>emissions per hec</w:t>
      </w:r>
      <w:r w:rsidR="0011138C">
        <w:rPr>
          <w:rFonts w:asciiTheme="minorHAnsi" w:hAnsiTheme="minorHAnsi" w:cstheme="minorHAnsi"/>
          <w:color w:val="000000" w:themeColor="text1"/>
          <w:sz w:val="22"/>
          <w:szCs w:val="22"/>
          <w:bdr w:val="none" w:sz="0" w:space="0" w:color="auto" w:frame="1"/>
        </w:rPr>
        <w:t xml:space="preserve">tare or </w:t>
      </w:r>
      <w:r w:rsidR="00F61BE9">
        <w:rPr>
          <w:rFonts w:asciiTheme="minorHAnsi" w:hAnsiTheme="minorHAnsi" w:cstheme="minorHAnsi"/>
          <w:color w:val="000000" w:themeColor="text1"/>
          <w:sz w:val="22"/>
          <w:szCs w:val="22"/>
          <w:bdr w:val="none" w:sz="0" w:space="0" w:color="auto" w:frame="1"/>
        </w:rPr>
        <w:t>emissions</w:t>
      </w:r>
      <w:r w:rsidR="006F345E">
        <w:rPr>
          <w:rFonts w:asciiTheme="minorHAnsi" w:hAnsiTheme="minorHAnsi" w:cstheme="minorHAnsi"/>
          <w:color w:val="000000" w:themeColor="text1"/>
          <w:sz w:val="22"/>
          <w:szCs w:val="22"/>
          <w:bdr w:val="none" w:sz="0" w:space="0" w:color="auto" w:frame="1"/>
        </w:rPr>
        <w:t xml:space="preserve"> </w:t>
      </w:r>
      <w:r w:rsidR="00881B7C">
        <w:rPr>
          <w:rFonts w:asciiTheme="minorHAnsi" w:hAnsiTheme="minorHAnsi" w:cstheme="minorHAnsi"/>
          <w:color w:val="000000" w:themeColor="text1"/>
          <w:sz w:val="22"/>
          <w:szCs w:val="22"/>
          <w:bdr w:val="none" w:sz="0" w:space="0" w:color="auto" w:frame="1"/>
        </w:rPr>
        <w:t>intensities</w:t>
      </w:r>
      <w:r w:rsidR="006F345E">
        <w:rPr>
          <w:rFonts w:asciiTheme="minorHAnsi" w:hAnsiTheme="minorHAnsi" w:cstheme="minorHAnsi"/>
          <w:color w:val="000000" w:themeColor="text1"/>
          <w:sz w:val="22"/>
          <w:szCs w:val="22"/>
          <w:bdr w:val="none" w:sz="0" w:space="0" w:color="auto" w:frame="1"/>
        </w:rPr>
        <w:t xml:space="preserve">. </w:t>
      </w:r>
      <w:r w:rsidR="00482BBE" w:rsidRPr="00482BBE">
        <w:rPr>
          <w:rFonts w:asciiTheme="minorHAnsi" w:hAnsiTheme="minorHAnsi" w:cstheme="minorHAnsi"/>
          <w:color w:val="000000" w:themeColor="text1"/>
          <w:sz w:val="22"/>
          <w:szCs w:val="22"/>
          <w:bdr w:val="none" w:sz="0" w:space="0" w:color="auto" w:frame="1"/>
        </w:rPr>
        <w:t>This is a model simplification but enables more consistent comparison across farms and measures</w:t>
      </w:r>
      <w:r w:rsidR="000C119F">
        <w:rPr>
          <w:rFonts w:asciiTheme="minorHAnsi" w:hAnsiTheme="minorHAnsi" w:cstheme="minorHAnsi"/>
          <w:color w:val="000000" w:themeColor="text1"/>
          <w:sz w:val="22"/>
          <w:szCs w:val="22"/>
          <w:bdr w:val="none" w:sz="0" w:space="0" w:color="auto" w:frame="1"/>
        </w:rPr>
        <w:t xml:space="preserve">, and is an approach </w:t>
      </w:r>
      <w:r w:rsidR="00474EE3">
        <w:rPr>
          <w:rFonts w:asciiTheme="minorHAnsi" w:hAnsiTheme="minorHAnsi" w:cstheme="minorHAnsi"/>
          <w:color w:val="000000" w:themeColor="text1"/>
          <w:sz w:val="22"/>
          <w:szCs w:val="22"/>
          <w:bdr w:val="none" w:sz="0" w:space="0" w:color="auto" w:frame="1"/>
        </w:rPr>
        <w:t xml:space="preserve">used in other studies </w:t>
      </w:r>
      <w:r w:rsidR="00430DB6">
        <w:rPr>
          <w:rFonts w:asciiTheme="minorHAnsi" w:hAnsiTheme="minorHAnsi" w:cstheme="minorHAnsi"/>
          <w:color w:val="000000" w:themeColor="text1"/>
          <w:sz w:val="22"/>
          <w:szCs w:val="22"/>
          <w:bdr w:val="none" w:sz="0" w:space="0" w:color="auto" w:frame="1"/>
        </w:rPr>
        <w:fldChar w:fldCharType="begin"/>
      </w:r>
      <w:r w:rsidR="00D44EB7">
        <w:rPr>
          <w:rFonts w:asciiTheme="minorHAnsi" w:hAnsiTheme="minorHAnsi" w:cstheme="minorHAnsi"/>
          <w:color w:val="000000" w:themeColor="text1"/>
          <w:sz w:val="22"/>
          <w:szCs w:val="22"/>
          <w:bdr w:val="none" w:sz="0" w:space="0" w:color="auto" w:frame="1"/>
        </w:rPr>
        <w:instrText xml:space="preserve"> ADDIN ZOTERO_ITEM CSL_CITATION {"citationID":"IMpBElON","properties":{"formattedCitation":"(ADAS UK Ltd, 2014; Rees et al., 2020)","plainCitation":"(ADAS UK Ltd, 2014; Rees et al., 2020)","noteIndex":0},"citationItems":[{"id":217,"uris":["http://zotero.org/users/6500992/items/UQKITWG8"],"itemData":{"id":217,"type":"report","title":"Study to Model the Impact of Controlling Endemic Cattle Diseases and Conditions on National Cattle Productivity, Agricultural Performance and Greenhouse Gas Emissions","author":[{"family":"ADAS UK Ltd","given":""}],"issued":{"date-parts":[["2014"]]}}},{"id":64,"uris":["http://zotero.org/users/6500992/items/LUT8P2LV"],"itemData":{"id":64,"type":"article-journal","abstract":"An increasing number of countries are setting targets for reducing national greenhouse gas emissions to net zero in the coming decades. Such emission reductions will require a transformation of all sectors of society, but nowhere more so than in agriculture and land use (AFOLU IPCC sector). Using the UK as a case study we outline how and to what extent changes in agricultural management could contribute to the net zero target. Agriculture in the UK is responsible for 46 Mt CO2e or 10% of UK emissions (2017). In order to reach an overall target of net zero for the UK economy by 2050 it is estimated that agricultural emissions must be reduced by over 50%. Previous estimates show that on-farm agricultural emissions can be reduced by 10-20%, by implementing a range of technologies that reduce nitrous oxide emissions (including more efficient use of fertilisers and manures, the use of urease and nitrification inhibitors, more extensive use of legumes, and improved soil management) and methane emissions from livestock (including dietary manipulation, use of improved genetics, and improved animal health). Unlike some other sectors, agricultural emissions cannot be reduced to zero, and the land use sector will play a major role in the removal of residual positive emissions. Biomass energy with carbon capture and storage offers the largest opportunity for CO2 capture, but other approaches such as increased soil carbon sequestration, the use of biochar, mineral weathering, and direct air capture are currently being explored. However, such offsetting mechanisms are also likely to be relied upon by other sectors including aviation in which it is difficult to achieve zero emissions. If offsetting is unable to remove sufficient quantities of GHGs to reach the net zero target, then additional novel measures, such as biochar application, and substantial changes in our food basket to reduce emissions from the agriculture sector will be required.","language":"en","page":"8","source":"Zotero","title":"How far can greenhouse gas mitigation take us towards net zero emissions in agriculture?","author":[{"family":"Rees","given":"Robert M"},{"family":"Eory","given":"Vera"},{"family":"Bell","given":"Julian"},{"family":"Topp","given":"Cairistiona F E"},{"family":"Sykes","given":"Alasdair"},{"family":"Misselbrook","given":"Tom"},{"family":"Cardenas","given":"Laura M"},{"family":"Chadwick","given":"David R"},{"family":"Sohi","given":"Saran"},{"family":"Manning","given":"A C"},{"family":"Smith","given":"Pete"}],"issued":{"date-parts":[["2020"]]}}}],"schema":"https://github.com/citation-style-language/schema/raw/master/csl-citation.json"} </w:instrText>
      </w:r>
      <w:r w:rsidR="00430DB6">
        <w:rPr>
          <w:rFonts w:asciiTheme="minorHAnsi" w:hAnsiTheme="minorHAnsi" w:cstheme="minorHAnsi"/>
          <w:color w:val="000000" w:themeColor="text1"/>
          <w:sz w:val="22"/>
          <w:szCs w:val="22"/>
          <w:bdr w:val="none" w:sz="0" w:space="0" w:color="auto" w:frame="1"/>
        </w:rPr>
        <w:fldChar w:fldCharType="separate"/>
      </w:r>
      <w:r w:rsidR="00A573B5" w:rsidRPr="00A573B5">
        <w:rPr>
          <w:rFonts w:ascii="Calibri" w:hAnsi="Calibri" w:cs="Calibri"/>
          <w:sz w:val="22"/>
        </w:rPr>
        <w:t>(ADAS UK Ltd, 2014; Rees et al., 2020)</w:t>
      </w:r>
      <w:r w:rsidR="00430DB6">
        <w:rPr>
          <w:rFonts w:asciiTheme="minorHAnsi" w:hAnsiTheme="minorHAnsi" w:cstheme="minorHAnsi"/>
          <w:color w:val="000000" w:themeColor="text1"/>
          <w:sz w:val="22"/>
          <w:szCs w:val="22"/>
          <w:bdr w:val="none" w:sz="0" w:space="0" w:color="auto" w:frame="1"/>
        </w:rPr>
        <w:fldChar w:fldCharType="end"/>
      </w:r>
      <w:r w:rsidR="00482BBE" w:rsidRPr="00482BBE">
        <w:rPr>
          <w:rFonts w:asciiTheme="minorHAnsi" w:hAnsiTheme="minorHAnsi" w:cstheme="minorHAnsi"/>
          <w:color w:val="000000" w:themeColor="text1"/>
          <w:sz w:val="22"/>
          <w:szCs w:val="22"/>
          <w:bdr w:val="none" w:sz="0" w:space="0" w:color="auto" w:frame="1"/>
        </w:rPr>
        <w:t>.</w:t>
      </w:r>
      <w:r w:rsidR="00482BBE">
        <w:rPr>
          <w:rFonts w:asciiTheme="minorHAnsi" w:hAnsiTheme="minorHAnsi" w:cstheme="minorHAnsi"/>
          <w:color w:val="000000" w:themeColor="text1"/>
          <w:sz w:val="22"/>
          <w:szCs w:val="22"/>
          <w:bdr w:val="none" w:sz="0" w:space="0" w:color="auto" w:frame="1"/>
        </w:rPr>
        <w:t xml:space="preserve"> </w:t>
      </w:r>
      <w:r w:rsidRPr="00AA6706">
        <w:rPr>
          <w:rFonts w:asciiTheme="minorHAnsi" w:hAnsiTheme="minorHAnsi" w:cstheme="minorHAnsi"/>
          <w:color w:val="000000" w:themeColor="text1"/>
          <w:sz w:val="22"/>
          <w:szCs w:val="22"/>
          <w:bdr w:val="none" w:sz="0" w:space="0" w:color="auto" w:frame="1"/>
        </w:rPr>
        <w:t>Similarly, feed additives or specific feed types do</w:t>
      </w:r>
      <w:r w:rsidR="0091037A">
        <w:rPr>
          <w:rFonts w:asciiTheme="minorHAnsi" w:hAnsiTheme="minorHAnsi" w:cstheme="minorHAnsi"/>
          <w:color w:val="000000" w:themeColor="text1"/>
          <w:sz w:val="22"/>
          <w:szCs w:val="22"/>
          <w:bdr w:val="none" w:sz="0" w:space="0" w:color="auto" w:frame="1"/>
        </w:rPr>
        <w:t xml:space="preserve"> </w:t>
      </w:r>
      <w:r w:rsidRPr="00AA6706">
        <w:rPr>
          <w:rFonts w:asciiTheme="minorHAnsi" w:hAnsiTheme="minorHAnsi" w:cstheme="minorHAnsi"/>
          <w:color w:val="000000" w:themeColor="text1"/>
          <w:sz w:val="22"/>
          <w:szCs w:val="22"/>
          <w:bdr w:val="none" w:sz="0" w:space="0" w:color="auto" w:frame="1"/>
        </w:rPr>
        <w:t>n</w:t>
      </w:r>
      <w:r w:rsidR="0091037A">
        <w:rPr>
          <w:rFonts w:asciiTheme="minorHAnsi" w:hAnsiTheme="minorHAnsi" w:cstheme="minorHAnsi"/>
          <w:color w:val="000000" w:themeColor="text1"/>
          <w:sz w:val="22"/>
          <w:szCs w:val="22"/>
          <w:bdr w:val="none" w:sz="0" w:space="0" w:color="auto" w:frame="1"/>
        </w:rPr>
        <w:t>o</w:t>
      </w:r>
      <w:r w:rsidRPr="00AA6706">
        <w:rPr>
          <w:rFonts w:asciiTheme="minorHAnsi" w:hAnsiTheme="minorHAnsi" w:cstheme="minorHAnsi"/>
          <w:color w:val="000000" w:themeColor="text1"/>
          <w:sz w:val="22"/>
          <w:szCs w:val="22"/>
          <w:bdr w:val="none" w:sz="0" w:space="0" w:color="auto" w:frame="1"/>
        </w:rPr>
        <w:t xml:space="preserve">t have their own </w:t>
      </w:r>
      <w:r w:rsidR="00ED2CB7">
        <w:rPr>
          <w:rFonts w:asciiTheme="minorHAnsi" w:hAnsiTheme="minorHAnsi" w:cstheme="minorHAnsi"/>
          <w:color w:val="000000" w:themeColor="text1"/>
          <w:sz w:val="22"/>
          <w:szCs w:val="22"/>
          <w:bdr w:val="none" w:sz="0" w:space="0" w:color="auto" w:frame="1"/>
        </w:rPr>
        <w:t>E</w:t>
      </w:r>
      <w:r w:rsidR="00C808D6">
        <w:rPr>
          <w:rFonts w:asciiTheme="minorHAnsi" w:hAnsiTheme="minorHAnsi" w:cstheme="minorHAnsi"/>
          <w:color w:val="000000" w:themeColor="text1"/>
          <w:sz w:val="22"/>
          <w:szCs w:val="22"/>
          <w:bdr w:val="none" w:sz="0" w:space="0" w:color="auto" w:frame="1"/>
        </w:rPr>
        <w:t>F</w:t>
      </w:r>
      <w:r w:rsidR="00ED2CB7">
        <w:rPr>
          <w:rFonts w:asciiTheme="minorHAnsi" w:hAnsiTheme="minorHAnsi" w:cstheme="minorHAnsi"/>
          <w:color w:val="000000" w:themeColor="text1"/>
          <w:sz w:val="22"/>
          <w:szCs w:val="22"/>
          <w:bdr w:val="none" w:sz="0" w:space="0" w:color="auto" w:frame="1"/>
        </w:rPr>
        <w:t>s</w:t>
      </w:r>
      <w:r w:rsidRPr="00AA6706">
        <w:rPr>
          <w:rFonts w:asciiTheme="minorHAnsi" w:hAnsiTheme="minorHAnsi" w:cstheme="minorHAnsi"/>
          <w:color w:val="000000" w:themeColor="text1"/>
          <w:sz w:val="22"/>
          <w:szCs w:val="22"/>
          <w:bdr w:val="none" w:sz="0" w:space="0" w:color="auto" w:frame="1"/>
        </w:rPr>
        <w:t xml:space="preserve"> and cannot be implemented </w:t>
      </w:r>
      <w:r w:rsidRPr="00AA6706">
        <w:rPr>
          <w:rFonts w:asciiTheme="minorHAnsi" w:hAnsiTheme="minorHAnsi" w:cstheme="minorHAnsi"/>
          <w:sz w:val="22"/>
          <w:szCs w:val="22"/>
          <w:bdr w:val="none" w:sz="0" w:space="0" w:color="auto" w:frame="1"/>
        </w:rPr>
        <w:t xml:space="preserve">in </w:t>
      </w:r>
      <w:proofErr w:type="spellStart"/>
      <w:r w:rsidR="00C42331">
        <w:rPr>
          <w:rFonts w:asciiTheme="minorHAnsi" w:hAnsiTheme="minorHAnsi" w:cstheme="minorHAnsi"/>
          <w:sz w:val="22"/>
          <w:szCs w:val="22"/>
          <w:bdr w:val="none" w:sz="0" w:space="0" w:color="auto" w:frame="1"/>
        </w:rPr>
        <w:t>Agrecalc</w:t>
      </w:r>
      <w:proofErr w:type="spellEnd"/>
      <w:r w:rsidRPr="00AA6706">
        <w:rPr>
          <w:rFonts w:asciiTheme="minorHAnsi" w:hAnsiTheme="minorHAnsi" w:cstheme="minorHAnsi"/>
          <w:sz w:val="22"/>
          <w:szCs w:val="22"/>
          <w:bdr w:val="none" w:sz="0" w:space="0" w:color="auto" w:frame="1"/>
        </w:rPr>
        <w:t xml:space="preserve">. </w:t>
      </w:r>
      <w:r w:rsidR="00881B7C">
        <w:rPr>
          <w:rFonts w:asciiTheme="minorHAnsi" w:hAnsiTheme="minorHAnsi" w:cstheme="minorHAnsi"/>
          <w:sz w:val="22"/>
          <w:szCs w:val="22"/>
          <w:bdr w:val="none" w:sz="0" w:space="0" w:color="auto" w:frame="1"/>
        </w:rPr>
        <w:t xml:space="preserve">Such </w:t>
      </w:r>
      <w:r w:rsidRPr="00AA6706">
        <w:rPr>
          <w:rFonts w:asciiTheme="minorHAnsi" w:hAnsiTheme="minorHAnsi" w:cstheme="minorHAnsi"/>
          <w:sz w:val="22"/>
          <w:szCs w:val="22"/>
          <w:bdr w:val="none" w:sz="0" w:space="0" w:color="auto" w:frame="1"/>
        </w:rPr>
        <w:t xml:space="preserve">mitigation measures effects were estimated through </w:t>
      </w:r>
      <w:r w:rsidR="00482BBE" w:rsidRPr="007D6DB8">
        <w:rPr>
          <w:rFonts w:asciiTheme="minorHAnsi" w:hAnsiTheme="minorHAnsi" w:cstheme="minorHAnsi"/>
          <w:i/>
          <w:iCs/>
          <w:sz w:val="22"/>
          <w:szCs w:val="22"/>
          <w:bdr w:val="none" w:sz="0" w:space="0" w:color="auto" w:frame="1"/>
        </w:rPr>
        <w:t>post-hoc</w:t>
      </w:r>
      <w:r w:rsidRPr="00AA6706">
        <w:rPr>
          <w:rFonts w:asciiTheme="minorHAnsi" w:hAnsiTheme="minorHAnsi" w:cstheme="minorHAnsi"/>
          <w:sz w:val="22"/>
          <w:szCs w:val="22"/>
          <w:bdr w:val="none" w:sz="0" w:space="0" w:color="auto" w:frame="1"/>
        </w:rPr>
        <w:t xml:space="preserve"> calculations.</w:t>
      </w:r>
      <w:r w:rsidR="001006A9">
        <w:rPr>
          <w:rFonts w:asciiTheme="minorHAnsi" w:hAnsiTheme="minorHAnsi" w:cstheme="minorHAnsi"/>
          <w:sz w:val="22"/>
          <w:szCs w:val="22"/>
          <w:bdr w:val="none" w:sz="0" w:space="0" w:color="auto" w:frame="1"/>
        </w:rPr>
        <w:t xml:space="preserve"> </w:t>
      </w:r>
      <w:r w:rsidR="00661D41" w:rsidRPr="003D155E">
        <w:rPr>
          <w:rFonts w:asciiTheme="minorHAnsi" w:hAnsiTheme="minorHAnsi" w:cstheme="minorHAnsi"/>
          <w:sz w:val="22"/>
          <w:szCs w:val="22"/>
          <w:bdr w:val="none" w:sz="0" w:space="0" w:color="auto" w:frame="1"/>
        </w:rPr>
        <w:t xml:space="preserve">Where </w:t>
      </w:r>
      <w:r w:rsidR="00661D41" w:rsidRPr="003D155E">
        <w:rPr>
          <w:rFonts w:asciiTheme="minorHAnsi" w:hAnsiTheme="minorHAnsi" w:cstheme="minorHAnsi"/>
          <w:sz w:val="22"/>
          <w:szCs w:val="22"/>
          <w:bdr w:val="none" w:sz="0" w:space="0" w:color="auto" w:frame="1"/>
        </w:rPr>
        <w:lastRenderedPageBreak/>
        <w:t>possible</w:t>
      </w:r>
      <w:r w:rsidR="001B158C">
        <w:rPr>
          <w:rFonts w:asciiTheme="minorHAnsi" w:hAnsiTheme="minorHAnsi" w:cstheme="minorHAnsi"/>
          <w:sz w:val="22"/>
          <w:szCs w:val="22"/>
          <w:bdr w:val="none" w:sz="0" w:space="0" w:color="auto" w:frame="1"/>
        </w:rPr>
        <w:t>,</w:t>
      </w:r>
      <w:r w:rsidR="00661D41" w:rsidRPr="003D155E">
        <w:rPr>
          <w:rFonts w:asciiTheme="minorHAnsi" w:hAnsiTheme="minorHAnsi" w:cstheme="minorHAnsi"/>
          <w:sz w:val="22"/>
          <w:szCs w:val="22"/>
          <w:bdr w:val="none" w:sz="0" w:space="0" w:color="auto" w:frame="1"/>
        </w:rPr>
        <w:t xml:space="preserve"> abatement potentials were </w:t>
      </w:r>
      <w:r w:rsidR="005566AB">
        <w:rPr>
          <w:rFonts w:asciiTheme="minorHAnsi" w:hAnsiTheme="minorHAnsi" w:cstheme="minorHAnsi"/>
          <w:sz w:val="22"/>
          <w:szCs w:val="22"/>
          <w:bdr w:val="none" w:sz="0" w:space="0" w:color="auto" w:frame="1"/>
        </w:rPr>
        <w:t>estimated</w:t>
      </w:r>
      <w:r w:rsidR="00661D41" w:rsidRPr="003D155E">
        <w:rPr>
          <w:rFonts w:asciiTheme="minorHAnsi" w:hAnsiTheme="minorHAnsi" w:cstheme="minorHAnsi"/>
          <w:sz w:val="22"/>
          <w:szCs w:val="22"/>
          <w:bdr w:val="none" w:sz="0" w:space="0" w:color="auto" w:frame="1"/>
        </w:rPr>
        <w:t xml:space="preserve"> us</w:t>
      </w:r>
      <w:r w:rsidR="00661D41" w:rsidRPr="0033064E">
        <w:rPr>
          <w:rFonts w:asciiTheme="minorHAnsi" w:hAnsiTheme="minorHAnsi" w:cstheme="minorHAnsi"/>
          <w:sz w:val="22"/>
          <w:szCs w:val="22"/>
          <w:bdr w:val="none" w:sz="0" w:space="0" w:color="auto" w:frame="1"/>
        </w:rPr>
        <w:t xml:space="preserve">ing </w:t>
      </w:r>
      <w:r w:rsidR="00661D41" w:rsidRPr="003D155E">
        <w:rPr>
          <w:rFonts w:asciiTheme="minorHAnsi" w:hAnsiTheme="minorHAnsi" w:cstheme="minorHAnsi"/>
          <w:sz w:val="22"/>
          <w:szCs w:val="22"/>
          <w:bdr w:val="none" w:sz="0" w:space="0" w:color="auto" w:frame="1"/>
        </w:rPr>
        <w:t xml:space="preserve">calculations </w:t>
      </w:r>
      <w:r w:rsidR="003C6EFA">
        <w:rPr>
          <w:rFonts w:asciiTheme="minorHAnsi" w:hAnsiTheme="minorHAnsi" w:cstheme="minorHAnsi"/>
          <w:sz w:val="22"/>
          <w:szCs w:val="22"/>
          <w:bdr w:val="none" w:sz="0" w:space="0" w:color="auto" w:frame="1"/>
        </w:rPr>
        <w:t>which</w:t>
      </w:r>
      <w:r w:rsidR="00661D41" w:rsidRPr="003D155E">
        <w:rPr>
          <w:rFonts w:asciiTheme="minorHAnsi" w:hAnsiTheme="minorHAnsi" w:cstheme="minorHAnsi"/>
          <w:sz w:val="22"/>
          <w:szCs w:val="22"/>
          <w:bdr w:val="none" w:sz="0" w:space="0" w:color="auto" w:frame="1"/>
        </w:rPr>
        <w:t xml:space="preserve"> reflect farm types and individual farm differences.</w:t>
      </w:r>
      <w:r w:rsidR="004E0240">
        <w:rPr>
          <w:rFonts w:asciiTheme="minorHAnsi" w:hAnsiTheme="minorHAnsi" w:cstheme="minorHAnsi"/>
          <w:sz w:val="22"/>
          <w:szCs w:val="22"/>
          <w:bdr w:val="none" w:sz="0" w:space="0" w:color="auto" w:frame="1"/>
        </w:rPr>
        <w:t xml:space="preserve"> </w:t>
      </w:r>
      <w:r w:rsidR="00923E6C">
        <w:rPr>
          <w:rFonts w:asciiTheme="minorHAnsi" w:hAnsiTheme="minorHAnsi" w:cstheme="minorHAnsi"/>
          <w:sz w:val="22"/>
          <w:szCs w:val="22"/>
          <w:bdr w:val="none" w:sz="0" w:space="0" w:color="auto" w:frame="1"/>
        </w:rPr>
        <w:t>A flow diagram for each mitigation measure was created to ensure all direct and indirect effects were considered</w:t>
      </w:r>
      <w:r w:rsidR="00A66AA0">
        <w:rPr>
          <w:rFonts w:asciiTheme="minorHAnsi" w:hAnsiTheme="minorHAnsi" w:cstheme="minorHAnsi"/>
          <w:sz w:val="22"/>
          <w:szCs w:val="22"/>
          <w:bdr w:val="none" w:sz="0" w:space="0" w:color="auto" w:frame="1"/>
        </w:rPr>
        <w:t xml:space="preserve"> (</w:t>
      </w:r>
      <w:r w:rsidR="007E2E84">
        <w:rPr>
          <w:rFonts w:asciiTheme="minorHAnsi" w:hAnsiTheme="minorHAnsi" w:cstheme="minorHAnsi"/>
          <w:sz w:val="22"/>
          <w:szCs w:val="22"/>
          <w:bdr w:val="none" w:sz="0" w:space="0" w:color="auto" w:frame="1"/>
        </w:rPr>
        <w:t xml:space="preserve">see </w:t>
      </w:r>
      <w:r w:rsidR="00A66AA0">
        <w:rPr>
          <w:rFonts w:asciiTheme="minorHAnsi" w:hAnsiTheme="minorHAnsi" w:cstheme="minorHAnsi"/>
          <w:sz w:val="22"/>
          <w:szCs w:val="22"/>
          <w:bdr w:val="none" w:sz="0" w:space="0" w:color="auto" w:frame="1"/>
        </w:rPr>
        <w:t>Figure 1</w:t>
      </w:r>
      <w:r w:rsidR="007E2E84">
        <w:rPr>
          <w:rFonts w:asciiTheme="minorHAnsi" w:hAnsiTheme="minorHAnsi" w:cstheme="minorHAnsi"/>
          <w:sz w:val="22"/>
          <w:szCs w:val="22"/>
          <w:bdr w:val="none" w:sz="0" w:space="0" w:color="auto" w:frame="1"/>
        </w:rPr>
        <w:t xml:space="preserve"> as an example</w:t>
      </w:r>
      <w:r w:rsidR="00A66AA0">
        <w:rPr>
          <w:rFonts w:asciiTheme="minorHAnsi" w:hAnsiTheme="minorHAnsi" w:cstheme="minorHAnsi"/>
          <w:sz w:val="22"/>
          <w:szCs w:val="22"/>
          <w:bdr w:val="none" w:sz="0" w:space="0" w:color="auto" w:frame="1"/>
        </w:rPr>
        <w:t>)</w:t>
      </w:r>
      <w:r w:rsidR="009F0BB9">
        <w:rPr>
          <w:rFonts w:asciiTheme="minorHAnsi" w:hAnsiTheme="minorHAnsi" w:cstheme="minorHAnsi"/>
          <w:sz w:val="22"/>
          <w:szCs w:val="22"/>
          <w:bdr w:val="none" w:sz="0" w:space="0" w:color="auto" w:frame="1"/>
        </w:rPr>
        <w:t xml:space="preserve">. </w:t>
      </w:r>
      <w:r w:rsidR="001B158C">
        <w:rPr>
          <w:rFonts w:asciiTheme="minorHAnsi" w:hAnsiTheme="minorHAnsi" w:cstheme="minorHAnsi"/>
          <w:sz w:val="22"/>
          <w:szCs w:val="22"/>
          <w:bdr w:val="none" w:sz="0" w:space="0" w:color="auto" w:frame="1"/>
        </w:rPr>
        <w:t>For robustness, o</w:t>
      </w:r>
      <w:r w:rsidR="004E0240">
        <w:rPr>
          <w:rFonts w:asciiTheme="minorHAnsi" w:hAnsiTheme="minorHAnsi" w:cstheme="minorHAnsi"/>
          <w:sz w:val="22"/>
          <w:szCs w:val="22"/>
          <w:bdr w:val="none" w:sz="0" w:space="0" w:color="auto" w:frame="1"/>
        </w:rPr>
        <w:t>nly</w:t>
      </w:r>
      <w:r w:rsidR="00C8188B">
        <w:rPr>
          <w:rFonts w:asciiTheme="minorHAnsi" w:hAnsiTheme="minorHAnsi" w:cstheme="minorHAnsi"/>
          <w:sz w:val="22"/>
          <w:szCs w:val="22"/>
          <w:bdr w:val="none" w:sz="0" w:space="0" w:color="auto" w:frame="1"/>
        </w:rPr>
        <w:t xml:space="preserve"> </w:t>
      </w:r>
      <w:r w:rsidR="008A674B">
        <w:rPr>
          <w:rFonts w:asciiTheme="minorHAnsi" w:hAnsiTheme="minorHAnsi" w:cstheme="minorHAnsi"/>
          <w:sz w:val="22"/>
          <w:szCs w:val="22"/>
          <w:bdr w:val="none" w:sz="0" w:space="0" w:color="auto" w:frame="1"/>
        </w:rPr>
        <w:t xml:space="preserve">mitigation </w:t>
      </w:r>
      <w:r w:rsidR="00EF1945">
        <w:rPr>
          <w:rFonts w:asciiTheme="minorHAnsi" w:hAnsiTheme="minorHAnsi" w:cstheme="minorHAnsi"/>
          <w:sz w:val="22"/>
          <w:szCs w:val="22"/>
          <w:bdr w:val="none" w:sz="0" w:space="0" w:color="auto" w:frame="1"/>
        </w:rPr>
        <w:t>measure effects</w:t>
      </w:r>
      <w:r w:rsidR="00A63236">
        <w:rPr>
          <w:rFonts w:asciiTheme="minorHAnsi" w:hAnsiTheme="minorHAnsi" w:cstheme="minorHAnsi"/>
          <w:sz w:val="22"/>
          <w:szCs w:val="22"/>
          <w:bdr w:val="none" w:sz="0" w:space="0" w:color="auto" w:frame="1"/>
        </w:rPr>
        <w:t xml:space="preserve"> </w:t>
      </w:r>
      <w:r w:rsidR="00C8188B">
        <w:rPr>
          <w:rFonts w:asciiTheme="minorHAnsi" w:hAnsiTheme="minorHAnsi" w:cstheme="minorHAnsi"/>
          <w:sz w:val="22"/>
          <w:szCs w:val="22"/>
          <w:bdr w:val="none" w:sz="0" w:space="0" w:color="auto" w:frame="1"/>
        </w:rPr>
        <w:t xml:space="preserve">with a high level of certainty </w:t>
      </w:r>
      <w:r w:rsidR="00DA74FD">
        <w:rPr>
          <w:rFonts w:asciiTheme="minorHAnsi" w:hAnsiTheme="minorHAnsi" w:cstheme="minorHAnsi"/>
          <w:sz w:val="22"/>
          <w:szCs w:val="22"/>
          <w:bdr w:val="none" w:sz="0" w:space="0" w:color="auto" w:frame="1"/>
        </w:rPr>
        <w:t xml:space="preserve">in abatement potential </w:t>
      </w:r>
      <w:r w:rsidR="00C8188B">
        <w:rPr>
          <w:rFonts w:asciiTheme="minorHAnsi" w:hAnsiTheme="minorHAnsi" w:cstheme="minorHAnsi"/>
          <w:sz w:val="22"/>
          <w:szCs w:val="22"/>
          <w:bdr w:val="none" w:sz="0" w:space="0" w:color="auto" w:frame="1"/>
        </w:rPr>
        <w:t>were consider</w:t>
      </w:r>
      <w:r w:rsidR="00E25BE0">
        <w:rPr>
          <w:rFonts w:asciiTheme="minorHAnsi" w:hAnsiTheme="minorHAnsi" w:cstheme="minorHAnsi"/>
          <w:sz w:val="22"/>
          <w:szCs w:val="22"/>
          <w:bdr w:val="none" w:sz="0" w:space="0" w:color="auto" w:frame="1"/>
        </w:rPr>
        <w:t>ed</w:t>
      </w:r>
      <w:r w:rsidR="003044A8">
        <w:rPr>
          <w:rFonts w:asciiTheme="minorHAnsi" w:hAnsiTheme="minorHAnsi" w:cstheme="minorHAnsi"/>
          <w:sz w:val="22"/>
          <w:szCs w:val="22"/>
          <w:bdr w:val="none" w:sz="0" w:space="0" w:color="auto" w:frame="1"/>
        </w:rPr>
        <w:t xml:space="preserve"> </w:t>
      </w:r>
      <w:r w:rsidR="00845058">
        <w:rPr>
          <w:rFonts w:asciiTheme="minorHAnsi" w:hAnsiTheme="minorHAnsi" w:cstheme="minorHAnsi"/>
          <w:sz w:val="22"/>
          <w:szCs w:val="22"/>
          <w:bdr w:val="none" w:sz="0" w:space="0" w:color="auto" w:frame="1"/>
        </w:rPr>
        <w:t>i.e.,</w:t>
      </w:r>
      <w:r w:rsidR="00DA74FD">
        <w:rPr>
          <w:rFonts w:asciiTheme="minorHAnsi" w:hAnsiTheme="minorHAnsi" w:cstheme="minorHAnsi"/>
          <w:sz w:val="22"/>
          <w:szCs w:val="22"/>
          <w:bdr w:val="none" w:sz="0" w:space="0" w:color="auto" w:frame="1"/>
        </w:rPr>
        <w:t xml:space="preserve"> effects </w:t>
      </w:r>
      <w:r w:rsidR="00845058">
        <w:rPr>
          <w:rFonts w:asciiTheme="minorHAnsi" w:hAnsiTheme="minorHAnsi" w:cstheme="minorHAnsi"/>
          <w:sz w:val="22"/>
          <w:szCs w:val="22"/>
          <w:bdr w:val="none" w:sz="0" w:space="0" w:color="auto" w:frame="1"/>
        </w:rPr>
        <w:t>for</w:t>
      </w:r>
      <w:r w:rsidR="00DA74FD">
        <w:rPr>
          <w:rFonts w:asciiTheme="minorHAnsi" w:hAnsiTheme="minorHAnsi" w:cstheme="minorHAnsi"/>
          <w:sz w:val="22"/>
          <w:szCs w:val="22"/>
          <w:bdr w:val="none" w:sz="0" w:space="0" w:color="auto" w:frame="1"/>
        </w:rPr>
        <w:t xml:space="preserve"> which </w:t>
      </w:r>
      <w:r w:rsidR="001B158C">
        <w:rPr>
          <w:rFonts w:asciiTheme="minorHAnsi" w:hAnsiTheme="minorHAnsi" w:cstheme="minorHAnsi"/>
          <w:sz w:val="22"/>
          <w:szCs w:val="22"/>
          <w:bdr w:val="none" w:sz="0" w:space="0" w:color="auto" w:frame="1"/>
        </w:rPr>
        <w:t xml:space="preserve">published scientific </w:t>
      </w:r>
      <w:r w:rsidR="00DA74FD">
        <w:rPr>
          <w:rFonts w:asciiTheme="minorHAnsi" w:hAnsiTheme="minorHAnsi" w:cstheme="minorHAnsi"/>
          <w:sz w:val="22"/>
          <w:szCs w:val="22"/>
          <w:bdr w:val="none" w:sz="0" w:space="0" w:color="auto" w:frame="1"/>
        </w:rPr>
        <w:t xml:space="preserve">literature was in </w:t>
      </w:r>
      <w:r w:rsidR="001E74A9">
        <w:rPr>
          <w:rFonts w:asciiTheme="minorHAnsi" w:hAnsiTheme="minorHAnsi" w:cstheme="minorHAnsi"/>
          <w:sz w:val="22"/>
          <w:szCs w:val="22"/>
          <w:bdr w:val="none" w:sz="0" w:space="0" w:color="auto" w:frame="1"/>
        </w:rPr>
        <w:t xml:space="preserve">general </w:t>
      </w:r>
      <w:r w:rsidR="00DA74FD">
        <w:rPr>
          <w:rFonts w:asciiTheme="minorHAnsi" w:hAnsiTheme="minorHAnsi" w:cstheme="minorHAnsi"/>
          <w:sz w:val="22"/>
          <w:szCs w:val="22"/>
          <w:bdr w:val="none" w:sz="0" w:space="0" w:color="auto" w:frame="1"/>
        </w:rPr>
        <w:t>agreement</w:t>
      </w:r>
      <w:r w:rsidR="00111834">
        <w:rPr>
          <w:rFonts w:asciiTheme="minorHAnsi" w:hAnsiTheme="minorHAnsi" w:cstheme="minorHAnsi"/>
          <w:sz w:val="22"/>
          <w:szCs w:val="22"/>
          <w:bdr w:val="none" w:sz="0" w:space="0" w:color="auto" w:frame="1"/>
        </w:rPr>
        <w:t>.</w:t>
      </w:r>
      <w:r w:rsidR="00111834" w:rsidRPr="00EB7FC4">
        <w:rPr>
          <w:rFonts w:asciiTheme="minorHAnsi" w:hAnsiTheme="minorHAnsi" w:cstheme="minorHAnsi"/>
          <w:sz w:val="22"/>
          <w:szCs w:val="22"/>
          <w:bdr w:val="none" w:sz="0" w:space="0" w:color="auto" w:frame="1"/>
        </w:rPr>
        <w:t xml:space="preserve"> Effects </w:t>
      </w:r>
      <w:r w:rsidR="00836D6D" w:rsidRPr="00EB7FC4">
        <w:rPr>
          <w:rFonts w:asciiTheme="minorHAnsi" w:hAnsiTheme="minorHAnsi" w:cstheme="minorHAnsi"/>
          <w:sz w:val="22"/>
          <w:szCs w:val="22"/>
          <w:bdr w:val="none" w:sz="0" w:space="0" w:color="auto" w:frame="1"/>
        </w:rPr>
        <w:t>with</w:t>
      </w:r>
      <w:r w:rsidR="008A27E0" w:rsidRPr="00EB7FC4">
        <w:rPr>
          <w:rFonts w:asciiTheme="minorHAnsi" w:hAnsiTheme="minorHAnsi" w:cstheme="minorHAnsi"/>
          <w:sz w:val="22"/>
          <w:szCs w:val="22"/>
          <w:bdr w:val="none" w:sz="0" w:space="0" w:color="auto" w:frame="1"/>
        </w:rPr>
        <w:t xml:space="preserve"> a</w:t>
      </w:r>
      <w:r w:rsidR="00111834" w:rsidRPr="00EB7FC4">
        <w:rPr>
          <w:rFonts w:asciiTheme="minorHAnsi" w:hAnsiTheme="minorHAnsi" w:cstheme="minorHAnsi"/>
          <w:sz w:val="22"/>
          <w:szCs w:val="22"/>
          <w:bdr w:val="none" w:sz="0" w:space="0" w:color="auto" w:frame="1"/>
        </w:rPr>
        <w:t xml:space="preserve"> higher level of uncertainty</w:t>
      </w:r>
      <w:r w:rsidR="00EB6D10" w:rsidRPr="00EB7FC4">
        <w:rPr>
          <w:rFonts w:asciiTheme="minorHAnsi" w:hAnsiTheme="minorHAnsi" w:cstheme="minorHAnsi"/>
          <w:sz w:val="22"/>
          <w:szCs w:val="22"/>
          <w:bdr w:val="none" w:sz="0" w:space="0" w:color="auto" w:frame="1"/>
        </w:rPr>
        <w:t xml:space="preserve"> </w:t>
      </w:r>
      <w:r w:rsidR="001B36EC" w:rsidRPr="00EB7FC4">
        <w:rPr>
          <w:rFonts w:asciiTheme="minorHAnsi" w:hAnsiTheme="minorHAnsi" w:cstheme="minorHAnsi"/>
          <w:sz w:val="22"/>
          <w:szCs w:val="22"/>
          <w:bdr w:val="none" w:sz="0" w:space="0" w:color="auto" w:frame="1"/>
        </w:rPr>
        <w:t>were excluded from</w:t>
      </w:r>
      <w:r w:rsidR="008A27E0" w:rsidRPr="00EB7FC4">
        <w:rPr>
          <w:rFonts w:asciiTheme="minorHAnsi" w:hAnsiTheme="minorHAnsi" w:cstheme="minorHAnsi"/>
          <w:sz w:val="22"/>
          <w:szCs w:val="22"/>
          <w:bdr w:val="none" w:sz="0" w:space="0" w:color="auto" w:frame="1"/>
        </w:rPr>
        <w:t xml:space="preserve"> these</w:t>
      </w:r>
      <w:r w:rsidR="001B36EC" w:rsidRPr="00EB7FC4">
        <w:rPr>
          <w:rFonts w:asciiTheme="minorHAnsi" w:hAnsiTheme="minorHAnsi" w:cstheme="minorHAnsi"/>
          <w:sz w:val="22"/>
          <w:szCs w:val="22"/>
          <w:bdr w:val="none" w:sz="0" w:space="0" w:color="auto" w:frame="1"/>
        </w:rPr>
        <w:t xml:space="preserve"> calculations</w:t>
      </w:r>
      <w:r w:rsidR="00F22B68" w:rsidRPr="00EB7FC4">
        <w:rPr>
          <w:rFonts w:asciiTheme="minorHAnsi" w:hAnsiTheme="minorHAnsi" w:cstheme="minorHAnsi"/>
          <w:sz w:val="22"/>
          <w:szCs w:val="22"/>
          <w:bdr w:val="none" w:sz="0" w:space="0" w:color="auto" w:frame="1"/>
        </w:rPr>
        <w:t xml:space="preserve">, for example, </w:t>
      </w:r>
      <w:r w:rsidR="00410E00" w:rsidRPr="00410E00">
        <w:rPr>
          <w:rFonts w:asciiTheme="minorHAnsi" w:hAnsiTheme="minorHAnsi" w:cstheme="minorHAnsi"/>
          <w:sz w:val="22"/>
          <w:szCs w:val="22"/>
          <w:bdr w:val="none" w:sz="0" w:space="0" w:color="auto" w:frame="1"/>
        </w:rPr>
        <w:t xml:space="preserve">any </w:t>
      </w:r>
      <w:r w:rsidR="00D15FDC" w:rsidRPr="00410E00">
        <w:rPr>
          <w:rFonts w:asciiTheme="minorHAnsi" w:hAnsiTheme="minorHAnsi" w:cstheme="minorHAnsi"/>
          <w:sz w:val="22"/>
          <w:szCs w:val="22"/>
          <w:bdr w:val="none" w:sz="0" w:space="0" w:color="auto" w:frame="1"/>
        </w:rPr>
        <w:t xml:space="preserve">yield effects following </w:t>
      </w:r>
      <w:r w:rsidR="00EB7FC4" w:rsidRPr="00410E00">
        <w:rPr>
          <w:rFonts w:asciiTheme="minorHAnsi" w:hAnsiTheme="minorHAnsi" w:cstheme="minorHAnsi"/>
          <w:sz w:val="22"/>
          <w:szCs w:val="22"/>
          <w:bdr w:val="none" w:sz="0" w:space="0" w:color="auto" w:frame="1"/>
        </w:rPr>
        <w:t xml:space="preserve">improved organic </w:t>
      </w:r>
      <w:r w:rsidR="00225465">
        <w:rPr>
          <w:rFonts w:asciiTheme="minorHAnsi" w:hAnsiTheme="minorHAnsi" w:cstheme="minorHAnsi"/>
          <w:sz w:val="22"/>
          <w:szCs w:val="22"/>
          <w:bdr w:val="none" w:sz="0" w:space="0" w:color="auto" w:frame="1"/>
        </w:rPr>
        <w:t>nitrogen (</w:t>
      </w:r>
      <w:r w:rsidR="00EB7FC4" w:rsidRPr="00410E00">
        <w:rPr>
          <w:rFonts w:asciiTheme="minorHAnsi" w:hAnsiTheme="minorHAnsi" w:cstheme="minorHAnsi"/>
          <w:sz w:val="22"/>
          <w:szCs w:val="22"/>
          <w:bdr w:val="none" w:sz="0" w:space="0" w:color="auto" w:frame="1"/>
        </w:rPr>
        <w:t>N</w:t>
      </w:r>
      <w:r w:rsidR="00225465">
        <w:rPr>
          <w:rFonts w:asciiTheme="minorHAnsi" w:hAnsiTheme="minorHAnsi" w:cstheme="minorHAnsi"/>
          <w:sz w:val="22"/>
          <w:szCs w:val="22"/>
          <w:bdr w:val="none" w:sz="0" w:space="0" w:color="auto" w:frame="1"/>
        </w:rPr>
        <w:t>)</w:t>
      </w:r>
      <w:r w:rsidR="00EB7FC4" w:rsidRPr="00410E00">
        <w:rPr>
          <w:rFonts w:asciiTheme="minorHAnsi" w:hAnsiTheme="minorHAnsi" w:cstheme="minorHAnsi"/>
          <w:sz w:val="22"/>
          <w:szCs w:val="22"/>
          <w:bdr w:val="none" w:sz="0" w:space="0" w:color="auto" w:frame="1"/>
        </w:rPr>
        <w:t xml:space="preserve"> use</w:t>
      </w:r>
      <w:r w:rsidR="00410E00">
        <w:rPr>
          <w:rFonts w:asciiTheme="minorHAnsi" w:hAnsiTheme="minorHAnsi" w:cstheme="minorHAnsi"/>
          <w:sz w:val="22"/>
          <w:szCs w:val="22"/>
          <w:bdr w:val="none" w:sz="0" w:space="0" w:color="auto" w:frame="1"/>
        </w:rPr>
        <w:t xml:space="preserve"> as this is highly dependent on the initial N rate.</w:t>
      </w:r>
    </w:p>
    <w:p w14:paraId="3B421953" w14:textId="26EB66E0" w:rsidR="00567F15" w:rsidRDefault="001F7204" w:rsidP="00E568F2">
      <w:pPr>
        <w:spacing w:line="360" w:lineRule="auto"/>
        <w:rPr>
          <w:rFonts w:asciiTheme="minorHAnsi" w:hAnsiTheme="minorHAnsi" w:cstheme="minorHAnsi"/>
          <w:sz w:val="22"/>
          <w:szCs w:val="22"/>
          <w:bdr w:val="none" w:sz="0" w:space="0" w:color="auto" w:frame="1"/>
        </w:rPr>
      </w:pPr>
      <w:r>
        <w:rPr>
          <w:noProof/>
        </w:rPr>
        <w:drawing>
          <wp:anchor distT="0" distB="0" distL="114300" distR="114300" simplePos="0" relativeHeight="251657217" behindDoc="0" locked="0" layoutInCell="1" allowOverlap="1" wp14:anchorId="6C4A9EFB" wp14:editId="73534021">
            <wp:simplePos x="0" y="0"/>
            <wp:positionH relativeFrom="margin">
              <wp:align>center</wp:align>
            </wp:positionH>
            <wp:positionV relativeFrom="paragraph">
              <wp:posOffset>0</wp:posOffset>
            </wp:positionV>
            <wp:extent cx="6417310" cy="36099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7310" cy="360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45716" w14:textId="77777777" w:rsidR="00914B3C" w:rsidRDefault="00914B3C" w:rsidP="00E568F2">
      <w:pPr>
        <w:spacing w:line="360" w:lineRule="auto"/>
        <w:rPr>
          <w:rFonts w:asciiTheme="minorHAnsi" w:hAnsiTheme="minorHAnsi" w:cstheme="minorHAnsi"/>
          <w:b/>
          <w:bCs/>
          <w:sz w:val="22"/>
          <w:szCs w:val="22"/>
          <w:bdr w:val="none" w:sz="0" w:space="0" w:color="auto" w:frame="1"/>
        </w:rPr>
        <w:sectPr w:rsidR="00914B3C" w:rsidSect="00336756">
          <w:type w:val="continuous"/>
          <w:pgSz w:w="11906" w:h="16838"/>
          <w:pgMar w:top="1440" w:right="1440" w:bottom="1440" w:left="1440" w:header="708" w:footer="708" w:gutter="0"/>
          <w:lnNumType w:countBy="1" w:restart="continuous"/>
          <w:cols w:space="708"/>
          <w:titlePg/>
          <w:docGrid w:linePitch="360"/>
        </w:sectPr>
      </w:pPr>
    </w:p>
    <w:p w14:paraId="0ED69CD4" w14:textId="1F48A9BF" w:rsidR="00B67854" w:rsidRPr="005824EB" w:rsidRDefault="00B67854" w:rsidP="00E568F2">
      <w:pPr>
        <w:spacing w:line="360" w:lineRule="auto"/>
        <w:rPr>
          <w:rFonts w:asciiTheme="minorHAnsi" w:hAnsiTheme="minorHAnsi" w:cstheme="minorHAnsi"/>
          <w:b/>
          <w:bCs/>
          <w:sz w:val="22"/>
          <w:szCs w:val="22"/>
          <w:bdr w:val="none" w:sz="0" w:space="0" w:color="auto" w:frame="1"/>
        </w:rPr>
      </w:pPr>
      <w:r w:rsidRPr="005824EB">
        <w:rPr>
          <w:rFonts w:asciiTheme="minorHAnsi" w:hAnsiTheme="minorHAnsi" w:cstheme="minorHAnsi"/>
          <w:b/>
          <w:bCs/>
          <w:sz w:val="22"/>
          <w:szCs w:val="22"/>
          <w:bdr w:val="none" w:sz="0" w:space="0" w:color="auto" w:frame="1"/>
        </w:rPr>
        <w:t>Figure 1:</w:t>
      </w:r>
      <w:r w:rsidRPr="005824EB">
        <w:rPr>
          <w:rFonts w:asciiTheme="minorHAnsi" w:hAnsiTheme="minorHAnsi" w:cstheme="minorHAnsi"/>
          <w:sz w:val="22"/>
          <w:szCs w:val="22"/>
          <w:bdr w:val="none" w:sz="0" w:space="0" w:color="auto" w:frame="1"/>
        </w:rPr>
        <w:t xml:space="preserve"> An example of a flow diagram created for the mitigation measure </w:t>
      </w:r>
      <w:bookmarkStart w:id="1" w:name="_Hlk113375052"/>
      <w:r w:rsidRPr="005824EB">
        <w:rPr>
          <w:rFonts w:asciiTheme="minorHAnsi" w:hAnsiTheme="minorHAnsi" w:cstheme="minorHAnsi"/>
          <w:i/>
          <w:sz w:val="22"/>
          <w:szCs w:val="22"/>
          <w:bdr w:val="none" w:sz="0" w:space="0" w:color="auto" w:frame="1"/>
        </w:rPr>
        <w:t>improved organic N use</w:t>
      </w:r>
      <w:bookmarkEnd w:id="1"/>
      <w:r>
        <w:rPr>
          <w:rStyle w:val="CommentReference"/>
        </w:rPr>
        <w:t xml:space="preserve">, </w:t>
      </w:r>
      <w:r w:rsidRPr="005824EB">
        <w:rPr>
          <w:rStyle w:val="CommentReference"/>
          <w:rFonts w:asciiTheme="minorHAnsi" w:hAnsiTheme="minorHAnsi" w:cstheme="minorHAnsi"/>
          <w:sz w:val="22"/>
          <w:szCs w:val="22"/>
        </w:rPr>
        <w:t>e.g. livestock manure,</w:t>
      </w:r>
      <w:r w:rsidRPr="005824EB">
        <w:rPr>
          <w:rStyle w:val="CommentReference"/>
          <w:sz w:val="24"/>
          <w:szCs w:val="24"/>
        </w:rPr>
        <w:t xml:space="preserve"> </w:t>
      </w:r>
      <w:r w:rsidRPr="005824EB">
        <w:rPr>
          <w:rFonts w:asciiTheme="minorHAnsi" w:hAnsiTheme="minorHAnsi" w:cstheme="minorHAnsi"/>
          <w:sz w:val="22"/>
          <w:szCs w:val="22"/>
          <w:bdr w:val="none" w:sz="0" w:space="0" w:color="auto" w:frame="1"/>
        </w:rPr>
        <w:t>showing all effects of the measure with solid arrows depicting effects which were captured in the mitigation calculations and dashed arrows depicting effects which were not included in calculations due to a higher level of uncertainty in abatement potentials.</w:t>
      </w:r>
      <w:r>
        <w:rPr>
          <w:rFonts w:asciiTheme="minorHAnsi" w:hAnsiTheme="minorHAnsi" w:cstheme="minorHAnsi"/>
          <w:sz w:val="22"/>
          <w:szCs w:val="22"/>
          <w:bdr w:val="none" w:sz="0" w:space="0" w:color="auto" w:frame="1"/>
        </w:rPr>
        <w:t xml:space="preserve"> Circled text represents the input variable.</w:t>
      </w:r>
    </w:p>
    <w:p w14:paraId="63B9FC4B" w14:textId="5A4B33C7" w:rsidR="00EB6D10" w:rsidRDefault="00EB6D10" w:rsidP="00E568F2">
      <w:pPr>
        <w:pStyle w:val="ListParagraph"/>
        <w:spacing w:line="360" w:lineRule="auto"/>
        <w:rPr>
          <w:rFonts w:asciiTheme="minorHAnsi" w:hAnsiTheme="minorHAnsi" w:cstheme="minorHAnsi"/>
          <w:b/>
          <w:bCs/>
          <w:sz w:val="22"/>
          <w:szCs w:val="22"/>
          <w:bdr w:val="none" w:sz="0" w:space="0" w:color="auto" w:frame="1"/>
        </w:rPr>
      </w:pPr>
    </w:p>
    <w:p w14:paraId="777605B4" w14:textId="7618632B" w:rsidR="00EB6D10" w:rsidRPr="009169D2" w:rsidRDefault="00731D0E" w:rsidP="00E568F2">
      <w:pPr>
        <w:pStyle w:val="ListParagraph"/>
        <w:numPr>
          <w:ilvl w:val="2"/>
          <w:numId w:val="2"/>
        </w:numPr>
        <w:spacing w:line="360" w:lineRule="auto"/>
        <w:rPr>
          <w:rFonts w:asciiTheme="minorHAnsi" w:hAnsiTheme="minorHAnsi" w:cstheme="minorHAnsi"/>
          <w:b/>
          <w:bCs/>
          <w:sz w:val="22"/>
          <w:szCs w:val="22"/>
          <w:bdr w:val="none" w:sz="0" w:space="0" w:color="auto" w:frame="1"/>
        </w:rPr>
      </w:pPr>
      <w:r w:rsidRPr="009169D2">
        <w:rPr>
          <w:rFonts w:asciiTheme="minorHAnsi" w:hAnsiTheme="minorHAnsi" w:cstheme="minorHAnsi"/>
          <w:b/>
          <w:bCs/>
          <w:sz w:val="22"/>
          <w:szCs w:val="22"/>
          <w:bdr w:val="none" w:sz="0" w:space="0" w:color="auto" w:frame="1"/>
        </w:rPr>
        <w:t xml:space="preserve">Mitigation measures </w:t>
      </w:r>
    </w:p>
    <w:p w14:paraId="624E66B6" w14:textId="2B03750A" w:rsidR="00731D0E" w:rsidRDefault="00731D0E" w:rsidP="00BA3E62">
      <w:pPr>
        <w:spacing w:line="360" w:lineRule="auto"/>
        <w:jc w:val="both"/>
        <w:rPr>
          <w:rFonts w:asciiTheme="minorHAnsi" w:hAnsiTheme="minorHAnsi" w:cstheme="minorHAnsi"/>
          <w:sz w:val="22"/>
          <w:szCs w:val="22"/>
        </w:rPr>
      </w:pPr>
      <w:r w:rsidRPr="00AA6706">
        <w:rPr>
          <w:rFonts w:asciiTheme="minorHAnsi" w:hAnsiTheme="minorHAnsi" w:cstheme="minorHAnsi"/>
          <w:sz w:val="22"/>
          <w:szCs w:val="22"/>
          <w:bdr w:val="none" w:sz="0" w:space="0" w:color="auto" w:frame="1"/>
        </w:rPr>
        <w:t xml:space="preserve">The </w:t>
      </w:r>
      <w:r w:rsidR="00811F3B">
        <w:rPr>
          <w:rFonts w:asciiTheme="minorHAnsi" w:hAnsiTheme="minorHAnsi" w:cstheme="minorHAnsi"/>
          <w:sz w:val="22"/>
          <w:szCs w:val="22"/>
          <w:bdr w:val="none" w:sz="0" w:space="0" w:color="auto" w:frame="1"/>
        </w:rPr>
        <w:t xml:space="preserve">UK </w:t>
      </w:r>
      <w:r w:rsidRPr="00AA6706">
        <w:rPr>
          <w:rFonts w:asciiTheme="minorHAnsi" w:hAnsiTheme="minorHAnsi" w:cstheme="minorHAnsi"/>
          <w:sz w:val="22"/>
          <w:szCs w:val="22"/>
          <w:bdr w:val="none" w:sz="0" w:space="0" w:color="auto" w:frame="1"/>
        </w:rPr>
        <w:t xml:space="preserve">MACC </w:t>
      </w:r>
      <w:r w:rsidR="00190CE4">
        <w:rPr>
          <w:rFonts w:asciiTheme="minorHAnsi" w:hAnsiTheme="minorHAnsi" w:cstheme="minorHAnsi"/>
          <w:sz w:val="22"/>
          <w:szCs w:val="22"/>
          <w:bdr w:val="none" w:sz="0" w:space="0" w:color="auto" w:frame="1"/>
        </w:rPr>
        <w:fldChar w:fldCharType="begin"/>
      </w:r>
      <w:r w:rsidR="00190CE4">
        <w:rPr>
          <w:rFonts w:asciiTheme="minorHAnsi" w:hAnsiTheme="minorHAnsi" w:cstheme="minorHAnsi"/>
          <w:sz w:val="22"/>
          <w:szCs w:val="22"/>
          <w:bdr w:val="none" w:sz="0" w:space="0" w:color="auto" w:frame="1"/>
        </w:rPr>
        <w:instrText xml:space="preserve"> ADDIN ZOTERO_ITEM CSL_CITATION {"citationID":"fCEi0Co2","properties":{"formattedCitation":"(Eory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00190CE4">
        <w:rPr>
          <w:rFonts w:asciiTheme="minorHAnsi" w:hAnsiTheme="minorHAnsi" w:cstheme="minorHAnsi"/>
          <w:sz w:val="22"/>
          <w:szCs w:val="22"/>
          <w:bdr w:val="none" w:sz="0" w:space="0" w:color="auto" w:frame="1"/>
        </w:rPr>
        <w:fldChar w:fldCharType="separate"/>
      </w:r>
      <w:r w:rsidR="00190CE4" w:rsidRPr="00190CE4">
        <w:rPr>
          <w:rFonts w:ascii="Calibri" w:hAnsi="Calibri" w:cs="Calibri"/>
          <w:sz w:val="22"/>
        </w:rPr>
        <w:t>(Eory et al., 2015)</w:t>
      </w:r>
      <w:r w:rsidR="00190CE4">
        <w:rPr>
          <w:rFonts w:asciiTheme="minorHAnsi" w:hAnsiTheme="minorHAnsi" w:cstheme="minorHAnsi"/>
          <w:sz w:val="22"/>
          <w:szCs w:val="22"/>
          <w:bdr w:val="none" w:sz="0" w:space="0" w:color="auto" w:frame="1"/>
        </w:rPr>
        <w:fldChar w:fldCharType="end"/>
      </w:r>
      <w:r w:rsidR="00811F3B">
        <w:rPr>
          <w:rFonts w:asciiTheme="minorHAnsi" w:hAnsiTheme="minorHAnsi" w:cstheme="minorHAnsi"/>
          <w:sz w:val="22"/>
          <w:szCs w:val="22"/>
          <w:bdr w:val="none" w:sz="0" w:space="0" w:color="auto" w:frame="1"/>
        </w:rPr>
        <w:t xml:space="preserve"> </w:t>
      </w:r>
      <w:r w:rsidRPr="00AA6706">
        <w:rPr>
          <w:rFonts w:asciiTheme="minorHAnsi" w:hAnsiTheme="minorHAnsi" w:cstheme="minorHAnsi"/>
          <w:sz w:val="22"/>
          <w:szCs w:val="22"/>
          <w:bdr w:val="none" w:sz="0" w:space="0" w:color="auto" w:frame="1"/>
        </w:rPr>
        <w:t xml:space="preserve">includes a list of 24 mitigation measures based on their </w:t>
      </w:r>
      <w:r w:rsidR="003B670F">
        <w:rPr>
          <w:rFonts w:asciiTheme="minorHAnsi" w:hAnsiTheme="minorHAnsi" w:cstheme="minorHAnsi"/>
          <w:sz w:val="22"/>
          <w:szCs w:val="22"/>
          <w:bdr w:val="none" w:sz="0" w:space="0" w:color="auto" w:frame="1"/>
        </w:rPr>
        <w:t>estimated</w:t>
      </w:r>
      <w:r w:rsidRPr="00AA6706">
        <w:rPr>
          <w:rFonts w:asciiTheme="minorHAnsi" w:hAnsiTheme="minorHAnsi" w:cstheme="minorHAnsi"/>
          <w:sz w:val="22"/>
          <w:szCs w:val="22"/>
          <w:bdr w:val="none" w:sz="0" w:space="0" w:color="auto" w:frame="1"/>
        </w:rPr>
        <w:t xml:space="preserve"> abatement potential,</w:t>
      </w:r>
      <w:r w:rsidR="000E036F">
        <w:rPr>
          <w:rFonts w:asciiTheme="minorHAnsi" w:hAnsiTheme="minorHAnsi" w:cstheme="minorHAnsi"/>
          <w:sz w:val="22"/>
          <w:szCs w:val="22"/>
          <w:bdr w:val="none" w:sz="0" w:space="0" w:color="auto" w:frame="1"/>
        </w:rPr>
        <w:t xml:space="preserve"> cost,</w:t>
      </w:r>
      <w:r w:rsidRPr="00AA6706">
        <w:rPr>
          <w:rFonts w:asciiTheme="minorHAnsi" w:hAnsiTheme="minorHAnsi" w:cstheme="minorHAnsi"/>
          <w:sz w:val="22"/>
          <w:szCs w:val="22"/>
          <w:bdr w:val="none" w:sz="0" w:space="0" w:color="auto" w:frame="1"/>
        </w:rPr>
        <w:t xml:space="preserve"> practical </w:t>
      </w:r>
      <w:r w:rsidR="00ED5C6A" w:rsidRPr="00AA6706">
        <w:rPr>
          <w:rFonts w:asciiTheme="minorHAnsi" w:hAnsiTheme="minorHAnsi" w:cstheme="minorHAnsi"/>
          <w:sz w:val="22"/>
          <w:szCs w:val="22"/>
          <w:bdr w:val="none" w:sz="0" w:space="0" w:color="auto" w:frame="1"/>
        </w:rPr>
        <w:t>feasibility,</w:t>
      </w:r>
      <w:r w:rsidRPr="00AA6706">
        <w:rPr>
          <w:rFonts w:asciiTheme="minorHAnsi" w:hAnsiTheme="minorHAnsi" w:cstheme="minorHAnsi"/>
          <w:sz w:val="22"/>
          <w:szCs w:val="22"/>
          <w:bdr w:val="none" w:sz="0" w:space="0" w:color="auto" w:frame="1"/>
        </w:rPr>
        <w:t xml:space="preserve"> and risk of negative co-effects</w:t>
      </w:r>
      <w:r w:rsidR="00881B7C">
        <w:rPr>
          <w:rFonts w:asciiTheme="minorHAnsi" w:hAnsiTheme="minorHAnsi" w:cstheme="minorHAnsi"/>
          <w:sz w:val="22"/>
          <w:szCs w:val="22"/>
          <w:bdr w:val="none" w:sz="0" w:space="0" w:color="auto" w:frame="1"/>
        </w:rPr>
        <w:t xml:space="preserve"> (trade-offs)</w:t>
      </w:r>
      <w:r w:rsidRPr="00AA6706">
        <w:rPr>
          <w:rFonts w:asciiTheme="minorHAnsi" w:hAnsiTheme="minorHAnsi" w:cstheme="minorHAnsi"/>
          <w:sz w:val="22"/>
          <w:szCs w:val="22"/>
          <w:bdr w:val="none" w:sz="0" w:space="0" w:color="auto" w:frame="1"/>
        </w:rPr>
        <w:t xml:space="preserve">. However, many of these mitigation options are not applicable to beef and sheep farms </w:t>
      </w:r>
      <w:r w:rsidR="00D75893">
        <w:rPr>
          <w:rFonts w:asciiTheme="minorHAnsi" w:hAnsiTheme="minorHAnsi" w:cstheme="minorHAnsi"/>
          <w:sz w:val="22"/>
          <w:szCs w:val="22"/>
          <w:bdr w:val="none" w:sz="0" w:space="0" w:color="auto" w:frame="1"/>
        </w:rPr>
        <w:t>in this study</w:t>
      </w:r>
      <w:r w:rsidRPr="00AA6706">
        <w:rPr>
          <w:rFonts w:asciiTheme="minorHAnsi" w:hAnsiTheme="minorHAnsi" w:cstheme="minorHAnsi"/>
          <w:sz w:val="22"/>
          <w:szCs w:val="22"/>
          <w:bdr w:val="none" w:sz="0" w:space="0" w:color="auto" w:frame="1"/>
        </w:rPr>
        <w:t xml:space="preserve"> due to the </w:t>
      </w:r>
      <w:r w:rsidR="001E74A9">
        <w:rPr>
          <w:rFonts w:asciiTheme="minorHAnsi" w:hAnsiTheme="minorHAnsi" w:cstheme="minorHAnsi"/>
          <w:sz w:val="22"/>
          <w:szCs w:val="22"/>
          <w:bdr w:val="none" w:sz="0" w:space="0" w:color="auto" w:frame="1"/>
        </w:rPr>
        <w:t xml:space="preserve">small areas </w:t>
      </w:r>
      <w:r w:rsidRPr="00AA6706">
        <w:rPr>
          <w:rFonts w:asciiTheme="minorHAnsi" w:hAnsiTheme="minorHAnsi" w:cstheme="minorHAnsi"/>
          <w:sz w:val="22"/>
          <w:szCs w:val="22"/>
          <w:bdr w:val="none" w:sz="0" w:space="0" w:color="auto" w:frame="1"/>
        </w:rPr>
        <w:t>of arable land</w:t>
      </w:r>
      <w:r w:rsidR="001E74A9">
        <w:rPr>
          <w:rFonts w:asciiTheme="minorHAnsi" w:hAnsiTheme="minorHAnsi" w:cstheme="minorHAnsi"/>
          <w:sz w:val="22"/>
          <w:szCs w:val="22"/>
          <w:bdr w:val="none" w:sz="0" w:space="0" w:color="auto" w:frame="1"/>
        </w:rPr>
        <w:t xml:space="preserve"> farmed</w:t>
      </w:r>
      <w:r w:rsidRPr="00AA6706">
        <w:rPr>
          <w:rFonts w:asciiTheme="minorHAnsi" w:hAnsiTheme="minorHAnsi" w:cstheme="minorHAnsi"/>
          <w:sz w:val="22"/>
          <w:szCs w:val="22"/>
          <w:bdr w:val="none" w:sz="0" w:space="0" w:color="auto" w:frame="1"/>
        </w:rPr>
        <w:t xml:space="preserve">, </w:t>
      </w:r>
      <w:r w:rsidRPr="0079054B">
        <w:rPr>
          <w:rFonts w:asciiTheme="minorHAnsi" w:hAnsiTheme="minorHAnsi" w:cstheme="minorHAnsi"/>
          <w:sz w:val="22"/>
          <w:szCs w:val="22"/>
        </w:rPr>
        <w:t xml:space="preserve">the </w:t>
      </w:r>
      <w:r w:rsidR="0079054B" w:rsidRPr="0079054B">
        <w:rPr>
          <w:rFonts w:asciiTheme="minorHAnsi" w:hAnsiTheme="minorHAnsi" w:cstheme="minorHAnsi"/>
          <w:sz w:val="22"/>
          <w:szCs w:val="22"/>
        </w:rPr>
        <w:t>abs</w:t>
      </w:r>
      <w:r w:rsidR="00482BBE">
        <w:rPr>
          <w:rFonts w:asciiTheme="minorHAnsi" w:hAnsiTheme="minorHAnsi" w:cstheme="minorHAnsi"/>
          <w:sz w:val="22"/>
          <w:szCs w:val="22"/>
        </w:rPr>
        <w:t>ence</w:t>
      </w:r>
      <w:r w:rsidR="0079054B" w:rsidRPr="0079054B">
        <w:rPr>
          <w:rFonts w:asciiTheme="minorHAnsi" w:hAnsiTheme="minorHAnsi" w:cstheme="minorHAnsi"/>
          <w:sz w:val="22"/>
          <w:szCs w:val="22"/>
        </w:rPr>
        <w:t xml:space="preserve"> </w:t>
      </w:r>
      <w:r w:rsidRPr="0079054B">
        <w:rPr>
          <w:rFonts w:asciiTheme="minorHAnsi" w:hAnsiTheme="minorHAnsi" w:cstheme="minorHAnsi"/>
          <w:sz w:val="22"/>
          <w:szCs w:val="22"/>
        </w:rPr>
        <w:t>of reseeding</w:t>
      </w:r>
      <w:r w:rsidR="007A36CE">
        <w:rPr>
          <w:rFonts w:asciiTheme="minorHAnsi" w:hAnsiTheme="minorHAnsi" w:cstheme="minorHAnsi"/>
          <w:sz w:val="22"/>
          <w:szCs w:val="22"/>
        </w:rPr>
        <w:t>,</w:t>
      </w:r>
      <w:r w:rsidRPr="00AA6706">
        <w:rPr>
          <w:rFonts w:asciiTheme="minorHAnsi" w:hAnsiTheme="minorHAnsi" w:cstheme="minorHAnsi"/>
          <w:sz w:val="22"/>
          <w:szCs w:val="22"/>
        </w:rPr>
        <w:t xml:space="preserve"> and </w:t>
      </w:r>
      <w:r w:rsidRPr="00AA6706">
        <w:rPr>
          <w:rFonts w:asciiTheme="minorHAnsi" w:hAnsiTheme="minorHAnsi" w:cstheme="minorHAnsi"/>
          <w:sz w:val="22"/>
          <w:szCs w:val="22"/>
          <w:bdr w:val="none" w:sz="0" w:space="0" w:color="auto" w:frame="1"/>
        </w:rPr>
        <w:t>many</w:t>
      </w:r>
      <w:r w:rsidR="00B507CE">
        <w:rPr>
          <w:rFonts w:asciiTheme="minorHAnsi" w:hAnsiTheme="minorHAnsi" w:cstheme="minorHAnsi"/>
          <w:sz w:val="22"/>
          <w:szCs w:val="22"/>
          <w:bdr w:val="none" w:sz="0" w:space="0" w:color="auto" w:frame="1"/>
        </w:rPr>
        <w:t xml:space="preserve"> farms</w:t>
      </w:r>
      <w:r w:rsidRPr="00AA6706">
        <w:rPr>
          <w:rFonts w:asciiTheme="minorHAnsi" w:hAnsiTheme="minorHAnsi" w:cstheme="minorHAnsi"/>
          <w:sz w:val="22"/>
          <w:szCs w:val="22"/>
          <w:bdr w:val="none" w:sz="0" w:space="0" w:color="auto" w:frame="1"/>
        </w:rPr>
        <w:t xml:space="preserve"> being in </w:t>
      </w:r>
      <w:r w:rsidR="007A36CE">
        <w:rPr>
          <w:rFonts w:asciiTheme="minorHAnsi" w:hAnsiTheme="minorHAnsi" w:cstheme="minorHAnsi"/>
          <w:sz w:val="22"/>
          <w:szCs w:val="22"/>
          <w:bdr w:val="none" w:sz="0" w:space="0" w:color="auto" w:frame="1"/>
        </w:rPr>
        <w:t>“</w:t>
      </w:r>
      <w:r w:rsidRPr="00AA6706">
        <w:rPr>
          <w:rFonts w:asciiTheme="minorHAnsi" w:hAnsiTheme="minorHAnsi" w:cstheme="minorHAnsi"/>
          <w:sz w:val="22"/>
          <w:szCs w:val="22"/>
          <w:bdr w:val="none" w:sz="0" w:space="0" w:color="auto" w:frame="1"/>
        </w:rPr>
        <w:t xml:space="preserve">less favourable </w:t>
      </w:r>
      <w:r w:rsidRPr="00AA6706">
        <w:rPr>
          <w:rFonts w:asciiTheme="minorHAnsi" w:hAnsiTheme="minorHAnsi" w:cstheme="minorHAnsi"/>
          <w:sz w:val="22"/>
          <w:szCs w:val="22"/>
          <w:bdr w:val="none" w:sz="0" w:space="0" w:color="auto" w:frame="1"/>
        </w:rPr>
        <w:lastRenderedPageBreak/>
        <w:t>areas</w:t>
      </w:r>
      <w:r w:rsidR="007A36CE">
        <w:rPr>
          <w:rFonts w:asciiTheme="minorHAnsi" w:hAnsiTheme="minorHAnsi" w:cstheme="minorHAnsi"/>
          <w:sz w:val="22"/>
          <w:szCs w:val="22"/>
          <w:bdr w:val="none" w:sz="0" w:space="0" w:color="auto" w:frame="1"/>
        </w:rPr>
        <w:t>”</w:t>
      </w:r>
      <w:r w:rsidRPr="00AA6706">
        <w:rPr>
          <w:rFonts w:asciiTheme="minorHAnsi" w:hAnsiTheme="minorHAnsi" w:cstheme="minorHAnsi"/>
          <w:sz w:val="22"/>
          <w:szCs w:val="22"/>
          <w:bdr w:val="none" w:sz="0" w:space="0" w:color="auto" w:frame="1"/>
        </w:rPr>
        <w:t xml:space="preserve"> </w:t>
      </w:r>
      <w:r w:rsidR="007A36CE">
        <w:rPr>
          <w:rFonts w:asciiTheme="minorHAnsi" w:hAnsiTheme="minorHAnsi" w:cstheme="minorHAnsi"/>
          <w:sz w:val="22"/>
          <w:szCs w:val="22"/>
          <w:bdr w:val="none" w:sz="0" w:space="0" w:color="auto" w:frame="1"/>
        </w:rPr>
        <w:t xml:space="preserve">(typically hill and upland) </w:t>
      </w:r>
      <w:r w:rsidRPr="00AA6706">
        <w:rPr>
          <w:rFonts w:asciiTheme="minorHAnsi" w:hAnsiTheme="minorHAnsi" w:cstheme="minorHAnsi"/>
          <w:sz w:val="22"/>
          <w:szCs w:val="22"/>
          <w:bdr w:val="none" w:sz="0" w:space="0" w:color="auto" w:frame="1"/>
        </w:rPr>
        <w:t xml:space="preserve">with grazing </w:t>
      </w:r>
      <w:r w:rsidRPr="00AA6706">
        <w:rPr>
          <w:rFonts w:asciiTheme="minorHAnsi" w:hAnsiTheme="minorHAnsi" w:cstheme="minorHAnsi"/>
          <w:sz w:val="22"/>
          <w:szCs w:val="22"/>
        </w:rPr>
        <w:t>animals receiving little to no concentrates.</w:t>
      </w:r>
      <w:r w:rsidR="00584EF0">
        <w:rPr>
          <w:rFonts w:asciiTheme="minorHAnsi" w:hAnsiTheme="minorHAnsi" w:cstheme="minorHAnsi"/>
          <w:sz w:val="22"/>
          <w:szCs w:val="22"/>
        </w:rPr>
        <w:t xml:space="preserve"> </w:t>
      </w:r>
      <w:r w:rsidR="00D15A07">
        <w:rPr>
          <w:rFonts w:asciiTheme="minorHAnsi" w:hAnsiTheme="minorHAnsi" w:cstheme="minorHAnsi"/>
          <w:sz w:val="22"/>
          <w:szCs w:val="22"/>
        </w:rPr>
        <w:t>Therefore, there were</w:t>
      </w:r>
      <w:r w:rsidRPr="00AA6706">
        <w:rPr>
          <w:rFonts w:asciiTheme="minorHAnsi" w:hAnsiTheme="minorHAnsi" w:cstheme="minorHAnsi"/>
          <w:sz w:val="22"/>
          <w:szCs w:val="22"/>
        </w:rPr>
        <w:t xml:space="preserve"> </w:t>
      </w:r>
      <w:r w:rsidR="00C77043">
        <w:rPr>
          <w:rFonts w:asciiTheme="minorHAnsi" w:hAnsiTheme="minorHAnsi" w:cstheme="minorHAnsi"/>
          <w:sz w:val="22"/>
          <w:szCs w:val="22"/>
        </w:rPr>
        <w:t>thirteen</w:t>
      </w:r>
      <w:r w:rsidRPr="00AA6706">
        <w:rPr>
          <w:rFonts w:asciiTheme="minorHAnsi" w:hAnsiTheme="minorHAnsi" w:cstheme="minorHAnsi"/>
          <w:sz w:val="22"/>
          <w:szCs w:val="22"/>
        </w:rPr>
        <w:t xml:space="preserve"> remaining mitigation measures applicable to these farms</w:t>
      </w:r>
      <w:r w:rsidR="00945B81">
        <w:rPr>
          <w:rFonts w:asciiTheme="minorHAnsi" w:hAnsiTheme="minorHAnsi" w:cstheme="minorHAnsi"/>
          <w:sz w:val="22"/>
          <w:szCs w:val="22"/>
        </w:rPr>
        <w:t>, as follows</w:t>
      </w:r>
      <w:r w:rsidRPr="00AA6706">
        <w:rPr>
          <w:rFonts w:asciiTheme="minorHAnsi" w:hAnsiTheme="minorHAnsi" w:cstheme="minorHAnsi"/>
          <w:sz w:val="22"/>
          <w:szCs w:val="22"/>
        </w:rPr>
        <w:t xml:space="preserve">: </w:t>
      </w:r>
    </w:p>
    <w:p w14:paraId="48DF469D" w14:textId="685F2F66" w:rsidR="00EB6632" w:rsidRPr="00AA6706" w:rsidRDefault="00EB6632" w:rsidP="00E568F2">
      <w:pPr>
        <w:spacing w:line="360" w:lineRule="auto"/>
        <w:rPr>
          <w:rFonts w:asciiTheme="minorHAnsi" w:hAnsiTheme="minorHAnsi" w:cstheme="minorHAnsi"/>
          <w:sz w:val="22"/>
          <w:szCs w:val="22"/>
        </w:rPr>
      </w:pPr>
    </w:p>
    <w:p w14:paraId="3EE79E86" w14:textId="73EF98E7" w:rsidR="00EB6632" w:rsidRPr="008B3DFB" w:rsidRDefault="00EB6632" w:rsidP="00E568F2">
      <w:pPr>
        <w:pStyle w:val="ListParagraph"/>
        <w:numPr>
          <w:ilvl w:val="3"/>
          <w:numId w:val="2"/>
        </w:numPr>
        <w:spacing w:line="360" w:lineRule="auto"/>
        <w:rPr>
          <w:rFonts w:asciiTheme="minorHAnsi" w:hAnsiTheme="minorHAnsi" w:cstheme="minorHAnsi"/>
          <w:b/>
          <w:bCs/>
          <w:sz w:val="22"/>
          <w:szCs w:val="22"/>
          <w:bdr w:val="none" w:sz="0" w:space="0" w:color="auto" w:frame="1"/>
        </w:rPr>
      </w:pPr>
      <w:r w:rsidRPr="008B3DFB">
        <w:rPr>
          <w:rFonts w:asciiTheme="minorHAnsi" w:hAnsiTheme="minorHAnsi" w:cstheme="minorHAnsi"/>
          <w:b/>
          <w:bCs/>
          <w:sz w:val="22"/>
          <w:szCs w:val="22"/>
          <w:bdr w:val="none" w:sz="0" w:space="0" w:color="auto" w:frame="1"/>
        </w:rPr>
        <w:t>Energy and Fuel</w:t>
      </w:r>
    </w:p>
    <w:p w14:paraId="56B94E86" w14:textId="1F372055" w:rsidR="00EB6632" w:rsidRPr="002D394B" w:rsidRDefault="00EB6632" w:rsidP="00E568F2">
      <w:pPr>
        <w:pStyle w:val="NoSpacing"/>
        <w:spacing w:line="360" w:lineRule="auto"/>
        <w:rPr>
          <w:b/>
          <w:bCs/>
          <w:bdr w:val="none" w:sz="0" w:space="0" w:color="auto" w:frame="1"/>
        </w:rPr>
      </w:pPr>
      <w:r w:rsidRPr="002D394B">
        <w:rPr>
          <w:b/>
          <w:bCs/>
          <w:bdr w:val="none" w:sz="0" w:space="0" w:color="auto" w:frame="1"/>
        </w:rPr>
        <w:t xml:space="preserve">Behavioural change in fuel efficiency </w:t>
      </w:r>
    </w:p>
    <w:p w14:paraId="4901417D" w14:textId="2D770CCE" w:rsidR="00083A64" w:rsidRPr="002467EE" w:rsidRDefault="00EB6632" w:rsidP="00BA3E62">
      <w:pPr>
        <w:pStyle w:val="NoSpacing"/>
        <w:spacing w:line="360" w:lineRule="auto"/>
        <w:jc w:val="both"/>
        <w:rPr>
          <w:rFonts w:ascii="Calibri" w:hAnsi="Calibri" w:cs="Calibri"/>
        </w:rPr>
      </w:pPr>
      <w:r w:rsidRPr="00C17DCF">
        <w:t>This measure involves the uptake of a change in behaviour by farm workers to actively manage fuel use, to carry out regular maintenance of all farm machinery and to improve driving style</w:t>
      </w:r>
      <w:r>
        <w:t xml:space="preserve">. It was assumed that a combination of improved energy management and improved engine adjustments resulted in a 20% reduction in fuel use </w:t>
      </w:r>
      <w:r>
        <w:fldChar w:fldCharType="begin"/>
      </w:r>
      <w:r w:rsidR="00CE00EF">
        <w:instrText xml:space="preserve"> ADDIN ZOTERO_ITEM CSL_CITATION {"citationID":"H9SioDw6","properties":{"formattedCitation":"(Pellerin et al., 2013)","plainCitation":"(Pellerin et al., 2013)","noteIndex":0},"citationItems":[{"id":1279,"uris":["http://zotero.org/users/6500992/items/R6SMK7X4"],"itemData":{"id":1279,"type":"report","genre":"report","language":"en","publisher":"Inra - DEPE","source":"hal.inrae.fr","title":"How can French agriculture contribute to reducing greenhouse gas emissions? Abatement potential and cost of ten technical measures","title-short":"How can French agriculture contribute to reducing greenhouse gas emissions?","URL":"https://hal.inrae.fr/hal-02809908","author":[{"family":"Pellerin","given":"Sylvain"},{"family":"Bamière","given":"Laure"},{"family":"Angers","given":"Denis"},{"family":"Béline","given":"Fabrice"},{"family":"Benoit","given":"Marc"},{"family":"Butault","given":"Jean-Pierre"},{"family":"Chenu","given":"Claire"},{"family":"Colnenne-David","given":"Caroline"},{"family":"Cara","given":"Stéphane","dropping-particle":"de"},{"family":"Delame","given":"Nathalie"},{"family":"Doreau","given":"Michel"},{"family":"Dupraz","given":"Pierre"},{"family":"Faverdin","given":"Philippe"},{"family":"Garcia-Launay","given":"Florence"},{"family":"Hassouna","given":"Melynda"},{"family":"Hénault","given":"Catherine"},{"family":"Jeuffroy","given":"Marie-Helene"},{"family":"Klumpp","given":"Katja"},{"family":"Metay","given":"Aurelie"},{"family":"Moran","given":"Dominic"},{"family":"Recous","given":"Sylvie"},{"family":"Samson","given":"Elisabeth"},{"family":"Savini","given":"Isabelle"},{"family":"Pardon","given":"Lenaïc"}],"accessed":{"date-parts":[["2022",11,15]]},"issued":{"date-parts":[["2013"]]}}}],"schema":"https://github.com/citation-style-language/schema/raw/master/csl-citation.json"} </w:instrText>
      </w:r>
      <w:r>
        <w:fldChar w:fldCharType="separate"/>
      </w:r>
      <w:r w:rsidR="00A573B5" w:rsidRPr="00A573B5">
        <w:rPr>
          <w:rFonts w:ascii="Calibri" w:hAnsi="Calibri" w:cs="Calibri"/>
        </w:rPr>
        <w:t>(Pellerin et al., 2013)</w:t>
      </w:r>
      <w:r>
        <w:fldChar w:fldCharType="end"/>
      </w:r>
      <w:r>
        <w:t>.</w:t>
      </w:r>
    </w:p>
    <w:p w14:paraId="23E0EACB" w14:textId="4175276B" w:rsidR="0033064E" w:rsidRDefault="0033064E" w:rsidP="00E568F2">
      <w:pPr>
        <w:pStyle w:val="NoSpacing"/>
        <w:spacing w:line="360" w:lineRule="auto"/>
        <w:rPr>
          <w:bdr w:val="none" w:sz="0" w:space="0" w:color="auto" w:frame="1"/>
        </w:rPr>
      </w:pPr>
    </w:p>
    <w:p w14:paraId="13BD2D8A" w14:textId="09BD62CC" w:rsidR="000B0870" w:rsidRPr="00F41C2D" w:rsidRDefault="00E3054C" w:rsidP="00E568F2">
      <w:pPr>
        <w:pStyle w:val="NoSpacing"/>
        <w:numPr>
          <w:ilvl w:val="3"/>
          <w:numId w:val="2"/>
        </w:numPr>
        <w:spacing w:line="360" w:lineRule="auto"/>
        <w:rPr>
          <w:b/>
          <w:bCs/>
          <w:bdr w:val="none" w:sz="0" w:space="0" w:color="auto" w:frame="1"/>
        </w:rPr>
      </w:pPr>
      <w:r w:rsidRPr="00011874">
        <w:rPr>
          <w:rFonts w:cstheme="minorHAnsi"/>
          <w:b/>
          <w:bCs/>
          <w:bdr w:val="none" w:sz="0" w:space="0" w:color="auto" w:frame="1"/>
        </w:rPr>
        <w:t>Land and Nutrient Management</w:t>
      </w:r>
      <w:r w:rsidR="00011874" w:rsidRPr="00011874">
        <w:rPr>
          <w:b/>
          <w:bCs/>
          <w:bdr w:val="none" w:sz="0" w:space="0" w:color="auto" w:frame="1"/>
        </w:rPr>
        <w:t xml:space="preserve"> </w:t>
      </w:r>
    </w:p>
    <w:p w14:paraId="04C908BB" w14:textId="2EA99C6A" w:rsidR="009A713E" w:rsidRPr="00173E24" w:rsidRDefault="00011874" w:rsidP="00E568F2">
      <w:pPr>
        <w:pStyle w:val="NoSpacing"/>
        <w:spacing w:line="360" w:lineRule="auto"/>
        <w:rPr>
          <w:b/>
          <w:bCs/>
          <w:bdr w:val="none" w:sz="0" w:space="0" w:color="auto" w:frame="1"/>
        </w:rPr>
      </w:pPr>
      <w:r w:rsidRPr="00173E24">
        <w:rPr>
          <w:b/>
          <w:bCs/>
          <w:bdr w:val="none" w:sz="0" w:space="0" w:color="auto" w:frame="1"/>
        </w:rPr>
        <w:t xml:space="preserve">Improved synthetic N </w:t>
      </w:r>
      <w:proofErr w:type="gramStart"/>
      <w:r w:rsidRPr="00173E24">
        <w:rPr>
          <w:b/>
          <w:bCs/>
          <w:bdr w:val="none" w:sz="0" w:space="0" w:color="auto" w:frame="1"/>
        </w:rPr>
        <w:t>use</w:t>
      </w:r>
      <w:proofErr w:type="gramEnd"/>
    </w:p>
    <w:p w14:paraId="295BE3F8" w14:textId="22EA9371" w:rsidR="00235BBC" w:rsidRPr="00354DB5" w:rsidRDefault="00011874" w:rsidP="00BA3E62">
      <w:pPr>
        <w:pStyle w:val="NoSpacing"/>
        <w:spacing w:line="360" w:lineRule="auto"/>
        <w:jc w:val="both"/>
        <w:rPr>
          <w:bdr w:val="none" w:sz="0" w:space="0" w:color="auto" w:frame="1"/>
        </w:rPr>
      </w:pPr>
      <w:r>
        <w:rPr>
          <w:bdr w:val="none" w:sz="0" w:space="0" w:color="auto" w:frame="1"/>
        </w:rPr>
        <w:t>This involves a reduction</w:t>
      </w:r>
      <w:r>
        <w:t xml:space="preserve"> in N fertiliser use </w:t>
      </w:r>
      <w:proofErr w:type="gramStart"/>
      <w:r>
        <w:t>by:</w:t>
      </w:r>
      <w:proofErr w:type="gramEnd"/>
      <w:r>
        <w:t xml:space="preserve"> using an N</w:t>
      </w:r>
      <w:r w:rsidR="007A36CE">
        <w:t>-</w:t>
      </w:r>
      <w:r>
        <w:t xml:space="preserve">planning tool; reducing the margin for error for N fertiliser application </w:t>
      </w:r>
      <w:r w:rsidR="00BC73B4">
        <w:t xml:space="preserve">or </w:t>
      </w:r>
      <w:r>
        <w:t>not applying the fertiliser in waterlogged conditions.</w:t>
      </w:r>
      <w:r>
        <w:rPr>
          <w:bdr w:val="none" w:sz="0" w:space="0" w:color="auto" w:frame="1"/>
        </w:rPr>
        <w:t xml:space="preserve"> </w:t>
      </w:r>
      <w:r w:rsidR="00015769">
        <w:rPr>
          <w:bdr w:val="none" w:sz="0" w:space="0" w:color="auto" w:frame="1"/>
        </w:rPr>
        <w:t>Through these measures, it</w:t>
      </w:r>
      <w:r>
        <w:rPr>
          <w:bdr w:val="none" w:sz="0" w:space="0" w:color="auto" w:frame="1"/>
        </w:rPr>
        <w:t xml:space="preserve"> was </w:t>
      </w:r>
      <w:r w:rsidR="009D61D3">
        <w:rPr>
          <w:bdr w:val="none" w:sz="0" w:space="0" w:color="auto" w:frame="1"/>
        </w:rPr>
        <w:t xml:space="preserve">assumed </w:t>
      </w:r>
      <w:r>
        <w:rPr>
          <w:bdr w:val="none" w:sz="0" w:space="0" w:color="auto" w:frame="1"/>
        </w:rPr>
        <w:t xml:space="preserve">a </w:t>
      </w:r>
      <w:r>
        <w:t>reduction of 10 kg N ha</w:t>
      </w:r>
      <w:r>
        <w:rPr>
          <w:vertAlign w:val="superscript"/>
        </w:rPr>
        <w:t>-1</w:t>
      </w:r>
      <w:r>
        <w:t xml:space="preserve"> </w:t>
      </w:r>
      <w:r w:rsidR="000435F4">
        <w:t xml:space="preserve">in </w:t>
      </w:r>
      <w:r>
        <w:t xml:space="preserve">synthetic N use </w:t>
      </w:r>
      <w:r w:rsidR="00C51A09">
        <w:t xml:space="preserve">could be achieved on </w:t>
      </w:r>
      <w:r w:rsidR="00015769">
        <w:t>average</w:t>
      </w:r>
      <w:r w:rsidR="001E2A40">
        <w:t xml:space="preserve"> on </w:t>
      </w:r>
      <w:r w:rsidR="009169D2">
        <w:t>participating</w:t>
      </w:r>
      <w:r w:rsidR="001E2A40">
        <w:t xml:space="preserve"> farms </w:t>
      </w:r>
      <w:r>
        <w:fldChar w:fldCharType="begin"/>
      </w:r>
      <w:r>
        <w:instrText xml:space="preserve"> ADDIN ZOTERO_ITEM CSL_CITATION {"citationID":"rpqHNQCR","properties":{"formattedCitation":"(Eory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fldChar w:fldCharType="separate"/>
      </w:r>
      <w:r w:rsidR="00A573B5" w:rsidRPr="00A573B5">
        <w:rPr>
          <w:rFonts w:ascii="Calibri" w:hAnsi="Calibri" w:cs="Calibri"/>
        </w:rPr>
        <w:t>(Eory et al., 2015)</w:t>
      </w:r>
      <w:r>
        <w:fldChar w:fldCharType="end"/>
      </w:r>
      <w:r w:rsidR="00235BBC">
        <w:t>.</w:t>
      </w:r>
    </w:p>
    <w:p w14:paraId="2356A1C4" w14:textId="77777777" w:rsidR="00235BBC" w:rsidRPr="007C3E5F" w:rsidRDefault="00235BBC" w:rsidP="00E568F2">
      <w:pPr>
        <w:pStyle w:val="NoSpacing"/>
        <w:spacing w:line="360" w:lineRule="auto"/>
        <w:rPr>
          <w:bdr w:val="none" w:sz="0" w:space="0" w:color="auto" w:frame="1"/>
        </w:rPr>
      </w:pPr>
    </w:p>
    <w:p w14:paraId="2A69BC6C" w14:textId="18DC3E76" w:rsidR="00D85798" w:rsidRPr="00173E24" w:rsidRDefault="00D85798" w:rsidP="00E568F2">
      <w:pPr>
        <w:pStyle w:val="NoSpacing"/>
        <w:spacing w:line="360" w:lineRule="auto"/>
        <w:rPr>
          <w:b/>
          <w:bCs/>
          <w:bdr w:val="none" w:sz="0" w:space="0" w:color="auto" w:frame="1"/>
        </w:rPr>
      </w:pPr>
      <w:r w:rsidRPr="00173E24">
        <w:rPr>
          <w:b/>
          <w:bCs/>
          <w:bdr w:val="none" w:sz="0" w:space="0" w:color="auto" w:frame="1"/>
        </w:rPr>
        <w:t>Legume-grass mixtures</w:t>
      </w:r>
      <w:r w:rsidRPr="00173E24">
        <w:rPr>
          <w:b/>
          <w:bCs/>
          <w:bdr w:val="none" w:sz="0" w:space="0" w:color="auto" w:frame="1"/>
        </w:rPr>
        <w:tab/>
      </w:r>
    </w:p>
    <w:p w14:paraId="356E4EEE" w14:textId="1C272E2B" w:rsidR="00D85798" w:rsidRPr="00D96120" w:rsidRDefault="00D85798" w:rsidP="00BA3E62">
      <w:pPr>
        <w:pStyle w:val="NoSpacing"/>
        <w:spacing w:line="360" w:lineRule="auto"/>
        <w:jc w:val="both"/>
        <w:rPr>
          <w:i/>
          <w:iCs/>
        </w:rPr>
      </w:pPr>
      <w:r>
        <w:t>This measure increas</w:t>
      </w:r>
      <w:r w:rsidR="000E036F">
        <w:t>es</w:t>
      </w:r>
      <w:r>
        <w:t xml:space="preserve"> the </w:t>
      </w:r>
      <w:r w:rsidRPr="00467B59">
        <w:t>legume-grass mix</w:t>
      </w:r>
      <w:r>
        <w:t xml:space="preserve"> area opposed to grass only area</w:t>
      </w:r>
      <w:r w:rsidR="00881B7C">
        <w:t>,</w:t>
      </w:r>
      <w:r>
        <w:t xml:space="preserve"> and the proportion of </w:t>
      </w:r>
      <w:r w:rsidR="007A36CE">
        <w:t xml:space="preserve">white </w:t>
      </w:r>
      <w:r>
        <w:t xml:space="preserve">clover </w:t>
      </w:r>
      <w:r w:rsidR="007A36CE">
        <w:t>(</w:t>
      </w:r>
      <w:r w:rsidR="007A36CE" w:rsidRPr="009169D2">
        <w:rPr>
          <w:i/>
        </w:rPr>
        <w:t>T</w:t>
      </w:r>
      <w:r w:rsidR="0073083B">
        <w:rPr>
          <w:i/>
        </w:rPr>
        <w:t>.</w:t>
      </w:r>
      <w:r w:rsidR="007A36CE" w:rsidRPr="009169D2">
        <w:rPr>
          <w:i/>
        </w:rPr>
        <w:t xml:space="preserve"> repens</w:t>
      </w:r>
      <w:r w:rsidR="007A36CE">
        <w:t xml:space="preserve">) </w:t>
      </w:r>
      <w:r>
        <w:t xml:space="preserve">in mixed swards. </w:t>
      </w:r>
      <w:r w:rsidR="00A605E0">
        <w:t>Assuming</w:t>
      </w:r>
      <w:r w:rsidR="00FB4D44">
        <w:t xml:space="preserve"> favourable</w:t>
      </w:r>
      <w:r w:rsidR="00A605E0">
        <w:t xml:space="preserve"> soil conditions</w:t>
      </w:r>
      <w:r w:rsidR="00FB4D44">
        <w:t xml:space="preserve"> </w:t>
      </w:r>
      <w:r w:rsidR="00FB4D44">
        <w:fldChar w:fldCharType="begin"/>
      </w:r>
      <w:r w:rsidR="00FB4D44">
        <w:instrText xml:space="preserve"> ADDIN ZOTERO_ITEM CSL_CITATION {"citationID":"S8P5K4ac","properties":{"formattedCitation":"(AHDB, 2022)","plainCitation":"(AHDB, 2022)","noteIndex":0},"citationItems":[{"id":1093,"uris":["http://zotero.org/users/6500992/items/AB42AVGR"],"itemData":{"id":1093,"type":"book","publisher":"Agriculture and Horticulture Development Board, Kenilworth, UK","title":"Nutrient Management Guide (RB209)","author":[{"family":"AHDB","given":""}],"issued":{"date-parts":[["2022"]]}}}],"schema":"https://github.com/citation-style-language/schema/raw/master/csl-citation.json"} </w:instrText>
      </w:r>
      <w:r w:rsidR="00FB4D44">
        <w:fldChar w:fldCharType="separate"/>
      </w:r>
      <w:r w:rsidR="00FB4D44" w:rsidRPr="00FB4D44">
        <w:rPr>
          <w:rFonts w:ascii="Calibri" w:hAnsi="Calibri" w:cs="Calibri"/>
        </w:rPr>
        <w:t>(AHDB, 2022)</w:t>
      </w:r>
      <w:r w:rsidR="00FB4D44">
        <w:fldChar w:fldCharType="end"/>
      </w:r>
      <w:r w:rsidR="00FB4D44">
        <w:t>,</w:t>
      </w:r>
      <w:r w:rsidR="00A605E0">
        <w:t xml:space="preserve"> </w:t>
      </w:r>
      <w:r w:rsidR="00FB4D44">
        <w:t>l</w:t>
      </w:r>
      <w:r>
        <w:t xml:space="preserve">egumes can fix N from the atmosphere, therefore in </w:t>
      </w:r>
      <w:r w:rsidRPr="00467B59">
        <w:rPr>
          <w:i/>
          <w:iCs/>
        </w:rPr>
        <w:t>legume-grass mixtures</w:t>
      </w:r>
      <w:r>
        <w:t xml:space="preserve">, the leguminous crops can provide part of the grass’s N requirements (as well as meeting their own requirements), reducing the need for N fertilisation. As data on clover cover of these farms was not known, it was assumed that grass swards had little to no legumes in the baseline situation. Before the mitigation effects were considered, the recommended lime application needed for the farms’ dominant soil type was calculated using the </w:t>
      </w:r>
      <w:r w:rsidR="00717AA2">
        <w:t xml:space="preserve">National Nutrient Management Guide – RB209, </w:t>
      </w:r>
      <w:r>
        <w:t xml:space="preserve">assuming a soil pH value of 5.7 </w:t>
      </w:r>
      <w:r w:rsidR="00091231">
        <w:fldChar w:fldCharType="begin"/>
      </w:r>
      <w:r w:rsidR="00091231">
        <w:instrText xml:space="preserve"> ADDIN ZOTERO_ITEM CSL_CITATION {"citationID":"a5zpRrF1","properties":{"formattedCitation":"(AHDB, 2022)","plainCitation":"(AHDB, 2022)","noteIndex":0},"citationItems":[{"id":1093,"uris":["http://zotero.org/users/6500992/items/AB42AVGR"],"itemData":{"id":1093,"type":"book","publisher":"Agriculture and Horticulture Development Board, Kenilworth, UK","title":"Nutrient Management Guide (RB209)","author":[{"family":"AHDB","given":""}],"issued":{"date-parts":[["2022"]]}}}],"schema":"https://github.com/citation-style-language/schema/raw/master/csl-citation.json"} </w:instrText>
      </w:r>
      <w:r w:rsidR="00091231">
        <w:fldChar w:fldCharType="separate"/>
      </w:r>
      <w:r w:rsidR="00A573B5" w:rsidRPr="00A573B5">
        <w:rPr>
          <w:rFonts w:ascii="Calibri" w:hAnsi="Calibri" w:cs="Calibri"/>
        </w:rPr>
        <w:t>(AHDB, 2022)</w:t>
      </w:r>
      <w:r w:rsidR="00091231">
        <w:fldChar w:fldCharType="end"/>
      </w:r>
      <w:r>
        <w:t>. Abatement potentials for legumes w</w:t>
      </w:r>
      <w:r w:rsidR="000E036F">
        <w:t>ere</w:t>
      </w:r>
      <w:r>
        <w:t xml:space="preserve"> disaggregated for different altitudes so it was assumed that legumes could be introduced to 25</w:t>
      </w:r>
      <w:r w:rsidR="00482BBE">
        <w:t>%</w:t>
      </w:r>
      <w:r>
        <w:t>, 50</w:t>
      </w:r>
      <w:r w:rsidR="00482BBE">
        <w:t>%</w:t>
      </w:r>
      <w:r>
        <w:t xml:space="preserve"> and 75% of improved grassland for hill, </w:t>
      </w:r>
      <w:proofErr w:type="gramStart"/>
      <w:r>
        <w:t>upland</w:t>
      </w:r>
      <w:proofErr w:type="gramEnd"/>
      <w:r>
        <w:t xml:space="preserve"> and lowland farms, respectively. It was then assumed the introduced level of clover cover could completely satisfy the grass’s N requirement, </w:t>
      </w:r>
      <w:r w:rsidR="00990CE7">
        <w:t xml:space="preserve">contributing to </w:t>
      </w:r>
      <w:r>
        <w:t xml:space="preserve">a </w:t>
      </w:r>
      <w:r w:rsidR="00934742">
        <w:t>25, 50 and 75</w:t>
      </w:r>
      <w:r w:rsidRPr="007C65A2">
        <w:t xml:space="preserve">% reduction in synthetic N </w:t>
      </w:r>
      <w:r>
        <w:t>applications</w:t>
      </w:r>
      <w:r w:rsidRPr="007C65A2">
        <w:t xml:space="preserve"> for hill, </w:t>
      </w:r>
      <w:proofErr w:type="gramStart"/>
      <w:r w:rsidRPr="007C65A2">
        <w:t>upland</w:t>
      </w:r>
      <w:proofErr w:type="gramEnd"/>
      <w:r w:rsidRPr="007C65A2">
        <w:t xml:space="preserve"> and lowland</w:t>
      </w:r>
      <w:r>
        <w:t>,</w:t>
      </w:r>
      <w:r w:rsidRPr="007C65A2">
        <w:t xml:space="preserve"> respectively.</w:t>
      </w:r>
      <w:r w:rsidR="00FC3958">
        <w:t xml:space="preserve"> </w:t>
      </w:r>
      <w:r w:rsidR="006E03B1">
        <w:t xml:space="preserve">This reduction in synthetic N use reduces </w:t>
      </w:r>
      <w:r w:rsidR="00D96120">
        <w:t>N</w:t>
      </w:r>
      <w:r w:rsidR="00D96120">
        <w:rPr>
          <w:vertAlign w:val="subscript"/>
        </w:rPr>
        <w:t>2</w:t>
      </w:r>
      <w:r w:rsidR="00D96120">
        <w:t xml:space="preserve">O accordingly as well as the embedded emissions associated with the </w:t>
      </w:r>
      <w:r w:rsidR="002603F1">
        <w:t>avoided N fertiliser manufacturing.</w:t>
      </w:r>
    </w:p>
    <w:p w14:paraId="63D6D62D" w14:textId="77777777" w:rsidR="00D85798" w:rsidRDefault="00D85798" w:rsidP="00BA3E62">
      <w:pPr>
        <w:pStyle w:val="NoSpacing"/>
        <w:spacing w:line="360" w:lineRule="auto"/>
        <w:jc w:val="both"/>
        <w:rPr>
          <w:b/>
          <w:bCs/>
        </w:rPr>
      </w:pPr>
    </w:p>
    <w:p w14:paraId="32ED5F54" w14:textId="77777777" w:rsidR="00F50B4B" w:rsidRPr="00173E24" w:rsidRDefault="00F50B4B" w:rsidP="00E568F2">
      <w:pPr>
        <w:pStyle w:val="NoSpacing"/>
        <w:spacing w:line="360" w:lineRule="auto"/>
        <w:rPr>
          <w:b/>
          <w:bCs/>
        </w:rPr>
      </w:pPr>
    </w:p>
    <w:p w14:paraId="43E374C2" w14:textId="1A0D395D" w:rsidR="00D85798" w:rsidRPr="00173E24" w:rsidRDefault="00D85798" w:rsidP="00E568F2">
      <w:pPr>
        <w:pStyle w:val="NoSpacing"/>
        <w:numPr>
          <w:ilvl w:val="3"/>
          <w:numId w:val="2"/>
        </w:numPr>
        <w:spacing w:line="360" w:lineRule="auto"/>
        <w:rPr>
          <w:b/>
          <w:bCs/>
          <w:bdr w:val="none" w:sz="0" w:space="0" w:color="auto" w:frame="1"/>
        </w:rPr>
      </w:pPr>
      <w:r w:rsidRPr="00173E24">
        <w:rPr>
          <w:b/>
          <w:bCs/>
          <w:bdr w:val="none" w:sz="0" w:space="0" w:color="auto" w:frame="1"/>
        </w:rPr>
        <w:lastRenderedPageBreak/>
        <w:t>Nitrification inhibitor</w:t>
      </w:r>
      <w:r>
        <w:rPr>
          <w:b/>
          <w:bCs/>
          <w:bdr w:val="none" w:sz="0" w:space="0" w:color="auto" w:frame="1"/>
        </w:rPr>
        <w:t xml:space="preserve"> </w:t>
      </w:r>
      <w:r w:rsidR="00E56380">
        <w:rPr>
          <w:b/>
          <w:bCs/>
          <w:bdr w:val="none" w:sz="0" w:space="0" w:color="auto" w:frame="1"/>
        </w:rPr>
        <w:t>–</w:t>
      </w:r>
      <w:r>
        <w:rPr>
          <w:b/>
          <w:bCs/>
          <w:bdr w:val="none" w:sz="0" w:space="0" w:color="auto" w:frame="1"/>
        </w:rPr>
        <w:t xml:space="preserve"> D</w:t>
      </w:r>
      <w:r w:rsidRPr="00226EDB">
        <w:rPr>
          <w:b/>
          <w:bCs/>
          <w:bdr w:val="none" w:sz="0" w:space="0" w:color="auto" w:frame="1"/>
        </w:rPr>
        <w:t>icyandiamide</w:t>
      </w:r>
    </w:p>
    <w:p w14:paraId="08030C59" w14:textId="5563E106" w:rsidR="00D85798" w:rsidRPr="009E3ED8" w:rsidRDefault="00D85798" w:rsidP="00BA3E62">
      <w:pPr>
        <w:pStyle w:val="NoSpacing"/>
        <w:spacing w:line="360" w:lineRule="auto"/>
        <w:jc w:val="both"/>
      </w:pPr>
      <w:r w:rsidRPr="00467B59">
        <w:rPr>
          <w:i/>
          <w:iCs/>
        </w:rPr>
        <w:t>Nitrification inhibitors</w:t>
      </w:r>
      <w:r>
        <w:t xml:space="preserve"> (NIs) like </w:t>
      </w:r>
      <w:r w:rsidRPr="00467B59">
        <w:rPr>
          <w:i/>
          <w:iCs/>
        </w:rPr>
        <w:t>dicyandiamide</w:t>
      </w:r>
      <w:r>
        <w:t xml:space="preserve"> (DCD) reduce N</w:t>
      </w:r>
      <w:r>
        <w:rPr>
          <w:vertAlign w:val="subscript"/>
        </w:rPr>
        <w:t>2</w:t>
      </w:r>
      <w:r>
        <w:t xml:space="preserve">O emissions by altering biochemical processes, decreasing the activity of nitrifier bacteria, </w:t>
      </w:r>
      <w:r w:rsidR="00E669A5">
        <w:t xml:space="preserve">prolonging the retention of ammonium </w:t>
      </w:r>
      <w:r w:rsidR="00940B13">
        <w:t xml:space="preserve">N in soil and increasing N use efficiency </w:t>
      </w:r>
      <w:r w:rsidR="000C2067">
        <w:fldChar w:fldCharType="begin"/>
      </w:r>
      <w:r w:rsidR="000C2067">
        <w:instrText xml:space="preserve"> ADDIN ZOTERO_ITEM CSL_CITATION {"citationID":"ILtFjWCF","properties":{"formattedCitation":"(Singh and Verma, 2007)","plainCitation":"(Singh and Verma, 2007)","noteIndex":0},"citationItems":[{"id":1208,"uris":["http://zotero.org/users/6500992/items/X9PJQTGC"],"itemData":{"id":1208,"type":"article-journal","abstract":"Substantial progress has been made towards land management practices that fulfill the basic requirements of a burgeoning human population. One of them is extensive use of nitrogen-containing chemical fertilizers to boost crop production. Though their use is beneficial, overuse of these fertilizers is causing serious environmental problems associated with emission of NH3, N2, and N2O (the last being an important greenhouse gas implicated both in the greenhouse effect and ozone layer depletion in the stratosphere) to the atmosphere and contamination of ground and surface water resources via nitrate leaching or runoff. Because these losses have both economic and environmental implications, it is high time to utilize a technique that contains nitrogen losses and enhances nitrogen-use efficiency of agricultural crops. To manage nitrogen losses from agricultural fields, different nitrification inhibitors are currently available, and if used along with NH4-containing fertilizers, they can effectively increase nitrogen-use efficacy and attenuate the emission of greenhouse gases by decelerating the soil nitrification processes resulting from ammonia metabolism.Environmental Practice 9:266–279 (2007)","container-title":"Environmental Practice","DOI":"10.1017/S1466046607070482","ISSN":"1466-0474, 1466-0466","issue":"4","language":"en","note":"publisher: Cambridge University Press","page":"266-279","source":"Cambridge University Press","title":"ENVIRONMENTAL REVIEW: The Potential of Nitrification Inhibitors to Manage the Pollution Effect of Nitrogen Fertilizers in Agricultural and Other Soils: A Review","title-short":"ENVIRONMENTAL REVIEW","volume":"9","author":[{"family":"Singh","given":"S. N."},{"family":"Verma","given":"Amitosh"}],"issued":{"date-parts":[["2007",12]]}}}],"schema":"https://github.com/citation-style-language/schema/raw/master/csl-citation.json"} </w:instrText>
      </w:r>
      <w:r w:rsidR="000C2067">
        <w:fldChar w:fldCharType="separate"/>
      </w:r>
      <w:r w:rsidR="00A573B5" w:rsidRPr="00A573B5">
        <w:rPr>
          <w:rFonts w:ascii="Calibri" w:hAnsi="Calibri" w:cs="Calibri"/>
        </w:rPr>
        <w:t>(Singh and Verma, 2007)</w:t>
      </w:r>
      <w:r w:rsidR="000C2067">
        <w:fldChar w:fldCharType="end"/>
      </w:r>
      <w:r>
        <w:t>. NIs</w:t>
      </w:r>
      <w:r w:rsidRPr="009A43A9">
        <w:t xml:space="preserve"> can be </w:t>
      </w:r>
      <w:r w:rsidR="000F24B1">
        <w:t>applied</w:t>
      </w:r>
      <w:r w:rsidRPr="009A43A9">
        <w:t xml:space="preserve"> to the soil together with liquid fertilisers</w:t>
      </w:r>
      <w:r w:rsidR="000F24B1">
        <w:t xml:space="preserve"> </w:t>
      </w:r>
      <w:r w:rsidR="000F3301">
        <w:fldChar w:fldCharType="begin"/>
      </w:r>
      <w:r w:rsidR="009D1B6A">
        <w:instrText xml:space="preserve"> ADDIN ZOTERO_ITEM CSL_CITATION {"citationID":"PrYOmnBs","properties":{"formattedCitation":"(Misselbrook et al., 2014)","plainCitation":"(Misselbrook et al., 2014)","noteIndex":0},"citationItems":[{"id":1214,"uris":["http://zotero.org/users/6500992/items/YVLZHIV6"],"itemData":{"id":1214,"type":"article-journal","abstract":"A trial was conducted consisting of 14 experiments across sites in England of contrasting soil type and annual rainfall to assess the effectiveness of nitrification inhibitors (predominantly dicyandiamide (DCD) but limited assessment also of 3, 4-dimethylpyrazole phosphate (DMPP) and a commercial product containing two pyrazole derivatives) in reducing direct nitrous oxide (N2O) emissions from fertilizer nitrogen (N), cattle urine and cattle slurry applications to land. Measurements were also made of the impact on ammonia (NH3) volatilization, nitrate (NO3−) leaching, crop yield and crop N offtake. DCD proved to be very effective in reducing direct N2O emissions following fertilizer and cattle urine applications, with mean reduction efficiencies of 39, 69 and 70% for ammonium nitrate, urea and cattle urine, respectively. When included with cattle slurry a mean, non-significant reduction of 56% was observed. There were no N2O emission reductions observed from the limited assessments of the other nitrification inhibitors. Generally, there were no impacts of the nitrification inhibitors on NH3 volatilization, NO3− leaching, crop yield or crop N offtake. Use of DCD could give up to 20% reduction in N2O emissions from UK agriculture, but cost-effective delivery mechanisms are required to encourage adoption by the sector. Direct N2O emissions from the studied sources were substantially lower than IPCC default values and development of UK country-specific emission factors for use in inventory compilation is warranted.","container-title":"Environmental Research Letters","DOI":"10.1088/1748-9326/9/11/115006","ISSN":"1748-9326","issue":"11","journalAbbreviation":"Environ. Res. Lett.","language":"en","note":"publisher: IOP Publishing","page":"115006","source":"Institute of Physics","title":"An assessment of nitrification inhibitors to reduce nitrous oxide emissions from UK agriculture","volume":"9","author":[{"family":"Misselbrook","given":"T. H."},{"family":"Cardenas","given":"L. M."},{"family":"Camp","given":"V."},{"family":"Thorman","given":"R. E."},{"family":"Williams","given":"J. R."},{"family":"Rollett","given":"A. J."},{"family":"Chambers","given":"B. J."}],"issued":{"date-parts":[["2014",11]]}}}],"schema":"https://github.com/citation-style-language/schema/raw/master/csl-citation.json"} </w:instrText>
      </w:r>
      <w:r w:rsidR="000F3301">
        <w:fldChar w:fldCharType="separate"/>
      </w:r>
      <w:r w:rsidR="00A573B5" w:rsidRPr="00A573B5">
        <w:rPr>
          <w:rFonts w:ascii="Calibri" w:hAnsi="Calibri" w:cs="Calibri"/>
        </w:rPr>
        <w:t>(Misselbrook et al., 2014)</w:t>
      </w:r>
      <w:r w:rsidR="000F3301">
        <w:fldChar w:fldCharType="end"/>
      </w:r>
      <w:r w:rsidRPr="009A43A9">
        <w:t>, applied as a coating on granular fertilisers</w:t>
      </w:r>
      <w:r w:rsidR="000F24B1">
        <w:t xml:space="preserve"> </w:t>
      </w:r>
      <w:r w:rsidR="008A7FBF">
        <w:fldChar w:fldCharType="begin"/>
      </w:r>
      <w:r w:rsidR="008A7FBF">
        <w:instrText xml:space="preserve"> ADDIN ZOTERO_ITEM CSL_CITATION {"citationID":"P3YRVCrv","properties":{"formattedCitation":"(Abalos et al., 2014)","plainCitation":"(Abalos et al., 2014)","noteIndex":0},"citationItems":[{"id":943,"uris":["http://zotero.org/users/6500992/items/PV3HNEII"],"itemData":{"id":943,"type":"article-journal","abstract":"Nitrification and urease inhibitors are proposed as means to reduce nitrogen losses, thereby increasing crop nitrogen use efficiency (NUE). However, their effect on crop yield is variable. A meta-analysis was conducted to evaluate their effectiveness at increasing NUE and crop productivity. Commonly used nitrification inhibitors (dicyandiamide (DCD) and 3,4-dimethylepyrazole phosphate (DMPP)) and the urease inhibitor N-(n-butyl) thiophosphoric triamide (NBPT) were selected for analysis as they are generally considered the best available options. Our results show that their use can be recommended in order to increase both crop yields and NUE (grand mean increase of 7.5% and 12.9%, respectively). However, their effectiveness was dependent on the environmental and management factors of the studies evaluated. Larger responses were found in coarse-textured soils, irrigated systems and/or crops receiving high nitrogen fertilizer rates. In alkaline soils (pH ≥ 8), the urease inhibitor NBPT produced the largest effect size. Given that their use represents an additional cost for farmers, understanding the best management practices to maximize their effectiveness is paramount to allow effective comparison with other practices that increase crop productivity and NUE.","container-title":"Agriculture, Ecosystems &amp; Environment","DOI":"10.1016/j.agee.2014.03.036","journalAbbreviation":"Agriculture, Ecosystems &amp; Environment","page":"136–144","source":"ResearchGate","title":"Meta-analysis of the effect of urease and nitrification inhibitors on crop productivity and nitrogen use efficiency","volume":"189","author":[{"family":"Abalos","given":"Diego"},{"family":"Jeffery","given":"Simon"},{"family":"Sanz-Cobena","given":"Alberto"},{"family":"Guardia","given":"Guillermo"},{"family":"Vallejo","given":"Antonio"}],"issued":{"date-parts":[["2014",5,1]]}}}],"schema":"https://github.com/citation-style-language/schema/raw/master/csl-citation.json"} </w:instrText>
      </w:r>
      <w:r w:rsidR="008A7FBF">
        <w:fldChar w:fldCharType="separate"/>
      </w:r>
      <w:r w:rsidR="00A573B5" w:rsidRPr="00A573B5">
        <w:rPr>
          <w:rFonts w:ascii="Calibri" w:hAnsi="Calibri" w:cs="Calibri"/>
        </w:rPr>
        <w:t>(Abalos et al., 2014)</w:t>
      </w:r>
      <w:r w:rsidR="008A7FBF">
        <w:fldChar w:fldCharType="end"/>
      </w:r>
      <w:r w:rsidRPr="009A43A9">
        <w:t xml:space="preserve"> </w:t>
      </w:r>
      <w:r>
        <w:t>or</w:t>
      </w:r>
      <w:r w:rsidRPr="009A43A9">
        <w:t xml:space="preserve"> mixed into slurry before application. Additionally, they can be spread </w:t>
      </w:r>
      <w:r>
        <w:t>onto pastures</w:t>
      </w:r>
      <w:r w:rsidRPr="009A43A9">
        <w:t xml:space="preserve"> to reduce emissions from </w:t>
      </w:r>
      <w:r w:rsidR="00F25C7E">
        <w:t xml:space="preserve">N fertilisers </w:t>
      </w:r>
      <w:r w:rsidR="00FB6531">
        <w:fldChar w:fldCharType="begin"/>
      </w:r>
      <w:r w:rsidR="009D1B6A">
        <w:instrText xml:space="preserve"> ADDIN ZOTERO_ITEM CSL_CITATION {"citationID":"XhPIerpd","properties":{"formattedCitation":"(Cardenas et al., 2019)","plainCitation":"(Cardenas et al., 2019)","noteIndex":0},"citationItems":[{"id":253,"uris":["http://zotero.org/users/6500992/items/XQAABRSX"],"itemData":{"id":253,"type":"article-journal","abstract":"Intensification of grasslands is necessary to meet the increasing demand of livestock products. The application of nitrogen (N) on grasslands affects the N balance therefore the nitrogen use efficiency (NUE). Emissions of nitrous oxide (N2O) are produced due to N fertilisation and low NUE. These emissions depend on the type and rates of N applied. In this study we have compiled data from 5 UK N fertilised grassland sites (Crichton, Drayton, North Wyke, Hillsborough and Pwllpeiran) covering a range of soil types and climates. The experiments evaluated the effect of increasing rates of inorganic N fertiliser provided as ammonium nitrate (AN) or calcium ammonium nitrate (CAN). The following fertiliser strategies were also explored for a rate of 320 kg N ha−1: using the nitrification inhibitor dicyandiamide (DCD), changing to urea as an N source and splitting fertiliser applications. We measured N2O emissions for a full year in each experiment, as well as soil mineral N, climate data, pasture yield and N offtake. N2O emissions were greater at Crichton and North Wyke whereas Drayton, Hillsborough and Pwllpeiran had the smallest emissions. The resulting average emission factor (EF) of 1.12% total N applied showed a range of values for all the sites between 0.6 and 2.08%. NUE depended on the site and for an application rate of 320 kg N ha−1, N surplus was on average higher than 80 kg N ha−1, which is proposed as a maximum by the EU Nitrogen Expert Panel. N2O emissions tended to be lower when urea was applied instead of AN or CAN, and were particularly reduced when using urea with DCD. Finally, correlations between the factors studied showed that total N input was related to Nofftake and Nexcess; while cumulative emissions and EF were related to yield scaled emissions.","container-title":"Science of The Total Environment","DOI":"10.1016/j.scitotenv.2019.01.082","ISSN":"0048-9697","journalAbbreviation":"Science of The Total Environment","language":"en","page":"696-710","source":"ScienceDirect","title":"Nitrogen use efficiency and nitrous oxide emissions from five UK fertilised grasslands","volume":"661","author":[{"family":"Cardenas","given":"L. M."},{"family":"Bhogal","given":"A."},{"family":"Chadwick","given":"D. R."},{"family":"McGeough","given":"K."},{"family":"Misselbrook","given":"T."},{"family":"Rees","given":"R. M."},{"family":"Thorman","given":"R. E."},{"family":"Watson","given":"C. J."},{"family":"Williams","given":"J. R."},{"family":"Smith","given":"K. A."},{"family":"Calvet","given":"S."}],"issued":{"date-parts":[["2019",4,15]]}}}],"schema":"https://github.com/citation-style-language/schema/raw/master/csl-citation.json"} </w:instrText>
      </w:r>
      <w:r w:rsidR="00FB6531">
        <w:fldChar w:fldCharType="separate"/>
      </w:r>
      <w:r w:rsidR="00A573B5" w:rsidRPr="00A573B5">
        <w:rPr>
          <w:rFonts w:ascii="Calibri" w:hAnsi="Calibri" w:cs="Calibri"/>
        </w:rPr>
        <w:t>(Cardenas et al., 2019)</w:t>
      </w:r>
      <w:r w:rsidR="00FB6531">
        <w:fldChar w:fldCharType="end"/>
      </w:r>
      <w:r w:rsidRPr="009A43A9">
        <w:t>.</w:t>
      </w:r>
      <w:r>
        <w:t xml:space="preserve"> To calculate NI effects, </w:t>
      </w:r>
      <w:r w:rsidR="006442AE">
        <w:t xml:space="preserve">any ammonium </w:t>
      </w:r>
      <w:r w:rsidR="00A75880">
        <w:t>ni</w:t>
      </w:r>
      <w:r w:rsidR="00A75880" w:rsidRPr="006D39FD">
        <w:t>trate-based</w:t>
      </w:r>
      <w:r w:rsidR="00D51635" w:rsidRPr="006D39FD">
        <w:t xml:space="preserve"> </w:t>
      </w:r>
      <w:r w:rsidRPr="006D39FD">
        <w:t xml:space="preserve">fertilisers were first switched to </w:t>
      </w:r>
      <w:r w:rsidR="00EF069C" w:rsidRPr="006D39FD">
        <w:t>urea-based</w:t>
      </w:r>
      <w:r w:rsidR="00003503" w:rsidRPr="006D39FD">
        <w:t xml:space="preserve"> fertilisers</w:t>
      </w:r>
      <w:r w:rsidR="0058625F" w:rsidRPr="006D39FD">
        <w:t xml:space="preserve"> (</w:t>
      </w:r>
      <w:r w:rsidR="00003503" w:rsidRPr="006D39FD">
        <w:t xml:space="preserve">which </w:t>
      </w:r>
      <w:r w:rsidR="00CF1C6E">
        <w:t xml:space="preserve">generally </w:t>
      </w:r>
      <w:r w:rsidR="00003503" w:rsidRPr="006D39FD">
        <w:t>have lower N</w:t>
      </w:r>
      <w:r w:rsidR="00003503" w:rsidRPr="006D39FD">
        <w:rPr>
          <w:vertAlign w:val="subscript"/>
        </w:rPr>
        <w:t>2</w:t>
      </w:r>
      <w:r w:rsidR="00003503" w:rsidRPr="006D39FD">
        <w:t>O</w:t>
      </w:r>
      <w:r w:rsidR="00CD7F92" w:rsidRPr="006D39FD">
        <w:t xml:space="preserve"> </w:t>
      </w:r>
      <w:r w:rsidR="00ED2CB7" w:rsidRPr="006D39FD">
        <w:t>E</w:t>
      </w:r>
      <w:r w:rsidR="00C808D6">
        <w:t>F</w:t>
      </w:r>
      <w:r w:rsidR="00ED2CB7" w:rsidRPr="006D39FD">
        <w:t>s</w:t>
      </w:r>
      <w:r w:rsidR="00003503" w:rsidRPr="006D39FD">
        <w:t>)</w:t>
      </w:r>
      <w:r w:rsidR="00747EEC">
        <w:t xml:space="preserve"> </w:t>
      </w:r>
      <w:r w:rsidR="00747EEC">
        <w:fldChar w:fldCharType="begin"/>
      </w:r>
      <w:r w:rsidR="00747EEC">
        <w:instrText xml:space="preserve"> ADDIN ZOTERO_ITEM CSL_CITATION {"citationID":"iKOfNFAF","properties":{"formattedCitation":"(Smith et al., 2012)","plainCitation":"(Smith et al., 2012)","noteIndex":0},"citationItems":[{"id":1944,"uris":["http://zotero.org/users/6500992/items/ALYGWHGI"],"itemData":{"id":1944,"type":"article-journal","abstract":"Nitrous oxide emission factors (EFs) were calculated from measurements of emissions from UK wheat crops and grassland, that were part of a wider research programme on N loss pathways and crop responses. Field studies were undertaken in 2003, 2004 and 2005—a total of 12 site-seasons. Nitrous oxide emissions were measured by the closed static chamber method, following the application of various N fertilizer forms (ammonium nitrate (AN), calcium ammonium nitrate (CAN), urea (UR), urea ammonium sulphate and urea ammonium nitrate) at the recommended rates. Emission factors for the growing season (March–September) ranged from less than 0.1–3.9 %. In the 2nd year, measurements continued at three sites until the following February; the resulting annual EFs were one-third greater, on average, than those for the growing season. There was some evidence that N2O emissions from UR were smaller than from AN or CAN, but when this was adjusted for loss of ammonia by volatilization, there was generally little difference between different forms of N. Emissions from UR modified by the addition of the urease inhibitor nBTPT (UR + UI) were lower than corresponding emissions from nitrate forms, except under conditions where emissions were generally low, even allowing for indirect emissions, suggesting that the use of a urease inhibitor can provide some mitigation of N2O, as well as NH3, emissions. The emission data broadly bear out the relationships obtained in earlier UK studies, showing a strong dependence of N2O emission on soil wetness, temperature and the presence of sufficient mineral N in the soil, which decreases rapidly after N application mainly as a result of plant uptake. Overall net mean EFs for the whole season (after subtracting background emissions from unfertilized controls) covered a range wider than the 0.3–3.0 % range of IPCC (2006).","container-title":"Nutrient Cycling in Agroecosystems","DOI":"10.1007/s10705-012-9505-1","ISSN":"1573-0867","issue":"2","journalAbbreviation":"Nutr Cycl Agroecosyst","language":"en","page":"127-149","source":"Springer Link","title":"The effect of N fertilizer forms on nitrous oxide emissions from UK arable land and grassland","volume":"93","author":[{"family":"Smith","given":"Keith A."},{"family":"Dobbie","given":"Karen E."},{"family":"Thorman","given":"Rachel"},{"family":"Watson","given":"Catherine J."},{"family":"Chadwick","given":"David R."},{"family":"Yamulki","given":"Sirwan"},{"family":"Ball","given":"Bruce C."}],"issued":{"date-parts":[["2012",6,1]]}}}],"schema":"https://github.com/citation-style-language/schema/raw/master/csl-citation.json"} </w:instrText>
      </w:r>
      <w:r w:rsidR="00747EEC">
        <w:fldChar w:fldCharType="separate"/>
      </w:r>
      <w:r w:rsidR="00747EEC" w:rsidRPr="00747EEC">
        <w:rPr>
          <w:rFonts w:ascii="Calibri" w:hAnsi="Calibri" w:cs="Calibri"/>
        </w:rPr>
        <w:t>(Smith et al., 2012)</w:t>
      </w:r>
      <w:r w:rsidR="00747EEC">
        <w:fldChar w:fldCharType="end"/>
      </w:r>
      <w:r w:rsidR="00732DB1" w:rsidRPr="006D39FD">
        <w:t xml:space="preserve"> </w:t>
      </w:r>
      <w:r w:rsidR="00CD7F92" w:rsidRPr="006D39FD">
        <w:t>then</w:t>
      </w:r>
      <w:r w:rsidR="00CD7F92">
        <w:t xml:space="preserve"> </w:t>
      </w:r>
      <w:r w:rsidR="00D51635">
        <w:t xml:space="preserve">were </w:t>
      </w:r>
      <w:r>
        <w:t>applied with DCD as well as spread o</w:t>
      </w:r>
      <w:r w:rsidR="00D51635">
        <w:t>n</w:t>
      </w:r>
      <w:r>
        <w:t xml:space="preserve"> grazed pastures. </w:t>
      </w:r>
      <w:r w:rsidR="0065700C">
        <w:t>NIs</w:t>
      </w:r>
      <w:r>
        <w:t xml:space="preserve"> </w:t>
      </w:r>
      <w:r w:rsidR="00881B7C">
        <w:t xml:space="preserve">are </w:t>
      </w:r>
      <w:r>
        <w:t>assumed to reduce N</w:t>
      </w:r>
      <w:r>
        <w:rPr>
          <w:vertAlign w:val="subscript"/>
        </w:rPr>
        <w:t>2</w:t>
      </w:r>
      <w:r>
        <w:t xml:space="preserve">O emissions associated with synthetic N by 66% </w:t>
      </w:r>
      <w:r>
        <w:fldChar w:fldCharType="begin"/>
      </w:r>
      <w:r>
        <w:instrText xml:space="preserve"> ADDIN ZOTERO_ITEM CSL_CITATION {"citationID":"5iH84FnO","properties":{"formattedCitation":"(Cardenas et al., 2019)","plainCitation":"(Cardenas et al., 2019)","noteIndex":0},"citationItems":[{"id":253,"uris":["http://zotero.org/users/6500992/items/XQAABRSX"],"itemData":{"id":253,"type":"article-journal","abstract":"Intensification of grasslands is necessary to meet the increasing demand of livestock products. The application of nitrogen (N) on grasslands affects the N balance therefore the nitrogen use efficiency (NUE). Emissions of nitrous oxide (N2O) are produced due to N fertilisation and low NUE. These emissions depend on the type and rates of N applied. In this study we have compiled data from 5 UK N fertilised grassland sites (Crichton, Drayton, North Wyke, Hillsborough and Pwllpeiran) covering a range of soil types and climates. The experiments evaluated the effect of increasing rates of inorganic N fertiliser provided as ammonium nitrate (AN) or calcium ammonium nitrate (CAN). The following fertiliser strategies were also explored for a rate of 320 kg N ha−1: using the nitrification inhibitor dicyandiamide (DCD), changing to urea as an N source and splitting fertiliser applications. We measured N2O emissions for a full year in each experiment, as well as soil mineral N, climate data, pasture yield and N offtake. N2O emissions were greater at Crichton and North Wyke whereas Drayton, Hillsborough and Pwllpeiran had the smallest emissions. The resulting average emission factor (EF) of 1.12% total N applied showed a range of values for all the sites between 0.6 and 2.08%. NUE depended on the site and for an application rate of 320 kg N ha−1, N surplus was on average higher than 80 kg N ha−1, which is proposed as a maximum by the EU Nitrogen Expert Panel. N2O emissions tended to be lower when urea was applied instead of AN or CAN, and were particularly reduced when using urea with DCD. Finally, correlations between the factors studied showed that total N input was related to Nofftake and Nexcess; while cumulative emissions and EF were related to yield scaled emissions.","container-title":"Science of The Total Environment","DOI":"10.1016/j.scitotenv.2019.01.082","ISSN":"0048-9697","journalAbbreviation":"Science of The Total Environment","language":"en","page":"696-710","source":"ScienceDirect","title":"Nitrogen use efficiency and nitrous oxide emissions from five UK fertilised grasslands","volume":"661","author":[{"family":"Cardenas","given":"L. M."},{"family":"Bhogal","given":"A."},{"family":"Chadwick","given":"D. R."},{"family":"McGeough","given":"K."},{"family":"Misselbrook","given":"T."},{"family":"Rees","given":"R. M."},{"family":"Thorman","given":"R. E."},{"family":"Watson","given":"C. J."},{"family":"Williams","given":"J. R."},{"family":"Smith","given":"K. A."},{"family":"Calvet","given":"S."}],"issued":{"date-parts":[["2019",4,15]]}}}],"schema":"https://github.com/citation-style-language/schema/raw/master/csl-citation.json"} </w:instrText>
      </w:r>
      <w:r>
        <w:fldChar w:fldCharType="separate"/>
      </w:r>
      <w:r w:rsidR="00A573B5" w:rsidRPr="00A573B5">
        <w:rPr>
          <w:rFonts w:ascii="Calibri" w:hAnsi="Calibri" w:cs="Calibri"/>
        </w:rPr>
        <w:t>(Cardenas et al., 2019)</w:t>
      </w:r>
      <w:r>
        <w:fldChar w:fldCharType="end"/>
      </w:r>
      <w:r>
        <w:t>. In this study, DCD also reduced N</w:t>
      </w:r>
      <w:r>
        <w:rPr>
          <w:vertAlign w:val="subscript"/>
        </w:rPr>
        <w:t>2</w:t>
      </w:r>
      <w:r>
        <w:t>O emissions from</w:t>
      </w:r>
      <w:r w:rsidR="00C330AF">
        <w:t xml:space="preserve"> cattle</w:t>
      </w:r>
      <w:r>
        <w:t xml:space="preserve"> </w:t>
      </w:r>
      <w:r w:rsidR="00C330AF">
        <w:t xml:space="preserve">urine by </w:t>
      </w:r>
      <w:r w:rsidR="007913F1">
        <w:t>46</w:t>
      </w:r>
      <w:r w:rsidR="00C330AF">
        <w:t xml:space="preserve">% </w:t>
      </w:r>
      <w:r w:rsidR="00700BC8">
        <w:fldChar w:fldCharType="begin"/>
      </w:r>
      <w:r w:rsidR="00D2069C">
        <w:instrText xml:space="preserve"> ADDIN ZOTERO_ITEM CSL_CITATION {"citationID":"Sh3Uj6RX","properties":{"formattedCitation":"(Chadwick et al., 2018a)","plainCitation":"(Chadwick et al., 2018a)","dontUpdate":true,"noteIndex":0},"citationItems":[{"id":1234,"uris":["http://zotero.org/users/6500992/items/5SXERJ6V"],"itemData":{"id":1234,"type":"article-journal","abstract":"Urine patches and dung pats from grazing livestock create hotspots for production and emission of the greenhouse gas, nitrous oxide (N2O), and represent a large proportion of total N2O emissions in many national agricultural greenhouse gas inventories. As such, there is much interest in developing country specific N2O emission factors (EFs) for excretal nitrogen (EF3, pasture, range and paddock) deposited during gazing. The aims of this study were to generate separate N2O emissions data for cattle derived urine and dung, to provide an evidence base for the generation of a country specific EF for the UK from this nitrogen source. The experiments were also designed to determine the effects of site and timing of application on emissions, and the efficacy of the nitrification inhibitor, dicyandiamide (DCD) on N2O losses. This co-ordinated set of 15 plot-scale, year-long field experiments using static chambers was conducted at five grassland sites, typical of the soil and climatic zones of grazed grassland in the UK. We show that the average urine and dung N2O EFs were 0.69% and 0.19%, respectively, resulting in a combined excretal N2O EF (EF3), of 0.49%, which is &lt;25% of the IPCC default EF3 for excretal returns from grazing cattle. Regression analysis suggests that urine N2O EFs were controlled more by composition than was the case for dung, whilst dung N2O EFs were more related to soil and environmental factors. The urine N2O EF was significantly greater from the site in SW England, and significantly greater from the early grazing season urine application than later applications. Dycandiamide reduced the N2O EF from urine patches by an average of 46%. The significantly lower excretal EF3 than the IPCC default has implications for the UK's national inventory and for subsequent carbon footprinting of UK ruminant livestock products.","container-title":"Science of The Total Environment","DOI":"10.1016/j.scitotenv.2018.04.152","ISSN":"0048-9697","journalAbbreviation":"Science of The Total Environment","language":"en","page":"607-617","source":"ScienceDirect","title":"The contribution of cattle urine and dung to nitrous oxide emissions: Quantification of country specific emission factors and implications for national inventories","title-short":"The contribution of cattle urine and dung to nitrous oxide emissions","volume":"635","author":[{"family":"Chadwick","given":"D. R."},{"family":"Cardenas","given":"L. M."},{"family":"Dhanoa","given":"M. S."},{"family":"Donovan","given":"N."},{"family":"Misselbrook","given":"T."},{"family":"Williams","given":"J. R."},{"family":"Thorman","given":"R. E."},{"family":"McGeough","given":"K. L."},{"family":"Watson","given":"C. J."},{"family":"Bell","given":"M."},{"family":"Anthony","given":"S. G."},{"family":"Rees","given":"R. M."}],"issued":{"date-parts":[["2018",9,1]]}}}],"schema":"https://github.com/citation-style-language/schema/raw/master/csl-citation.json"} </w:instrText>
      </w:r>
      <w:r w:rsidR="00700BC8">
        <w:fldChar w:fldCharType="separate"/>
      </w:r>
      <w:r w:rsidR="00700BC8" w:rsidRPr="00700BC8">
        <w:rPr>
          <w:rFonts w:ascii="Calibri" w:hAnsi="Calibri" w:cs="Calibri"/>
        </w:rPr>
        <w:t>(Chadwick et al., 2018)</w:t>
      </w:r>
      <w:r w:rsidR="00700BC8">
        <w:fldChar w:fldCharType="end"/>
      </w:r>
      <w:r>
        <w:t xml:space="preserve"> and cattle slurry by 56% </w:t>
      </w:r>
      <w:r>
        <w:fldChar w:fldCharType="begin"/>
      </w:r>
      <w:r w:rsidR="00034489">
        <w:instrText xml:space="preserve"> ADDIN ZOTERO_ITEM CSL_CITATION {"citationID":"FcqkUalI","properties":{"formattedCitation":"(Misselbrook et al., 2014)","plainCitation":"(Misselbrook et al., 2014)","noteIndex":0},"citationItems":[{"id":1214,"uris":["http://zotero.org/users/6500992/items/YVLZHIV6"],"itemData":{"id":1214,"type":"article-journal","abstract":"A trial was conducted consisting of 14 experiments across sites in England of contrasting soil type and annual rainfall to assess the effectiveness of nitrification inhibitors (predominantly dicyandiamide (DCD) but limited assessment also of 3, 4-dimethylpyrazole phosphate (DMPP) and a commercial product containing two pyrazole derivatives) in reducing direct nitrous oxide (N2O) emissions from fertilizer nitrogen (N), cattle urine and cattle slurry applications to land. Measurements were also made of the impact on ammonia (NH3) volatilization, nitrate (NO3−) leaching, crop yield and crop N offtake. DCD proved to be very effective in reducing direct N2O emissions following fertilizer and cattle urine applications, with mean reduction efficiencies of 39, 69 and 70% for ammonium nitrate, urea and cattle urine, respectively. When included with cattle slurry a mean, non-significant reduction of 56% was observed. There were no N2O emission reductions observed from the limited assessments of the other nitrification inhibitors. Generally, there were no impacts of the nitrification inhibitors on NH3 volatilization, NO3− leaching, crop yield or crop N offtake. Use of DCD could give up to 20% reduction in N2O emissions from UK agriculture, but cost-effective delivery mechanisms are required to encourage adoption by the sector. Direct N2O emissions from the studied sources were substantially lower than IPCC default values and development of UK country-specific emission factors for use in inventory compilation is warranted.","container-title":"Environmental Research Letters","DOI":"10.1088/1748-9326/9/11/115006","ISSN":"1748-9326","issue":"11","journalAbbreviation":"Environ. Res. Lett.","language":"en","note":"publisher: IOP Publishing","page":"115006","source":"Institute of Physics","title":"An assessment of nitrification inhibitors to reduce nitrous oxide emissions from UK agriculture","volume":"9","author":[{"family":"Misselbrook","given":"T. H."},{"family":"Cardenas","given":"L. M."},{"family":"Camp","given":"V."},{"family":"Thorman","given":"R. E."},{"family":"Williams","given":"J. R."},{"family":"Rollett","given":"A. J."},{"family":"Chambers","given":"B. J."}],"issued":{"date-parts":[["2014",11]]}}}],"schema":"https://github.com/citation-style-language/schema/raw/master/csl-citation.json"} </w:instrText>
      </w:r>
      <w:r>
        <w:fldChar w:fldCharType="separate"/>
      </w:r>
      <w:r w:rsidR="00A573B5" w:rsidRPr="00A573B5">
        <w:rPr>
          <w:rFonts w:ascii="Calibri" w:hAnsi="Calibri" w:cs="Calibri"/>
        </w:rPr>
        <w:t>(Misselbrook et al., 2014)</w:t>
      </w:r>
      <w:r>
        <w:fldChar w:fldCharType="end"/>
      </w:r>
      <w:r w:rsidR="0018661F">
        <w:t>.</w:t>
      </w:r>
      <w:r w:rsidR="002E01F0">
        <w:t xml:space="preserve"> </w:t>
      </w:r>
      <w:r w:rsidR="009E3ED8" w:rsidRPr="00471FF0">
        <w:t>Due to</w:t>
      </w:r>
      <w:r w:rsidR="004B4AD0" w:rsidRPr="00471FF0">
        <w:t xml:space="preserve"> a</w:t>
      </w:r>
      <w:r w:rsidR="009E3ED8" w:rsidRPr="00471FF0">
        <w:t xml:space="preserve"> lack of </w:t>
      </w:r>
      <w:r w:rsidR="002B70B8" w:rsidRPr="00471FF0">
        <w:t xml:space="preserve">well-established </w:t>
      </w:r>
      <w:r w:rsidR="00D76B42" w:rsidRPr="00471FF0">
        <w:t>literature</w:t>
      </w:r>
      <w:r w:rsidR="009E3ED8" w:rsidRPr="00471FF0">
        <w:t>, reduction</w:t>
      </w:r>
      <w:r w:rsidR="005D2A5B" w:rsidRPr="00471FF0">
        <w:t>s</w:t>
      </w:r>
      <w:r w:rsidR="009E3ED8" w:rsidRPr="00471FF0">
        <w:t xml:space="preserve"> in N</w:t>
      </w:r>
      <w:r w:rsidR="009E3ED8" w:rsidRPr="00471FF0">
        <w:rPr>
          <w:vertAlign w:val="subscript"/>
        </w:rPr>
        <w:t>2</w:t>
      </w:r>
      <w:r w:rsidR="009E3ED8" w:rsidRPr="00471FF0">
        <w:t>O</w:t>
      </w:r>
      <w:r w:rsidR="00F31854" w:rsidRPr="00471FF0">
        <w:t xml:space="preserve"> from sheep urine were </w:t>
      </w:r>
      <w:r w:rsidR="005D2A5B" w:rsidRPr="00471FF0">
        <w:t xml:space="preserve">not </w:t>
      </w:r>
      <w:r w:rsidR="00F31854" w:rsidRPr="00471FF0">
        <w:t>included in these calculation</w:t>
      </w:r>
      <w:r w:rsidR="00B913D7" w:rsidRPr="00471FF0">
        <w:t>s</w:t>
      </w:r>
      <w:r w:rsidR="007A36CE">
        <w:t>,</w:t>
      </w:r>
      <w:r w:rsidR="00B913D7" w:rsidRPr="00471FF0">
        <w:t xml:space="preserve"> however</w:t>
      </w:r>
      <w:r w:rsidR="007A36CE">
        <w:t>,</w:t>
      </w:r>
      <w:r w:rsidR="00B913D7" w:rsidRPr="00471FF0">
        <w:t xml:space="preserve"> </w:t>
      </w:r>
      <w:r w:rsidR="0062416F" w:rsidRPr="00471FF0">
        <w:t xml:space="preserve">current evidence suggests this would be </w:t>
      </w:r>
      <w:proofErr w:type="gramStart"/>
      <w:r w:rsidR="0062416F" w:rsidRPr="00471FF0">
        <w:t>similar to</w:t>
      </w:r>
      <w:proofErr w:type="gramEnd"/>
      <w:r w:rsidR="0062416F" w:rsidRPr="00471FF0">
        <w:t xml:space="preserve"> cattle urine.</w:t>
      </w:r>
      <w:r w:rsidR="0062416F">
        <w:t xml:space="preserve"> </w:t>
      </w:r>
    </w:p>
    <w:p w14:paraId="333C69EE" w14:textId="065AE592" w:rsidR="00E3054C" w:rsidRPr="002F0EBD" w:rsidRDefault="00E3054C" w:rsidP="00BA3E62">
      <w:pPr>
        <w:spacing w:line="360" w:lineRule="auto"/>
        <w:jc w:val="both"/>
        <w:rPr>
          <w:rFonts w:asciiTheme="minorHAnsi" w:hAnsiTheme="minorHAnsi" w:cstheme="minorHAnsi"/>
          <w:b/>
          <w:bCs/>
          <w:sz w:val="22"/>
          <w:szCs w:val="22"/>
          <w:bdr w:val="none" w:sz="0" w:space="0" w:color="auto" w:frame="1"/>
        </w:rPr>
      </w:pPr>
    </w:p>
    <w:p w14:paraId="47681CCD" w14:textId="3C52FA67" w:rsidR="002F0EBD" w:rsidRPr="00E57BC7" w:rsidRDefault="00E3054C" w:rsidP="00E568F2">
      <w:pPr>
        <w:pStyle w:val="ListParagraph"/>
        <w:numPr>
          <w:ilvl w:val="3"/>
          <w:numId w:val="2"/>
        </w:numPr>
        <w:spacing w:line="360" w:lineRule="auto"/>
        <w:rPr>
          <w:rFonts w:asciiTheme="minorHAnsi" w:hAnsiTheme="minorHAnsi" w:cstheme="minorHAnsi"/>
          <w:b/>
          <w:bCs/>
          <w:sz w:val="22"/>
          <w:szCs w:val="22"/>
          <w:bdr w:val="none" w:sz="0" w:space="0" w:color="auto" w:frame="1"/>
        </w:rPr>
      </w:pPr>
      <w:r w:rsidRPr="00E57BC7">
        <w:rPr>
          <w:rFonts w:asciiTheme="minorHAnsi" w:hAnsiTheme="minorHAnsi" w:cstheme="minorHAnsi"/>
          <w:b/>
          <w:bCs/>
          <w:sz w:val="22"/>
          <w:szCs w:val="22"/>
          <w:bdr w:val="none" w:sz="0" w:space="0" w:color="auto" w:frame="1"/>
        </w:rPr>
        <w:t xml:space="preserve">Animal Management </w:t>
      </w:r>
    </w:p>
    <w:p w14:paraId="4A7D7723" w14:textId="7B6E094F" w:rsidR="002F0EBD" w:rsidRPr="00CE57FB" w:rsidRDefault="002F0EBD" w:rsidP="00E568F2">
      <w:pPr>
        <w:pStyle w:val="NoSpacing"/>
        <w:spacing w:line="360" w:lineRule="auto"/>
        <w:rPr>
          <w:b/>
          <w:bCs/>
          <w:bdr w:val="none" w:sz="0" w:space="0" w:color="auto" w:frame="1"/>
        </w:rPr>
      </w:pPr>
      <w:r w:rsidRPr="00CE57FB">
        <w:rPr>
          <w:b/>
          <w:bCs/>
          <w:bdr w:val="none" w:sz="0" w:space="0" w:color="auto" w:frame="1"/>
        </w:rPr>
        <w:t xml:space="preserve">Improving cattle and sheep health </w:t>
      </w:r>
    </w:p>
    <w:p w14:paraId="0B34A258" w14:textId="4A8448B2" w:rsidR="00354DB5" w:rsidRDefault="002F0EBD" w:rsidP="00BA3E62">
      <w:pPr>
        <w:pStyle w:val="NoSpacing"/>
        <w:spacing w:line="360" w:lineRule="auto"/>
        <w:jc w:val="both"/>
        <w:rPr>
          <w:bdr w:val="none" w:sz="0" w:space="0" w:color="auto" w:frame="1"/>
        </w:rPr>
      </w:pPr>
      <w:r w:rsidRPr="00467B59">
        <w:rPr>
          <w:i/>
          <w:iCs/>
          <w:bdr w:val="none" w:sz="0" w:space="0" w:color="auto" w:frame="1"/>
        </w:rPr>
        <w:t>Improving animal health</w:t>
      </w:r>
      <w:r w:rsidRPr="008614BD">
        <w:rPr>
          <w:bdr w:val="none" w:sz="0" w:space="0" w:color="auto" w:frame="1"/>
        </w:rPr>
        <w:t xml:space="preserve"> could lead to significant reductions in emissions intensity (EI) by improving the feed conversion ratio of animals and reducing the number of replacements needed through improved fertility and reduced mortality. In this study, direct measures for ten common cattle diseases in the UK resulted in a 6% reduction in EI </w:t>
      </w:r>
      <w:r w:rsidRPr="008614BD">
        <w:rPr>
          <w:bdr w:val="none" w:sz="0" w:space="0" w:color="auto" w:frame="1"/>
        </w:rPr>
        <w:fldChar w:fldCharType="begin"/>
      </w:r>
      <w:r>
        <w:rPr>
          <w:bdr w:val="none" w:sz="0" w:space="0" w:color="auto" w:frame="1"/>
        </w:rPr>
        <w:instrText xml:space="preserve"> ADDIN ZOTERO_ITEM CSL_CITATION {"citationID":"nkIIRaxM","properties":{"formattedCitation":"(ADAS UK Ltd, 2014)","plainCitation":"(ADAS UK Ltd, 2014)","dontUpdate":true,"noteIndex":0},"citationItems":[{"id":217,"uris":["http://zotero.org/users/6500992/items/UQKITWG8"],"itemData":{"id":217,"type":"report","title":"Study to Model the Impact of Controlling Endemic Cattle Diseases and Conditions on National Cattle Productivity, Agricultural Performance and Greenhouse Gas Emissions","author":[{"family":"ADAS UK Ltd","given":""}],"issued":{"date-parts":[["2014"]]}}}],"schema":"https://github.com/citation-style-language/schema/raw/master/csl-citation.json"} </w:instrText>
      </w:r>
      <w:r w:rsidRPr="008614BD">
        <w:rPr>
          <w:bdr w:val="none" w:sz="0" w:space="0" w:color="auto" w:frame="1"/>
        </w:rPr>
        <w:fldChar w:fldCharType="separate"/>
      </w:r>
      <w:r w:rsidRPr="008614BD">
        <w:rPr>
          <w:rFonts w:ascii="Calibri" w:hAnsi="Calibri" w:cs="Calibri"/>
        </w:rPr>
        <w:t>(ADAS, 2014)</w:t>
      </w:r>
      <w:r w:rsidRPr="008614BD">
        <w:rPr>
          <w:bdr w:val="none" w:sz="0" w:space="0" w:color="auto" w:frame="1"/>
        </w:rPr>
        <w:fldChar w:fldCharType="end"/>
      </w:r>
      <w:r w:rsidR="00162CD4">
        <w:rPr>
          <w:bdr w:val="none" w:sz="0" w:space="0" w:color="auto" w:frame="1"/>
        </w:rPr>
        <w:t>. F</w:t>
      </w:r>
      <w:r w:rsidRPr="008614BD">
        <w:rPr>
          <w:bdr w:val="none" w:sz="0" w:space="0" w:color="auto" w:frame="1"/>
        </w:rPr>
        <w:t xml:space="preserve">or sheep, </w:t>
      </w:r>
      <w:r w:rsidR="000C513B">
        <w:t xml:space="preserve">prophylactic disease treatment </w:t>
      </w:r>
      <w:r w:rsidRPr="008614BD">
        <w:rPr>
          <w:bdr w:val="none" w:sz="0" w:space="0" w:color="auto" w:frame="1"/>
        </w:rPr>
        <w:t xml:space="preserve">for all common ailments resulted in a 5% reduction in EI compared to </w:t>
      </w:r>
      <w:r w:rsidR="000C513B">
        <w:rPr>
          <w:bdr w:val="none" w:sz="0" w:space="0" w:color="auto" w:frame="1"/>
        </w:rPr>
        <w:t xml:space="preserve">only </w:t>
      </w:r>
      <w:r w:rsidRPr="008614BD">
        <w:rPr>
          <w:bdr w:val="none" w:sz="0" w:space="0" w:color="auto" w:frame="1"/>
        </w:rPr>
        <w:t xml:space="preserve">treating for some common ailments </w:t>
      </w:r>
      <w:r w:rsidRPr="008614BD">
        <w:rPr>
          <w:bdr w:val="none" w:sz="0" w:space="0" w:color="auto" w:frame="1"/>
        </w:rPr>
        <w:fldChar w:fldCharType="begin"/>
      </w:r>
      <w:r w:rsidRPr="008614BD">
        <w:rPr>
          <w:bdr w:val="none" w:sz="0" w:space="0" w:color="auto" w:frame="1"/>
        </w:rPr>
        <w:instrText xml:space="preserve"> ADDIN ZOTERO_ITEM CSL_CITATION {"citationID":"YgFkAr3b","properties":{"formattedCitation":"(Stott et al., 2010)","plainCitation":"(Stott et al., 2010)","noteIndex":0},"citationItems":[{"id":1036,"uris":["http://zotero.org/users/6500992/items/T6RWJ9MZ"],"itemData":{"id":1036,"type":"article-journal","page":"8","title":"Reducing greenhouse gas emissions through better animal health","volume":"Rural Policy Centre, SAC","author":[{"family":"Stott","given":"A."},{"family":"MacLeod","given":"M."},{"family":"Moran","given":"D."}],"issued":{"date-parts":[["2010"]]}}}],"schema":"https://github.com/citation-style-language/schema/raw/master/csl-citation.json"} </w:instrText>
      </w:r>
      <w:r w:rsidRPr="008614BD">
        <w:rPr>
          <w:bdr w:val="none" w:sz="0" w:space="0" w:color="auto" w:frame="1"/>
        </w:rPr>
        <w:fldChar w:fldCharType="separate"/>
      </w:r>
      <w:r w:rsidR="00A573B5" w:rsidRPr="00A573B5">
        <w:rPr>
          <w:rFonts w:ascii="Calibri" w:hAnsi="Calibri" w:cs="Calibri"/>
        </w:rPr>
        <w:t>(Stott et al., 2010)</w:t>
      </w:r>
      <w:r w:rsidRPr="008614BD">
        <w:rPr>
          <w:bdr w:val="none" w:sz="0" w:space="0" w:color="auto" w:frame="1"/>
        </w:rPr>
        <w:fldChar w:fldCharType="end"/>
      </w:r>
      <w:r w:rsidR="007A36CE">
        <w:rPr>
          <w:bdr w:val="none" w:sz="0" w:space="0" w:color="auto" w:frame="1"/>
        </w:rPr>
        <w:t>,</w:t>
      </w:r>
      <w:r w:rsidR="00162CD4">
        <w:rPr>
          <w:bdr w:val="none" w:sz="0" w:space="0" w:color="auto" w:frame="1"/>
        </w:rPr>
        <w:t xml:space="preserve"> where i</w:t>
      </w:r>
      <w:r w:rsidR="00162CD4" w:rsidRPr="008614BD">
        <w:rPr>
          <w:bdr w:val="none" w:sz="0" w:space="0" w:color="auto" w:frame="1"/>
        </w:rPr>
        <w:t>t was assumed that all</w:t>
      </w:r>
      <w:r w:rsidR="00162CD4">
        <w:rPr>
          <w:bdr w:val="none" w:sz="0" w:space="0" w:color="auto" w:frame="1"/>
        </w:rPr>
        <w:t xml:space="preserve"> study</w:t>
      </w:r>
      <w:r w:rsidR="00162CD4" w:rsidRPr="008614BD">
        <w:rPr>
          <w:bdr w:val="none" w:sz="0" w:space="0" w:color="auto" w:frame="1"/>
        </w:rPr>
        <w:t xml:space="preserve"> farms currently treated for some common ailments</w:t>
      </w:r>
      <w:r w:rsidR="00162CD4">
        <w:rPr>
          <w:bdr w:val="none" w:sz="0" w:space="0" w:color="auto" w:frame="1"/>
        </w:rPr>
        <w:t>.</w:t>
      </w:r>
      <w:r>
        <w:rPr>
          <w:bdr w:val="none" w:sz="0" w:space="0" w:color="auto" w:frame="1"/>
        </w:rPr>
        <w:t xml:space="preserve"> A simplified reduction in EI was used, where production levels were held constant to avoid more uncertainty by altering multiple variables.</w:t>
      </w:r>
    </w:p>
    <w:p w14:paraId="39D0C009" w14:textId="77777777" w:rsidR="00A713C4" w:rsidRPr="008C07E6" w:rsidRDefault="00A713C4" w:rsidP="00BA3E62">
      <w:pPr>
        <w:pStyle w:val="NoSpacing"/>
        <w:spacing w:line="360" w:lineRule="auto"/>
        <w:jc w:val="both"/>
        <w:rPr>
          <w:bdr w:val="none" w:sz="0" w:space="0" w:color="auto" w:frame="1"/>
        </w:rPr>
      </w:pPr>
    </w:p>
    <w:p w14:paraId="0219BB12" w14:textId="0025BD1E" w:rsidR="002F0EBD" w:rsidRPr="005D33EF" w:rsidRDefault="002F0EBD" w:rsidP="00E568F2">
      <w:pPr>
        <w:pStyle w:val="NoSpacing"/>
        <w:spacing w:line="360" w:lineRule="auto"/>
        <w:rPr>
          <w:b/>
          <w:bCs/>
          <w:bdr w:val="none" w:sz="0" w:space="0" w:color="auto" w:frame="1"/>
        </w:rPr>
      </w:pPr>
      <w:r w:rsidRPr="005D33EF">
        <w:rPr>
          <w:b/>
          <w:bCs/>
          <w:bdr w:val="none" w:sz="0" w:space="0" w:color="auto" w:frame="1"/>
        </w:rPr>
        <w:t>Selection for balanced breeding goals in beef cattle</w:t>
      </w:r>
    </w:p>
    <w:p w14:paraId="5D710F8C" w14:textId="6A3522C0" w:rsidR="00E57BC7" w:rsidRPr="00B22517" w:rsidRDefault="002F0EBD" w:rsidP="00BA3E62">
      <w:pPr>
        <w:pStyle w:val="NoSpacing"/>
        <w:spacing w:line="360" w:lineRule="auto"/>
        <w:jc w:val="both"/>
        <w:rPr>
          <w:bdr w:val="none" w:sz="0" w:space="0" w:color="auto" w:frame="1"/>
        </w:rPr>
      </w:pPr>
      <w:r w:rsidRPr="00F765DD">
        <w:rPr>
          <w:bdr w:val="none" w:sz="0" w:space="0" w:color="auto" w:frame="1"/>
        </w:rPr>
        <w:t>This measure relates to the broader uptake of genetic improveme</w:t>
      </w:r>
      <w:r w:rsidRPr="00642CA2">
        <w:rPr>
          <w:bdr w:val="none" w:sz="0" w:space="0" w:color="auto" w:frame="1"/>
        </w:rPr>
        <w:t xml:space="preserve">nt in beef cattle. </w:t>
      </w:r>
      <w:r w:rsidRPr="00642CA2">
        <w:t>Although cattle breeding is largely based on the cattle breeding index, carcass traits are often not directly recorded</w:t>
      </w:r>
      <w:r w:rsidRPr="00F765DD">
        <w:t xml:space="preserve"> in the UK and selection is </w:t>
      </w:r>
      <w:r w:rsidRPr="00CC6091">
        <w:t>based on liveweights, measurements of muscle and fat depth and visual assessments</w:t>
      </w:r>
      <w:r w:rsidR="00B56C72" w:rsidRPr="00CC6091">
        <w:t xml:space="preserve"> (</w:t>
      </w:r>
      <w:r w:rsidR="000F47E1" w:rsidRPr="00CC6091">
        <w:t xml:space="preserve">Beef Improvement </w:t>
      </w:r>
      <w:r w:rsidR="0074030C">
        <w:t>Federation</w:t>
      </w:r>
      <w:r w:rsidR="000F47E1" w:rsidRPr="00CC6091">
        <w:t>, 2018</w:t>
      </w:r>
      <w:r w:rsidR="00B56C72" w:rsidRPr="00CC6091">
        <w:t>)</w:t>
      </w:r>
      <w:r w:rsidRPr="00CC6091">
        <w:t>. Selection through directly measuring carcass traits could</w:t>
      </w:r>
      <w:r w:rsidRPr="00F765DD">
        <w:t xml:space="preserve"> increase the rate of genetic improvement. In this study</w:t>
      </w:r>
      <w:r>
        <w:t>,</w:t>
      </w:r>
      <w:r w:rsidRPr="00F765DD">
        <w:t xml:space="preserve"> recording feed intake and carcass traits of progeny reduce</w:t>
      </w:r>
      <w:r>
        <w:t>d</w:t>
      </w:r>
      <w:r w:rsidRPr="00F765DD">
        <w:t xml:space="preserve"> cattle EI by 6%</w:t>
      </w:r>
      <w:r w:rsidRPr="00F765DD">
        <w:rPr>
          <w:i/>
          <w:iCs/>
          <w:bdr w:val="none" w:sz="0" w:space="0" w:color="auto" w:frame="1"/>
        </w:rPr>
        <w:t xml:space="preserve"> </w:t>
      </w:r>
      <w:r w:rsidR="00C62A9D">
        <w:rPr>
          <w:i/>
          <w:iCs/>
          <w:bdr w:val="none" w:sz="0" w:space="0" w:color="auto" w:frame="1"/>
        </w:rPr>
        <w:fldChar w:fldCharType="begin"/>
      </w:r>
      <w:r w:rsidR="00F3453F">
        <w:rPr>
          <w:i/>
          <w:iCs/>
          <w:bdr w:val="none" w:sz="0" w:space="0" w:color="auto" w:frame="1"/>
        </w:rPr>
        <w:instrText xml:space="preserve"> ADDIN ZOTERO_ITEM CSL_CITATION {"citationID":"a7eWZKmY","properties":{"formattedCitation":"(Bioscience Network Limited, 2012)","plainCitation":"(Bioscience Network Limited, 2012)","noteIndex":0},"citationItems":[{"id":1834,"uris":["http://zotero.org/users/6500992/items/LDGLSCZW"],"itemData":{"id":1834,"type":"report","genre":"DEFRA","number":"IF0207.","title":"Developing options to deliver a substantial environmental and economic sustainability impact through breeding for feed efficiency of feed use in UK beef cattle","author":[{"literal":"Bioscience Network Limited"}],"issued":{"date-parts":[["2012"]]}}}],"schema":"https://github.com/citation-style-language/schema/raw/master/csl-citation.json"} </w:instrText>
      </w:r>
      <w:r w:rsidR="00C62A9D">
        <w:rPr>
          <w:i/>
          <w:iCs/>
          <w:bdr w:val="none" w:sz="0" w:space="0" w:color="auto" w:frame="1"/>
        </w:rPr>
        <w:fldChar w:fldCharType="separate"/>
      </w:r>
      <w:r w:rsidR="00C62A9D" w:rsidRPr="00C62A9D">
        <w:rPr>
          <w:rFonts w:ascii="Calibri" w:hAnsi="Calibri" w:cs="Calibri"/>
        </w:rPr>
        <w:t>(Bioscience Network Limited, 2012)</w:t>
      </w:r>
      <w:r w:rsidR="00C62A9D">
        <w:rPr>
          <w:i/>
          <w:iCs/>
          <w:bdr w:val="none" w:sz="0" w:space="0" w:color="auto" w:frame="1"/>
        </w:rPr>
        <w:fldChar w:fldCharType="end"/>
      </w:r>
      <w:r w:rsidRPr="00F765DD">
        <w:rPr>
          <w:bdr w:val="none" w:sz="0" w:space="0" w:color="auto" w:frame="1"/>
        </w:rPr>
        <w:t>.</w:t>
      </w:r>
    </w:p>
    <w:p w14:paraId="4887354F" w14:textId="77777777" w:rsidR="00F50B4B" w:rsidRDefault="00F50B4B" w:rsidP="00E568F2">
      <w:pPr>
        <w:spacing w:line="360" w:lineRule="auto"/>
        <w:rPr>
          <w:rFonts w:asciiTheme="minorHAnsi" w:hAnsiTheme="minorHAnsi" w:cstheme="minorHAnsi"/>
          <w:b/>
          <w:bCs/>
          <w:sz w:val="22"/>
          <w:szCs w:val="22"/>
          <w:bdr w:val="none" w:sz="0" w:space="0" w:color="auto" w:frame="1"/>
        </w:rPr>
      </w:pPr>
    </w:p>
    <w:p w14:paraId="04E086AA" w14:textId="093A9463" w:rsidR="00F41C2D" w:rsidRPr="00E57BC7" w:rsidRDefault="00E3054C" w:rsidP="00E568F2">
      <w:pPr>
        <w:pStyle w:val="ListParagraph"/>
        <w:numPr>
          <w:ilvl w:val="3"/>
          <w:numId w:val="2"/>
        </w:numPr>
        <w:spacing w:line="360" w:lineRule="auto"/>
        <w:rPr>
          <w:rFonts w:asciiTheme="minorHAnsi" w:hAnsiTheme="minorHAnsi" w:cstheme="minorHAnsi"/>
          <w:b/>
          <w:bCs/>
          <w:sz w:val="22"/>
          <w:szCs w:val="22"/>
          <w:bdr w:val="none" w:sz="0" w:space="0" w:color="auto" w:frame="1"/>
        </w:rPr>
      </w:pPr>
      <w:r w:rsidRPr="00E57BC7">
        <w:rPr>
          <w:rFonts w:asciiTheme="minorHAnsi" w:hAnsiTheme="minorHAnsi" w:cstheme="minorHAnsi"/>
          <w:b/>
          <w:bCs/>
          <w:sz w:val="22"/>
          <w:szCs w:val="22"/>
          <w:bdr w:val="none" w:sz="0" w:space="0" w:color="auto" w:frame="1"/>
        </w:rPr>
        <w:lastRenderedPageBreak/>
        <w:t xml:space="preserve">Manure </w:t>
      </w:r>
      <w:r w:rsidR="009B694A">
        <w:rPr>
          <w:rFonts w:asciiTheme="minorHAnsi" w:hAnsiTheme="minorHAnsi" w:cstheme="minorHAnsi"/>
          <w:b/>
          <w:bCs/>
          <w:sz w:val="22"/>
          <w:szCs w:val="22"/>
          <w:bdr w:val="none" w:sz="0" w:space="0" w:color="auto" w:frame="1"/>
        </w:rPr>
        <w:t>m</w:t>
      </w:r>
      <w:r w:rsidRPr="00E57BC7">
        <w:rPr>
          <w:rFonts w:asciiTheme="minorHAnsi" w:hAnsiTheme="minorHAnsi" w:cstheme="minorHAnsi"/>
          <w:b/>
          <w:bCs/>
          <w:sz w:val="22"/>
          <w:szCs w:val="22"/>
          <w:bdr w:val="none" w:sz="0" w:space="0" w:color="auto" w:frame="1"/>
        </w:rPr>
        <w:t>anagement</w:t>
      </w:r>
    </w:p>
    <w:p w14:paraId="16B2B976" w14:textId="587B2F68" w:rsidR="002F0EBD" w:rsidRPr="00F765DD" w:rsidRDefault="002F0EBD" w:rsidP="00E568F2">
      <w:pPr>
        <w:pStyle w:val="NoSpacing"/>
        <w:spacing w:line="360" w:lineRule="auto"/>
        <w:rPr>
          <w:b/>
          <w:bCs/>
          <w:bdr w:val="none" w:sz="0" w:space="0" w:color="auto" w:frame="1"/>
        </w:rPr>
      </w:pPr>
      <w:r w:rsidRPr="00F765DD">
        <w:rPr>
          <w:b/>
          <w:bCs/>
          <w:bdr w:val="none" w:sz="0" w:space="0" w:color="auto" w:frame="1"/>
        </w:rPr>
        <w:t xml:space="preserve">Improved organic N </w:t>
      </w:r>
      <w:proofErr w:type="gramStart"/>
      <w:r w:rsidRPr="00F765DD">
        <w:rPr>
          <w:b/>
          <w:bCs/>
          <w:bdr w:val="none" w:sz="0" w:space="0" w:color="auto" w:frame="1"/>
        </w:rPr>
        <w:t>use</w:t>
      </w:r>
      <w:proofErr w:type="gramEnd"/>
      <w:r w:rsidRPr="00F765DD">
        <w:rPr>
          <w:b/>
          <w:bCs/>
          <w:bdr w:val="none" w:sz="0" w:space="0" w:color="auto" w:frame="1"/>
        </w:rPr>
        <w:t xml:space="preserve"> </w:t>
      </w:r>
    </w:p>
    <w:p w14:paraId="6C3605B3" w14:textId="4E7DA729" w:rsidR="0092550E" w:rsidRPr="0087143E" w:rsidRDefault="002F0EBD" w:rsidP="00BA3E62">
      <w:pPr>
        <w:pStyle w:val="NoSpacing"/>
        <w:spacing w:line="360" w:lineRule="auto"/>
        <w:jc w:val="both"/>
        <w:rPr>
          <w:b/>
          <w:bCs/>
          <w:bdr w:val="none" w:sz="0" w:space="0" w:color="auto" w:frame="1"/>
        </w:rPr>
      </w:pPr>
      <w:r w:rsidRPr="00CA069E">
        <w:rPr>
          <w:i/>
          <w:iCs/>
        </w:rPr>
        <w:t xml:space="preserve">Improving the application of organic N </w:t>
      </w:r>
      <w:r>
        <w:t>(manures and slurries)</w:t>
      </w:r>
      <w:r w:rsidRPr="00F765DD">
        <w:t xml:space="preserve"> </w:t>
      </w:r>
      <w:r w:rsidR="00CA069E">
        <w:t>can reduce emissions from</w:t>
      </w:r>
      <w:r w:rsidR="00013D88">
        <w:t xml:space="preserve"> spreading</w:t>
      </w:r>
      <w:r w:rsidR="00CA069E">
        <w:t xml:space="preserve"> manure but </w:t>
      </w:r>
      <w:r>
        <w:t xml:space="preserve">can </w:t>
      </w:r>
      <w:r w:rsidRPr="00F765DD">
        <w:t>also ha</w:t>
      </w:r>
      <w:r>
        <w:t xml:space="preserve">ve a benefit </w:t>
      </w:r>
      <w:r w:rsidRPr="00F765DD">
        <w:t xml:space="preserve">through </w:t>
      </w:r>
      <w:r w:rsidR="00881B7C">
        <w:t>a</w:t>
      </w:r>
      <w:r w:rsidRPr="00F765DD">
        <w:t xml:space="preserve"> reduction in </w:t>
      </w:r>
      <w:r w:rsidR="007A36CE">
        <w:t xml:space="preserve">the amount of </w:t>
      </w:r>
      <w:r w:rsidRPr="00F765DD">
        <w:t>N fertiliser application. This measure includes the use of N</w:t>
      </w:r>
      <w:r w:rsidR="007A36CE">
        <w:t>-</w:t>
      </w:r>
      <w:r w:rsidRPr="00F765DD">
        <w:t>planning tools and low emission spreading to reduce N losses from</w:t>
      </w:r>
      <w:r w:rsidR="0081122E">
        <w:t xml:space="preserve"> ammonia </w:t>
      </w:r>
      <w:r w:rsidR="00C645C8">
        <w:t>(</w:t>
      </w:r>
      <w:r w:rsidR="00C17EE1">
        <w:t>NH</w:t>
      </w:r>
      <w:r w:rsidR="00C17EE1">
        <w:rPr>
          <w:vertAlign w:val="subscript"/>
        </w:rPr>
        <w:t>3</w:t>
      </w:r>
      <w:r w:rsidR="00C645C8">
        <w:t xml:space="preserve">) </w:t>
      </w:r>
      <w:r w:rsidR="00083A64">
        <w:t>volatilisation and</w:t>
      </w:r>
      <w:r w:rsidR="0081122E">
        <w:t xml:space="preserve"> reduce risk of</w:t>
      </w:r>
      <w:r w:rsidRPr="00F765DD">
        <w:t xml:space="preserve"> leaching and run-off and increase the N utilised by crops. Here, a simplified approach is used where abatement is measured by the reduction in synthetic N use rather than fully accounting for changes in organic and synthetic N use. The combination of better </w:t>
      </w:r>
      <w:r w:rsidR="00D412FA">
        <w:t>manure</w:t>
      </w:r>
      <w:r w:rsidR="00D412FA" w:rsidRPr="00F765DD">
        <w:t xml:space="preserve"> </w:t>
      </w:r>
      <w:r w:rsidRPr="00F765DD">
        <w:t xml:space="preserve">use through </w:t>
      </w:r>
      <w:r w:rsidR="00617F68">
        <w:t>improved planning o</w:t>
      </w:r>
      <w:r w:rsidR="001B73AD">
        <w:t xml:space="preserve">f organic N use and switching to low emission </w:t>
      </w:r>
      <w:r w:rsidR="0092550E">
        <w:t>spreading technologies</w:t>
      </w:r>
      <w:r w:rsidRPr="00F765DD">
        <w:t xml:space="preserve"> was assumed to reduce synthetic N use by 14.4 kg N ha</w:t>
      </w:r>
      <w:r w:rsidRPr="002F0EBD">
        <w:rPr>
          <w:vertAlign w:val="superscript"/>
        </w:rPr>
        <w:t>-1</w:t>
      </w:r>
      <w:r w:rsidRPr="00F765DD">
        <w:t xml:space="preserve"> (Pellerin et al. 2013).</w:t>
      </w:r>
      <w:r w:rsidR="00DF1ACA">
        <w:t xml:space="preserve"> </w:t>
      </w:r>
      <w:r w:rsidR="0066281A">
        <w:t>This measure was not implemented in any of the</w:t>
      </w:r>
      <w:r w:rsidR="0087143E">
        <w:t xml:space="preserve"> same</w:t>
      </w:r>
      <w:r w:rsidR="0066281A">
        <w:t xml:space="preserve"> mitigation </w:t>
      </w:r>
      <w:r w:rsidR="001502B5">
        <w:t xml:space="preserve">scenarios as </w:t>
      </w:r>
      <w:r w:rsidR="007A36CE">
        <w:rPr>
          <w:i/>
          <w:iCs/>
        </w:rPr>
        <w:t>i</w:t>
      </w:r>
      <w:r w:rsidR="001502B5">
        <w:rPr>
          <w:i/>
          <w:iCs/>
        </w:rPr>
        <w:t>mproved synthe</w:t>
      </w:r>
      <w:r w:rsidR="0087143E">
        <w:rPr>
          <w:i/>
          <w:iCs/>
        </w:rPr>
        <w:t xml:space="preserve">tic N use </w:t>
      </w:r>
      <w:r w:rsidR="00980FAA">
        <w:t>to avoid any</w:t>
      </w:r>
      <w:r w:rsidR="0087143E">
        <w:t xml:space="preserve"> additive effects</w:t>
      </w:r>
      <w:r w:rsidR="00284EBA">
        <w:t xml:space="preserve"> of combining these measures.</w:t>
      </w:r>
    </w:p>
    <w:p w14:paraId="276B5726" w14:textId="77777777" w:rsidR="0092550E" w:rsidRDefault="0092550E" w:rsidP="00E568F2">
      <w:pPr>
        <w:pStyle w:val="NoSpacing"/>
        <w:spacing w:line="360" w:lineRule="auto"/>
        <w:rPr>
          <w:b/>
          <w:bCs/>
          <w:bdr w:val="none" w:sz="0" w:space="0" w:color="auto" w:frame="1"/>
        </w:rPr>
      </w:pPr>
    </w:p>
    <w:p w14:paraId="7D1FB01E" w14:textId="22894B3B" w:rsidR="002F0EBD" w:rsidRPr="00F765DD" w:rsidRDefault="002F0EBD" w:rsidP="00E568F2">
      <w:pPr>
        <w:pStyle w:val="NoSpacing"/>
        <w:spacing w:line="360" w:lineRule="auto"/>
        <w:rPr>
          <w:b/>
          <w:bCs/>
          <w:bdr w:val="none" w:sz="0" w:space="0" w:color="auto" w:frame="1"/>
        </w:rPr>
      </w:pPr>
      <w:r w:rsidRPr="00F765DD">
        <w:rPr>
          <w:b/>
          <w:bCs/>
          <w:bdr w:val="none" w:sz="0" w:space="0" w:color="auto" w:frame="1"/>
        </w:rPr>
        <w:t>Slurry acidification</w:t>
      </w:r>
    </w:p>
    <w:p w14:paraId="43B45BEB" w14:textId="4177C4B0" w:rsidR="002F0EBD" w:rsidRPr="00F8616D" w:rsidRDefault="002F0EBD" w:rsidP="00BA3E62">
      <w:pPr>
        <w:pStyle w:val="NoSpacing"/>
        <w:spacing w:line="360" w:lineRule="auto"/>
        <w:jc w:val="both"/>
        <w:rPr>
          <w:bdr w:val="none" w:sz="0" w:space="0" w:color="auto" w:frame="1"/>
        </w:rPr>
      </w:pPr>
      <w:r w:rsidRPr="009B32AA">
        <w:rPr>
          <w:bdr w:val="none" w:sz="0" w:space="0" w:color="auto" w:frame="1"/>
        </w:rPr>
        <w:t>Slurry acidification involves adding strong acids like sul</w:t>
      </w:r>
      <w:r w:rsidR="00983688">
        <w:rPr>
          <w:bdr w:val="none" w:sz="0" w:space="0" w:color="auto" w:frame="1"/>
        </w:rPr>
        <w:t>ph</w:t>
      </w:r>
      <w:r w:rsidRPr="009B32AA">
        <w:rPr>
          <w:bdr w:val="none" w:sz="0" w:space="0" w:color="auto" w:frame="1"/>
        </w:rPr>
        <w:t>uric acid or hydrogen chloride to slurry in-house, in storage tanks</w:t>
      </w:r>
      <w:r>
        <w:rPr>
          <w:bdr w:val="none" w:sz="0" w:space="0" w:color="auto" w:frame="1"/>
        </w:rPr>
        <w:t>,</w:t>
      </w:r>
      <w:r w:rsidRPr="009B32AA">
        <w:rPr>
          <w:bdr w:val="none" w:sz="0" w:space="0" w:color="auto" w:frame="1"/>
        </w:rPr>
        <w:t xml:space="preserve"> or before field application</w:t>
      </w:r>
      <w:r>
        <w:rPr>
          <w:bdr w:val="none" w:sz="0" w:space="0" w:color="auto" w:frame="1"/>
        </w:rPr>
        <w:t xml:space="preserve"> </w:t>
      </w:r>
      <w:r>
        <w:rPr>
          <w:bdr w:val="none" w:sz="0" w:space="0" w:color="auto" w:frame="1"/>
        </w:rPr>
        <w:fldChar w:fldCharType="begin"/>
      </w:r>
      <w:r>
        <w:rPr>
          <w:bdr w:val="none" w:sz="0" w:space="0" w:color="auto" w:frame="1"/>
        </w:rPr>
        <w:instrText xml:space="preserve"> ADDIN ZOTERO_ITEM CSL_CITATION {"citationID":"xM5co91n","properties":{"formattedCitation":"(Fangueiro et al., 2015)","plainCitation":"(Fangueiro et al., 2015)","noteIndex":0},"citationItems":[{"id":1068,"uris":["http://zotero.org/users/6500992/items/B85JVJME"],"itemData":{"id":1068,"type":"article-journal","abstract":"Ammonia emissions are a major problem associated with animal slurry management, and solutions to overcome this problem are required worldwide by farmers and stakeholders. An obvious way to minimize ammonia emissions from slurry is to decrease slurry pH by addition of acids or other substances. This solution has been used commonly since 2010 in countries such as Denmark, and its efficiency with regard to the minimization of NH3 emissions has been documented in many studies. Nevertheless, the impact of such treatment on other gaseous emissions during storage is not clear, since the studies performed so far have provided different scenarios. Similarly, the impact of the soil application of acidified slurry on plant production and diffuse pollution has been considered in several studies. Also, the impact of acidification upon combination with other slurry treatment technologies (e.g. mechanical separation, anaerobic digestion …) is important to consider. Here, a compilation and critical review of all these studies has been performed in order to fully understand the global impact of slurry acidification and assess the applicability of this treatment for slurry management.","container-title":"Journal of Environmental Management","DOI":"10.1016/j.jenvman.2014.10.001","ISSN":"0301-4797","journalAbbreviation":"Journal of Environmental Management","language":"en","page":"46-56","source":"ScienceDirect","title":"Acidification of animal slurry– a review","volume":"149","author":[{"family":"Fangueiro","given":"David"},{"family":"Hjorth","given":"Maibritt"},{"family":"Gioelli","given":"Fabrizio"}],"issued":{"date-parts":[["2015",2,1]]}}}],"schema":"https://github.com/citation-style-language/schema/raw/master/csl-citation.json"} </w:instrText>
      </w:r>
      <w:r>
        <w:rPr>
          <w:bdr w:val="none" w:sz="0" w:space="0" w:color="auto" w:frame="1"/>
        </w:rPr>
        <w:fldChar w:fldCharType="separate"/>
      </w:r>
      <w:r w:rsidR="00A573B5" w:rsidRPr="00A573B5">
        <w:rPr>
          <w:rFonts w:ascii="Calibri" w:hAnsi="Calibri" w:cs="Calibri"/>
        </w:rPr>
        <w:t>(Fangueiro et al., 2015)</w:t>
      </w:r>
      <w:r>
        <w:rPr>
          <w:bdr w:val="none" w:sz="0" w:space="0" w:color="auto" w:frame="1"/>
        </w:rPr>
        <w:fldChar w:fldCharType="end"/>
      </w:r>
      <w:r w:rsidRPr="009B32AA">
        <w:rPr>
          <w:bdr w:val="none" w:sz="0" w:space="0" w:color="auto" w:frame="1"/>
        </w:rPr>
        <w:t xml:space="preserve">. This aims to achieve a </w:t>
      </w:r>
      <w:r>
        <w:rPr>
          <w:bdr w:val="none" w:sz="0" w:space="0" w:color="auto" w:frame="1"/>
        </w:rPr>
        <w:t xml:space="preserve">target </w:t>
      </w:r>
      <w:r w:rsidR="00F25C7E">
        <w:rPr>
          <w:bdr w:val="none" w:sz="0" w:space="0" w:color="auto" w:frame="1"/>
        </w:rPr>
        <w:t xml:space="preserve">slurry </w:t>
      </w:r>
      <w:r w:rsidRPr="009B32AA">
        <w:rPr>
          <w:bdr w:val="none" w:sz="0" w:space="0" w:color="auto" w:frame="1"/>
        </w:rPr>
        <w:t xml:space="preserve">pH of </w:t>
      </w:r>
      <w:r>
        <w:rPr>
          <w:bdr w:val="none" w:sz="0" w:space="0" w:color="auto" w:frame="1"/>
        </w:rPr>
        <w:t>5.5</w:t>
      </w:r>
      <w:r w:rsidR="007D1C2C">
        <w:rPr>
          <w:bdr w:val="none" w:sz="0" w:space="0" w:color="auto" w:frame="1"/>
        </w:rPr>
        <w:t xml:space="preserve"> to </w:t>
      </w:r>
      <w:r>
        <w:rPr>
          <w:bdr w:val="none" w:sz="0" w:space="0" w:color="auto" w:frame="1"/>
        </w:rPr>
        <w:t xml:space="preserve">6.0 as a means of reducing </w:t>
      </w:r>
      <w:r w:rsidR="00C17EE1">
        <w:rPr>
          <w:bdr w:val="none" w:sz="0" w:space="0" w:color="auto" w:frame="1"/>
        </w:rPr>
        <w:t>NH</w:t>
      </w:r>
      <w:r w:rsidR="00C17EE1">
        <w:rPr>
          <w:bdr w:val="none" w:sz="0" w:space="0" w:color="auto" w:frame="1"/>
          <w:vertAlign w:val="subscript"/>
        </w:rPr>
        <w:t>3</w:t>
      </w:r>
      <w:r w:rsidR="00C17EE1">
        <w:rPr>
          <w:bdr w:val="none" w:sz="0" w:space="0" w:color="auto" w:frame="1"/>
        </w:rPr>
        <w:t xml:space="preserve"> </w:t>
      </w:r>
      <w:r>
        <w:rPr>
          <w:bdr w:val="none" w:sz="0" w:space="0" w:color="auto" w:frame="1"/>
        </w:rPr>
        <w:t xml:space="preserve">emissions, but </w:t>
      </w:r>
      <w:r w:rsidR="00E2448B">
        <w:rPr>
          <w:bdr w:val="none" w:sz="0" w:space="0" w:color="auto" w:frame="1"/>
        </w:rPr>
        <w:t>CH</w:t>
      </w:r>
      <w:r w:rsidR="00E2448B" w:rsidRPr="00E2448B">
        <w:rPr>
          <w:bdr w:val="none" w:sz="0" w:space="0" w:color="auto" w:frame="1"/>
          <w:vertAlign w:val="subscript"/>
        </w:rPr>
        <w:t>4</w:t>
      </w:r>
      <w:r>
        <w:rPr>
          <w:bdr w:val="none" w:sz="0" w:space="0" w:color="auto" w:frame="1"/>
        </w:rPr>
        <w:t xml:space="preserve"> emissions from slurry stores are also significantly reduced </w:t>
      </w:r>
      <w:r>
        <w:rPr>
          <w:bdr w:val="none" w:sz="0" w:space="0" w:color="auto" w:frame="1"/>
        </w:rPr>
        <w:fldChar w:fldCharType="begin"/>
      </w:r>
      <w:r>
        <w:rPr>
          <w:bdr w:val="none" w:sz="0" w:space="0" w:color="auto" w:frame="1"/>
        </w:rPr>
        <w:instrText xml:space="preserve"> ADDIN ZOTERO_ITEM CSL_CITATION {"citationID":"WvkgVoe9","properties":{"formattedCitation":"(Sokolov et al., 2021)","plainCitation":"(Sokolov et al., 2021)","noteIndex":0},"citationItems":[{"id":1071,"uris":["http://zotero.org/users/6500992/items/IUZ6A6K4"],"itemData":{"id":1071,"type":"article-journal","abstract":"Addition of sulfuric acid (H2SO4) to liquid dairy manure (slurry) reduces methane (CH4), nitrous oxide (N2O), and ammonia (NH3) emissions. There is interest in understanding how gaseous emissions respond to decreasing rates of acidification, to determine economically optimum application rates. Acidification rates were tested ranging from 0 to 2 g sulfuric acid (H2SO4) L−1 slurry in six meso-scale outdoor storage tanks, each filled with 10.6 m3 slurry and stored for 114 d. Results showed that the rate of acidification for maximum inhibition of CH4 and NH3 emissions varied markedly, whereas N2O reductions were modest. Reductions of CH4 increased with acid rate from 0 to 1.2 g L−1, with no additional response beyond &gt;1.2 g L−1. In contrast to CH4, inhibitions of NH3 showed a linear response across all rates, although reductions were ≤ 30%. Thus, higher acidification rates would be required to achieve greater NH3 emission reductions. Our findings indicate that achieving &gt;85% NH3 emissions reductions would require 4 × more acid than achieving &gt;85% CH4 reductions. Decisions on optimum H2SO4 rates will depend on the need to mitigate CH4 emissions (the primary greenhouse gas emitted from stored liquid manure) or reduce NH3 emissions (which is regulated in some regions). These results will help develop guidelines related to the potential costs and benefits of reducing emissions through acidification.","container-title":"Frontiers in Sustainable Food Systems","ISSN":"2571-581X","source":"Frontiers","title":"Response Curves for Ammonia and Methane Emissions From Stored Liquid Manure Receiving Low Rates of Sulfuric Acid","URL":"https://www.frontiersin.org/articles/10.3389/fsufs.2021.678992","volume":"5","author":[{"family":"Sokolov","given":"Vera"},{"family":"Habtewold","given":"Jemaneh"},{"family":"VanderZaag","given":"Andrew"},{"family":"Dunfield","given":"Kari"},{"family":"Gregorich","given":"Edward"},{"family":"Wagner-Riddle","given":"Claudia"},{"family":"Venkiteswaran","given":"Jason J."},{"family":"Gordon","given":"Robert"}],"accessed":{"date-parts":[["2022",9,1]]},"issued":{"date-parts":[["2021"]]}}}],"schema":"https://github.com/citation-style-language/schema/raw/master/csl-citation.json"} </w:instrText>
      </w:r>
      <w:r>
        <w:rPr>
          <w:bdr w:val="none" w:sz="0" w:space="0" w:color="auto" w:frame="1"/>
        </w:rPr>
        <w:fldChar w:fldCharType="separate"/>
      </w:r>
      <w:r w:rsidR="00A573B5" w:rsidRPr="00A573B5">
        <w:rPr>
          <w:rFonts w:ascii="Calibri" w:hAnsi="Calibri" w:cs="Calibri"/>
        </w:rPr>
        <w:t>(Sokolov et al., 2021)</w:t>
      </w:r>
      <w:r>
        <w:rPr>
          <w:bdr w:val="none" w:sz="0" w:space="0" w:color="auto" w:frame="1"/>
        </w:rPr>
        <w:fldChar w:fldCharType="end"/>
      </w:r>
      <w:r w:rsidRPr="009B32AA">
        <w:rPr>
          <w:bdr w:val="none" w:sz="0" w:space="0" w:color="auto" w:frame="1"/>
        </w:rPr>
        <w:t xml:space="preserve">. In </w:t>
      </w:r>
      <w:r>
        <w:rPr>
          <w:bdr w:val="none" w:sz="0" w:space="0" w:color="auto" w:frame="1"/>
        </w:rPr>
        <w:t>the current</w:t>
      </w:r>
      <w:r w:rsidRPr="009B32AA">
        <w:rPr>
          <w:bdr w:val="none" w:sz="0" w:space="0" w:color="auto" w:frame="1"/>
        </w:rPr>
        <w:t xml:space="preserve"> study</w:t>
      </w:r>
      <w:r w:rsidR="007A36CE">
        <w:rPr>
          <w:bdr w:val="none" w:sz="0" w:space="0" w:color="auto" w:frame="1"/>
        </w:rPr>
        <w:t>,</w:t>
      </w:r>
      <w:r w:rsidRPr="009B32AA">
        <w:rPr>
          <w:bdr w:val="none" w:sz="0" w:space="0" w:color="auto" w:frame="1"/>
        </w:rPr>
        <w:t xml:space="preserve"> when slurry was acidified,</w:t>
      </w:r>
      <w:r>
        <w:rPr>
          <w:bdr w:val="none" w:sz="0" w:space="0" w:color="auto" w:frame="1"/>
        </w:rPr>
        <w:t xml:space="preserve"> the manure </w:t>
      </w:r>
      <w:r w:rsidR="00E2448B">
        <w:rPr>
          <w:bdr w:val="none" w:sz="0" w:space="0" w:color="auto" w:frame="1"/>
        </w:rPr>
        <w:t>CH</w:t>
      </w:r>
      <w:r w:rsidR="00E2448B" w:rsidRPr="00E2448B">
        <w:rPr>
          <w:bdr w:val="none" w:sz="0" w:space="0" w:color="auto" w:frame="1"/>
          <w:vertAlign w:val="subscript"/>
        </w:rPr>
        <w:t>4</w:t>
      </w:r>
      <w:r w:rsidRPr="00E2448B">
        <w:rPr>
          <w:bdr w:val="none" w:sz="0" w:space="0" w:color="auto" w:frame="1"/>
          <w:vertAlign w:val="subscript"/>
        </w:rPr>
        <w:t xml:space="preserve"> </w:t>
      </w:r>
      <w:r>
        <w:rPr>
          <w:bdr w:val="none" w:sz="0" w:space="0" w:color="auto" w:frame="1"/>
        </w:rPr>
        <w:t xml:space="preserve">conversion factor was reduced by </w:t>
      </w:r>
      <w:r w:rsidRPr="009B32AA">
        <w:rPr>
          <w:bdr w:val="none" w:sz="0" w:space="0" w:color="auto" w:frame="1"/>
        </w:rPr>
        <w:t xml:space="preserve">75% </w:t>
      </w:r>
      <w:r w:rsidRPr="009B32AA">
        <w:rPr>
          <w:bdr w:val="none" w:sz="0" w:space="0" w:color="auto" w:frame="1"/>
        </w:rPr>
        <w:fldChar w:fldCharType="begin"/>
      </w:r>
      <w:r w:rsidRPr="009B32AA">
        <w:rPr>
          <w:bdr w:val="none" w:sz="0" w:space="0" w:color="auto" w:frame="1"/>
        </w:rPr>
        <w:instrText xml:space="preserve"> ADDIN ZOTERO_ITEM CSL_CITATION {"citationID":"OBX3T1Qm","properties":{"formattedCitation":"(Eory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Pr="009B32AA">
        <w:rPr>
          <w:bdr w:val="none" w:sz="0" w:space="0" w:color="auto" w:frame="1"/>
        </w:rPr>
        <w:fldChar w:fldCharType="separate"/>
      </w:r>
      <w:r w:rsidR="00A573B5" w:rsidRPr="00A573B5">
        <w:rPr>
          <w:rFonts w:ascii="Calibri" w:hAnsi="Calibri" w:cs="Calibri"/>
        </w:rPr>
        <w:t>(Eory et al., 2015)</w:t>
      </w:r>
      <w:r w:rsidRPr="009B32AA">
        <w:rPr>
          <w:bdr w:val="none" w:sz="0" w:space="0" w:color="auto" w:frame="1"/>
        </w:rPr>
        <w:fldChar w:fldCharType="end"/>
      </w:r>
      <w:r w:rsidRPr="009B32AA">
        <w:rPr>
          <w:bdr w:val="none" w:sz="0" w:space="0" w:color="auto" w:frame="1"/>
        </w:rPr>
        <w:t>.</w:t>
      </w:r>
      <w:r>
        <w:rPr>
          <w:bdr w:val="none" w:sz="0" w:space="0" w:color="auto" w:frame="1"/>
        </w:rPr>
        <w:t xml:space="preserve"> A 70% </w:t>
      </w:r>
      <w:r w:rsidR="002C6B2D">
        <w:rPr>
          <w:bdr w:val="none" w:sz="0" w:space="0" w:color="auto" w:frame="1"/>
        </w:rPr>
        <w:t xml:space="preserve">decrease in the fraction </w:t>
      </w:r>
      <w:r w:rsidR="001D6A50">
        <w:rPr>
          <w:bdr w:val="none" w:sz="0" w:space="0" w:color="auto" w:frame="1"/>
        </w:rPr>
        <w:t xml:space="preserve">of the manure </w:t>
      </w:r>
      <w:r w:rsidR="00287F54">
        <w:rPr>
          <w:bdr w:val="none" w:sz="0" w:space="0" w:color="auto" w:frame="1"/>
        </w:rPr>
        <w:t xml:space="preserve">N </w:t>
      </w:r>
      <w:r w:rsidR="001D6A50">
        <w:rPr>
          <w:bdr w:val="none" w:sz="0" w:space="0" w:color="auto" w:frame="1"/>
        </w:rPr>
        <w:t xml:space="preserve">which is volatilised </w:t>
      </w:r>
      <w:r w:rsidR="00287F54">
        <w:rPr>
          <w:bdr w:val="none" w:sz="0" w:space="0" w:color="auto" w:frame="1"/>
        </w:rPr>
        <w:t xml:space="preserve">as </w:t>
      </w:r>
      <w:r w:rsidR="00287F54" w:rsidRPr="00287F54">
        <w:rPr>
          <w:bdr w:val="none" w:sz="0" w:space="0" w:color="auto" w:frame="1"/>
        </w:rPr>
        <w:t>NH</w:t>
      </w:r>
      <w:r w:rsidR="00287F54">
        <w:rPr>
          <w:bdr w:val="none" w:sz="0" w:space="0" w:color="auto" w:frame="1"/>
          <w:vertAlign w:val="subscript"/>
        </w:rPr>
        <w:t>3</w:t>
      </w:r>
      <w:r w:rsidR="00287F54">
        <w:rPr>
          <w:bdr w:val="none" w:sz="0" w:space="0" w:color="auto" w:frame="1"/>
        </w:rPr>
        <w:t xml:space="preserve"> </w:t>
      </w:r>
      <w:r w:rsidR="001D6A50" w:rsidRPr="00287F54">
        <w:rPr>
          <w:bdr w:val="none" w:sz="0" w:space="0" w:color="auto" w:frame="1"/>
        </w:rPr>
        <w:t>was</w:t>
      </w:r>
      <w:r w:rsidR="001D6A50">
        <w:rPr>
          <w:bdr w:val="none" w:sz="0" w:space="0" w:color="auto" w:frame="1"/>
        </w:rPr>
        <w:t xml:space="preserve"> also expected following acidification</w:t>
      </w:r>
      <w:r>
        <w:rPr>
          <w:bdr w:val="none" w:sz="0" w:space="0" w:color="auto" w:frame="1"/>
        </w:rPr>
        <w:t>, however</w:t>
      </w:r>
      <w:r w:rsidR="009E6221">
        <w:rPr>
          <w:bdr w:val="none" w:sz="0" w:space="0" w:color="auto" w:frame="1"/>
        </w:rPr>
        <w:t xml:space="preserve"> due to inconclusive evidence o</w:t>
      </w:r>
      <w:r w:rsidR="004E45C8">
        <w:rPr>
          <w:bdr w:val="none" w:sz="0" w:space="0" w:color="auto" w:frame="1"/>
        </w:rPr>
        <w:t>n</w:t>
      </w:r>
      <w:r w:rsidR="009E6221">
        <w:rPr>
          <w:bdr w:val="none" w:sz="0" w:space="0" w:color="auto" w:frame="1"/>
        </w:rPr>
        <w:t xml:space="preserve"> the effect of acidification</w:t>
      </w:r>
      <w:r w:rsidR="00EF58DF">
        <w:rPr>
          <w:bdr w:val="none" w:sz="0" w:space="0" w:color="auto" w:frame="1"/>
        </w:rPr>
        <w:t xml:space="preserve"> after spreading</w:t>
      </w:r>
      <w:r>
        <w:rPr>
          <w:bdr w:val="none" w:sz="0" w:space="0" w:color="auto" w:frame="1"/>
        </w:rPr>
        <w:t xml:space="preserve">, the reduction in </w:t>
      </w:r>
      <w:r w:rsidR="00F31BBD">
        <w:rPr>
          <w:bdr w:val="none" w:sz="0" w:space="0" w:color="auto" w:frame="1"/>
        </w:rPr>
        <w:t xml:space="preserve">both direct and </w:t>
      </w:r>
      <w:r>
        <w:rPr>
          <w:bdr w:val="none" w:sz="0" w:space="0" w:color="auto" w:frame="1"/>
        </w:rPr>
        <w:t>indirect N</w:t>
      </w:r>
      <w:r>
        <w:rPr>
          <w:bdr w:val="none" w:sz="0" w:space="0" w:color="auto" w:frame="1"/>
          <w:vertAlign w:val="subscript"/>
        </w:rPr>
        <w:t>2</w:t>
      </w:r>
      <w:r>
        <w:rPr>
          <w:bdr w:val="none" w:sz="0" w:space="0" w:color="auto" w:frame="1"/>
        </w:rPr>
        <w:t>O emissions was excluded.</w:t>
      </w:r>
    </w:p>
    <w:p w14:paraId="39C7B8EB" w14:textId="77777777" w:rsidR="002F0EBD" w:rsidRDefault="002F0EBD" w:rsidP="00BA3E62">
      <w:pPr>
        <w:pStyle w:val="ListParagraph"/>
        <w:spacing w:line="360" w:lineRule="auto"/>
        <w:ind w:left="1080"/>
        <w:jc w:val="both"/>
        <w:rPr>
          <w:rFonts w:asciiTheme="minorHAnsi" w:hAnsiTheme="minorHAnsi" w:cstheme="minorHAnsi"/>
          <w:b/>
          <w:bCs/>
          <w:sz w:val="22"/>
          <w:szCs w:val="22"/>
          <w:bdr w:val="none" w:sz="0" w:space="0" w:color="auto" w:frame="1"/>
        </w:rPr>
      </w:pPr>
    </w:p>
    <w:p w14:paraId="1BBD77FC" w14:textId="4340A582" w:rsidR="00F41C2D" w:rsidRPr="00E57BC7" w:rsidRDefault="00E3054C" w:rsidP="00E568F2">
      <w:pPr>
        <w:pStyle w:val="ListParagraph"/>
        <w:numPr>
          <w:ilvl w:val="3"/>
          <w:numId w:val="2"/>
        </w:numPr>
        <w:spacing w:line="360" w:lineRule="auto"/>
        <w:rPr>
          <w:rFonts w:asciiTheme="minorHAnsi" w:hAnsiTheme="minorHAnsi" w:cstheme="minorHAnsi"/>
          <w:b/>
          <w:bCs/>
          <w:sz w:val="22"/>
          <w:szCs w:val="22"/>
          <w:bdr w:val="none" w:sz="0" w:space="0" w:color="auto" w:frame="1"/>
        </w:rPr>
      </w:pPr>
      <w:r w:rsidRPr="00E57BC7">
        <w:rPr>
          <w:rFonts w:asciiTheme="minorHAnsi" w:hAnsiTheme="minorHAnsi" w:cstheme="minorHAnsi"/>
          <w:b/>
          <w:bCs/>
          <w:sz w:val="22"/>
          <w:szCs w:val="22"/>
          <w:bdr w:val="none" w:sz="0" w:space="0" w:color="auto" w:frame="1"/>
        </w:rPr>
        <w:t>Nutrition and</w:t>
      </w:r>
      <w:r w:rsidR="004779CF" w:rsidRPr="00E57BC7">
        <w:rPr>
          <w:rFonts w:asciiTheme="minorHAnsi" w:hAnsiTheme="minorHAnsi" w:cstheme="minorHAnsi"/>
          <w:b/>
          <w:bCs/>
          <w:sz w:val="22"/>
          <w:szCs w:val="22"/>
          <w:bdr w:val="none" w:sz="0" w:space="0" w:color="auto" w:frame="1"/>
        </w:rPr>
        <w:t xml:space="preserve"> </w:t>
      </w:r>
      <w:r w:rsidR="00F54BD6">
        <w:rPr>
          <w:rFonts w:asciiTheme="minorHAnsi" w:hAnsiTheme="minorHAnsi" w:cstheme="minorHAnsi"/>
          <w:b/>
          <w:bCs/>
          <w:sz w:val="22"/>
          <w:szCs w:val="22"/>
          <w:bdr w:val="none" w:sz="0" w:space="0" w:color="auto" w:frame="1"/>
        </w:rPr>
        <w:t>f</w:t>
      </w:r>
      <w:r w:rsidR="004779CF" w:rsidRPr="00E57BC7">
        <w:rPr>
          <w:rFonts w:asciiTheme="minorHAnsi" w:hAnsiTheme="minorHAnsi" w:cstheme="minorHAnsi"/>
          <w:b/>
          <w:bCs/>
          <w:sz w:val="22"/>
          <w:szCs w:val="22"/>
          <w:bdr w:val="none" w:sz="0" w:space="0" w:color="auto" w:frame="1"/>
        </w:rPr>
        <w:t xml:space="preserve">eed </w:t>
      </w:r>
      <w:r w:rsidR="00F54BD6">
        <w:rPr>
          <w:rFonts w:asciiTheme="minorHAnsi" w:hAnsiTheme="minorHAnsi" w:cstheme="minorHAnsi"/>
          <w:b/>
          <w:bCs/>
          <w:sz w:val="22"/>
          <w:szCs w:val="22"/>
          <w:bdr w:val="none" w:sz="0" w:space="0" w:color="auto" w:frame="1"/>
        </w:rPr>
        <w:t>a</w:t>
      </w:r>
      <w:r w:rsidR="004779CF" w:rsidRPr="00E57BC7">
        <w:rPr>
          <w:rFonts w:asciiTheme="minorHAnsi" w:hAnsiTheme="minorHAnsi" w:cstheme="minorHAnsi"/>
          <w:b/>
          <w:bCs/>
          <w:sz w:val="22"/>
          <w:szCs w:val="22"/>
          <w:bdr w:val="none" w:sz="0" w:space="0" w:color="auto" w:frame="1"/>
        </w:rPr>
        <w:t>dditives</w:t>
      </w:r>
    </w:p>
    <w:p w14:paraId="26322BF6" w14:textId="5A8E2F67" w:rsidR="002F0EBD" w:rsidRPr="006B09AE" w:rsidRDefault="002F0EBD" w:rsidP="00E568F2">
      <w:pPr>
        <w:pStyle w:val="NoSpacing"/>
        <w:spacing w:line="360" w:lineRule="auto"/>
        <w:rPr>
          <w:b/>
          <w:bCs/>
          <w:bdr w:val="none" w:sz="0" w:space="0" w:color="auto" w:frame="1"/>
        </w:rPr>
      </w:pPr>
      <w:r w:rsidRPr="006B09AE">
        <w:rPr>
          <w:b/>
          <w:bCs/>
          <w:bdr w:val="none" w:sz="0" w:space="0" w:color="auto" w:frame="1"/>
        </w:rPr>
        <w:t>Improving beef and sheep nutrition</w:t>
      </w:r>
      <w:r w:rsidRPr="006B09AE">
        <w:rPr>
          <w:b/>
          <w:bCs/>
          <w:bdr w:val="none" w:sz="0" w:space="0" w:color="auto" w:frame="1"/>
        </w:rPr>
        <w:tab/>
      </w:r>
    </w:p>
    <w:p w14:paraId="6DCD3A7B" w14:textId="16A3CA5B" w:rsidR="002F0EBD" w:rsidRPr="006B09AE" w:rsidRDefault="002F0EBD" w:rsidP="00BA3E62">
      <w:pPr>
        <w:pStyle w:val="NoSpacing"/>
        <w:spacing w:line="360" w:lineRule="auto"/>
        <w:jc w:val="both"/>
        <w:rPr>
          <w:bdr w:val="none" w:sz="0" w:space="0" w:color="auto" w:frame="1"/>
        </w:rPr>
      </w:pPr>
      <w:r w:rsidRPr="006B09AE">
        <w:rPr>
          <w:bdr w:val="none" w:sz="0" w:space="0" w:color="auto" w:frame="1"/>
        </w:rPr>
        <w:t>This measure describes the improvement of ration nutritional values (</w:t>
      </w:r>
      <w:r w:rsidR="00083A64" w:rsidRPr="006B09AE">
        <w:rPr>
          <w:bdr w:val="none" w:sz="0" w:space="0" w:color="auto" w:frame="1"/>
        </w:rPr>
        <w:t>i.e.,</w:t>
      </w:r>
      <w:r w:rsidRPr="006B09AE">
        <w:rPr>
          <w:bdr w:val="none" w:sz="0" w:space="0" w:color="auto" w:frame="1"/>
        </w:rPr>
        <w:t xml:space="preserve"> digestibility of the ration), </w:t>
      </w:r>
      <w:proofErr w:type="gramStart"/>
      <w:r w:rsidRPr="006B09AE">
        <w:rPr>
          <w:bdr w:val="none" w:sz="0" w:space="0" w:color="auto" w:frame="1"/>
        </w:rPr>
        <w:t>in order to</w:t>
      </w:r>
      <w:proofErr w:type="gramEnd"/>
      <w:r w:rsidRPr="006B09AE">
        <w:rPr>
          <w:bdr w:val="none" w:sz="0" w:space="0" w:color="auto" w:frame="1"/>
        </w:rPr>
        <w:t xml:space="preserve"> improve yield and reduce enteric </w:t>
      </w:r>
      <w:r w:rsidR="00E2448B">
        <w:rPr>
          <w:bdr w:val="none" w:sz="0" w:space="0" w:color="auto" w:frame="1"/>
        </w:rPr>
        <w:t>CH</w:t>
      </w:r>
      <w:r w:rsidR="00E2448B" w:rsidRPr="004E45C8">
        <w:rPr>
          <w:bdr w:val="none" w:sz="0" w:space="0" w:color="auto" w:frame="1"/>
          <w:vertAlign w:val="subscript"/>
        </w:rPr>
        <w:t>4</w:t>
      </w:r>
      <w:r w:rsidRPr="006B09AE">
        <w:rPr>
          <w:bdr w:val="none" w:sz="0" w:space="0" w:color="auto" w:frame="1"/>
        </w:rPr>
        <w:t xml:space="preserve"> emissions. It involves improving the composition of the diet, complemented with forage analysis and improved grazing management. </w:t>
      </w:r>
      <w:r w:rsidR="00C65605">
        <w:rPr>
          <w:bdr w:val="none" w:sz="0" w:space="0" w:color="auto" w:frame="1"/>
        </w:rPr>
        <w:t>Specifically, d</w:t>
      </w:r>
      <w:r w:rsidR="009A6200">
        <w:rPr>
          <w:bdr w:val="none" w:sz="0" w:space="0" w:color="auto" w:frame="1"/>
        </w:rPr>
        <w:t xml:space="preserve">igestibility of </w:t>
      </w:r>
      <w:r w:rsidR="00B71B20">
        <w:rPr>
          <w:bdr w:val="none" w:sz="0" w:space="0" w:color="auto" w:frame="1"/>
        </w:rPr>
        <w:t xml:space="preserve">animal </w:t>
      </w:r>
      <w:r w:rsidR="009A6200">
        <w:rPr>
          <w:bdr w:val="none" w:sz="0" w:space="0" w:color="auto" w:frame="1"/>
        </w:rPr>
        <w:t xml:space="preserve">feed can be increased </w:t>
      </w:r>
      <w:r w:rsidR="001A4105">
        <w:rPr>
          <w:bdr w:val="none" w:sz="0" w:space="0" w:color="auto" w:frame="1"/>
        </w:rPr>
        <w:t>in a number of ways such as</w:t>
      </w:r>
      <w:r w:rsidR="009A6200">
        <w:rPr>
          <w:bdr w:val="none" w:sz="0" w:space="0" w:color="auto" w:frame="1"/>
        </w:rPr>
        <w:t xml:space="preserve"> grazing younger grass</w:t>
      </w:r>
      <w:r w:rsidR="001A4105">
        <w:rPr>
          <w:bdr w:val="none" w:sz="0" w:space="0" w:color="auto" w:frame="1"/>
        </w:rPr>
        <w:t>es</w:t>
      </w:r>
      <w:r w:rsidR="009A6200">
        <w:rPr>
          <w:bdr w:val="none" w:sz="0" w:space="0" w:color="auto" w:frame="1"/>
        </w:rPr>
        <w:t>, harvesting</w:t>
      </w:r>
      <w:r w:rsidR="001A4105">
        <w:rPr>
          <w:bdr w:val="none" w:sz="0" w:space="0" w:color="auto" w:frame="1"/>
        </w:rPr>
        <w:t xml:space="preserve"> grass earlier and</w:t>
      </w:r>
      <w:r w:rsidR="00B96150">
        <w:rPr>
          <w:bdr w:val="none" w:sz="0" w:space="0" w:color="auto" w:frame="1"/>
        </w:rPr>
        <w:t xml:space="preserve"> reseeding grass varieties with a higher digestibility</w:t>
      </w:r>
      <w:r w:rsidR="00EB7CA7">
        <w:rPr>
          <w:bdr w:val="none" w:sz="0" w:space="0" w:color="auto" w:frame="1"/>
        </w:rPr>
        <w:t xml:space="preserve"> </w:t>
      </w:r>
      <w:r w:rsidR="00EB7CA7">
        <w:rPr>
          <w:bdr w:val="none" w:sz="0" w:space="0" w:color="auto" w:frame="1"/>
        </w:rPr>
        <w:fldChar w:fldCharType="begin"/>
      </w:r>
      <w:r w:rsidR="00EB7CA7">
        <w:rPr>
          <w:bdr w:val="none" w:sz="0" w:space="0" w:color="auto" w:frame="1"/>
        </w:rPr>
        <w:instrText xml:space="preserve"> ADDIN ZOTERO_ITEM CSL_CITATION {"citationID":"bdg4RFxE","properties":{"formattedCitation":"(Bruinenberg et al., 2002)","plainCitation":"(Bruinenberg et al., 2002)","noteIndex":0},"citationItems":[{"id":1812,"uris":["http://zotero.org/users/6500992/items/PM7QEK4J"],"itemData":{"id":1812,"type":"article-journal","abstract":"To indicate possibilities for the use of forages from seminatural grasslands in ruminant production systems, a literature study to describe the nutritive value of those forages was carried out. In species-rich grasslands, the digestibility of forages is usually lower than the digestibility of forages produced by grasslands used for intensive production. There is also more variation within a species-rich sward, because of different stages of maturity of the individual species and because of likely variations in digestibility among forage species independent of stage of maturity. Moreover, the presence of dicotyledonous species may have a positive or negative effect on digestibility. In forages from seminatural grasslands, the relationship between chemical composition and digestibility differs from that of Lolium perenne, which is often used as a research standard. Therefore, predictions of the digestibility of species-rich forage can be inaccurate. The relationship between in vivo and in vitro digestibility may also be different from the relationship that is common for L. perenne. In some cases, the in vivo digestibility is higher than the in vitro value, as calibrations are based on L. perenne. Therefore, the quality of forages from seminatural grasslands might be higher than predicted, and this may increase the scope for practical use of this kind of forage in ruminant nutrition systems.","container-title":"Grass and Forage Science","DOI":"10.1046/j.1365-2494.2002.00327.x","ISSN":"1365-2494","issue":"3","language":"en","note":"_eprint: https://onlinelibrary.wiley.com/doi/pdf/10.1046/j.1365-2494.2002.00327.x","page":"292-301","source":"Wiley Online Library","title":"Factors affecting digestibility of temperate forages from seminatural grasslands: a review","title-short":"Factors affecting digestibility of temperate forages from seminatural grasslands","volume":"57","author":[{"family":"Bruinenberg","given":"M. H."},{"family":"Valk","given":"H."},{"family":"Korevaar","given":"H."},{"family":"Struik","given":"P. C."}],"issued":{"date-parts":[["2002"]]}}}],"schema":"https://github.com/citation-style-language/schema/raw/master/csl-citation.json"} </w:instrText>
      </w:r>
      <w:r w:rsidR="00EB7CA7">
        <w:rPr>
          <w:bdr w:val="none" w:sz="0" w:space="0" w:color="auto" w:frame="1"/>
        </w:rPr>
        <w:fldChar w:fldCharType="separate"/>
      </w:r>
      <w:r w:rsidR="00EB7CA7" w:rsidRPr="00EB7CA7">
        <w:rPr>
          <w:rFonts w:ascii="Calibri" w:hAnsi="Calibri" w:cs="Calibri"/>
        </w:rPr>
        <w:t>(Bruinenberg et al., 2002)</w:t>
      </w:r>
      <w:r w:rsidR="00EB7CA7">
        <w:rPr>
          <w:bdr w:val="none" w:sz="0" w:space="0" w:color="auto" w:frame="1"/>
        </w:rPr>
        <w:fldChar w:fldCharType="end"/>
      </w:r>
      <w:r w:rsidR="00B96150">
        <w:rPr>
          <w:bdr w:val="none" w:sz="0" w:space="0" w:color="auto" w:frame="1"/>
        </w:rPr>
        <w:t>.</w:t>
      </w:r>
      <w:r w:rsidR="009A6200">
        <w:rPr>
          <w:bdr w:val="none" w:sz="0" w:space="0" w:color="auto" w:frame="1"/>
        </w:rPr>
        <w:t xml:space="preserve"> </w:t>
      </w:r>
      <w:r w:rsidRPr="006B09AE">
        <w:rPr>
          <w:bdr w:val="none" w:sz="0" w:space="0" w:color="auto" w:frame="1"/>
        </w:rPr>
        <w:t>In line with the MACC analysis</w:t>
      </w:r>
      <w:r w:rsidR="009851A0">
        <w:rPr>
          <w:bdr w:val="none" w:sz="0" w:space="0" w:color="auto" w:frame="1"/>
        </w:rPr>
        <w:t xml:space="preserve"> </w:t>
      </w:r>
      <w:r w:rsidR="00224255">
        <w:rPr>
          <w:bdr w:val="none" w:sz="0" w:space="0" w:color="auto" w:frame="1"/>
        </w:rPr>
        <w:fldChar w:fldCharType="begin"/>
      </w:r>
      <w:r w:rsidR="001759CC">
        <w:rPr>
          <w:bdr w:val="none" w:sz="0" w:space="0" w:color="auto" w:frame="1"/>
        </w:rPr>
        <w:instrText xml:space="preserve"> ADDIN ZOTERO_ITEM CSL_CITATION {"citationID":"W2QJ88K2","properties":{"formattedCitation":"(Eory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00224255">
        <w:rPr>
          <w:bdr w:val="none" w:sz="0" w:space="0" w:color="auto" w:frame="1"/>
        </w:rPr>
        <w:fldChar w:fldCharType="separate"/>
      </w:r>
      <w:r w:rsidR="001759CC" w:rsidRPr="001759CC">
        <w:rPr>
          <w:rFonts w:ascii="Calibri" w:hAnsi="Calibri" w:cs="Calibri"/>
        </w:rPr>
        <w:t>(Eory et al., 2015)</w:t>
      </w:r>
      <w:r w:rsidR="00224255">
        <w:rPr>
          <w:bdr w:val="none" w:sz="0" w:space="0" w:color="auto" w:frame="1"/>
        </w:rPr>
        <w:fldChar w:fldCharType="end"/>
      </w:r>
      <w:r w:rsidRPr="006B09AE">
        <w:rPr>
          <w:bdr w:val="none" w:sz="0" w:space="0" w:color="auto" w:frame="1"/>
        </w:rPr>
        <w:t>, in this study</w:t>
      </w:r>
      <w:r>
        <w:rPr>
          <w:bdr w:val="none" w:sz="0" w:space="0" w:color="auto" w:frame="1"/>
        </w:rPr>
        <w:t>,</w:t>
      </w:r>
      <w:r w:rsidRPr="006B09AE">
        <w:rPr>
          <w:bdr w:val="none" w:sz="0" w:space="0" w:color="auto" w:frame="1"/>
        </w:rPr>
        <w:t xml:space="preserve"> improved diet formulation and grazing management was assumed to increase the digestibility of roughage and concentrates by 2% of their original values </w:t>
      </w:r>
      <w:r>
        <w:rPr>
          <w:bdr w:val="none" w:sz="0" w:space="0" w:color="auto" w:frame="1"/>
        </w:rPr>
        <w:fldChar w:fldCharType="begin"/>
      </w:r>
      <w:r>
        <w:rPr>
          <w:bdr w:val="none" w:sz="0" w:space="0" w:color="auto" w:frame="1"/>
        </w:rPr>
        <w:instrText xml:space="preserve"> ADDIN ZOTERO_ITEM CSL_CITATION {"citationID":"a0QqwMoS","properties":{"formattedCitation":"(Eory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Pr>
          <w:bdr w:val="none" w:sz="0" w:space="0" w:color="auto" w:frame="1"/>
        </w:rPr>
        <w:fldChar w:fldCharType="separate"/>
      </w:r>
      <w:r w:rsidR="00A573B5" w:rsidRPr="00A573B5">
        <w:rPr>
          <w:rFonts w:ascii="Calibri" w:hAnsi="Calibri" w:cs="Calibri"/>
        </w:rPr>
        <w:t>(Eory et al., 2015)</w:t>
      </w:r>
      <w:r>
        <w:rPr>
          <w:bdr w:val="none" w:sz="0" w:space="0" w:color="auto" w:frame="1"/>
        </w:rPr>
        <w:fldChar w:fldCharType="end"/>
      </w:r>
      <w:r w:rsidRPr="006B09AE">
        <w:rPr>
          <w:bdr w:val="none" w:sz="0" w:space="0" w:color="auto" w:frame="1"/>
        </w:rPr>
        <w:t xml:space="preserve">. However, yields were kept constant to reduce </w:t>
      </w:r>
      <w:r>
        <w:rPr>
          <w:bdr w:val="none" w:sz="0" w:space="0" w:color="auto" w:frame="1"/>
        </w:rPr>
        <w:t xml:space="preserve">uncertainty </w:t>
      </w:r>
      <w:r>
        <w:rPr>
          <w:bdr w:val="none" w:sz="0" w:space="0" w:color="auto" w:frame="1"/>
        </w:rPr>
        <w:lastRenderedPageBreak/>
        <w:t xml:space="preserve">in calculations to estimate liveweight gain </w:t>
      </w:r>
      <w:r w:rsidR="008269B1">
        <w:rPr>
          <w:bdr w:val="none" w:sz="0" w:space="0" w:color="auto" w:frame="1"/>
        </w:rPr>
        <w:t xml:space="preserve">following mitigation measures </w:t>
      </w:r>
      <w:r>
        <w:rPr>
          <w:bdr w:val="none" w:sz="0" w:space="0" w:color="auto" w:frame="1"/>
        </w:rPr>
        <w:t>(a conservative approach, discussed later</w:t>
      </w:r>
      <w:r w:rsidR="008C07E6">
        <w:rPr>
          <w:bdr w:val="none" w:sz="0" w:space="0" w:color="auto" w:frame="1"/>
        </w:rPr>
        <w:t xml:space="preserve"> in </w:t>
      </w:r>
      <w:r w:rsidR="00914B3C">
        <w:rPr>
          <w:bdr w:val="none" w:sz="0" w:space="0" w:color="auto" w:frame="1"/>
        </w:rPr>
        <w:t>S</w:t>
      </w:r>
      <w:r w:rsidR="008C07E6">
        <w:rPr>
          <w:bdr w:val="none" w:sz="0" w:space="0" w:color="auto" w:frame="1"/>
        </w:rPr>
        <w:t xml:space="preserve">ection </w:t>
      </w:r>
      <w:r w:rsidR="008B048C">
        <w:rPr>
          <w:bdr w:val="none" w:sz="0" w:space="0" w:color="auto" w:frame="1"/>
        </w:rPr>
        <w:t>4</w:t>
      </w:r>
      <w:r w:rsidR="00914B3C">
        <w:rPr>
          <w:bdr w:val="none" w:sz="0" w:space="0" w:color="auto" w:frame="1"/>
        </w:rPr>
        <w:t>.</w:t>
      </w:r>
      <w:r w:rsidR="00AB4E2B">
        <w:rPr>
          <w:bdr w:val="none" w:sz="0" w:space="0" w:color="auto" w:frame="1"/>
        </w:rPr>
        <w:t>2</w:t>
      </w:r>
      <w:r>
        <w:rPr>
          <w:bdr w:val="none" w:sz="0" w:space="0" w:color="auto" w:frame="1"/>
        </w:rPr>
        <w:t>).</w:t>
      </w:r>
    </w:p>
    <w:p w14:paraId="754970C6" w14:textId="77777777" w:rsidR="002F0EBD" w:rsidRPr="00CE57FB" w:rsidRDefault="002F0EBD" w:rsidP="00BA3E62">
      <w:pPr>
        <w:pStyle w:val="NoSpacing"/>
        <w:spacing w:line="360" w:lineRule="auto"/>
        <w:jc w:val="both"/>
        <w:rPr>
          <w:bdr w:val="none" w:sz="0" w:space="0" w:color="auto" w:frame="1"/>
        </w:rPr>
      </w:pPr>
    </w:p>
    <w:p w14:paraId="0D64C986" w14:textId="77777777" w:rsidR="002F0EBD" w:rsidRPr="00843B62" w:rsidRDefault="002F0EBD" w:rsidP="00E568F2">
      <w:pPr>
        <w:pStyle w:val="NoSpacing"/>
        <w:spacing w:line="360" w:lineRule="auto"/>
        <w:rPr>
          <w:b/>
          <w:bCs/>
          <w:bdr w:val="none" w:sz="0" w:space="0" w:color="auto" w:frame="1"/>
        </w:rPr>
      </w:pPr>
      <w:r w:rsidRPr="00843B62">
        <w:rPr>
          <w:b/>
          <w:bCs/>
          <w:bdr w:val="none" w:sz="0" w:space="0" w:color="auto" w:frame="1"/>
        </w:rPr>
        <w:t>3NOP as a feed additive</w:t>
      </w:r>
    </w:p>
    <w:p w14:paraId="37679BBC" w14:textId="3BF66C93" w:rsidR="00AE2F0E" w:rsidRDefault="002F0EBD" w:rsidP="00BA3E62">
      <w:pPr>
        <w:pStyle w:val="NoSpacing"/>
        <w:spacing w:line="360" w:lineRule="auto"/>
        <w:jc w:val="both"/>
        <w:rPr>
          <w:bdr w:val="none" w:sz="0" w:space="0" w:color="auto" w:frame="1"/>
        </w:rPr>
      </w:pPr>
      <w:r w:rsidRPr="00CA22AD">
        <w:rPr>
          <w:bdr w:val="none" w:sz="0" w:space="0" w:color="auto" w:frame="1"/>
        </w:rPr>
        <w:t xml:space="preserve">3-Nitrooxypropanol (3NOP) is a chemical that reduces the </w:t>
      </w:r>
      <w:r>
        <w:rPr>
          <w:bdr w:val="none" w:sz="0" w:space="0" w:color="auto" w:frame="1"/>
        </w:rPr>
        <w:t>production</w:t>
      </w:r>
      <w:r w:rsidRPr="00CA22AD">
        <w:rPr>
          <w:bdr w:val="none" w:sz="0" w:space="0" w:color="auto" w:frame="1"/>
        </w:rPr>
        <w:t xml:space="preserve"> of enteric </w:t>
      </w:r>
      <w:r w:rsidR="00E2448B">
        <w:rPr>
          <w:bdr w:val="none" w:sz="0" w:space="0" w:color="auto" w:frame="1"/>
        </w:rPr>
        <w:t>CH</w:t>
      </w:r>
      <w:r w:rsidR="00E2448B" w:rsidRPr="00E2448B">
        <w:rPr>
          <w:bdr w:val="none" w:sz="0" w:space="0" w:color="auto" w:frame="1"/>
          <w:vertAlign w:val="subscript"/>
        </w:rPr>
        <w:t>4</w:t>
      </w:r>
      <w:r w:rsidRPr="00CA22AD">
        <w:rPr>
          <w:bdr w:val="none" w:sz="0" w:space="0" w:color="auto" w:frame="1"/>
        </w:rPr>
        <w:t xml:space="preserve"> by ruminants when added to their rations (or introduced via a bolus). It does so by reducing the rates at which rumen archaea convert hydrogen </w:t>
      </w:r>
      <w:r w:rsidR="00597836">
        <w:rPr>
          <w:bdr w:val="none" w:sz="0" w:space="0" w:color="auto" w:frame="1"/>
        </w:rPr>
        <w:t>released from</w:t>
      </w:r>
      <w:r w:rsidRPr="00CA22AD">
        <w:rPr>
          <w:bdr w:val="none" w:sz="0" w:space="0" w:color="auto" w:frame="1"/>
        </w:rPr>
        <w:t xml:space="preserve"> ingested feed into </w:t>
      </w:r>
      <w:r w:rsidR="00E2448B">
        <w:rPr>
          <w:bdr w:val="none" w:sz="0" w:space="0" w:color="auto" w:frame="1"/>
        </w:rPr>
        <w:t>CH</w:t>
      </w:r>
      <w:r w:rsidR="00E2448B" w:rsidRPr="00E2448B">
        <w:rPr>
          <w:bdr w:val="none" w:sz="0" w:space="0" w:color="auto" w:frame="1"/>
          <w:vertAlign w:val="subscript"/>
        </w:rPr>
        <w:t>4</w:t>
      </w:r>
      <w:r>
        <w:rPr>
          <w:bdr w:val="none" w:sz="0" w:space="0" w:color="auto" w:frame="1"/>
        </w:rPr>
        <w:t xml:space="preserve"> </w:t>
      </w:r>
      <w:r w:rsidR="00C56AA8">
        <w:rPr>
          <w:bdr w:val="none" w:sz="0" w:space="0" w:color="auto" w:frame="1"/>
        </w:rPr>
        <w:fldChar w:fldCharType="begin"/>
      </w:r>
      <w:r w:rsidR="00C56AA8">
        <w:rPr>
          <w:bdr w:val="none" w:sz="0" w:space="0" w:color="auto" w:frame="1"/>
        </w:rPr>
        <w:instrText xml:space="preserve"> ADDIN ZOTERO_ITEM CSL_CITATION {"citationID":"4p1HBoqW","properties":{"formattedCitation":"(Duin et al., 2016)","plainCitation":"(Duin et al., 2016)","noteIndex":0},"citationItems":[{"id":1103,"uris":["http://zotero.org/users/6500992/items/NEJERSET"],"itemData":{"id":1103,"type":"article-journal","abstract":"Ruminants, such as cows, sheep, and goats, predominantly ferment in their rumen plant material to acetate, propionate, butyrate, CO2, and methane. Whereas the short fatty acids are absorbed and metabolized by the animals, the greenhouse gas methane escapes via eructation and breathing of the animals into the atmosphere. Along with the methane, up to 12% of the gross energy content of the feedstock is lost. Therefore, our recent report has raised interest in 3-nitrooxypropanol (3-NOP), which when added to the feed of ruminants in milligram amounts persistently reduces enteric methane emissions from livestock without apparent negative side effects [Hristov AN, et al. (2015) Proc Natl Acad Sci USA 112(34):10663-10668]. We now show with the aid of in silico, in vitro, and in vivo experiments that 3-NOP specifically targets methyl-coenzyme M reductase (MCR). The nickel enzyme, which is only active when its Ni ion is in the +1 oxidation state, catalyzes the methane-forming step in the rumen fermentation. Molecular docking suggested that 3-NOP preferably binds into the active site of MCR in a pose that places its reducible nitrate group in electron transfer distance to Ni(I). With purified MCR, we found that 3-NOP indeed inactivates MCR at micromolar concentrations by oxidation of its active site Ni(I). Concomitantly, the nitrate ester is reduced to nitrite, which also inactivates MCR at micromolar concentrations by oxidation of Ni(I). Using pure cultures, 3-NOP is demonstrated to inhibit growth of methanogenic archaea at concentrations that do not affect the growth of nonmethanogenic bacteria in the rumen.","container-title":"Proceedings of the National Academy of Sciences of the United States of America","DOI":"10.1073/pnas.1600298113","ISSN":"1091-6490","issue":"22","journalAbbreviation":"Proc Natl Acad Sci U S A","language":"eng","note":"PMID: 27140643\nPMCID: PMC4896709","page":"6172-6177","source":"PubMed","title":"Mode of action uncovered for the specific reduction of methane emissions from ruminants by the small molecule 3-nitrooxypropanol","volume":"113","author":[{"family":"Duin","given":"Evert C."},{"family":"Wagner","given":"Tristan"},{"family":"Shima","given":"Seigo"},{"family":"Prakash","given":"Divya"},{"family":"Cronin","given":"Bryan"},{"family":"Yáñez-Ruiz","given":"David R."},{"family":"Duval","given":"Stephane"},{"family":"Rümbeli","given":"Robert"},{"family":"Stemmler","given":"René T."},{"family":"Thauer","given":"Rudolf Kurt"},{"family":"Kindermann","given":"Maik"}],"issued":{"date-parts":[["2016",5,31]]}}}],"schema":"https://github.com/citation-style-language/schema/raw/master/csl-citation.json"} </w:instrText>
      </w:r>
      <w:r w:rsidR="00C56AA8">
        <w:rPr>
          <w:bdr w:val="none" w:sz="0" w:space="0" w:color="auto" w:frame="1"/>
        </w:rPr>
        <w:fldChar w:fldCharType="separate"/>
      </w:r>
      <w:r w:rsidR="00A573B5" w:rsidRPr="00A573B5">
        <w:rPr>
          <w:rFonts w:ascii="Calibri" w:hAnsi="Calibri" w:cs="Calibri"/>
        </w:rPr>
        <w:t>(Duin et al., 2016)</w:t>
      </w:r>
      <w:r w:rsidR="00C56AA8">
        <w:rPr>
          <w:bdr w:val="none" w:sz="0" w:space="0" w:color="auto" w:frame="1"/>
        </w:rPr>
        <w:fldChar w:fldCharType="end"/>
      </w:r>
      <w:r w:rsidRPr="00CA22AD">
        <w:rPr>
          <w:bdr w:val="none" w:sz="0" w:space="0" w:color="auto" w:frame="1"/>
        </w:rPr>
        <w:t>.</w:t>
      </w:r>
      <w:r>
        <w:rPr>
          <w:bdr w:val="none" w:sz="0" w:space="0" w:color="auto" w:frame="1"/>
        </w:rPr>
        <w:t xml:space="preserve"> Although there is little research on the effects of NOP on sheep</w:t>
      </w:r>
      <w:r w:rsidR="0044232C">
        <w:rPr>
          <w:bdr w:val="none" w:sz="0" w:space="0" w:color="auto" w:frame="1"/>
        </w:rPr>
        <w:t>,</w:t>
      </w:r>
      <w:r>
        <w:rPr>
          <w:bdr w:val="none" w:sz="0" w:space="0" w:color="auto" w:frame="1"/>
        </w:rPr>
        <w:t xml:space="preserve"> and although not commercially available yet, it was assumed 3NOP could be administered to all animals as a bolus</w:t>
      </w:r>
      <w:r w:rsidR="0082024C">
        <w:rPr>
          <w:bdr w:val="none" w:sz="0" w:space="0" w:color="auto" w:frame="1"/>
        </w:rPr>
        <w:t xml:space="preserve"> </w:t>
      </w:r>
      <w:r w:rsidR="00244140">
        <w:rPr>
          <w:bdr w:val="none" w:sz="0" w:space="0" w:color="auto" w:frame="1"/>
        </w:rPr>
        <w:fldChar w:fldCharType="begin"/>
      </w:r>
      <w:r w:rsidR="00244140">
        <w:rPr>
          <w:bdr w:val="none" w:sz="0" w:space="0" w:color="auto" w:frame="1"/>
        </w:rPr>
        <w:instrText xml:space="preserve"> ADDIN ZOTERO_ITEM CSL_CITATION {"citationID":"eC12dGqm","properties":{"formattedCitation":"(Rooke et al., 2016)","plainCitation":"(Rooke et al., 2016)","noteIndex":0},"citationItems":[{"id":1179,"uris":["http://zotero.org/users/6500992/items/AMU2PVCX"],"itemData":{"id":1179,"type":"article-journal","note":"publisher: Scotland's Rural College (SRUC)","source":"Google Scholar","title":"Nutritional strategies to reduce enteric methane emissions","author":[{"family":"Rooke","given":"J. A."},{"family":"Miller","given":"G. A."},{"family":"Flockhart","given":"J. F."},{"family":"McDowell","given":"M. M."},{"family":"MacLeod","given":"M."}],"issued":{"date-parts":[["2016"]]}}}],"schema":"https://github.com/citation-style-language/schema/raw/master/csl-citation.json"} </w:instrText>
      </w:r>
      <w:r w:rsidR="00244140">
        <w:rPr>
          <w:bdr w:val="none" w:sz="0" w:space="0" w:color="auto" w:frame="1"/>
        </w:rPr>
        <w:fldChar w:fldCharType="separate"/>
      </w:r>
      <w:r w:rsidR="00A573B5" w:rsidRPr="00A573B5">
        <w:rPr>
          <w:rFonts w:ascii="Calibri" w:hAnsi="Calibri" w:cs="Calibri"/>
        </w:rPr>
        <w:t>(Rooke et al., 2016)</w:t>
      </w:r>
      <w:r w:rsidR="00244140">
        <w:rPr>
          <w:bdr w:val="none" w:sz="0" w:space="0" w:color="auto" w:frame="1"/>
        </w:rPr>
        <w:fldChar w:fldCharType="end"/>
      </w:r>
      <w:r>
        <w:rPr>
          <w:bdr w:val="none" w:sz="0" w:space="0" w:color="auto" w:frame="1"/>
        </w:rPr>
        <w:t xml:space="preserve">, which resulted in a 20% reduction in the enteric </w:t>
      </w:r>
      <w:r w:rsidR="00E2448B">
        <w:rPr>
          <w:bdr w:val="none" w:sz="0" w:space="0" w:color="auto" w:frame="1"/>
        </w:rPr>
        <w:t>CH</w:t>
      </w:r>
      <w:r w:rsidR="00E2448B" w:rsidRPr="00E2448B">
        <w:rPr>
          <w:bdr w:val="none" w:sz="0" w:space="0" w:color="auto" w:frame="1"/>
          <w:vertAlign w:val="subscript"/>
        </w:rPr>
        <w:t>4</w:t>
      </w:r>
      <w:r>
        <w:rPr>
          <w:bdr w:val="none" w:sz="0" w:space="0" w:color="auto" w:frame="1"/>
        </w:rPr>
        <w:t xml:space="preserve"> conversion factor </w:t>
      </w:r>
      <w:r>
        <w:rPr>
          <w:bdr w:val="none" w:sz="0" w:space="0" w:color="auto" w:frame="1"/>
        </w:rPr>
        <w:fldChar w:fldCharType="begin"/>
      </w:r>
      <w:r>
        <w:rPr>
          <w:bdr w:val="none" w:sz="0" w:space="0" w:color="auto" w:frame="1"/>
        </w:rPr>
        <w:instrText xml:space="preserve"> ADDIN ZOTERO_ITEM CSL_CITATION {"citationID":"teOo2Xo1","properties":{"formattedCitation":"(Eory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Pr>
          <w:bdr w:val="none" w:sz="0" w:space="0" w:color="auto" w:frame="1"/>
        </w:rPr>
        <w:fldChar w:fldCharType="separate"/>
      </w:r>
      <w:r w:rsidR="00A573B5" w:rsidRPr="00A573B5">
        <w:rPr>
          <w:rFonts w:ascii="Calibri" w:hAnsi="Calibri" w:cs="Calibri"/>
        </w:rPr>
        <w:t>(Eory et al., 2015)</w:t>
      </w:r>
      <w:r>
        <w:rPr>
          <w:bdr w:val="none" w:sz="0" w:space="0" w:color="auto" w:frame="1"/>
        </w:rPr>
        <w:fldChar w:fldCharType="end"/>
      </w:r>
      <w:r w:rsidR="00B22517">
        <w:rPr>
          <w:bdr w:val="none" w:sz="0" w:space="0" w:color="auto" w:frame="1"/>
        </w:rPr>
        <w:t>.</w:t>
      </w:r>
    </w:p>
    <w:p w14:paraId="6909B533" w14:textId="77777777" w:rsidR="00914B3C" w:rsidRPr="00465F1A" w:rsidRDefault="00914B3C" w:rsidP="00E568F2">
      <w:pPr>
        <w:pStyle w:val="NoSpacing"/>
        <w:spacing w:line="360" w:lineRule="auto"/>
        <w:rPr>
          <w:bdr w:val="none" w:sz="0" w:space="0" w:color="auto" w:frame="1"/>
        </w:rPr>
      </w:pPr>
    </w:p>
    <w:p w14:paraId="1EB180A9" w14:textId="77777777" w:rsidR="00731D0E" w:rsidRPr="00465F1A" w:rsidRDefault="00731D0E" w:rsidP="00E568F2">
      <w:pPr>
        <w:pStyle w:val="NoSpacing"/>
        <w:numPr>
          <w:ilvl w:val="2"/>
          <w:numId w:val="2"/>
        </w:numPr>
        <w:spacing w:line="360" w:lineRule="auto"/>
        <w:rPr>
          <w:b/>
          <w:bCs/>
          <w:bdr w:val="none" w:sz="0" w:space="0" w:color="auto" w:frame="1"/>
        </w:rPr>
      </w:pPr>
      <w:r w:rsidRPr="00465F1A">
        <w:rPr>
          <w:b/>
          <w:bCs/>
          <w:bdr w:val="none" w:sz="0" w:space="0" w:color="auto" w:frame="1"/>
        </w:rPr>
        <w:t>Afforestation</w:t>
      </w:r>
    </w:p>
    <w:p w14:paraId="7D60F7FF" w14:textId="45039D77" w:rsidR="00F91E08" w:rsidRDefault="009F6D08" w:rsidP="00BA3E62">
      <w:pPr>
        <w:pStyle w:val="NoSpacing"/>
        <w:spacing w:line="360" w:lineRule="auto"/>
        <w:jc w:val="both"/>
      </w:pPr>
      <w:r>
        <w:t xml:space="preserve">Afforestation was the only measure </w:t>
      </w:r>
      <w:r w:rsidR="00803FF4">
        <w:t xml:space="preserve">modelled to increase carbon sequestration. </w:t>
      </w:r>
      <w:r w:rsidR="0021663B">
        <w:t xml:space="preserve">Once </w:t>
      </w:r>
      <w:r w:rsidR="00DC0F61">
        <w:t xml:space="preserve">the reduction in </w:t>
      </w:r>
      <w:r w:rsidR="0021663B">
        <w:t xml:space="preserve">emissions </w:t>
      </w:r>
      <w:r w:rsidR="00DC0F61">
        <w:t>of GHGs due to implementing the mitigation measures was applied to each farm</w:t>
      </w:r>
      <w:r w:rsidR="00CC1451">
        <w:t xml:space="preserve">, the area of woodland </w:t>
      </w:r>
      <w:r w:rsidR="005D5837">
        <w:t xml:space="preserve">planting </w:t>
      </w:r>
      <w:r w:rsidR="00DC0F61">
        <w:t xml:space="preserve">needed </w:t>
      </w:r>
      <w:r w:rsidR="00CC1451">
        <w:t xml:space="preserve">to </w:t>
      </w:r>
      <w:r w:rsidR="00CF1C6E">
        <w:t>offset</w:t>
      </w:r>
      <w:r w:rsidR="00CC1451">
        <w:t xml:space="preserve"> </w:t>
      </w:r>
      <w:r w:rsidR="00EA39A5">
        <w:t xml:space="preserve">the </w:t>
      </w:r>
      <w:r w:rsidR="00CC1451">
        <w:t>remaining emissions</w:t>
      </w:r>
      <w:r w:rsidR="00DC0F61">
        <w:t xml:space="preserve"> was calculated</w:t>
      </w:r>
      <w:r w:rsidR="00CC1451">
        <w:t xml:space="preserve">. Additional </w:t>
      </w:r>
      <w:r w:rsidR="00731D0E" w:rsidRPr="0021663B">
        <w:t xml:space="preserve">planting </w:t>
      </w:r>
      <w:r w:rsidR="00D421B3">
        <w:t>wa</w:t>
      </w:r>
      <w:r w:rsidR="00731D0E" w:rsidRPr="0021663B">
        <w:t xml:space="preserve">s assumed to be </w:t>
      </w:r>
      <w:r w:rsidR="00CC1451">
        <w:t>a</w:t>
      </w:r>
      <w:r w:rsidR="00482BBE">
        <w:t xml:space="preserve"> </w:t>
      </w:r>
      <w:r w:rsidR="00C85F56">
        <w:t>mixed broadleaf woodland</w:t>
      </w:r>
      <w:r w:rsidR="001B3EA8">
        <w:t xml:space="preserve"> </w:t>
      </w:r>
      <w:r w:rsidR="00B22517" w:rsidRPr="00B22517">
        <w:t>o</w:t>
      </w:r>
      <w:r w:rsidR="00B22517">
        <w:t>ver 20 years</w:t>
      </w:r>
      <w:r w:rsidR="00815661">
        <w:t xml:space="preserve"> old</w:t>
      </w:r>
      <w:r w:rsidR="00B22517">
        <w:t xml:space="preserve"> </w:t>
      </w:r>
      <w:r w:rsidR="00B76761">
        <w:t>at</w:t>
      </w:r>
      <w:r w:rsidR="00B76761" w:rsidRPr="00B76761">
        <w:t xml:space="preserve"> 2</w:t>
      </w:r>
      <w:r w:rsidR="00D37EE6">
        <w:t xml:space="preserve"> </w:t>
      </w:r>
      <w:r w:rsidR="00B22517">
        <w:t xml:space="preserve">m </w:t>
      </w:r>
      <w:r w:rsidR="00B76761" w:rsidRPr="00B22517">
        <w:t xml:space="preserve">spacing </w:t>
      </w:r>
      <w:r w:rsidR="001B3EA8">
        <w:t xml:space="preserve">with no </w:t>
      </w:r>
      <w:proofErr w:type="spellStart"/>
      <w:r w:rsidR="001B3EA8">
        <w:t>clearfell</w:t>
      </w:r>
      <w:proofErr w:type="spellEnd"/>
      <w:r w:rsidR="001B3EA8">
        <w:t xml:space="preserve"> or thinning.</w:t>
      </w:r>
      <w:r w:rsidR="00731D0E" w:rsidRPr="0021663B">
        <w:t xml:space="preserve"> </w:t>
      </w:r>
      <w:r w:rsidR="00731D0E" w:rsidRPr="00E01D09">
        <w:t xml:space="preserve">Sequestration in trees and soil </w:t>
      </w:r>
      <w:r w:rsidR="00E56AA8">
        <w:t xml:space="preserve">carbon </w:t>
      </w:r>
      <w:r w:rsidR="00731D0E" w:rsidRPr="00E01D09">
        <w:t xml:space="preserve">losses from planting </w:t>
      </w:r>
      <w:r w:rsidR="00D421B3">
        <w:t>we</w:t>
      </w:r>
      <w:r w:rsidR="00731D0E" w:rsidRPr="00E01D09">
        <w:t xml:space="preserve">re based on the </w:t>
      </w:r>
      <w:r w:rsidR="001656EC">
        <w:t>WCC</w:t>
      </w:r>
      <w:r w:rsidR="00731D0E" w:rsidRPr="00E01D09">
        <w:t xml:space="preserve"> lookup tables</w:t>
      </w:r>
      <w:r w:rsidR="00433347">
        <w:t xml:space="preserve"> </w:t>
      </w:r>
      <w:r w:rsidR="00D50E61">
        <w:fldChar w:fldCharType="begin"/>
      </w:r>
      <w:r w:rsidR="00D2069C">
        <w:instrText xml:space="preserve"> ADDIN ZOTERO_ITEM CSL_CITATION {"citationID":"9EDLxjsL","properties":{"formattedCitation":"(Forestry Commission, 2021)","plainCitation":"(Forestry Commission, 2021)","dontUpdate":true,"noteIndex":0},"citationItems":[{"id":1097,"uris":["http://zotero.org/users/6500992/items/CVINGGJX"],"itemData":{"id":1097,"type":"document","publisher":"Forestry Commission, Edinburgh","title":"Woodland Carbon Code: Carbon Lookup Tables.","author":[{"family":"Forestry Commission","given":""}],"issued":{"date-parts":[["2021"]]}}}],"schema":"https://github.com/citation-style-language/schema/raw/master/csl-citation.json"} </w:instrText>
      </w:r>
      <w:r w:rsidR="00D50E61">
        <w:fldChar w:fldCharType="separate"/>
      </w:r>
      <w:r w:rsidR="00D50E61" w:rsidRPr="00D50E61">
        <w:rPr>
          <w:rFonts w:ascii="Calibri" w:hAnsi="Calibri" w:cs="Calibri"/>
        </w:rPr>
        <w:t>(Forestry Commission, 20</w:t>
      </w:r>
      <w:r w:rsidR="00AB33BF">
        <w:rPr>
          <w:rFonts w:ascii="Calibri" w:hAnsi="Calibri" w:cs="Calibri"/>
        </w:rPr>
        <w:t>18</w:t>
      </w:r>
      <w:r w:rsidR="00D50E61" w:rsidRPr="00D50E61">
        <w:rPr>
          <w:rFonts w:ascii="Calibri" w:hAnsi="Calibri" w:cs="Calibri"/>
        </w:rPr>
        <w:t>)</w:t>
      </w:r>
      <w:r w:rsidR="00D50E61">
        <w:fldChar w:fldCharType="end"/>
      </w:r>
      <w:r w:rsidR="00CA6CB2">
        <w:t>,</w:t>
      </w:r>
      <w:r w:rsidR="006F4D3A">
        <w:t xml:space="preserve"> </w:t>
      </w:r>
      <w:r w:rsidR="00731D0E" w:rsidRPr="00E01D09">
        <w:t xml:space="preserve">through the Bangor </w:t>
      </w:r>
      <w:r w:rsidR="009A1FDB">
        <w:t>T</w:t>
      </w:r>
      <w:r w:rsidR="00731D0E" w:rsidRPr="00E01D09">
        <w:t>ool</w:t>
      </w:r>
      <w:r w:rsidR="00E01D09">
        <w:t>.</w:t>
      </w:r>
      <w:r w:rsidR="007662BA">
        <w:t xml:space="preserve"> </w:t>
      </w:r>
      <w:r w:rsidR="00EA39A5">
        <w:t>This calculation</w:t>
      </w:r>
      <w:r w:rsidR="001B6C5C">
        <w:t xml:space="preserve"> </w:t>
      </w:r>
      <w:r w:rsidR="007662BA">
        <w:t xml:space="preserve">includes </w:t>
      </w:r>
      <w:r w:rsidR="00270FE6">
        <w:t>CO</w:t>
      </w:r>
      <w:r w:rsidR="00270FE6">
        <w:rPr>
          <w:vertAlign w:val="subscript"/>
        </w:rPr>
        <w:t>2</w:t>
      </w:r>
      <w:r w:rsidR="00270FE6">
        <w:t xml:space="preserve"> from land use change, C</w:t>
      </w:r>
      <w:r w:rsidR="007662BA">
        <w:t>O</w:t>
      </w:r>
      <w:r w:rsidR="007662BA">
        <w:rPr>
          <w:vertAlign w:val="subscript"/>
        </w:rPr>
        <w:t>2</w:t>
      </w:r>
      <w:r w:rsidR="007662BA">
        <w:t xml:space="preserve"> from soil carbon losses from tree planting, </w:t>
      </w:r>
      <w:r w:rsidR="000B40B7">
        <w:t>CO</w:t>
      </w:r>
      <w:r w:rsidR="000B40B7">
        <w:rPr>
          <w:vertAlign w:val="subscript"/>
        </w:rPr>
        <w:t xml:space="preserve">2 </w:t>
      </w:r>
      <w:r w:rsidR="000B40B7">
        <w:t>from soil carbon sequestered in forests post</w:t>
      </w:r>
      <w:r w:rsidR="00D421B3">
        <w:t>-</w:t>
      </w:r>
      <w:r w:rsidR="000B40B7">
        <w:t>planting</w:t>
      </w:r>
      <w:r w:rsidR="00D421B3">
        <w:t>,</w:t>
      </w:r>
      <w:r w:rsidR="000B40B7">
        <w:t xml:space="preserve"> and </w:t>
      </w:r>
      <w:r w:rsidR="000B40B7" w:rsidRPr="00B44CFB">
        <w:t>CO</w:t>
      </w:r>
      <w:r w:rsidR="000B40B7" w:rsidRPr="00B44CFB">
        <w:rPr>
          <w:vertAlign w:val="subscript"/>
        </w:rPr>
        <w:t>2</w:t>
      </w:r>
      <w:r w:rsidR="000B40B7" w:rsidRPr="00B44CFB">
        <w:rPr>
          <w:vertAlign w:val="subscript"/>
        </w:rPr>
        <w:softHyphen/>
      </w:r>
      <w:r w:rsidR="000B40B7" w:rsidRPr="00B44CFB">
        <w:t xml:space="preserve"> </w:t>
      </w:r>
      <w:r w:rsidR="00CB447E" w:rsidRPr="00B44CFB">
        <w:t>carbon sequestered in growing trees.</w:t>
      </w:r>
    </w:p>
    <w:p w14:paraId="648EAE0A" w14:textId="00551D0B" w:rsidR="00F91E08" w:rsidRPr="00F91E08" w:rsidRDefault="00F91E08" w:rsidP="00BA3E62">
      <w:pPr>
        <w:spacing w:after="160" w:line="360" w:lineRule="auto"/>
        <w:jc w:val="both"/>
        <w:rPr>
          <w:rFonts w:asciiTheme="minorHAnsi" w:eastAsiaTheme="minorHAnsi" w:hAnsiTheme="minorHAnsi" w:cstheme="minorBidi"/>
          <w:sz w:val="22"/>
          <w:szCs w:val="22"/>
          <w:lang w:eastAsia="en-US"/>
        </w:rPr>
      </w:pPr>
    </w:p>
    <w:p w14:paraId="60765795" w14:textId="1BF6B5CD" w:rsidR="007337CA" w:rsidRPr="00B44CFB" w:rsidRDefault="007337CA" w:rsidP="00E568F2">
      <w:pPr>
        <w:pStyle w:val="NoSpacing"/>
        <w:numPr>
          <w:ilvl w:val="0"/>
          <w:numId w:val="2"/>
        </w:numPr>
        <w:spacing w:line="360" w:lineRule="auto"/>
        <w:rPr>
          <w:b/>
          <w:bCs/>
        </w:rPr>
      </w:pPr>
      <w:r w:rsidRPr="00B44CFB">
        <w:rPr>
          <w:b/>
          <w:bCs/>
        </w:rPr>
        <w:t>Results</w:t>
      </w:r>
    </w:p>
    <w:p w14:paraId="3D340683" w14:textId="14246DD9" w:rsidR="00CB37C8" w:rsidRDefault="00CB37C8" w:rsidP="00E568F2">
      <w:pPr>
        <w:pStyle w:val="ListParagraph"/>
        <w:numPr>
          <w:ilvl w:val="1"/>
          <w:numId w:val="2"/>
        </w:numPr>
        <w:spacing w:line="360" w:lineRule="auto"/>
        <w:rPr>
          <w:rFonts w:asciiTheme="minorHAnsi" w:hAnsiTheme="minorHAnsi" w:cstheme="minorHAnsi"/>
          <w:b/>
          <w:bCs/>
          <w:sz w:val="22"/>
          <w:szCs w:val="22"/>
        </w:rPr>
      </w:pPr>
      <w:r w:rsidRPr="00274A49">
        <w:rPr>
          <w:rFonts w:asciiTheme="minorHAnsi" w:hAnsiTheme="minorHAnsi" w:cstheme="minorHAnsi"/>
          <w:b/>
          <w:bCs/>
          <w:sz w:val="22"/>
          <w:szCs w:val="22"/>
        </w:rPr>
        <w:t>Baseline</w:t>
      </w:r>
      <w:r w:rsidR="007E55DB">
        <w:rPr>
          <w:rFonts w:asciiTheme="minorHAnsi" w:hAnsiTheme="minorHAnsi" w:cstheme="minorHAnsi"/>
          <w:b/>
          <w:bCs/>
          <w:sz w:val="22"/>
          <w:szCs w:val="22"/>
        </w:rPr>
        <w:t xml:space="preserve"> </w:t>
      </w:r>
      <w:r w:rsidR="009B694A">
        <w:rPr>
          <w:rFonts w:asciiTheme="minorHAnsi" w:hAnsiTheme="minorHAnsi" w:cstheme="minorHAnsi"/>
          <w:b/>
          <w:bCs/>
          <w:sz w:val="22"/>
          <w:szCs w:val="22"/>
        </w:rPr>
        <w:t>s</w:t>
      </w:r>
      <w:r w:rsidR="007E55DB">
        <w:rPr>
          <w:rFonts w:asciiTheme="minorHAnsi" w:hAnsiTheme="minorHAnsi" w:cstheme="minorHAnsi"/>
          <w:b/>
          <w:bCs/>
          <w:sz w:val="22"/>
          <w:szCs w:val="22"/>
        </w:rPr>
        <w:t>cenarios</w:t>
      </w:r>
    </w:p>
    <w:p w14:paraId="007029B0" w14:textId="07ECBE54" w:rsidR="00405023" w:rsidRDefault="00A63236" w:rsidP="00BA3E62">
      <w:pPr>
        <w:spacing w:after="160" w:line="360" w:lineRule="auto"/>
        <w:jc w:val="both"/>
        <w:rPr>
          <w:rFonts w:asciiTheme="minorHAnsi" w:hAnsiTheme="minorHAnsi" w:cstheme="minorHAnsi"/>
          <w:b/>
          <w:bCs/>
          <w:sz w:val="22"/>
          <w:szCs w:val="22"/>
        </w:rPr>
      </w:pPr>
      <w:r>
        <w:rPr>
          <w:rFonts w:asciiTheme="minorHAnsi" w:hAnsiTheme="minorHAnsi" w:cstheme="minorHAnsi"/>
          <w:sz w:val="22"/>
          <w:szCs w:val="22"/>
        </w:rPr>
        <w:t>W</w:t>
      </w:r>
      <w:r w:rsidR="00005FEF" w:rsidRPr="0051069E">
        <w:rPr>
          <w:rFonts w:asciiTheme="minorHAnsi" w:hAnsiTheme="minorHAnsi" w:cstheme="minorHAnsi"/>
          <w:sz w:val="22"/>
          <w:szCs w:val="22"/>
        </w:rPr>
        <w:t>hole</w:t>
      </w:r>
      <w:r w:rsidR="00D421B3">
        <w:rPr>
          <w:rFonts w:asciiTheme="minorHAnsi" w:hAnsiTheme="minorHAnsi" w:cstheme="minorHAnsi"/>
          <w:sz w:val="22"/>
          <w:szCs w:val="22"/>
        </w:rPr>
        <w:t>-</w:t>
      </w:r>
      <w:r w:rsidR="00005FEF" w:rsidRPr="0051069E">
        <w:rPr>
          <w:rFonts w:asciiTheme="minorHAnsi" w:hAnsiTheme="minorHAnsi" w:cstheme="minorHAnsi"/>
          <w:sz w:val="22"/>
          <w:szCs w:val="22"/>
        </w:rPr>
        <w:t xml:space="preserve">farm </w:t>
      </w:r>
      <w:r w:rsidR="00EE3FD3">
        <w:rPr>
          <w:rFonts w:asciiTheme="minorHAnsi" w:hAnsiTheme="minorHAnsi" w:cstheme="minorHAnsi"/>
          <w:sz w:val="22"/>
          <w:szCs w:val="22"/>
        </w:rPr>
        <w:t xml:space="preserve">GHG </w:t>
      </w:r>
      <w:r w:rsidR="00005FEF" w:rsidRPr="0051069E">
        <w:rPr>
          <w:rFonts w:asciiTheme="minorHAnsi" w:hAnsiTheme="minorHAnsi" w:cstheme="minorHAnsi"/>
          <w:sz w:val="22"/>
          <w:szCs w:val="22"/>
        </w:rPr>
        <w:t xml:space="preserve">emissions </w:t>
      </w:r>
      <w:r w:rsidR="002F76EB" w:rsidRPr="0051069E">
        <w:rPr>
          <w:rFonts w:asciiTheme="minorHAnsi" w:hAnsiTheme="minorHAnsi" w:cstheme="minorHAnsi"/>
          <w:sz w:val="22"/>
          <w:szCs w:val="22"/>
        </w:rPr>
        <w:t xml:space="preserve">varied </w:t>
      </w:r>
      <w:r w:rsidR="00407022">
        <w:rPr>
          <w:rFonts w:asciiTheme="minorHAnsi" w:hAnsiTheme="minorHAnsi" w:cstheme="minorHAnsi"/>
          <w:sz w:val="22"/>
          <w:szCs w:val="22"/>
        </w:rPr>
        <w:t>considera</w:t>
      </w:r>
      <w:r w:rsidR="00407022" w:rsidRPr="0051069E">
        <w:rPr>
          <w:rFonts w:asciiTheme="minorHAnsi" w:hAnsiTheme="minorHAnsi" w:cstheme="minorHAnsi"/>
          <w:sz w:val="22"/>
          <w:szCs w:val="22"/>
        </w:rPr>
        <w:t xml:space="preserve">bly </w:t>
      </w:r>
      <w:r w:rsidR="00C034CF" w:rsidRPr="0051069E">
        <w:rPr>
          <w:rFonts w:asciiTheme="minorHAnsi" w:hAnsiTheme="minorHAnsi" w:cstheme="minorHAnsi"/>
          <w:sz w:val="22"/>
          <w:szCs w:val="22"/>
        </w:rPr>
        <w:t>between farms</w:t>
      </w:r>
      <w:r w:rsidR="00EE3FD3">
        <w:rPr>
          <w:rFonts w:asciiTheme="minorHAnsi" w:hAnsiTheme="minorHAnsi" w:cstheme="minorHAnsi"/>
          <w:sz w:val="22"/>
          <w:szCs w:val="22"/>
        </w:rPr>
        <w:t xml:space="preserve"> in the baseline situation</w:t>
      </w:r>
      <w:r w:rsidR="00DF11D1">
        <w:rPr>
          <w:rFonts w:asciiTheme="minorHAnsi" w:hAnsiTheme="minorHAnsi" w:cstheme="minorHAnsi"/>
          <w:sz w:val="22"/>
          <w:szCs w:val="22"/>
        </w:rPr>
        <w:t xml:space="preserve">. </w:t>
      </w:r>
      <w:r w:rsidR="00C034CF" w:rsidRPr="0051069E">
        <w:rPr>
          <w:rFonts w:asciiTheme="minorHAnsi" w:hAnsiTheme="minorHAnsi" w:cstheme="minorHAnsi"/>
          <w:sz w:val="22"/>
          <w:szCs w:val="22"/>
        </w:rPr>
        <w:t xml:space="preserve">Baseline emissions </w:t>
      </w:r>
      <w:r w:rsidR="00920F14">
        <w:rPr>
          <w:rFonts w:asciiTheme="minorHAnsi" w:hAnsiTheme="minorHAnsi" w:cstheme="minorHAnsi"/>
          <w:sz w:val="22"/>
          <w:szCs w:val="22"/>
        </w:rPr>
        <w:t xml:space="preserve">at the farm level </w:t>
      </w:r>
      <w:r w:rsidR="00C034CF" w:rsidRPr="0051069E">
        <w:rPr>
          <w:rFonts w:asciiTheme="minorHAnsi" w:hAnsiTheme="minorHAnsi" w:cstheme="minorHAnsi"/>
          <w:sz w:val="22"/>
          <w:szCs w:val="22"/>
        </w:rPr>
        <w:t xml:space="preserve">ranged </w:t>
      </w:r>
      <w:r w:rsidR="00C034CF" w:rsidRPr="00722BFE">
        <w:rPr>
          <w:rFonts w:asciiTheme="minorHAnsi" w:hAnsiTheme="minorHAnsi" w:cstheme="minorHAnsi"/>
          <w:sz w:val="22"/>
          <w:szCs w:val="22"/>
        </w:rPr>
        <w:t xml:space="preserve">from </w:t>
      </w:r>
      <w:r w:rsidR="00722BFE" w:rsidRPr="00722BFE">
        <w:rPr>
          <w:rFonts w:asciiTheme="minorHAnsi" w:hAnsiTheme="minorHAnsi" w:cstheme="minorHAnsi"/>
          <w:sz w:val="22"/>
          <w:szCs w:val="22"/>
        </w:rPr>
        <w:t>347</w:t>
      </w:r>
      <w:r w:rsidR="00FB348F">
        <w:rPr>
          <w:rFonts w:asciiTheme="minorHAnsi" w:hAnsiTheme="minorHAnsi" w:cstheme="minorHAnsi"/>
          <w:sz w:val="22"/>
          <w:szCs w:val="22"/>
        </w:rPr>
        <w:t xml:space="preserve"> to </w:t>
      </w:r>
      <w:r w:rsidR="00EB3491" w:rsidRPr="00722BFE">
        <w:rPr>
          <w:rFonts w:asciiTheme="minorHAnsi" w:hAnsiTheme="minorHAnsi" w:cstheme="minorHAnsi"/>
          <w:sz w:val="22"/>
          <w:szCs w:val="22"/>
        </w:rPr>
        <w:t>2326</w:t>
      </w:r>
      <w:r w:rsidR="00C808D6">
        <w:t xml:space="preserve"> t </w:t>
      </w:r>
      <w:r w:rsidR="00EB3491" w:rsidRPr="00A60A1A">
        <w:rPr>
          <w:rFonts w:asciiTheme="minorHAnsi" w:hAnsiTheme="minorHAnsi" w:cstheme="minorHAnsi"/>
          <w:sz w:val="22"/>
          <w:szCs w:val="22"/>
        </w:rPr>
        <w:t>CO</w:t>
      </w:r>
      <w:r w:rsidR="00EB3491" w:rsidRPr="00A60A1A">
        <w:rPr>
          <w:rFonts w:asciiTheme="minorHAnsi" w:hAnsiTheme="minorHAnsi" w:cstheme="minorHAnsi"/>
          <w:sz w:val="22"/>
          <w:szCs w:val="22"/>
          <w:vertAlign w:val="subscript"/>
        </w:rPr>
        <w:t>2</w:t>
      </w:r>
      <w:r w:rsidR="00EB3491" w:rsidRPr="00A60A1A">
        <w:rPr>
          <w:rFonts w:asciiTheme="minorHAnsi" w:hAnsiTheme="minorHAnsi" w:cstheme="minorHAnsi"/>
          <w:sz w:val="22"/>
          <w:szCs w:val="22"/>
        </w:rPr>
        <w:t>e y</w:t>
      </w:r>
      <w:r w:rsidR="00A61349" w:rsidRPr="00A60A1A">
        <w:rPr>
          <w:rFonts w:asciiTheme="minorHAnsi" w:hAnsiTheme="minorHAnsi" w:cstheme="minorHAnsi"/>
          <w:sz w:val="22"/>
          <w:szCs w:val="22"/>
        </w:rPr>
        <w:t>r</w:t>
      </w:r>
      <w:r w:rsidR="00EB3491" w:rsidRPr="00A60A1A">
        <w:rPr>
          <w:rFonts w:asciiTheme="minorHAnsi" w:hAnsiTheme="minorHAnsi" w:cstheme="minorHAnsi"/>
          <w:sz w:val="22"/>
          <w:szCs w:val="22"/>
          <w:vertAlign w:val="superscript"/>
        </w:rPr>
        <w:t>-1</w:t>
      </w:r>
      <w:r w:rsidR="0044232C">
        <w:rPr>
          <w:rFonts w:asciiTheme="minorHAnsi" w:hAnsiTheme="minorHAnsi" w:cstheme="minorHAnsi"/>
          <w:sz w:val="22"/>
          <w:szCs w:val="22"/>
        </w:rPr>
        <w:t>, in part reflecting a wide range of</w:t>
      </w:r>
      <w:r w:rsidR="00AE0B7F">
        <w:rPr>
          <w:rFonts w:asciiTheme="minorHAnsi" w:hAnsiTheme="minorHAnsi" w:cstheme="minorHAnsi"/>
          <w:sz w:val="22"/>
          <w:szCs w:val="22"/>
        </w:rPr>
        <w:t xml:space="preserve"> management intensities and</w:t>
      </w:r>
      <w:r w:rsidR="0044232C">
        <w:rPr>
          <w:rFonts w:asciiTheme="minorHAnsi" w:hAnsiTheme="minorHAnsi" w:cstheme="minorHAnsi"/>
          <w:sz w:val="22"/>
          <w:szCs w:val="22"/>
        </w:rPr>
        <w:t xml:space="preserve"> farm </w:t>
      </w:r>
      <w:r w:rsidR="00365E41">
        <w:rPr>
          <w:rFonts w:asciiTheme="minorHAnsi" w:hAnsiTheme="minorHAnsi" w:cstheme="minorHAnsi"/>
          <w:sz w:val="22"/>
          <w:szCs w:val="22"/>
        </w:rPr>
        <w:t>size</w:t>
      </w:r>
      <w:r w:rsidR="0044232C">
        <w:rPr>
          <w:rFonts w:asciiTheme="minorHAnsi" w:hAnsiTheme="minorHAnsi" w:cstheme="minorHAnsi"/>
          <w:sz w:val="22"/>
          <w:szCs w:val="22"/>
        </w:rPr>
        <w:t>s,</w:t>
      </w:r>
      <w:r w:rsidR="00365E41">
        <w:rPr>
          <w:rFonts w:asciiTheme="minorHAnsi" w:hAnsiTheme="minorHAnsi" w:cstheme="minorHAnsi"/>
          <w:sz w:val="22"/>
          <w:szCs w:val="22"/>
        </w:rPr>
        <w:t xml:space="preserve"> from 55</w:t>
      </w:r>
      <w:r w:rsidR="0044232C">
        <w:rPr>
          <w:rFonts w:asciiTheme="minorHAnsi" w:hAnsiTheme="minorHAnsi" w:cstheme="minorHAnsi"/>
          <w:sz w:val="22"/>
          <w:szCs w:val="22"/>
        </w:rPr>
        <w:t xml:space="preserve"> to </w:t>
      </w:r>
      <w:r w:rsidR="00365E41">
        <w:rPr>
          <w:rFonts w:asciiTheme="minorHAnsi" w:hAnsiTheme="minorHAnsi" w:cstheme="minorHAnsi"/>
          <w:sz w:val="22"/>
          <w:szCs w:val="22"/>
        </w:rPr>
        <w:t>540</w:t>
      </w:r>
      <w:r w:rsidR="00374C56">
        <w:rPr>
          <w:rFonts w:asciiTheme="minorHAnsi" w:hAnsiTheme="minorHAnsi" w:cstheme="minorHAnsi"/>
          <w:sz w:val="22"/>
          <w:szCs w:val="22"/>
        </w:rPr>
        <w:t xml:space="preserve"> </w:t>
      </w:r>
      <w:r w:rsidR="00365E41">
        <w:rPr>
          <w:rFonts w:asciiTheme="minorHAnsi" w:hAnsiTheme="minorHAnsi" w:cstheme="minorHAnsi"/>
          <w:sz w:val="22"/>
          <w:szCs w:val="22"/>
        </w:rPr>
        <w:t>ha</w:t>
      </w:r>
      <w:r w:rsidR="00EB3491" w:rsidRPr="00A60A1A">
        <w:rPr>
          <w:rFonts w:asciiTheme="minorHAnsi" w:hAnsiTheme="minorHAnsi" w:cstheme="minorHAnsi"/>
          <w:sz w:val="22"/>
          <w:szCs w:val="22"/>
        </w:rPr>
        <w:t xml:space="preserve">. </w:t>
      </w:r>
      <w:r w:rsidR="00AC1CA4" w:rsidRPr="00A60A1A">
        <w:rPr>
          <w:rFonts w:asciiTheme="minorHAnsi" w:hAnsiTheme="minorHAnsi" w:cstheme="minorHAnsi"/>
          <w:sz w:val="22"/>
          <w:szCs w:val="22"/>
        </w:rPr>
        <w:t>Farms</w:t>
      </w:r>
      <w:r w:rsidR="00AC1CA4" w:rsidRPr="00722BFE">
        <w:rPr>
          <w:rFonts w:asciiTheme="minorHAnsi" w:hAnsiTheme="minorHAnsi" w:cstheme="minorHAnsi"/>
          <w:sz w:val="22"/>
          <w:szCs w:val="22"/>
        </w:rPr>
        <w:t xml:space="preserve"> also varied in efficiencies</w:t>
      </w:r>
      <w:r w:rsidR="00EE3FD3">
        <w:rPr>
          <w:rFonts w:asciiTheme="minorHAnsi" w:hAnsiTheme="minorHAnsi" w:cstheme="minorHAnsi"/>
          <w:sz w:val="22"/>
          <w:szCs w:val="22"/>
        </w:rPr>
        <w:t>,</w:t>
      </w:r>
      <w:r w:rsidR="00AC1CA4" w:rsidRPr="00722BFE">
        <w:rPr>
          <w:rFonts w:asciiTheme="minorHAnsi" w:hAnsiTheme="minorHAnsi" w:cstheme="minorHAnsi"/>
          <w:sz w:val="22"/>
          <w:szCs w:val="22"/>
        </w:rPr>
        <w:t xml:space="preserve"> with product emissions </w:t>
      </w:r>
      <w:r w:rsidR="0044232C">
        <w:rPr>
          <w:rFonts w:asciiTheme="minorHAnsi" w:hAnsiTheme="minorHAnsi" w:cstheme="minorHAnsi"/>
          <w:sz w:val="22"/>
          <w:szCs w:val="22"/>
        </w:rPr>
        <w:t xml:space="preserve">intensities </w:t>
      </w:r>
      <w:r w:rsidR="00AC1CA4" w:rsidRPr="00722BFE">
        <w:rPr>
          <w:rFonts w:asciiTheme="minorHAnsi" w:hAnsiTheme="minorHAnsi" w:cstheme="minorHAnsi"/>
          <w:sz w:val="22"/>
          <w:szCs w:val="22"/>
        </w:rPr>
        <w:t xml:space="preserve">ranging from </w:t>
      </w:r>
      <w:r w:rsidR="00993239" w:rsidRPr="00722BFE">
        <w:rPr>
          <w:rFonts w:asciiTheme="minorHAnsi" w:hAnsiTheme="minorHAnsi" w:cstheme="minorHAnsi"/>
          <w:sz w:val="22"/>
          <w:szCs w:val="22"/>
        </w:rPr>
        <w:t>13.8</w:t>
      </w:r>
      <w:r w:rsidR="00FB348F">
        <w:rPr>
          <w:rFonts w:asciiTheme="minorHAnsi" w:hAnsiTheme="minorHAnsi" w:cstheme="minorHAnsi"/>
          <w:sz w:val="22"/>
          <w:szCs w:val="22"/>
        </w:rPr>
        <w:t xml:space="preserve"> to </w:t>
      </w:r>
      <w:r w:rsidR="0051069E" w:rsidRPr="00722BFE">
        <w:rPr>
          <w:rFonts w:asciiTheme="minorHAnsi" w:hAnsiTheme="minorHAnsi" w:cstheme="minorHAnsi"/>
          <w:sz w:val="22"/>
          <w:szCs w:val="22"/>
        </w:rPr>
        <w:t>38.</w:t>
      </w:r>
      <w:r w:rsidR="004E45C8">
        <w:rPr>
          <w:rFonts w:asciiTheme="minorHAnsi" w:hAnsiTheme="minorHAnsi" w:cstheme="minorHAnsi"/>
          <w:sz w:val="22"/>
          <w:szCs w:val="22"/>
        </w:rPr>
        <w:t>5</w:t>
      </w:r>
      <w:r w:rsidR="0051069E" w:rsidRPr="00722BFE">
        <w:rPr>
          <w:rFonts w:asciiTheme="minorHAnsi" w:hAnsiTheme="minorHAnsi" w:cstheme="minorHAnsi"/>
          <w:sz w:val="22"/>
          <w:szCs w:val="22"/>
        </w:rPr>
        <w:t xml:space="preserve"> kg CO</w:t>
      </w:r>
      <w:r w:rsidR="0051069E" w:rsidRPr="00722BFE">
        <w:rPr>
          <w:rFonts w:asciiTheme="minorHAnsi" w:hAnsiTheme="minorHAnsi" w:cstheme="minorHAnsi"/>
          <w:sz w:val="22"/>
          <w:szCs w:val="22"/>
          <w:vertAlign w:val="subscript"/>
        </w:rPr>
        <w:t>2</w:t>
      </w:r>
      <w:r w:rsidR="0051069E" w:rsidRPr="00722BFE">
        <w:rPr>
          <w:rFonts w:asciiTheme="minorHAnsi" w:hAnsiTheme="minorHAnsi" w:cstheme="minorHAnsi"/>
          <w:sz w:val="22"/>
          <w:szCs w:val="22"/>
        </w:rPr>
        <w:t>e</w:t>
      </w:r>
      <w:r w:rsidR="00F7505E">
        <w:rPr>
          <w:rFonts w:asciiTheme="minorHAnsi" w:hAnsiTheme="minorHAnsi" w:cstheme="minorHAnsi"/>
          <w:sz w:val="22"/>
          <w:szCs w:val="22"/>
        </w:rPr>
        <w:t xml:space="preserve"> kg</w:t>
      </w:r>
      <w:r w:rsidR="00F7505E" w:rsidRPr="00F7505E">
        <w:rPr>
          <w:rFonts w:asciiTheme="minorHAnsi" w:hAnsiTheme="minorHAnsi" w:cstheme="minorHAnsi"/>
          <w:sz w:val="22"/>
          <w:szCs w:val="22"/>
          <w:vertAlign w:val="superscript"/>
        </w:rPr>
        <w:t>-1</w:t>
      </w:r>
      <w:r w:rsidR="0051069E" w:rsidRPr="00722BFE">
        <w:rPr>
          <w:rFonts w:asciiTheme="minorHAnsi" w:hAnsiTheme="minorHAnsi" w:cstheme="minorHAnsi"/>
          <w:sz w:val="22"/>
          <w:szCs w:val="22"/>
        </w:rPr>
        <w:t xml:space="preserve"> </w:t>
      </w:r>
      <w:r w:rsidR="00287F54">
        <w:rPr>
          <w:rFonts w:asciiTheme="minorHAnsi" w:hAnsiTheme="minorHAnsi" w:cstheme="minorHAnsi"/>
          <w:sz w:val="22"/>
          <w:szCs w:val="22"/>
        </w:rPr>
        <w:t xml:space="preserve">dwt </w:t>
      </w:r>
      <w:r w:rsidR="00E6205A">
        <w:rPr>
          <w:rFonts w:asciiTheme="minorHAnsi" w:hAnsiTheme="minorHAnsi" w:cstheme="minorHAnsi"/>
          <w:sz w:val="22"/>
          <w:szCs w:val="22"/>
        </w:rPr>
        <w:t>(</w:t>
      </w:r>
      <w:r w:rsidR="00FA4E8D">
        <w:rPr>
          <w:rFonts w:asciiTheme="minorHAnsi" w:hAnsiTheme="minorHAnsi" w:cstheme="minorHAnsi"/>
          <w:sz w:val="22"/>
          <w:szCs w:val="22"/>
        </w:rPr>
        <w:t xml:space="preserve">Table </w:t>
      </w:r>
      <w:r w:rsidR="009941C9">
        <w:rPr>
          <w:rFonts w:asciiTheme="minorHAnsi" w:hAnsiTheme="minorHAnsi" w:cstheme="minorHAnsi"/>
          <w:sz w:val="22"/>
          <w:szCs w:val="22"/>
        </w:rPr>
        <w:t>2</w:t>
      </w:r>
      <w:r w:rsidR="00E6205A">
        <w:rPr>
          <w:rFonts w:asciiTheme="minorHAnsi" w:hAnsiTheme="minorHAnsi" w:cstheme="minorHAnsi"/>
          <w:sz w:val="22"/>
          <w:szCs w:val="22"/>
        </w:rPr>
        <w:t>)</w:t>
      </w:r>
      <w:r w:rsidR="0051069E" w:rsidRPr="0051069E">
        <w:rPr>
          <w:rFonts w:asciiTheme="minorHAnsi" w:hAnsiTheme="minorHAnsi" w:cstheme="minorHAnsi"/>
          <w:sz w:val="22"/>
          <w:szCs w:val="22"/>
        </w:rPr>
        <w:t>.</w:t>
      </w:r>
      <w:r w:rsidR="0051069E">
        <w:rPr>
          <w:rFonts w:asciiTheme="minorHAnsi" w:hAnsiTheme="minorHAnsi" w:cstheme="minorHAnsi"/>
          <w:sz w:val="22"/>
          <w:szCs w:val="22"/>
        </w:rPr>
        <w:t xml:space="preserve"> </w:t>
      </w:r>
      <w:r w:rsidR="006D61E7">
        <w:rPr>
          <w:rFonts w:asciiTheme="minorHAnsi" w:hAnsiTheme="minorHAnsi" w:cstheme="minorHAnsi"/>
          <w:sz w:val="22"/>
          <w:szCs w:val="22"/>
        </w:rPr>
        <w:t>Although</w:t>
      </w:r>
      <w:r w:rsidR="00156F15">
        <w:rPr>
          <w:rFonts w:asciiTheme="minorHAnsi" w:hAnsiTheme="minorHAnsi" w:cstheme="minorHAnsi"/>
          <w:sz w:val="22"/>
          <w:szCs w:val="22"/>
        </w:rPr>
        <w:t xml:space="preserve"> the</w:t>
      </w:r>
      <w:r w:rsidR="006D61E7">
        <w:rPr>
          <w:rFonts w:asciiTheme="minorHAnsi" w:hAnsiTheme="minorHAnsi" w:cstheme="minorHAnsi"/>
          <w:sz w:val="22"/>
          <w:szCs w:val="22"/>
        </w:rPr>
        <w:t xml:space="preserve"> </w:t>
      </w:r>
      <w:r w:rsidR="00156F15">
        <w:rPr>
          <w:rFonts w:asciiTheme="minorHAnsi" w:hAnsiTheme="minorHAnsi" w:cstheme="minorHAnsi"/>
          <w:sz w:val="22"/>
          <w:szCs w:val="22"/>
        </w:rPr>
        <w:t>farms</w:t>
      </w:r>
      <w:r w:rsidR="007B2F84" w:rsidRPr="00413790">
        <w:rPr>
          <w:rFonts w:asciiTheme="minorHAnsi" w:hAnsiTheme="minorHAnsi" w:cstheme="minorHAnsi"/>
          <w:sz w:val="22"/>
          <w:szCs w:val="22"/>
        </w:rPr>
        <w:t xml:space="preserve"> </w:t>
      </w:r>
      <w:r w:rsidR="006F4497">
        <w:rPr>
          <w:rFonts w:asciiTheme="minorHAnsi" w:hAnsiTheme="minorHAnsi" w:cstheme="minorHAnsi"/>
          <w:sz w:val="22"/>
          <w:szCs w:val="22"/>
        </w:rPr>
        <w:t>ha</w:t>
      </w:r>
      <w:r w:rsidR="00374C56">
        <w:rPr>
          <w:rFonts w:asciiTheme="minorHAnsi" w:hAnsiTheme="minorHAnsi" w:cstheme="minorHAnsi"/>
          <w:sz w:val="22"/>
          <w:szCs w:val="22"/>
        </w:rPr>
        <w:t>d</w:t>
      </w:r>
      <w:r w:rsidR="007B2F84" w:rsidRPr="00413790">
        <w:rPr>
          <w:rFonts w:asciiTheme="minorHAnsi" w:hAnsiTheme="minorHAnsi" w:cstheme="minorHAnsi"/>
          <w:sz w:val="22"/>
          <w:szCs w:val="22"/>
        </w:rPr>
        <w:t xml:space="preserve"> notably different baseline emissions</w:t>
      </w:r>
      <w:r w:rsidR="00156F15">
        <w:rPr>
          <w:rFonts w:asciiTheme="minorHAnsi" w:hAnsiTheme="minorHAnsi" w:cstheme="minorHAnsi"/>
          <w:sz w:val="22"/>
          <w:szCs w:val="22"/>
        </w:rPr>
        <w:t xml:space="preserve">, all farms </w:t>
      </w:r>
      <w:r w:rsidR="007B2F84" w:rsidRPr="00413790">
        <w:rPr>
          <w:rFonts w:asciiTheme="minorHAnsi" w:hAnsiTheme="minorHAnsi" w:cstheme="minorHAnsi"/>
          <w:sz w:val="22"/>
          <w:szCs w:val="22"/>
        </w:rPr>
        <w:t>show</w:t>
      </w:r>
      <w:r w:rsidR="00374C56">
        <w:rPr>
          <w:rFonts w:asciiTheme="minorHAnsi" w:hAnsiTheme="minorHAnsi" w:cstheme="minorHAnsi"/>
          <w:sz w:val="22"/>
          <w:szCs w:val="22"/>
        </w:rPr>
        <w:t>ed</w:t>
      </w:r>
      <w:r w:rsidR="007B2F84" w:rsidRPr="00413790">
        <w:rPr>
          <w:rFonts w:asciiTheme="minorHAnsi" w:hAnsiTheme="minorHAnsi" w:cstheme="minorHAnsi"/>
          <w:sz w:val="22"/>
          <w:szCs w:val="22"/>
        </w:rPr>
        <w:t xml:space="preserve"> similar emission </w:t>
      </w:r>
      <w:r w:rsidR="00EE3FD3">
        <w:rPr>
          <w:rFonts w:asciiTheme="minorHAnsi" w:hAnsiTheme="minorHAnsi" w:cstheme="minorHAnsi"/>
          <w:sz w:val="22"/>
          <w:szCs w:val="22"/>
        </w:rPr>
        <w:t>profiles</w:t>
      </w:r>
      <w:r w:rsidR="00947A45">
        <w:rPr>
          <w:rFonts w:asciiTheme="minorHAnsi" w:hAnsiTheme="minorHAnsi" w:cstheme="minorHAnsi"/>
          <w:sz w:val="22"/>
          <w:szCs w:val="22"/>
        </w:rPr>
        <w:t>,</w:t>
      </w:r>
      <w:r w:rsidR="007B2F84" w:rsidRPr="00413790">
        <w:rPr>
          <w:rFonts w:asciiTheme="minorHAnsi" w:hAnsiTheme="minorHAnsi" w:cstheme="minorHAnsi"/>
          <w:sz w:val="22"/>
          <w:szCs w:val="22"/>
        </w:rPr>
        <w:t xml:space="preserve"> with </w:t>
      </w:r>
      <w:r w:rsidR="00E2448B">
        <w:rPr>
          <w:rFonts w:asciiTheme="minorHAnsi" w:hAnsiTheme="minorHAnsi" w:cstheme="minorHAnsi"/>
          <w:sz w:val="22"/>
          <w:szCs w:val="22"/>
        </w:rPr>
        <w:t>CH</w:t>
      </w:r>
      <w:r w:rsidR="00E2448B" w:rsidRPr="00E2448B">
        <w:rPr>
          <w:rFonts w:asciiTheme="minorHAnsi" w:hAnsiTheme="minorHAnsi" w:cstheme="minorHAnsi"/>
          <w:sz w:val="22"/>
          <w:szCs w:val="22"/>
          <w:vertAlign w:val="subscript"/>
        </w:rPr>
        <w:t>4</w:t>
      </w:r>
      <w:r w:rsidR="007B2F84" w:rsidRPr="00413790">
        <w:rPr>
          <w:rFonts w:asciiTheme="minorHAnsi" w:hAnsiTheme="minorHAnsi" w:cstheme="minorHAnsi"/>
          <w:sz w:val="22"/>
          <w:szCs w:val="22"/>
        </w:rPr>
        <w:t xml:space="preserve"> emissions from enteric fermentation accounting for the majority of GHG emissions </w:t>
      </w:r>
      <w:r w:rsidR="00947A45">
        <w:rPr>
          <w:rFonts w:asciiTheme="minorHAnsi" w:hAnsiTheme="minorHAnsi" w:cstheme="minorHAnsi"/>
          <w:sz w:val="22"/>
          <w:szCs w:val="22"/>
        </w:rPr>
        <w:t xml:space="preserve">(mean of </w:t>
      </w:r>
      <w:r w:rsidR="00B95208">
        <w:rPr>
          <w:rFonts w:asciiTheme="minorHAnsi" w:hAnsiTheme="minorHAnsi" w:cstheme="minorHAnsi"/>
          <w:sz w:val="22"/>
          <w:szCs w:val="22"/>
        </w:rPr>
        <w:t>57</w:t>
      </w:r>
      <w:r w:rsidR="00947A45">
        <w:rPr>
          <w:rFonts w:asciiTheme="minorHAnsi" w:hAnsiTheme="minorHAnsi" w:cstheme="minorHAnsi"/>
          <w:sz w:val="22"/>
          <w:szCs w:val="22"/>
        </w:rPr>
        <w:t xml:space="preserve">% across all farms) </w:t>
      </w:r>
      <w:r w:rsidR="007B2F84" w:rsidRPr="00413790">
        <w:rPr>
          <w:rFonts w:asciiTheme="minorHAnsi" w:hAnsiTheme="minorHAnsi" w:cstheme="minorHAnsi"/>
          <w:sz w:val="22"/>
          <w:szCs w:val="22"/>
        </w:rPr>
        <w:t xml:space="preserve">followed by </w:t>
      </w:r>
      <w:r w:rsidR="0041115B">
        <w:rPr>
          <w:rFonts w:asciiTheme="minorHAnsi" w:hAnsiTheme="minorHAnsi" w:cstheme="minorHAnsi"/>
          <w:sz w:val="22"/>
          <w:szCs w:val="22"/>
        </w:rPr>
        <w:t>N</w:t>
      </w:r>
      <w:r w:rsidR="0041115B">
        <w:rPr>
          <w:rFonts w:asciiTheme="minorHAnsi" w:hAnsiTheme="minorHAnsi" w:cstheme="minorHAnsi"/>
          <w:sz w:val="22"/>
          <w:szCs w:val="22"/>
          <w:vertAlign w:val="subscript"/>
        </w:rPr>
        <w:t>2</w:t>
      </w:r>
      <w:r w:rsidR="0041115B">
        <w:rPr>
          <w:rFonts w:asciiTheme="minorHAnsi" w:hAnsiTheme="minorHAnsi" w:cstheme="minorHAnsi"/>
          <w:sz w:val="22"/>
          <w:szCs w:val="22"/>
        </w:rPr>
        <w:t>O</w:t>
      </w:r>
      <w:r w:rsidR="007B2F84" w:rsidRPr="00413790">
        <w:rPr>
          <w:rFonts w:asciiTheme="minorHAnsi" w:hAnsiTheme="minorHAnsi" w:cstheme="minorHAnsi"/>
          <w:sz w:val="22"/>
          <w:szCs w:val="22"/>
        </w:rPr>
        <w:t xml:space="preserve"> from soils</w:t>
      </w:r>
      <w:r w:rsidR="00947A45">
        <w:rPr>
          <w:rFonts w:asciiTheme="minorHAnsi" w:hAnsiTheme="minorHAnsi" w:cstheme="minorHAnsi"/>
          <w:sz w:val="22"/>
          <w:szCs w:val="22"/>
        </w:rPr>
        <w:t xml:space="preserve"> (</w:t>
      </w:r>
      <w:r w:rsidR="00232734">
        <w:rPr>
          <w:rFonts w:asciiTheme="minorHAnsi" w:hAnsiTheme="minorHAnsi" w:cstheme="minorHAnsi"/>
          <w:sz w:val="22"/>
          <w:szCs w:val="22"/>
        </w:rPr>
        <w:t xml:space="preserve">mean of </w:t>
      </w:r>
      <w:r w:rsidR="00B95208">
        <w:rPr>
          <w:rFonts w:asciiTheme="minorHAnsi" w:hAnsiTheme="minorHAnsi" w:cstheme="minorHAnsi"/>
          <w:sz w:val="22"/>
          <w:szCs w:val="22"/>
        </w:rPr>
        <w:t>24</w:t>
      </w:r>
      <w:r w:rsidR="00947A45">
        <w:rPr>
          <w:rFonts w:asciiTheme="minorHAnsi" w:hAnsiTheme="minorHAnsi" w:cstheme="minorHAnsi"/>
          <w:sz w:val="22"/>
          <w:szCs w:val="22"/>
        </w:rPr>
        <w:t>%)</w:t>
      </w:r>
      <w:r w:rsidR="00706CD5">
        <w:rPr>
          <w:rFonts w:asciiTheme="minorHAnsi" w:hAnsiTheme="minorHAnsi" w:cstheme="minorHAnsi"/>
          <w:sz w:val="22"/>
          <w:szCs w:val="22"/>
        </w:rPr>
        <w:t xml:space="preserve"> (Figure 2)</w:t>
      </w:r>
      <w:r w:rsidR="007B2F84" w:rsidRPr="00413790">
        <w:rPr>
          <w:rFonts w:asciiTheme="minorHAnsi" w:hAnsiTheme="minorHAnsi" w:cstheme="minorHAnsi"/>
          <w:sz w:val="22"/>
          <w:szCs w:val="22"/>
        </w:rPr>
        <w:t xml:space="preserve">. </w:t>
      </w:r>
      <w:r w:rsidR="0095220F">
        <w:rPr>
          <w:rFonts w:asciiTheme="minorHAnsi" w:hAnsiTheme="minorHAnsi" w:cstheme="minorHAnsi"/>
          <w:sz w:val="22"/>
          <w:szCs w:val="22"/>
        </w:rPr>
        <w:t xml:space="preserve">The relative </w:t>
      </w:r>
      <w:r w:rsidR="009E0A0C">
        <w:rPr>
          <w:rFonts w:asciiTheme="minorHAnsi" w:hAnsiTheme="minorHAnsi" w:cstheme="minorHAnsi"/>
          <w:sz w:val="22"/>
          <w:szCs w:val="22"/>
        </w:rPr>
        <w:t xml:space="preserve">sinks </w:t>
      </w:r>
      <w:r w:rsidR="00E246D8">
        <w:rPr>
          <w:rFonts w:asciiTheme="minorHAnsi" w:hAnsiTheme="minorHAnsi" w:cstheme="minorHAnsi"/>
          <w:sz w:val="22"/>
          <w:szCs w:val="22"/>
        </w:rPr>
        <w:t>for</w:t>
      </w:r>
      <w:r w:rsidR="009E0A0C">
        <w:rPr>
          <w:rFonts w:asciiTheme="minorHAnsi" w:hAnsiTheme="minorHAnsi" w:cstheme="minorHAnsi"/>
          <w:sz w:val="22"/>
          <w:szCs w:val="22"/>
        </w:rPr>
        <w:t xml:space="preserve"> carbon (</w:t>
      </w:r>
      <w:r w:rsidR="00083A64">
        <w:rPr>
          <w:rFonts w:asciiTheme="minorHAnsi" w:hAnsiTheme="minorHAnsi" w:cstheme="minorHAnsi"/>
          <w:sz w:val="22"/>
          <w:szCs w:val="22"/>
        </w:rPr>
        <w:t>i.e.,</w:t>
      </w:r>
      <w:r w:rsidR="009E0A0C">
        <w:rPr>
          <w:rFonts w:asciiTheme="minorHAnsi" w:hAnsiTheme="minorHAnsi" w:cstheme="minorHAnsi"/>
          <w:sz w:val="22"/>
          <w:szCs w:val="22"/>
        </w:rPr>
        <w:t xml:space="preserve"> carbon </w:t>
      </w:r>
      <w:r w:rsidR="004775C3">
        <w:rPr>
          <w:rFonts w:asciiTheme="minorHAnsi" w:hAnsiTheme="minorHAnsi" w:cstheme="minorHAnsi"/>
          <w:sz w:val="22"/>
          <w:szCs w:val="22"/>
        </w:rPr>
        <w:t xml:space="preserve">sequestration) </w:t>
      </w:r>
      <w:r w:rsidR="007B2F84" w:rsidRPr="00413790">
        <w:rPr>
          <w:rFonts w:asciiTheme="minorHAnsi" w:hAnsiTheme="minorHAnsi" w:cstheme="minorHAnsi"/>
          <w:sz w:val="22"/>
          <w:szCs w:val="22"/>
        </w:rPr>
        <w:t>w</w:t>
      </w:r>
      <w:r w:rsidR="009E0A0C">
        <w:rPr>
          <w:rFonts w:asciiTheme="minorHAnsi" w:hAnsiTheme="minorHAnsi" w:cstheme="minorHAnsi"/>
          <w:sz w:val="22"/>
          <w:szCs w:val="22"/>
        </w:rPr>
        <w:t>ere</w:t>
      </w:r>
      <w:r w:rsidR="007B2F84" w:rsidRPr="00413790">
        <w:rPr>
          <w:rFonts w:asciiTheme="minorHAnsi" w:hAnsiTheme="minorHAnsi" w:cstheme="minorHAnsi"/>
          <w:sz w:val="22"/>
          <w:szCs w:val="22"/>
        </w:rPr>
        <w:t xml:space="preserve"> also similar between farms</w:t>
      </w:r>
      <w:r w:rsidR="00947A45">
        <w:rPr>
          <w:rFonts w:asciiTheme="minorHAnsi" w:hAnsiTheme="minorHAnsi" w:cstheme="minorHAnsi"/>
          <w:sz w:val="22"/>
          <w:szCs w:val="22"/>
        </w:rPr>
        <w:t>,</w:t>
      </w:r>
      <w:r w:rsidR="007B2F84" w:rsidRPr="00413790">
        <w:rPr>
          <w:rFonts w:asciiTheme="minorHAnsi" w:hAnsiTheme="minorHAnsi" w:cstheme="minorHAnsi"/>
          <w:sz w:val="22"/>
          <w:szCs w:val="22"/>
        </w:rPr>
        <w:t xml:space="preserve"> with grasslands being the biggest carbon sink</w:t>
      </w:r>
      <w:r w:rsidR="0044232C">
        <w:rPr>
          <w:rFonts w:asciiTheme="minorHAnsi" w:hAnsiTheme="minorHAnsi" w:cstheme="minorHAnsi"/>
          <w:sz w:val="22"/>
          <w:szCs w:val="22"/>
        </w:rPr>
        <w:t>,</w:t>
      </w:r>
      <w:r w:rsidR="00727696">
        <w:rPr>
          <w:rFonts w:asciiTheme="minorHAnsi" w:hAnsiTheme="minorHAnsi" w:cstheme="minorHAnsi"/>
          <w:sz w:val="22"/>
          <w:szCs w:val="22"/>
        </w:rPr>
        <w:t xml:space="preserve"> </w:t>
      </w:r>
      <w:r w:rsidR="00A47550">
        <w:rPr>
          <w:rFonts w:asciiTheme="minorHAnsi" w:hAnsiTheme="minorHAnsi" w:cstheme="minorHAnsi"/>
          <w:sz w:val="22"/>
          <w:szCs w:val="22"/>
        </w:rPr>
        <w:t xml:space="preserve">accounting for on average </w:t>
      </w:r>
      <w:r w:rsidR="00727696">
        <w:rPr>
          <w:rFonts w:asciiTheme="minorHAnsi" w:hAnsiTheme="minorHAnsi" w:cstheme="minorHAnsi"/>
          <w:sz w:val="22"/>
          <w:szCs w:val="22"/>
        </w:rPr>
        <w:t>72%</w:t>
      </w:r>
      <w:r w:rsidR="00A47550">
        <w:rPr>
          <w:rFonts w:asciiTheme="minorHAnsi" w:hAnsiTheme="minorHAnsi" w:cstheme="minorHAnsi"/>
          <w:sz w:val="22"/>
          <w:szCs w:val="22"/>
        </w:rPr>
        <w:t xml:space="preserve"> of total sequestration</w:t>
      </w:r>
      <w:r w:rsidR="00E56380">
        <w:rPr>
          <w:rFonts w:asciiTheme="minorHAnsi" w:hAnsiTheme="minorHAnsi" w:cstheme="minorHAnsi"/>
          <w:sz w:val="22"/>
          <w:szCs w:val="22"/>
        </w:rPr>
        <w:t xml:space="preserve"> (Figure 2)</w:t>
      </w:r>
      <w:r w:rsidR="007B2F84" w:rsidRPr="00E26C6C">
        <w:rPr>
          <w:rFonts w:asciiTheme="minorHAnsi" w:hAnsiTheme="minorHAnsi" w:cstheme="minorHAnsi"/>
          <w:sz w:val="22"/>
          <w:szCs w:val="22"/>
        </w:rPr>
        <w:t>.</w:t>
      </w:r>
      <w:r w:rsidR="00D42F75" w:rsidRPr="00E26C6C">
        <w:rPr>
          <w:rFonts w:asciiTheme="minorHAnsi" w:hAnsiTheme="minorHAnsi" w:cstheme="minorHAnsi"/>
          <w:sz w:val="22"/>
          <w:szCs w:val="22"/>
        </w:rPr>
        <w:t xml:space="preserve"> </w:t>
      </w:r>
    </w:p>
    <w:p w14:paraId="19DA7045" w14:textId="159587D3" w:rsidR="00405023" w:rsidRDefault="00405023">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tbl>
      <w:tblPr>
        <w:tblpPr w:leftFromText="180" w:rightFromText="180" w:vertAnchor="text" w:horzAnchor="page" w:tblpX="466" w:tblpY="841"/>
        <w:tblW w:w="10915" w:type="dxa"/>
        <w:tblLayout w:type="fixed"/>
        <w:tblLook w:val="04A0" w:firstRow="1" w:lastRow="0" w:firstColumn="1" w:lastColumn="0" w:noHBand="0" w:noVBand="1"/>
      </w:tblPr>
      <w:tblGrid>
        <w:gridCol w:w="1373"/>
        <w:gridCol w:w="1545"/>
        <w:gridCol w:w="1718"/>
        <w:gridCol w:w="2093"/>
        <w:gridCol w:w="2093"/>
        <w:gridCol w:w="2093"/>
      </w:tblGrid>
      <w:tr w:rsidR="00682634" w:rsidRPr="00131A43" w14:paraId="16965313" w14:textId="238EC9CF" w:rsidTr="00FB348F">
        <w:trPr>
          <w:trHeight w:val="880"/>
        </w:trPr>
        <w:tc>
          <w:tcPr>
            <w:tcW w:w="1373" w:type="dxa"/>
            <w:tcBorders>
              <w:top w:val="single" w:sz="4" w:space="0" w:color="auto"/>
              <w:bottom w:val="single" w:sz="4" w:space="0" w:color="auto"/>
            </w:tcBorders>
            <w:noWrap/>
            <w:hideMark/>
          </w:tcPr>
          <w:p w14:paraId="70FE773F" w14:textId="77777777" w:rsidR="00682634" w:rsidRPr="00FB348F" w:rsidRDefault="00682634" w:rsidP="00682634">
            <w:pPr>
              <w:spacing w:line="360" w:lineRule="auto"/>
              <w:jc w:val="center"/>
              <w:rPr>
                <w:rFonts w:ascii="Calibri" w:hAnsi="Calibri" w:cs="Calibri"/>
                <w:b/>
                <w:bCs/>
                <w:sz w:val="22"/>
                <w:szCs w:val="22"/>
              </w:rPr>
            </w:pPr>
            <w:r w:rsidRPr="00FB348F">
              <w:rPr>
                <w:rFonts w:ascii="Calibri" w:hAnsi="Calibri" w:cs="Calibri"/>
                <w:b/>
                <w:bCs/>
                <w:sz w:val="22"/>
                <w:szCs w:val="22"/>
              </w:rPr>
              <w:lastRenderedPageBreak/>
              <w:t>Farm</w:t>
            </w:r>
          </w:p>
        </w:tc>
        <w:tc>
          <w:tcPr>
            <w:tcW w:w="1545" w:type="dxa"/>
            <w:tcBorders>
              <w:top w:val="single" w:sz="4" w:space="0" w:color="auto"/>
              <w:bottom w:val="single" w:sz="4" w:space="0" w:color="auto"/>
            </w:tcBorders>
            <w:noWrap/>
            <w:hideMark/>
          </w:tcPr>
          <w:p w14:paraId="6D31AF62" w14:textId="77777777" w:rsidR="00682634" w:rsidRPr="00FB348F" w:rsidRDefault="00682634" w:rsidP="00682634">
            <w:pPr>
              <w:spacing w:line="360" w:lineRule="auto"/>
              <w:jc w:val="center"/>
              <w:rPr>
                <w:rFonts w:ascii="Calibri" w:hAnsi="Calibri" w:cs="Calibri"/>
                <w:b/>
                <w:bCs/>
                <w:sz w:val="22"/>
                <w:szCs w:val="22"/>
              </w:rPr>
            </w:pPr>
            <w:r w:rsidRPr="00FB348F">
              <w:rPr>
                <w:rFonts w:ascii="Calibri" w:hAnsi="Calibri" w:cs="Calibri"/>
                <w:b/>
                <w:bCs/>
                <w:sz w:val="22"/>
                <w:szCs w:val="22"/>
              </w:rPr>
              <w:t>Farm size (ha)</w:t>
            </w:r>
          </w:p>
        </w:tc>
        <w:tc>
          <w:tcPr>
            <w:tcW w:w="1718" w:type="dxa"/>
            <w:tcBorders>
              <w:top w:val="single" w:sz="4" w:space="0" w:color="auto"/>
              <w:bottom w:val="single" w:sz="4" w:space="0" w:color="auto"/>
            </w:tcBorders>
            <w:noWrap/>
            <w:hideMark/>
          </w:tcPr>
          <w:p w14:paraId="26223A6A" w14:textId="77777777" w:rsidR="00682634" w:rsidRPr="00FB348F" w:rsidRDefault="00682634" w:rsidP="00682634">
            <w:pPr>
              <w:spacing w:line="360" w:lineRule="auto"/>
              <w:jc w:val="center"/>
              <w:rPr>
                <w:rFonts w:ascii="Calibri" w:hAnsi="Calibri" w:cs="Calibri"/>
                <w:b/>
                <w:bCs/>
                <w:sz w:val="22"/>
                <w:szCs w:val="22"/>
              </w:rPr>
            </w:pPr>
            <w:r w:rsidRPr="00FB348F">
              <w:rPr>
                <w:rFonts w:ascii="Calibri" w:hAnsi="Calibri" w:cs="Calibri"/>
                <w:b/>
                <w:bCs/>
                <w:sz w:val="22"/>
                <w:szCs w:val="22"/>
              </w:rPr>
              <w:t>Livestock enterprise</w:t>
            </w:r>
          </w:p>
        </w:tc>
        <w:tc>
          <w:tcPr>
            <w:tcW w:w="2093" w:type="dxa"/>
            <w:tcBorders>
              <w:top w:val="single" w:sz="4" w:space="0" w:color="auto"/>
              <w:bottom w:val="single" w:sz="4" w:space="0" w:color="auto"/>
            </w:tcBorders>
          </w:tcPr>
          <w:p w14:paraId="0A27B912" w14:textId="77777777" w:rsidR="00682634" w:rsidRPr="00FB348F" w:rsidRDefault="00682634" w:rsidP="00682634">
            <w:pPr>
              <w:spacing w:line="360" w:lineRule="auto"/>
              <w:jc w:val="center"/>
              <w:rPr>
                <w:rFonts w:asciiTheme="minorHAnsi" w:hAnsiTheme="minorHAnsi" w:cstheme="minorHAnsi"/>
                <w:b/>
                <w:bCs/>
                <w:sz w:val="22"/>
                <w:szCs w:val="22"/>
              </w:rPr>
            </w:pPr>
            <w:r w:rsidRPr="00FB348F">
              <w:rPr>
                <w:rFonts w:asciiTheme="minorHAnsi" w:hAnsiTheme="minorHAnsi" w:cstheme="minorHAnsi"/>
                <w:b/>
                <w:bCs/>
                <w:sz w:val="22"/>
                <w:szCs w:val="22"/>
              </w:rPr>
              <w:t>Baseline farm-level emissions</w:t>
            </w:r>
          </w:p>
          <w:p w14:paraId="30F3A2BC" w14:textId="6680E3F3" w:rsidR="00682634" w:rsidRPr="00FB348F" w:rsidRDefault="00682634" w:rsidP="00682634">
            <w:pPr>
              <w:spacing w:line="360" w:lineRule="auto"/>
              <w:jc w:val="center"/>
              <w:rPr>
                <w:rFonts w:asciiTheme="minorHAnsi" w:hAnsiTheme="minorHAnsi" w:cstheme="minorHAnsi"/>
                <w:b/>
                <w:bCs/>
                <w:sz w:val="22"/>
                <w:szCs w:val="22"/>
              </w:rPr>
            </w:pPr>
            <w:r w:rsidRPr="00FB348F">
              <w:rPr>
                <w:rFonts w:asciiTheme="minorHAnsi" w:hAnsiTheme="minorHAnsi" w:cstheme="minorHAnsi"/>
                <w:b/>
                <w:bCs/>
                <w:sz w:val="22"/>
                <w:szCs w:val="22"/>
              </w:rPr>
              <w:t>(</w:t>
            </w:r>
            <w:r w:rsidR="005A3617" w:rsidRPr="00FB348F">
              <w:rPr>
                <w:rFonts w:asciiTheme="minorHAnsi" w:hAnsiTheme="minorHAnsi" w:cstheme="minorHAnsi"/>
                <w:b/>
                <w:bCs/>
                <w:sz w:val="22"/>
                <w:szCs w:val="22"/>
              </w:rPr>
              <w:t xml:space="preserve">Mg </w:t>
            </w:r>
            <w:r w:rsidRPr="00FB348F">
              <w:rPr>
                <w:rFonts w:asciiTheme="minorHAnsi" w:hAnsiTheme="minorHAnsi" w:cstheme="minorHAnsi"/>
                <w:b/>
                <w:bCs/>
                <w:sz w:val="22"/>
                <w:szCs w:val="22"/>
              </w:rPr>
              <w:t>CO</w:t>
            </w:r>
            <w:r w:rsidRPr="00FB348F">
              <w:rPr>
                <w:rFonts w:asciiTheme="minorHAnsi" w:hAnsiTheme="minorHAnsi" w:cstheme="minorHAnsi"/>
                <w:b/>
                <w:bCs/>
                <w:sz w:val="22"/>
                <w:szCs w:val="22"/>
                <w:vertAlign w:val="subscript"/>
              </w:rPr>
              <w:t>2</w:t>
            </w:r>
            <w:r w:rsidRPr="00FB348F">
              <w:rPr>
                <w:rFonts w:asciiTheme="minorHAnsi" w:hAnsiTheme="minorHAnsi" w:cstheme="minorHAnsi"/>
                <w:b/>
                <w:bCs/>
                <w:sz w:val="22"/>
                <w:szCs w:val="22"/>
              </w:rPr>
              <w:t>e yr</w:t>
            </w:r>
            <w:r w:rsidRPr="00FB348F">
              <w:rPr>
                <w:rFonts w:asciiTheme="minorHAnsi" w:hAnsiTheme="minorHAnsi" w:cstheme="minorHAnsi"/>
                <w:b/>
                <w:bCs/>
                <w:sz w:val="22"/>
                <w:szCs w:val="22"/>
                <w:vertAlign w:val="superscript"/>
              </w:rPr>
              <w:t>-1</w:t>
            </w:r>
            <w:r w:rsidRPr="00FB348F">
              <w:rPr>
                <w:rFonts w:asciiTheme="minorHAnsi" w:hAnsiTheme="minorHAnsi" w:cstheme="minorHAnsi"/>
                <w:b/>
                <w:bCs/>
                <w:sz w:val="22"/>
                <w:szCs w:val="22"/>
              </w:rPr>
              <w:t>)</w:t>
            </w:r>
          </w:p>
        </w:tc>
        <w:tc>
          <w:tcPr>
            <w:tcW w:w="2093" w:type="dxa"/>
            <w:tcBorders>
              <w:top w:val="single" w:sz="4" w:space="0" w:color="auto"/>
              <w:bottom w:val="single" w:sz="4" w:space="0" w:color="auto"/>
            </w:tcBorders>
          </w:tcPr>
          <w:p w14:paraId="0DB6CCCF" w14:textId="77777777" w:rsidR="00682634" w:rsidRPr="00FB348F" w:rsidRDefault="00682634" w:rsidP="00682634">
            <w:pPr>
              <w:spacing w:line="360" w:lineRule="auto"/>
              <w:jc w:val="center"/>
              <w:rPr>
                <w:rFonts w:ascii="Calibri" w:hAnsi="Calibri" w:cs="Calibri"/>
                <w:b/>
                <w:bCs/>
                <w:sz w:val="22"/>
                <w:szCs w:val="22"/>
              </w:rPr>
            </w:pPr>
            <w:r w:rsidRPr="00FB348F">
              <w:rPr>
                <w:rFonts w:ascii="Calibri" w:hAnsi="Calibri" w:cs="Calibri"/>
                <w:b/>
                <w:bCs/>
                <w:sz w:val="22"/>
                <w:szCs w:val="22"/>
              </w:rPr>
              <w:t>Baseline product emissions</w:t>
            </w:r>
          </w:p>
          <w:p w14:paraId="38DBD1C1" w14:textId="77777777" w:rsidR="00682634" w:rsidRPr="00FB348F" w:rsidRDefault="00682634" w:rsidP="00682634">
            <w:pPr>
              <w:spacing w:line="360" w:lineRule="auto"/>
              <w:jc w:val="center"/>
              <w:rPr>
                <w:rFonts w:ascii="Calibri" w:hAnsi="Calibri" w:cs="Calibri"/>
                <w:b/>
                <w:bCs/>
                <w:sz w:val="22"/>
                <w:szCs w:val="22"/>
              </w:rPr>
            </w:pPr>
            <w:r w:rsidRPr="00FB348F">
              <w:rPr>
                <w:rFonts w:ascii="Calibri" w:hAnsi="Calibri" w:cs="Calibri"/>
                <w:b/>
                <w:bCs/>
                <w:sz w:val="22"/>
                <w:szCs w:val="22"/>
              </w:rPr>
              <w:t>(kg CO</w:t>
            </w:r>
            <w:r w:rsidRPr="00FB348F">
              <w:rPr>
                <w:rFonts w:ascii="Calibri" w:hAnsi="Calibri" w:cs="Calibri"/>
                <w:b/>
                <w:bCs/>
                <w:sz w:val="22"/>
                <w:szCs w:val="22"/>
                <w:vertAlign w:val="subscript"/>
              </w:rPr>
              <w:t>2</w:t>
            </w:r>
            <w:r w:rsidRPr="00FB348F">
              <w:rPr>
                <w:rFonts w:ascii="Calibri" w:hAnsi="Calibri" w:cs="Calibri"/>
                <w:b/>
                <w:bCs/>
                <w:sz w:val="22"/>
                <w:szCs w:val="22"/>
              </w:rPr>
              <w:t>e kg</w:t>
            </w:r>
            <w:r w:rsidRPr="00FB348F">
              <w:rPr>
                <w:rFonts w:ascii="Calibri" w:hAnsi="Calibri" w:cs="Calibri"/>
                <w:b/>
                <w:bCs/>
                <w:sz w:val="22"/>
                <w:szCs w:val="22"/>
                <w:vertAlign w:val="superscript"/>
              </w:rPr>
              <w:t>-1</w:t>
            </w:r>
            <w:r w:rsidRPr="00FB348F">
              <w:rPr>
                <w:rFonts w:ascii="Calibri" w:hAnsi="Calibri" w:cs="Calibri"/>
                <w:b/>
                <w:bCs/>
                <w:sz w:val="22"/>
                <w:szCs w:val="22"/>
              </w:rPr>
              <w:t xml:space="preserve"> dwt)</w:t>
            </w:r>
          </w:p>
        </w:tc>
        <w:tc>
          <w:tcPr>
            <w:tcW w:w="2093" w:type="dxa"/>
            <w:tcBorders>
              <w:top w:val="single" w:sz="4" w:space="0" w:color="auto"/>
              <w:bottom w:val="single" w:sz="4" w:space="0" w:color="auto"/>
            </w:tcBorders>
          </w:tcPr>
          <w:p w14:paraId="608607F2" w14:textId="77777777" w:rsidR="00682634" w:rsidRPr="00FB348F" w:rsidRDefault="00682634" w:rsidP="00682634">
            <w:pPr>
              <w:spacing w:line="360" w:lineRule="auto"/>
              <w:jc w:val="center"/>
              <w:rPr>
                <w:rFonts w:ascii="Calibri" w:hAnsi="Calibri" w:cs="Calibri"/>
                <w:b/>
                <w:bCs/>
                <w:color w:val="000000" w:themeColor="text1"/>
                <w:sz w:val="22"/>
                <w:szCs w:val="22"/>
              </w:rPr>
            </w:pPr>
            <w:r w:rsidRPr="00FB348F">
              <w:rPr>
                <w:rFonts w:ascii="Calibri" w:hAnsi="Calibri" w:cs="Calibri"/>
                <w:b/>
                <w:bCs/>
                <w:color w:val="000000" w:themeColor="text1"/>
                <w:sz w:val="22"/>
                <w:szCs w:val="22"/>
              </w:rPr>
              <w:t>Baseline emissions per unit area</w:t>
            </w:r>
          </w:p>
          <w:p w14:paraId="37E0C3E5" w14:textId="10EBC0F5" w:rsidR="00682634" w:rsidRPr="00FB348F" w:rsidRDefault="00682634" w:rsidP="00682634">
            <w:pPr>
              <w:spacing w:line="360" w:lineRule="auto"/>
              <w:jc w:val="center"/>
              <w:rPr>
                <w:rFonts w:ascii="Calibri" w:hAnsi="Calibri" w:cs="Calibri"/>
                <w:b/>
                <w:bCs/>
                <w:sz w:val="22"/>
                <w:szCs w:val="22"/>
              </w:rPr>
            </w:pPr>
            <w:r w:rsidRPr="00FB348F">
              <w:rPr>
                <w:rFonts w:ascii="Calibri" w:hAnsi="Calibri" w:cs="Calibri"/>
                <w:b/>
                <w:bCs/>
                <w:color w:val="000000" w:themeColor="text1"/>
                <w:sz w:val="22"/>
                <w:szCs w:val="22"/>
              </w:rPr>
              <w:t>(kg CO</w:t>
            </w:r>
            <w:r w:rsidRPr="00FB348F">
              <w:rPr>
                <w:rFonts w:ascii="Calibri" w:hAnsi="Calibri" w:cs="Calibri"/>
                <w:b/>
                <w:bCs/>
                <w:color w:val="000000" w:themeColor="text1"/>
                <w:sz w:val="22"/>
                <w:szCs w:val="22"/>
                <w:vertAlign w:val="subscript"/>
              </w:rPr>
              <w:t>2</w:t>
            </w:r>
            <w:r w:rsidRPr="00FB348F">
              <w:rPr>
                <w:rFonts w:ascii="Calibri" w:hAnsi="Calibri" w:cs="Calibri"/>
                <w:b/>
                <w:bCs/>
                <w:color w:val="000000" w:themeColor="text1"/>
                <w:sz w:val="22"/>
                <w:szCs w:val="22"/>
              </w:rPr>
              <w:t>e ha</w:t>
            </w:r>
            <w:r w:rsidRPr="00FB348F">
              <w:rPr>
                <w:rFonts w:ascii="Calibri" w:hAnsi="Calibri" w:cs="Calibri"/>
                <w:b/>
                <w:bCs/>
                <w:color w:val="000000" w:themeColor="text1"/>
                <w:sz w:val="22"/>
                <w:szCs w:val="22"/>
                <w:vertAlign w:val="superscript"/>
              </w:rPr>
              <w:t>-1</w:t>
            </w:r>
            <w:r w:rsidRPr="00FB348F">
              <w:rPr>
                <w:rFonts w:ascii="Calibri" w:hAnsi="Calibri" w:cs="Calibri"/>
                <w:b/>
                <w:bCs/>
                <w:color w:val="000000" w:themeColor="text1"/>
                <w:sz w:val="22"/>
                <w:szCs w:val="22"/>
              </w:rPr>
              <w:t xml:space="preserve"> yr</w:t>
            </w:r>
            <w:r w:rsidRPr="00FB348F">
              <w:rPr>
                <w:rFonts w:ascii="Calibri" w:hAnsi="Calibri" w:cs="Calibri"/>
                <w:b/>
                <w:bCs/>
                <w:color w:val="000000" w:themeColor="text1"/>
                <w:sz w:val="22"/>
                <w:szCs w:val="22"/>
                <w:vertAlign w:val="superscript"/>
              </w:rPr>
              <w:t>-1</w:t>
            </w:r>
            <w:r w:rsidRPr="00FB348F">
              <w:rPr>
                <w:rFonts w:ascii="Calibri" w:hAnsi="Calibri" w:cs="Calibri"/>
                <w:b/>
                <w:bCs/>
                <w:color w:val="000000" w:themeColor="text1"/>
                <w:sz w:val="22"/>
                <w:szCs w:val="22"/>
              </w:rPr>
              <w:t>)</w:t>
            </w:r>
          </w:p>
        </w:tc>
      </w:tr>
      <w:tr w:rsidR="00682634" w:rsidRPr="00131A43" w14:paraId="40DC7751" w14:textId="44C7FCC9" w:rsidTr="00FB348F">
        <w:trPr>
          <w:trHeight w:val="216"/>
        </w:trPr>
        <w:tc>
          <w:tcPr>
            <w:tcW w:w="1373" w:type="dxa"/>
            <w:tcBorders>
              <w:top w:val="single" w:sz="4" w:space="0" w:color="auto"/>
            </w:tcBorders>
            <w:noWrap/>
            <w:hideMark/>
          </w:tcPr>
          <w:p w14:paraId="1FFDBB8C"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A</w:t>
            </w:r>
          </w:p>
        </w:tc>
        <w:tc>
          <w:tcPr>
            <w:tcW w:w="1545" w:type="dxa"/>
            <w:tcBorders>
              <w:top w:val="single" w:sz="4" w:space="0" w:color="auto"/>
            </w:tcBorders>
            <w:noWrap/>
            <w:hideMark/>
          </w:tcPr>
          <w:p w14:paraId="6410B3D0"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262</w:t>
            </w:r>
          </w:p>
        </w:tc>
        <w:tc>
          <w:tcPr>
            <w:tcW w:w="1718" w:type="dxa"/>
            <w:tcBorders>
              <w:top w:val="single" w:sz="4" w:space="0" w:color="auto"/>
            </w:tcBorders>
            <w:noWrap/>
            <w:hideMark/>
          </w:tcPr>
          <w:p w14:paraId="6FCF171D"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Borders>
              <w:top w:val="single" w:sz="4" w:space="0" w:color="auto"/>
            </w:tcBorders>
          </w:tcPr>
          <w:p w14:paraId="76B6AA98"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952</w:t>
            </w:r>
          </w:p>
        </w:tc>
        <w:tc>
          <w:tcPr>
            <w:tcW w:w="2093" w:type="dxa"/>
            <w:tcBorders>
              <w:top w:val="single" w:sz="4" w:space="0" w:color="auto"/>
            </w:tcBorders>
          </w:tcPr>
          <w:p w14:paraId="58BB7B2F"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22.1</w:t>
            </w:r>
          </w:p>
        </w:tc>
        <w:tc>
          <w:tcPr>
            <w:tcW w:w="2093" w:type="dxa"/>
            <w:tcBorders>
              <w:top w:val="single" w:sz="4" w:space="0" w:color="auto"/>
            </w:tcBorders>
          </w:tcPr>
          <w:p w14:paraId="473987A1" w14:textId="3F563C03"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3635</w:t>
            </w:r>
          </w:p>
        </w:tc>
      </w:tr>
      <w:tr w:rsidR="00682634" w:rsidRPr="00131A43" w14:paraId="5B27B1E1" w14:textId="051518D0" w:rsidTr="00FB348F">
        <w:trPr>
          <w:trHeight w:val="216"/>
        </w:trPr>
        <w:tc>
          <w:tcPr>
            <w:tcW w:w="1373" w:type="dxa"/>
            <w:noWrap/>
            <w:hideMark/>
          </w:tcPr>
          <w:p w14:paraId="64DA2E13"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B</w:t>
            </w:r>
          </w:p>
        </w:tc>
        <w:tc>
          <w:tcPr>
            <w:tcW w:w="1545" w:type="dxa"/>
            <w:noWrap/>
            <w:hideMark/>
          </w:tcPr>
          <w:p w14:paraId="21266BF7"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117</w:t>
            </w:r>
          </w:p>
        </w:tc>
        <w:tc>
          <w:tcPr>
            <w:tcW w:w="1718" w:type="dxa"/>
            <w:noWrap/>
            <w:hideMark/>
          </w:tcPr>
          <w:p w14:paraId="5A08AD22"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19E6D95B"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385</w:t>
            </w:r>
          </w:p>
        </w:tc>
        <w:tc>
          <w:tcPr>
            <w:tcW w:w="2093" w:type="dxa"/>
          </w:tcPr>
          <w:p w14:paraId="482D3008"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29.2</w:t>
            </w:r>
          </w:p>
        </w:tc>
        <w:tc>
          <w:tcPr>
            <w:tcW w:w="2093" w:type="dxa"/>
          </w:tcPr>
          <w:p w14:paraId="15659791" w14:textId="6A492417"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3293</w:t>
            </w:r>
          </w:p>
        </w:tc>
      </w:tr>
      <w:tr w:rsidR="00682634" w:rsidRPr="00131A43" w14:paraId="2C2CDB19" w14:textId="75744B65" w:rsidTr="00FB348F">
        <w:trPr>
          <w:trHeight w:val="216"/>
        </w:trPr>
        <w:tc>
          <w:tcPr>
            <w:tcW w:w="1373" w:type="dxa"/>
            <w:noWrap/>
            <w:hideMark/>
          </w:tcPr>
          <w:p w14:paraId="1CDFE972"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C</w:t>
            </w:r>
          </w:p>
        </w:tc>
        <w:tc>
          <w:tcPr>
            <w:tcW w:w="1545" w:type="dxa"/>
            <w:noWrap/>
            <w:hideMark/>
          </w:tcPr>
          <w:p w14:paraId="550B72AF"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157</w:t>
            </w:r>
          </w:p>
        </w:tc>
        <w:tc>
          <w:tcPr>
            <w:tcW w:w="1718" w:type="dxa"/>
            <w:noWrap/>
            <w:hideMark/>
          </w:tcPr>
          <w:p w14:paraId="333B8D39"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0EA5A1E5"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875</w:t>
            </w:r>
          </w:p>
        </w:tc>
        <w:tc>
          <w:tcPr>
            <w:tcW w:w="2093" w:type="dxa"/>
          </w:tcPr>
          <w:p w14:paraId="03408E09"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23.0</w:t>
            </w:r>
          </w:p>
        </w:tc>
        <w:tc>
          <w:tcPr>
            <w:tcW w:w="2093" w:type="dxa"/>
          </w:tcPr>
          <w:p w14:paraId="097D6AF7" w14:textId="12FA80DE"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5575</w:t>
            </w:r>
          </w:p>
        </w:tc>
      </w:tr>
      <w:tr w:rsidR="00682634" w:rsidRPr="00131A43" w14:paraId="2DC16709" w14:textId="2B7D3037" w:rsidTr="00FB348F">
        <w:trPr>
          <w:trHeight w:val="216"/>
        </w:trPr>
        <w:tc>
          <w:tcPr>
            <w:tcW w:w="1373" w:type="dxa"/>
            <w:noWrap/>
            <w:hideMark/>
          </w:tcPr>
          <w:p w14:paraId="4FDE2466"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D</w:t>
            </w:r>
          </w:p>
        </w:tc>
        <w:tc>
          <w:tcPr>
            <w:tcW w:w="1545" w:type="dxa"/>
            <w:noWrap/>
            <w:hideMark/>
          </w:tcPr>
          <w:p w14:paraId="1827407D"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270</w:t>
            </w:r>
          </w:p>
        </w:tc>
        <w:tc>
          <w:tcPr>
            <w:tcW w:w="1718" w:type="dxa"/>
            <w:noWrap/>
            <w:hideMark/>
          </w:tcPr>
          <w:p w14:paraId="34E1B04F"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5135A9AE"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1241</w:t>
            </w:r>
          </w:p>
        </w:tc>
        <w:tc>
          <w:tcPr>
            <w:tcW w:w="2093" w:type="dxa"/>
          </w:tcPr>
          <w:p w14:paraId="12BB5008"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26.2</w:t>
            </w:r>
          </w:p>
        </w:tc>
        <w:tc>
          <w:tcPr>
            <w:tcW w:w="2093" w:type="dxa"/>
          </w:tcPr>
          <w:p w14:paraId="7CAF8771" w14:textId="2F2E7774"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4598</w:t>
            </w:r>
          </w:p>
        </w:tc>
      </w:tr>
      <w:tr w:rsidR="00682634" w:rsidRPr="00131A43" w14:paraId="396D8C30" w14:textId="74EBF59B" w:rsidTr="00FB348F">
        <w:trPr>
          <w:trHeight w:val="216"/>
        </w:trPr>
        <w:tc>
          <w:tcPr>
            <w:tcW w:w="1373" w:type="dxa"/>
            <w:noWrap/>
            <w:hideMark/>
          </w:tcPr>
          <w:p w14:paraId="6F9A8860"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E</w:t>
            </w:r>
          </w:p>
        </w:tc>
        <w:tc>
          <w:tcPr>
            <w:tcW w:w="1545" w:type="dxa"/>
            <w:noWrap/>
            <w:hideMark/>
          </w:tcPr>
          <w:p w14:paraId="166ECF5A"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93</w:t>
            </w:r>
          </w:p>
        </w:tc>
        <w:tc>
          <w:tcPr>
            <w:tcW w:w="1718" w:type="dxa"/>
            <w:noWrap/>
            <w:hideMark/>
          </w:tcPr>
          <w:p w14:paraId="34156891"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34595759"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347</w:t>
            </w:r>
          </w:p>
        </w:tc>
        <w:tc>
          <w:tcPr>
            <w:tcW w:w="2093" w:type="dxa"/>
          </w:tcPr>
          <w:p w14:paraId="6278AE8C"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15.5</w:t>
            </w:r>
          </w:p>
        </w:tc>
        <w:tc>
          <w:tcPr>
            <w:tcW w:w="2093" w:type="dxa"/>
          </w:tcPr>
          <w:p w14:paraId="1B3A2961" w14:textId="24A95676"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3729</w:t>
            </w:r>
          </w:p>
        </w:tc>
      </w:tr>
      <w:tr w:rsidR="00682634" w:rsidRPr="00131A43" w14:paraId="4FEAF572" w14:textId="215241A3" w:rsidTr="00FB348F">
        <w:trPr>
          <w:trHeight w:val="216"/>
        </w:trPr>
        <w:tc>
          <w:tcPr>
            <w:tcW w:w="1373" w:type="dxa"/>
            <w:noWrap/>
            <w:hideMark/>
          </w:tcPr>
          <w:p w14:paraId="3AA7E601"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F</w:t>
            </w:r>
          </w:p>
        </w:tc>
        <w:tc>
          <w:tcPr>
            <w:tcW w:w="1545" w:type="dxa"/>
            <w:noWrap/>
            <w:hideMark/>
          </w:tcPr>
          <w:p w14:paraId="562F82AA"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116</w:t>
            </w:r>
          </w:p>
        </w:tc>
        <w:tc>
          <w:tcPr>
            <w:tcW w:w="1718" w:type="dxa"/>
            <w:noWrap/>
            <w:hideMark/>
          </w:tcPr>
          <w:p w14:paraId="77B4867A"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6397E48A"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1078</w:t>
            </w:r>
          </w:p>
        </w:tc>
        <w:tc>
          <w:tcPr>
            <w:tcW w:w="2093" w:type="dxa"/>
          </w:tcPr>
          <w:p w14:paraId="55276377"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36.1</w:t>
            </w:r>
          </w:p>
        </w:tc>
        <w:tc>
          <w:tcPr>
            <w:tcW w:w="2093" w:type="dxa"/>
          </w:tcPr>
          <w:p w14:paraId="6BACC40F" w14:textId="0F66C4FC"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9292</w:t>
            </w:r>
          </w:p>
        </w:tc>
      </w:tr>
      <w:tr w:rsidR="00682634" w:rsidRPr="00131A43" w14:paraId="0240F4CE" w14:textId="5DEA55FA" w:rsidTr="00FB348F">
        <w:trPr>
          <w:trHeight w:val="216"/>
        </w:trPr>
        <w:tc>
          <w:tcPr>
            <w:tcW w:w="1373" w:type="dxa"/>
            <w:noWrap/>
            <w:hideMark/>
          </w:tcPr>
          <w:p w14:paraId="03D6E3BE"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G</w:t>
            </w:r>
          </w:p>
        </w:tc>
        <w:tc>
          <w:tcPr>
            <w:tcW w:w="1545" w:type="dxa"/>
            <w:noWrap/>
            <w:hideMark/>
          </w:tcPr>
          <w:p w14:paraId="65EBB4E1"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71</w:t>
            </w:r>
          </w:p>
        </w:tc>
        <w:tc>
          <w:tcPr>
            <w:tcW w:w="1718" w:type="dxa"/>
            <w:noWrap/>
            <w:hideMark/>
          </w:tcPr>
          <w:p w14:paraId="1E87192C"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3FDD6302"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463</w:t>
            </w:r>
          </w:p>
        </w:tc>
        <w:tc>
          <w:tcPr>
            <w:tcW w:w="2093" w:type="dxa"/>
          </w:tcPr>
          <w:p w14:paraId="2B2C1C25"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26.3</w:t>
            </w:r>
          </w:p>
        </w:tc>
        <w:tc>
          <w:tcPr>
            <w:tcW w:w="2093" w:type="dxa"/>
          </w:tcPr>
          <w:p w14:paraId="01F152A2" w14:textId="749FC266"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6519</w:t>
            </w:r>
          </w:p>
        </w:tc>
      </w:tr>
      <w:tr w:rsidR="00682634" w:rsidRPr="00131A43" w14:paraId="78C3F5B9" w14:textId="21FBB92A" w:rsidTr="00FB348F">
        <w:trPr>
          <w:trHeight w:val="216"/>
        </w:trPr>
        <w:tc>
          <w:tcPr>
            <w:tcW w:w="1373" w:type="dxa"/>
            <w:noWrap/>
            <w:hideMark/>
          </w:tcPr>
          <w:p w14:paraId="10FC2395"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H</w:t>
            </w:r>
          </w:p>
        </w:tc>
        <w:tc>
          <w:tcPr>
            <w:tcW w:w="1545" w:type="dxa"/>
            <w:noWrap/>
            <w:hideMark/>
          </w:tcPr>
          <w:p w14:paraId="33EDCD12"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258</w:t>
            </w:r>
          </w:p>
        </w:tc>
        <w:tc>
          <w:tcPr>
            <w:tcW w:w="1718" w:type="dxa"/>
            <w:noWrap/>
            <w:hideMark/>
          </w:tcPr>
          <w:p w14:paraId="44E0F006"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0464F0C6"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1212</w:t>
            </w:r>
          </w:p>
        </w:tc>
        <w:tc>
          <w:tcPr>
            <w:tcW w:w="2093" w:type="dxa"/>
          </w:tcPr>
          <w:p w14:paraId="2F758032"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23.7</w:t>
            </w:r>
          </w:p>
        </w:tc>
        <w:tc>
          <w:tcPr>
            <w:tcW w:w="2093" w:type="dxa"/>
          </w:tcPr>
          <w:p w14:paraId="50FB4F75" w14:textId="2FF1AE81"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4698</w:t>
            </w:r>
          </w:p>
        </w:tc>
      </w:tr>
      <w:tr w:rsidR="00682634" w:rsidRPr="00131A43" w14:paraId="603E38DB" w14:textId="54242C1F" w:rsidTr="00FB348F">
        <w:trPr>
          <w:trHeight w:val="216"/>
        </w:trPr>
        <w:tc>
          <w:tcPr>
            <w:tcW w:w="1373" w:type="dxa"/>
            <w:noWrap/>
            <w:hideMark/>
          </w:tcPr>
          <w:p w14:paraId="10B6AF79"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I</w:t>
            </w:r>
          </w:p>
        </w:tc>
        <w:tc>
          <w:tcPr>
            <w:tcW w:w="1545" w:type="dxa"/>
            <w:noWrap/>
            <w:hideMark/>
          </w:tcPr>
          <w:p w14:paraId="4B7672C6"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288</w:t>
            </w:r>
          </w:p>
        </w:tc>
        <w:tc>
          <w:tcPr>
            <w:tcW w:w="1718" w:type="dxa"/>
            <w:noWrap/>
            <w:hideMark/>
          </w:tcPr>
          <w:p w14:paraId="1A1DEA27"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08AC93F1"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783</w:t>
            </w:r>
          </w:p>
        </w:tc>
        <w:tc>
          <w:tcPr>
            <w:tcW w:w="2093" w:type="dxa"/>
          </w:tcPr>
          <w:p w14:paraId="5FB439C0"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21.4</w:t>
            </w:r>
          </w:p>
        </w:tc>
        <w:tc>
          <w:tcPr>
            <w:tcW w:w="2093" w:type="dxa"/>
          </w:tcPr>
          <w:p w14:paraId="0ABD7B54" w14:textId="65C0509F"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2718</w:t>
            </w:r>
          </w:p>
        </w:tc>
      </w:tr>
      <w:tr w:rsidR="00682634" w:rsidRPr="00131A43" w14:paraId="1FAE3708" w14:textId="223105BB" w:rsidTr="00FB348F">
        <w:trPr>
          <w:trHeight w:val="216"/>
        </w:trPr>
        <w:tc>
          <w:tcPr>
            <w:tcW w:w="1373" w:type="dxa"/>
            <w:noWrap/>
            <w:hideMark/>
          </w:tcPr>
          <w:p w14:paraId="4E180066"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J</w:t>
            </w:r>
          </w:p>
        </w:tc>
        <w:tc>
          <w:tcPr>
            <w:tcW w:w="1545" w:type="dxa"/>
            <w:noWrap/>
            <w:hideMark/>
          </w:tcPr>
          <w:p w14:paraId="09D436E7"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200</w:t>
            </w:r>
          </w:p>
        </w:tc>
        <w:tc>
          <w:tcPr>
            <w:tcW w:w="1718" w:type="dxa"/>
            <w:noWrap/>
            <w:hideMark/>
          </w:tcPr>
          <w:p w14:paraId="2D4AFA56"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3072747C"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2061</w:t>
            </w:r>
          </w:p>
        </w:tc>
        <w:tc>
          <w:tcPr>
            <w:tcW w:w="2093" w:type="dxa"/>
          </w:tcPr>
          <w:p w14:paraId="31EB7836"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24.8</w:t>
            </w:r>
          </w:p>
        </w:tc>
        <w:tc>
          <w:tcPr>
            <w:tcW w:w="2093" w:type="dxa"/>
          </w:tcPr>
          <w:p w14:paraId="4DB5A3F6" w14:textId="1DE1C1B9"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10305</w:t>
            </w:r>
          </w:p>
        </w:tc>
      </w:tr>
      <w:tr w:rsidR="00682634" w:rsidRPr="00131A43" w14:paraId="1B583396" w14:textId="4C5FE3B7" w:rsidTr="00FB348F">
        <w:trPr>
          <w:trHeight w:val="216"/>
        </w:trPr>
        <w:tc>
          <w:tcPr>
            <w:tcW w:w="1373" w:type="dxa"/>
            <w:noWrap/>
            <w:hideMark/>
          </w:tcPr>
          <w:p w14:paraId="7981E9D8"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K</w:t>
            </w:r>
          </w:p>
        </w:tc>
        <w:tc>
          <w:tcPr>
            <w:tcW w:w="1545" w:type="dxa"/>
            <w:noWrap/>
            <w:hideMark/>
          </w:tcPr>
          <w:p w14:paraId="07F50FAA"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540</w:t>
            </w:r>
          </w:p>
        </w:tc>
        <w:tc>
          <w:tcPr>
            <w:tcW w:w="1718" w:type="dxa"/>
            <w:noWrap/>
            <w:hideMark/>
          </w:tcPr>
          <w:p w14:paraId="5F669A8A"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Hill</w:t>
            </w:r>
          </w:p>
        </w:tc>
        <w:tc>
          <w:tcPr>
            <w:tcW w:w="2093" w:type="dxa"/>
          </w:tcPr>
          <w:p w14:paraId="7E43794B"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889</w:t>
            </w:r>
          </w:p>
        </w:tc>
        <w:tc>
          <w:tcPr>
            <w:tcW w:w="2093" w:type="dxa"/>
          </w:tcPr>
          <w:p w14:paraId="7D91384A"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38.4</w:t>
            </w:r>
          </w:p>
        </w:tc>
        <w:tc>
          <w:tcPr>
            <w:tcW w:w="2093" w:type="dxa"/>
          </w:tcPr>
          <w:p w14:paraId="15AFCB09" w14:textId="78D1A780"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1647</w:t>
            </w:r>
          </w:p>
        </w:tc>
      </w:tr>
      <w:tr w:rsidR="00682634" w:rsidRPr="00131A43" w14:paraId="208E1EA2" w14:textId="140CCCCC" w:rsidTr="00FB348F">
        <w:trPr>
          <w:trHeight w:val="216"/>
        </w:trPr>
        <w:tc>
          <w:tcPr>
            <w:tcW w:w="1373" w:type="dxa"/>
            <w:noWrap/>
            <w:hideMark/>
          </w:tcPr>
          <w:p w14:paraId="21BFC96D"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L</w:t>
            </w:r>
          </w:p>
        </w:tc>
        <w:tc>
          <w:tcPr>
            <w:tcW w:w="1545" w:type="dxa"/>
            <w:noWrap/>
            <w:hideMark/>
          </w:tcPr>
          <w:p w14:paraId="559F1C75"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233</w:t>
            </w:r>
          </w:p>
        </w:tc>
        <w:tc>
          <w:tcPr>
            <w:tcW w:w="1718" w:type="dxa"/>
            <w:noWrap/>
            <w:hideMark/>
          </w:tcPr>
          <w:p w14:paraId="5413A7BE"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Lowland</w:t>
            </w:r>
          </w:p>
        </w:tc>
        <w:tc>
          <w:tcPr>
            <w:tcW w:w="2093" w:type="dxa"/>
          </w:tcPr>
          <w:p w14:paraId="11170BCD"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950</w:t>
            </w:r>
          </w:p>
        </w:tc>
        <w:tc>
          <w:tcPr>
            <w:tcW w:w="2093" w:type="dxa"/>
          </w:tcPr>
          <w:p w14:paraId="3C2C80E7"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26.4</w:t>
            </w:r>
          </w:p>
        </w:tc>
        <w:tc>
          <w:tcPr>
            <w:tcW w:w="2093" w:type="dxa"/>
          </w:tcPr>
          <w:p w14:paraId="4A196E3F" w14:textId="1E13DCC7"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4076</w:t>
            </w:r>
          </w:p>
        </w:tc>
      </w:tr>
      <w:tr w:rsidR="00682634" w:rsidRPr="00131A43" w14:paraId="401DB068" w14:textId="4CA7534F" w:rsidTr="00FB348F">
        <w:trPr>
          <w:trHeight w:val="216"/>
        </w:trPr>
        <w:tc>
          <w:tcPr>
            <w:tcW w:w="1373" w:type="dxa"/>
            <w:noWrap/>
            <w:hideMark/>
          </w:tcPr>
          <w:p w14:paraId="0739F5C3"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M</w:t>
            </w:r>
          </w:p>
        </w:tc>
        <w:tc>
          <w:tcPr>
            <w:tcW w:w="1545" w:type="dxa"/>
            <w:noWrap/>
            <w:hideMark/>
          </w:tcPr>
          <w:p w14:paraId="5595E333"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55</w:t>
            </w:r>
          </w:p>
        </w:tc>
        <w:tc>
          <w:tcPr>
            <w:tcW w:w="1718" w:type="dxa"/>
            <w:noWrap/>
            <w:hideMark/>
          </w:tcPr>
          <w:p w14:paraId="7239FF8E"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Lowland</w:t>
            </w:r>
          </w:p>
        </w:tc>
        <w:tc>
          <w:tcPr>
            <w:tcW w:w="2093" w:type="dxa"/>
          </w:tcPr>
          <w:p w14:paraId="360DD73C"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476</w:t>
            </w:r>
          </w:p>
        </w:tc>
        <w:tc>
          <w:tcPr>
            <w:tcW w:w="2093" w:type="dxa"/>
          </w:tcPr>
          <w:p w14:paraId="4C06DAF5"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21.7</w:t>
            </w:r>
          </w:p>
        </w:tc>
        <w:tc>
          <w:tcPr>
            <w:tcW w:w="2093" w:type="dxa"/>
          </w:tcPr>
          <w:p w14:paraId="4A33D12B" w14:textId="7B097AC2"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8661</w:t>
            </w:r>
          </w:p>
        </w:tc>
      </w:tr>
      <w:tr w:rsidR="00682634" w:rsidRPr="00131A43" w14:paraId="5C843009" w14:textId="40EC45CC" w:rsidTr="00FB348F">
        <w:trPr>
          <w:trHeight w:val="216"/>
        </w:trPr>
        <w:tc>
          <w:tcPr>
            <w:tcW w:w="1373" w:type="dxa"/>
            <w:noWrap/>
            <w:hideMark/>
          </w:tcPr>
          <w:p w14:paraId="4E0550B6"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N</w:t>
            </w:r>
          </w:p>
        </w:tc>
        <w:tc>
          <w:tcPr>
            <w:tcW w:w="1545" w:type="dxa"/>
            <w:noWrap/>
            <w:hideMark/>
          </w:tcPr>
          <w:p w14:paraId="3CF6222B"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111</w:t>
            </w:r>
          </w:p>
        </w:tc>
        <w:tc>
          <w:tcPr>
            <w:tcW w:w="1718" w:type="dxa"/>
            <w:noWrap/>
            <w:hideMark/>
          </w:tcPr>
          <w:p w14:paraId="4989B379"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Lowland</w:t>
            </w:r>
          </w:p>
        </w:tc>
        <w:tc>
          <w:tcPr>
            <w:tcW w:w="2093" w:type="dxa"/>
          </w:tcPr>
          <w:p w14:paraId="42B6F95B"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1411</w:t>
            </w:r>
          </w:p>
        </w:tc>
        <w:tc>
          <w:tcPr>
            <w:tcW w:w="2093" w:type="dxa"/>
          </w:tcPr>
          <w:p w14:paraId="0088EE15"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13.8</w:t>
            </w:r>
          </w:p>
        </w:tc>
        <w:tc>
          <w:tcPr>
            <w:tcW w:w="2093" w:type="dxa"/>
          </w:tcPr>
          <w:p w14:paraId="433E8185" w14:textId="35B754B8"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12716</w:t>
            </w:r>
          </w:p>
        </w:tc>
      </w:tr>
      <w:tr w:rsidR="00682634" w:rsidRPr="00131A43" w14:paraId="70E672AD" w14:textId="4FFBA00F" w:rsidTr="00FB348F">
        <w:trPr>
          <w:trHeight w:val="216"/>
        </w:trPr>
        <w:tc>
          <w:tcPr>
            <w:tcW w:w="1373" w:type="dxa"/>
            <w:noWrap/>
            <w:hideMark/>
          </w:tcPr>
          <w:p w14:paraId="5633B640"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O</w:t>
            </w:r>
          </w:p>
        </w:tc>
        <w:tc>
          <w:tcPr>
            <w:tcW w:w="1545" w:type="dxa"/>
            <w:noWrap/>
            <w:hideMark/>
          </w:tcPr>
          <w:p w14:paraId="18E3A9D7"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128</w:t>
            </w:r>
          </w:p>
        </w:tc>
        <w:tc>
          <w:tcPr>
            <w:tcW w:w="1718" w:type="dxa"/>
            <w:noWrap/>
            <w:hideMark/>
          </w:tcPr>
          <w:p w14:paraId="70F768DB"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Upland</w:t>
            </w:r>
          </w:p>
        </w:tc>
        <w:tc>
          <w:tcPr>
            <w:tcW w:w="2093" w:type="dxa"/>
          </w:tcPr>
          <w:p w14:paraId="5E7E8BE6"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743</w:t>
            </w:r>
          </w:p>
        </w:tc>
        <w:tc>
          <w:tcPr>
            <w:tcW w:w="2093" w:type="dxa"/>
          </w:tcPr>
          <w:p w14:paraId="37C9D796"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38.0</w:t>
            </w:r>
          </w:p>
        </w:tc>
        <w:tc>
          <w:tcPr>
            <w:tcW w:w="2093" w:type="dxa"/>
          </w:tcPr>
          <w:p w14:paraId="03384A00" w14:textId="5539F494"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5802</w:t>
            </w:r>
          </w:p>
        </w:tc>
      </w:tr>
      <w:tr w:rsidR="00682634" w:rsidRPr="00131A43" w14:paraId="6EE8CA04" w14:textId="217BA0B8" w:rsidTr="00FB348F">
        <w:trPr>
          <w:trHeight w:val="216"/>
        </w:trPr>
        <w:tc>
          <w:tcPr>
            <w:tcW w:w="1373" w:type="dxa"/>
            <w:noWrap/>
            <w:hideMark/>
          </w:tcPr>
          <w:p w14:paraId="53CA490A"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P</w:t>
            </w:r>
          </w:p>
        </w:tc>
        <w:tc>
          <w:tcPr>
            <w:tcW w:w="1545" w:type="dxa"/>
            <w:noWrap/>
            <w:hideMark/>
          </w:tcPr>
          <w:p w14:paraId="1260D795"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290</w:t>
            </w:r>
          </w:p>
        </w:tc>
        <w:tc>
          <w:tcPr>
            <w:tcW w:w="1718" w:type="dxa"/>
            <w:noWrap/>
            <w:hideMark/>
          </w:tcPr>
          <w:p w14:paraId="283B2587"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Upland</w:t>
            </w:r>
          </w:p>
        </w:tc>
        <w:tc>
          <w:tcPr>
            <w:tcW w:w="2093" w:type="dxa"/>
          </w:tcPr>
          <w:p w14:paraId="001B80F1"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2326</w:t>
            </w:r>
          </w:p>
        </w:tc>
        <w:tc>
          <w:tcPr>
            <w:tcW w:w="2093" w:type="dxa"/>
          </w:tcPr>
          <w:p w14:paraId="3A2E494F"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24.3</w:t>
            </w:r>
          </w:p>
        </w:tc>
        <w:tc>
          <w:tcPr>
            <w:tcW w:w="2093" w:type="dxa"/>
          </w:tcPr>
          <w:p w14:paraId="1ED16799" w14:textId="2B68B486"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8021</w:t>
            </w:r>
          </w:p>
        </w:tc>
      </w:tr>
      <w:tr w:rsidR="00682634" w:rsidRPr="00131A43" w14:paraId="13BE93A4" w14:textId="62801E43" w:rsidTr="00FB348F">
        <w:trPr>
          <w:trHeight w:val="216"/>
        </w:trPr>
        <w:tc>
          <w:tcPr>
            <w:tcW w:w="1373" w:type="dxa"/>
            <w:noWrap/>
            <w:hideMark/>
          </w:tcPr>
          <w:p w14:paraId="739AEB05"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Q</w:t>
            </w:r>
          </w:p>
        </w:tc>
        <w:tc>
          <w:tcPr>
            <w:tcW w:w="1545" w:type="dxa"/>
            <w:noWrap/>
            <w:hideMark/>
          </w:tcPr>
          <w:p w14:paraId="19370A7E"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296</w:t>
            </w:r>
          </w:p>
        </w:tc>
        <w:tc>
          <w:tcPr>
            <w:tcW w:w="1718" w:type="dxa"/>
            <w:noWrap/>
            <w:hideMark/>
          </w:tcPr>
          <w:p w14:paraId="6F9A37FF"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Upland</w:t>
            </w:r>
          </w:p>
        </w:tc>
        <w:tc>
          <w:tcPr>
            <w:tcW w:w="2093" w:type="dxa"/>
          </w:tcPr>
          <w:p w14:paraId="0A6322A2"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1423</w:t>
            </w:r>
          </w:p>
        </w:tc>
        <w:tc>
          <w:tcPr>
            <w:tcW w:w="2093" w:type="dxa"/>
          </w:tcPr>
          <w:p w14:paraId="18345109"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38.5</w:t>
            </w:r>
          </w:p>
        </w:tc>
        <w:tc>
          <w:tcPr>
            <w:tcW w:w="2093" w:type="dxa"/>
          </w:tcPr>
          <w:p w14:paraId="6815EDB1" w14:textId="6AE23B97"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4806</w:t>
            </w:r>
          </w:p>
        </w:tc>
      </w:tr>
      <w:tr w:rsidR="00682634" w:rsidRPr="00131A43" w14:paraId="7A923CC5" w14:textId="2C4C9B15" w:rsidTr="00FB348F">
        <w:trPr>
          <w:trHeight w:val="216"/>
        </w:trPr>
        <w:tc>
          <w:tcPr>
            <w:tcW w:w="1373" w:type="dxa"/>
            <w:noWrap/>
            <w:hideMark/>
          </w:tcPr>
          <w:p w14:paraId="1132B852"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R</w:t>
            </w:r>
          </w:p>
        </w:tc>
        <w:tc>
          <w:tcPr>
            <w:tcW w:w="1545" w:type="dxa"/>
            <w:noWrap/>
            <w:hideMark/>
          </w:tcPr>
          <w:p w14:paraId="61D5EF0A"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278</w:t>
            </w:r>
          </w:p>
        </w:tc>
        <w:tc>
          <w:tcPr>
            <w:tcW w:w="1718" w:type="dxa"/>
            <w:noWrap/>
            <w:hideMark/>
          </w:tcPr>
          <w:p w14:paraId="674036E3"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Upland</w:t>
            </w:r>
          </w:p>
        </w:tc>
        <w:tc>
          <w:tcPr>
            <w:tcW w:w="2093" w:type="dxa"/>
          </w:tcPr>
          <w:p w14:paraId="25867DA8"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1326</w:t>
            </w:r>
          </w:p>
        </w:tc>
        <w:tc>
          <w:tcPr>
            <w:tcW w:w="2093" w:type="dxa"/>
          </w:tcPr>
          <w:p w14:paraId="338F4BAE"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23.8</w:t>
            </w:r>
          </w:p>
        </w:tc>
        <w:tc>
          <w:tcPr>
            <w:tcW w:w="2093" w:type="dxa"/>
          </w:tcPr>
          <w:p w14:paraId="11E6512B" w14:textId="0414F191"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4777</w:t>
            </w:r>
          </w:p>
        </w:tc>
      </w:tr>
      <w:tr w:rsidR="00682634" w:rsidRPr="00131A43" w14:paraId="71633FBC" w14:textId="4BC49E9C" w:rsidTr="00FB348F">
        <w:trPr>
          <w:trHeight w:val="216"/>
        </w:trPr>
        <w:tc>
          <w:tcPr>
            <w:tcW w:w="1373" w:type="dxa"/>
            <w:noWrap/>
            <w:hideMark/>
          </w:tcPr>
          <w:p w14:paraId="57325105"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S</w:t>
            </w:r>
          </w:p>
        </w:tc>
        <w:tc>
          <w:tcPr>
            <w:tcW w:w="1545" w:type="dxa"/>
            <w:noWrap/>
            <w:hideMark/>
          </w:tcPr>
          <w:p w14:paraId="405B059B"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205</w:t>
            </w:r>
          </w:p>
        </w:tc>
        <w:tc>
          <w:tcPr>
            <w:tcW w:w="1718" w:type="dxa"/>
            <w:noWrap/>
            <w:hideMark/>
          </w:tcPr>
          <w:p w14:paraId="7EF2EE83"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Upland</w:t>
            </w:r>
          </w:p>
        </w:tc>
        <w:tc>
          <w:tcPr>
            <w:tcW w:w="2093" w:type="dxa"/>
          </w:tcPr>
          <w:p w14:paraId="48B50450"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1375</w:t>
            </w:r>
          </w:p>
        </w:tc>
        <w:tc>
          <w:tcPr>
            <w:tcW w:w="2093" w:type="dxa"/>
          </w:tcPr>
          <w:p w14:paraId="63733A1E"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25.3</w:t>
            </w:r>
          </w:p>
        </w:tc>
        <w:tc>
          <w:tcPr>
            <w:tcW w:w="2093" w:type="dxa"/>
          </w:tcPr>
          <w:p w14:paraId="5105A528" w14:textId="3283F5C2"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6708</w:t>
            </w:r>
          </w:p>
        </w:tc>
      </w:tr>
      <w:tr w:rsidR="00682634" w:rsidRPr="00131A43" w14:paraId="25BD24FB" w14:textId="609DCB3E" w:rsidTr="00FB348F">
        <w:trPr>
          <w:trHeight w:val="216"/>
        </w:trPr>
        <w:tc>
          <w:tcPr>
            <w:tcW w:w="1373" w:type="dxa"/>
            <w:tcBorders>
              <w:bottom w:val="single" w:sz="4" w:space="0" w:color="auto"/>
            </w:tcBorders>
            <w:noWrap/>
            <w:hideMark/>
          </w:tcPr>
          <w:p w14:paraId="0790FCB2" w14:textId="77777777" w:rsidR="00682634" w:rsidRPr="00131A43" w:rsidRDefault="00682634" w:rsidP="00682634">
            <w:pPr>
              <w:spacing w:line="360" w:lineRule="auto"/>
              <w:jc w:val="center"/>
              <w:rPr>
                <w:rFonts w:ascii="Calibri" w:hAnsi="Calibri" w:cs="Calibri"/>
                <w:sz w:val="22"/>
                <w:szCs w:val="22"/>
              </w:rPr>
            </w:pPr>
            <w:r>
              <w:rPr>
                <w:rFonts w:ascii="Calibri" w:hAnsi="Calibri" w:cs="Calibri"/>
                <w:sz w:val="22"/>
                <w:szCs w:val="22"/>
              </w:rPr>
              <w:t>T</w:t>
            </w:r>
          </w:p>
        </w:tc>
        <w:tc>
          <w:tcPr>
            <w:tcW w:w="1545" w:type="dxa"/>
            <w:tcBorders>
              <w:bottom w:val="single" w:sz="4" w:space="0" w:color="auto"/>
            </w:tcBorders>
            <w:noWrap/>
            <w:hideMark/>
          </w:tcPr>
          <w:p w14:paraId="603AF3A2"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189</w:t>
            </w:r>
          </w:p>
        </w:tc>
        <w:tc>
          <w:tcPr>
            <w:tcW w:w="1718" w:type="dxa"/>
            <w:tcBorders>
              <w:bottom w:val="single" w:sz="4" w:space="0" w:color="auto"/>
            </w:tcBorders>
            <w:noWrap/>
            <w:hideMark/>
          </w:tcPr>
          <w:p w14:paraId="50A165D1"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 xml:space="preserve">Upland </w:t>
            </w:r>
          </w:p>
        </w:tc>
        <w:tc>
          <w:tcPr>
            <w:tcW w:w="2093" w:type="dxa"/>
            <w:tcBorders>
              <w:bottom w:val="single" w:sz="4" w:space="0" w:color="auto"/>
            </w:tcBorders>
          </w:tcPr>
          <w:p w14:paraId="5ACBE634" w14:textId="77777777" w:rsidR="00682634" w:rsidRPr="00D71307"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803</w:t>
            </w:r>
          </w:p>
        </w:tc>
        <w:tc>
          <w:tcPr>
            <w:tcW w:w="2093" w:type="dxa"/>
            <w:tcBorders>
              <w:bottom w:val="single" w:sz="4" w:space="0" w:color="auto"/>
            </w:tcBorders>
          </w:tcPr>
          <w:p w14:paraId="5B4B4C94"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color w:val="000000"/>
                <w:sz w:val="22"/>
                <w:szCs w:val="22"/>
              </w:rPr>
              <w:t>22.0</w:t>
            </w:r>
          </w:p>
        </w:tc>
        <w:tc>
          <w:tcPr>
            <w:tcW w:w="2093" w:type="dxa"/>
            <w:tcBorders>
              <w:bottom w:val="single" w:sz="4" w:space="0" w:color="auto"/>
            </w:tcBorders>
          </w:tcPr>
          <w:p w14:paraId="208AEFF4" w14:textId="0B77E228" w:rsidR="00682634" w:rsidRDefault="00682634" w:rsidP="00682634">
            <w:pPr>
              <w:spacing w:line="360" w:lineRule="auto"/>
              <w:jc w:val="center"/>
              <w:rPr>
                <w:rFonts w:ascii="Calibri" w:hAnsi="Calibri" w:cs="Calibri"/>
                <w:color w:val="000000"/>
                <w:sz w:val="22"/>
                <w:szCs w:val="22"/>
              </w:rPr>
            </w:pPr>
            <w:r>
              <w:rPr>
                <w:rFonts w:ascii="Calibri" w:hAnsi="Calibri" w:cs="Calibri"/>
                <w:color w:val="000000"/>
                <w:sz w:val="22"/>
                <w:szCs w:val="22"/>
              </w:rPr>
              <w:t>4248</w:t>
            </w:r>
          </w:p>
        </w:tc>
      </w:tr>
      <w:tr w:rsidR="00682634" w:rsidRPr="00131A43" w14:paraId="0EA1122F" w14:textId="0D2422BC" w:rsidTr="00FB348F">
        <w:trPr>
          <w:trHeight w:val="216"/>
        </w:trPr>
        <w:tc>
          <w:tcPr>
            <w:tcW w:w="1373" w:type="dxa"/>
            <w:tcBorders>
              <w:top w:val="single" w:sz="4" w:space="0" w:color="auto"/>
              <w:bottom w:val="single" w:sz="4" w:space="0" w:color="auto"/>
            </w:tcBorders>
            <w:noWrap/>
            <w:hideMark/>
          </w:tcPr>
          <w:p w14:paraId="6440675B" w14:textId="77777777" w:rsidR="00682634" w:rsidRPr="00131A43" w:rsidRDefault="00682634" w:rsidP="00682634">
            <w:pPr>
              <w:spacing w:line="360" w:lineRule="auto"/>
              <w:jc w:val="center"/>
              <w:rPr>
                <w:rFonts w:ascii="Calibri" w:hAnsi="Calibri" w:cs="Calibri"/>
                <w:sz w:val="22"/>
                <w:szCs w:val="22"/>
              </w:rPr>
            </w:pPr>
            <w:r w:rsidRPr="00131A43">
              <w:rPr>
                <w:rFonts w:ascii="Calibri" w:hAnsi="Calibri" w:cs="Calibri"/>
                <w:sz w:val="22"/>
                <w:szCs w:val="22"/>
              </w:rPr>
              <w:t>Average</w:t>
            </w:r>
          </w:p>
        </w:tc>
        <w:tc>
          <w:tcPr>
            <w:tcW w:w="1545" w:type="dxa"/>
            <w:tcBorders>
              <w:top w:val="single" w:sz="4" w:space="0" w:color="auto"/>
              <w:bottom w:val="single" w:sz="4" w:space="0" w:color="auto"/>
            </w:tcBorders>
            <w:noWrap/>
            <w:hideMark/>
          </w:tcPr>
          <w:p w14:paraId="15C9F46A" w14:textId="77777777" w:rsidR="00682634" w:rsidRPr="00131A43" w:rsidRDefault="00682634" w:rsidP="00682634">
            <w:pPr>
              <w:spacing w:line="360" w:lineRule="auto"/>
              <w:jc w:val="center"/>
              <w:rPr>
                <w:rFonts w:asciiTheme="minorHAnsi" w:hAnsiTheme="minorHAnsi" w:cstheme="minorHAnsi"/>
                <w:sz w:val="22"/>
                <w:szCs w:val="22"/>
              </w:rPr>
            </w:pPr>
          </w:p>
        </w:tc>
        <w:tc>
          <w:tcPr>
            <w:tcW w:w="1718" w:type="dxa"/>
            <w:tcBorders>
              <w:top w:val="single" w:sz="4" w:space="0" w:color="auto"/>
              <w:bottom w:val="single" w:sz="4" w:space="0" w:color="auto"/>
            </w:tcBorders>
            <w:noWrap/>
            <w:hideMark/>
          </w:tcPr>
          <w:p w14:paraId="7FB23EA0" w14:textId="77777777" w:rsidR="00682634" w:rsidRPr="00131A43" w:rsidRDefault="00682634" w:rsidP="00682634">
            <w:pPr>
              <w:spacing w:line="360" w:lineRule="auto"/>
              <w:jc w:val="center"/>
              <w:rPr>
                <w:rFonts w:asciiTheme="minorHAnsi" w:hAnsiTheme="minorHAnsi" w:cstheme="minorHAnsi"/>
                <w:sz w:val="22"/>
                <w:szCs w:val="22"/>
              </w:rPr>
            </w:pPr>
          </w:p>
        </w:tc>
        <w:tc>
          <w:tcPr>
            <w:tcW w:w="2093" w:type="dxa"/>
            <w:tcBorders>
              <w:top w:val="single" w:sz="4" w:space="0" w:color="auto"/>
              <w:bottom w:val="single" w:sz="4" w:space="0" w:color="auto"/>
            </w:tcBorders>
          </w:tcPr>
          <w:p w14:paraId="74198233" w14:textId="77777777" w:rsidR="00682634" w:rsidRPr="00131A43" w:rsidRDefault="00682634" w:rsidP="00682634">
            <w:pPr>
              <w:spacing w:line="360" w:lineRule="auto"/>
              <w:jc w:val="center"/>
              <w:rPr>
                <w:rFonts w:ascii="Calibri" w:hAnsi="Calibri" w:cs="Calibri"/>
                <w:sz w:val="22"/>
                <w:szCs w:val="22"/>
              </w:rPr>
            </w:pPr>
            <w:r>
              <w:rPr>
                <w:rFonts w:ascii="Calibri" w:hAnsi="Calibri" w:cs="Calibri"/>
                <w:b/>
                <w:bCs/>
                <w:color w:val="000000"/>
                <w:sz w:val="22"/>
                <w:szCs w:val="22"/>
              </w:rPr>
              <w:t>1056</w:t>
            </w:r>
          </w:p>
        </w:tc>
        <w:tc>
          <w:tcPr>
            <w:tcW w:w="2093" w:type="dxa"/>
            <w:tcBorders>
              <w:top w:val="single" w:sz="4" w:space="0" w:color="auto"/>
              <w:bottom w:val="single" w:sz="4" w:space="0" w:color="auto"/>
            </w:tcBorders>
          </w:tcPr>
          <w:p w14:paraId="11A4C4F5" w14:textId="77777777" w:rsidR="00682634" w:rsidRPr="00131A43" w:rsidRDefault="00682634" w:rsidP="00682634">
            <w:pPr>
              <w:spacing w:line="360" w:lineRule="auto"/>
              <w:jc w:val="center"/>
              <w:rPr>
                <w:rFonts w:asciiTheme="minorHAnsi" w:hAnsiTheme="minorHAnsi" w:cstheme="minorHAnsi"/>
                <w:sz w:val="22"/>
                <w:szCs w:val="22"/>
              </w:rPr>
            </w:pPr>
            <w:r>
              <w:rPr>
                <w:rFonts w:ascii="Calibri" w:hAnsi="Calibri" w:cs="Calibri"/>
                <w:b/>
                <w:bCs/>
                <w:color w:val="000000"/>
                <w:sz w:val="22"/>
                <w:szCs w:val="22"/>
              </w:rPr>
              <w:t>26.0</w:t>
            </w:r>
          </w:p>
        </w:tc>
        <w:tc>
          <w:tcPr>
            <w:tcW w:w="2093" w:type="dxa"/>
            <w:tcBorders>
              <w:top w:val="single" w:sz="4" w:space="0" w:color="auto"/>
              <w:bottom w:val="single" w:sz="4" w:space="0" w:color="auto"/>
            </w:tcBorders>
          </w:tcPr>
          <w:p w14:paraId="3E553786" w14:textId="112BC15F" w:rsidR="00682634" w:rsidRPr="00F8418F" w:rsidRDefault="00682634" w:rsidP="00682634">
            <w:pPr>
              <w:spacing w:line="360" w:lineRule="auto"/>
              <w:jc w:val="center"/>
              <w:rPr>
                <w:rFonts w:ascii="Calibri" w:hAnsi="Calibri" w:cs="Calibri"/>
                <w:b/>
                <w:bCs/>
                <w:color w:val="000000"/>
                <w:sz w:val="22"/>
                <w:szCs w:val="22"/>
              </w:rPr>
            </w:pPr>
            <w:r w:rsidRPr="00F8418F">
              <w:rPr>
                <w:rFonts w:ascii="Calibri" w:hAnsi="Calibri" w:cs="Calibri"/>
                <w:b/>
                <w:bCs/>
                <w:color w:val="000000"/>
                <w:sz w:val="22"/>
                <w:szCs w:val="22"/>
              </w:rPr>
              <w:t>5791</w:t>
            </w:r>
          </w:p>
        </w:tc>
      </w:tr>
    </w:tbl>
    <w:p w14:paraId="1ABFC880" w14:textId="365B7F8D" w:rsidR="00914B3C" w:rsidRDefault="00914B3C" w:rsidP="00E568F2">
      <w:pPr>
        <w:spacing w:after="160" w:line="360" w:lineRule="auto"/>
        <w:rPr>
          <w:rFonts w:asciiTheme="minorHAnsi" w:hAnsiTheme="minorHAnsi" w:cstheme="minorHAnsi"/>
          <w:b/>
          <w:bCs/>
          <w:sz w:val="22"/>
          <w:szCs w:val="22"/>
        </w:rPr>
      </w:pPr>
      <w:r>
        <w:rPr>
          <w:rFonts w:asciiTheme="minorHAnsi" w:hAnsiTheme="minorHAnsi" w:cstheme="minorHAnsi"/>
          <w:b/>
          <w:bCs/>
          <w:sz w:val="22"/>
          <w:szCs w:val="22"/>
        </w:rPr>
        <w:t>Table 2</w:t>
      </w:r>
      <w:r w:rsidRPr="00131A43">
        <w:rPr>
          <w:rFonts w:asciiTheme="minorHAnsi" w:hAnsiTheme="minorHAnsi" w:cstheme="minorHAnsi"/>
          <w:b/>
          <w:bCs/>
          <w:sz w:val="22"/>
          <w:szCs w:val="22"/>
        </w:rPr>
        <w:t xml:space="preserve">: </w:t>
      </w:r>
      <w:r w:rsidRPr="00287F54">
        <w:rPr>
          <w:rFonts w:asciiTheme="minorHAnsi" w:hAnsiTheme="minorHAnsi" w:cstheme="minorHAnsi"/>
          <w:bCs/>
          <w:sz w:val="22"/>
          <w:szCs w:val="22"/>
        </w:rPr>
        <w:t xml:space="preserve">Farm characteristics, baseline </w:t>
      </w:r>
      <w:r w:rsidR="00E409BB" w:rsidRPr="00287F54">
        <w:rPr>
          <w:rFonts w:asciiTheme="minorHAnsi" w:hAnsiTheme="minorHAnsi" w:cstheme="minorHAnsi"/>
          <w:bCs/>
          <w:sz w:val="22"/>
          <w:szCs w:val="22"/>
        </w:rPr>
        <w:t xml:space="preserve">farm-level </w:t>
      </w:r>
      <w:r w:rsidRPr="00287F54">
        <w:rPr>
          <w:rFonts w:asciiTheme="minorHAnsi" w:hAnsiTheme="minorHAnsi" w:cstheme="minorHAnsi"/>
          <w:bCs/>
          <w:sz w:val="22"/>
          <w:szCs w:val="22"/>
        </w:rPr>
        <w:t>emissions</w:t>
      </w:r>
      <w:r w:rsidR="00D639FB">
        <w:rPr>
          <w:rFonts w:asciiTheme="minorHAnsi" w:hAnsiTheme="minorHAnsi" w:cstheme="minorHAnsi"/>
          <w:bCs/>
          <w:sz w:val="22"/>
          <w:szCs w:val="22"/>
        </w:rPr>
        <w:t xml:space="preserve">, </w:t>
      </w:r>
      <w:r w:rsidRPr="00287F54">
        <w:rPr>
          <w:rFonts w:asciiTheme="minorHAnsi" w:hAnsiTheme="minorHAnsi" w:cstheme="minorHAnsi"/>
          <w:bCs/>
          <w:sz w:val="22"/>
          <w:szCs w:val="22"/>
        </w:rPr>
        <w:t>baseline product emissions</w:t>
      </w:r>
      <w:r w:rsidR="00D639FB">
        <w:rPr>
          <w:rFonts w:asciiTheme="minorHAnsi" w:hAnsiTheme="minorHAnsi" w:cstheme="minorHAnsi"/>
          <w:bCs/>
          <w:sz w:val="22"/>
          <w:szCs w:val="22"/>
        </w:rPr>
        <w:t xml:space="preserve"> and baseline emissions per unit area</w:t>
      </w:r>
      <w:r w:rsidRPr="00287F54">
        <w:rPr>
          <w:rFonts w:asciiTheme="minorHAnsi" w:hAnsiTheme="minorHAnsi" w:cstheme="minorHAnsi"/>
          <w:bCs/>
          <w:sz w:val="22"/>
          <w:szCs w:val="22"/>
        </w:rPr>
        <w:t>.</w:t>
      </w:r>
    </w:p>
    <w:p w14:paraId="0B2C0549" w14:textId="7D159E93" w:rsidR="00914B3C" w:rsidRDefault="00914B3C" w:rsidP="00E568F2">
      <w:pPr>
        <w:spacing w:after="160" w:line="360" w:lineRule="auto"/>
        <w:rPr>
          <w:rFonts w:asciiTheme="minorHAnsi" w:hAnsiTheme="minorHAnsi" w:cstheme="minorHAnsi"/>
          <w:sz w:val="22"/>
          <w:szCs w:val="22"/>
        </w:rPr>
        <w:sectPr w:rsidR="00914B3C" w:rsidSect="00336756">
          <w:type w:val="continuous"/>
          <w:pgSz w:w="11906" w:h="16838"/>
          <w:pgMar w:top="1440" w:right="1440" w:bottom="1440" w:left="1440" w:header="708" w:footer="708" w:gutter="0"/>
          <w:lnNumType w:countBy="1" w:restart="continuous"/>
          <w:cols w:space="708"/>
          <w:titlePg/>
          <w:docGrid w:linePitch="360"/>
        </w:sectPr>
      </w:pPr>
    </w:p>
    <w:p w14:paraId="6B5038CE" w14:textId="0D37C154" w:rsidR="005C06BF" w:rsidRDefault="005C06BF">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2A3158C5" w14:textId="13BE5EC5" w:rsidR="00B91372" w:rsidRDefault="003411BF" w:rsidP="00E568F2">
      <w:pPr>
        <w:spacing w:after="160" w:line="360" w:lineRule="auto"/>
        <w:rPr>
          <w:rFonts w:asciiTheme="minorHAnsi" w:hAnsiTheme="minorHAnsi" w:cstheme="minorHAnsi"/>
          <w:bCs/>
          <w:sz w:val="22"/>
          <w:szCs w:val="22"/>
        </w:rPr>
      </w:pPr>
      <w:r>
        <w:rPr>
          <w:noProof/>
        </w:rPr>
        <w:lastRenderedPageBreak/>
        <w:drawing>
          <wp:anchor distT="0" distB="0" distL="114300" distR="114300" simplePos="0" relativeHeight="251670531" behindDoc="0" locked="0" layoutInCell="1" allowOverlap="1" wp14:anchorId="7C898441" wp14:editId="1E11BDCC">
            <wp:simplePos x="0" y="0"/>
            <wp:positionH relativeFrom="page">
              <wp:posOffset>62230</wp:posOffset>
            </wp:positionH>
            <wp:positionV relativeFrom="paragraph">
              <wp:posOffset>0</wp:posOffset>
            </wp:positionV>
            <wp:extent cx="7463243" cy="2598420"/>
            <wp:effectExtent l="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258"/>
                    <a:stretch/>
                  </pic:blipFill>
                  <pic:spPr bwMode="auto">
                    <a:xfrm>
                      <a:off x="0" y="0"/>
                      <a:ext cx="7463243" cy="2598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37AF" w:rsidRPr="001D37AF">
        <w:rPr>
          <w:rFonts w:asciiTheme="minorHAnsi" w:hAnsiTheme="minorHAnsi" w:cstheme="minorHAnsi"/>
          <w:b/>
          <w:bCs/>
          <w:sz w:val="22"/>
          <w:szCs w:val="22"/>
        </w:rPr>
        <w:t>Figure 2:</w:t>
      </w:r>
      <w:r w:rsidR="001D37AF">
        <w:rPr>
          <w:rFonts w:asciiTheme="minorHAnsi" w:hAnsiTheme="minorHAnsi" w:cstheme="minorHAnsi"/>
          <w:b/>
          <w:bCs/>
          <w:sz w:val="22"/>
          <w:szCs w:val="22"/>
        </w:rPr>
        <w:t xml:space="preserve"> </w:t>
      </w:r>
      <w:r w:rsidR="001D37AF" w:rsidRPr="00312773">
        <w:rPr>
          <w:rFonts w:asciiTheme="minorHAnsi" w:hAnsiTheme="minorHAnsi" w:cstheme="minorHAnsi"/>
          <w:bCs/>
          <w:sz w:val="22"/>
          <w:szCs w:val="22"/>
        </w:rPr>
        <w:t>Average</w:t>
      </w:r>
      <w:r w:rsidR="006427F0">
        <w:rPr>
          <w:rFonts w:asciiTheme="minorHAnsi" w:hAnsiTheme="minorHAnsi" w:cstheme="minorHAnsi"/>
          <w:bCs/>
          <w:sz w:val="22"/>
          <w:szCs w:val="22"/>
        </w:rPr>
        <w:t xml:space="preserve"> [a]</w:t>
      </w:r>
      <w:r w:rsidR="001D37AF" w:rsidRPr="00312773">
        <w:rPr>
          <w:rFonts w:asciiTheme="minorHAnsi" w:hAnsiTheme="minorHAnsi" w:cstheme="minorHAnsi"/>
          <w:bCs/>
          <w:sz w:val="22"/>
          <w:szCs w:val="22"/>
        </w:rPr>
        <w:t xml:space="preserve"> emission breakdown </w:t>
      </w:r>
      <w:r w:rsidR="00C850F9" w:rsidRPr="00312773">
        <w:rPr>
          <w:rFonts w:asciiTheme="minorHAnsi" w:hAnsiTheme="minorHAnsi" w:cstheme="minorHAnsi"/>
          <w:bCs/>
          <w:sz w:val="22"/>
          <w:szCs w:val="22"/>
        </w:rPr>
        <w:t xml:space="preserve">of </w:t>
      </w:r>
      <w:r w:rsidR="00D24D28" w:rsidRPr="00312773">
        <w:rPr>
          <w:rFonts w:asciiTheme="minorHAnsi" w:hAnsiTheme="minorHAnsi" w:cstheme="minorHAnsi"/>
          <w:bCs/>
          <w:sz w:val="22"/>
          <w:szCs w:val="22"/>
        </w:rPr>
        <w:t>greenhouse gases</w:t>
      </w:r>
      <w:r w:rsidR="00C850F9" w:rsidRPr="00312773">
        <w:rPr>
          <w:rFonts w:asciiTheme="minorHAnsi" w:hAnsiTheme="minorHAnsi" w:cstheme="minorHAnsi"/>
          <w:bCs/>
          <w:sz w:val="22"/>
          <w:szCs w:val="22"/>
        </w:rPr>
        <w:t xml:space="preserve"> </w:t>
      </w:r>
      <w:r w:rsidR="006427F0">
        <w:rPr>
          <w:rFonts w:asciiTheme="minorHAnsi" w:hAnsiTheme="minorHAnsi" w:cstheme="minorHAnsi"/>
          <w:bCs/>
          <w:sz w:val="22"/>
          <w:szCs w:val="22"/>
        </w:rPr>
        <w:t xml:space="preserve">and [b] sequestration breakdown </w:t>
      </w:r>
      <w:r w:rsidR="00C850F9" w:rsidRPr="00312773">
        <w:rPr>
          <w:rFonts w:asciiTheme="minorHAnsi" w:hAnsiTheme="minorHAnsi" w:cstheme="minorHAnsi"/>
          <w:bCs/>
          <w:sz w:val="22"/>
          <w:szCs w:val="22"/>
        </w:rPr>
        <w:t xml:space="preserve">across </w:t>
      </w:r>
      <w:r w:rsidR="00E409BB" w:rsidRPr="00312773">
        <w:rPr>
          <w:rFonts w:asciiTheme="minorHAnsi" w:hAnsiTheme="minorHAnsi" w:cstheme="minorHAnsi"/>
          <w:bCs/>
          <w:sz w:val="22"/>
          <w:szCs w:val="22"/>
        </w:rPr>
        <w:t xml:space="preserve">the </w:t>
      </w:r>
      <w:r w:rsidR="005C06BF" w:rsidRPr="00312773">
        <w:rPr>
          <w:rFonts w:asciiTheme="minorHAnsi" w:hAnsiTheme="minorHAnsi" w:cstheme="minorHAnsi"/>
          <w:bCs/>
          <w:sz w:val="22"/>
          <w:szCs w:val="22"/>
        </w:rPr>
        <w:t>twenty</w:t>
      </w:r>
      <w:r w:rsidR="00C850F9" w:rsidRPr="00312773">
        <w:rPr>
          <w:rFonts w:asciiTheme="minorHAnsi" w:hAnsiTheme="minorHAnsi" w:cstheme="minorHAnsi"/>
          <w:bCs/>
          <w:sz w:val="22"/>
          <w:szCs w:val="22"/>
        </w:rPr>
        <w:t xml:space="preserve"> farms</w:t>
      </w:r>
      <w:r w:rsidR="00D24D28" w:rsidRPr="00312773">
        <w:rPr>
          <w:rFonts w:asciiTheme="minorHAnsi" w:hAnsiTheme="minorHAnsi" w:cstheme="minorHAnsi"/>
          <w:bCs/>
          <w:sz w:val="22"/>
          <w:szCs w:val="22"/>
        </w:rPr>
        <w:t>.</w:t>
      </w:r>
      <w:r w:rsidR="005C06BF" w:rsidRPr="00312773">
        <w:rPr>
          <w:rFonts w:asciiTheme="minorHAnsi" w:hAnsiTheme="minorHAnsi" w:cstheme="minorHAnsi"/>
          <w:bCs/>
          <w:sz w:val="22"/>
          <w:szCs w:val="22"/>
        </w:rPr>
        <w:t xml:space="preserve"> Some numbers appear as 0 due to rounding</w:t>
      </w:r>
      <w:r w:rsidR="00C645C8" w:rsidRPr="00312773">
        <w:rPr>
          <w:rFonts w:asciiTheme="minorHAnsi" w:hAnsiTheme="minorHAnsi" w:cstheme="minorHAnsi"/>
          <w:bCs/>
          <w:sz w:val="22"/>
          <w:szCs w:val="22"/>
        </w:rPr>
        <w:t>.</w:t>
      </w:r>
    </w:p>
    <w:p w14:paraId="5F7BFF5F" w14:textId="3A34FE11" w:rsidR="00DF7B30" w:rsidRPr="00DF7B30" w:rsidRDefault="00DF7B30" w:rsidP="00E568F2">
      <w:pPr>
        <w:spacing w:after="160" w:line="360" w:lineRule="auto"/>
        <w:rPr>
          <w:rFonts w:asciiTheme="minorHAnsi" w:hAnsiTheme="minorHAnsi" w:cstheme="minorHAnsi"/>
          <w:bCs/>
          <w:sz w:val="22"/>
          <w:szCs w:val="22"/>
        </w:rPr>
      </w:pPr>
    </w:p>
    <w:p w14:paraId="1ADC4F6B" w14:textId="151BA555" w:rsidR="007C008F" w:rsidRDefault="007C008F" w:rsidP="00312773">
      <w:pPr>
        <w:pStyle w:val="ListParagraph"/>
        <w:numPr>
          <w:ilvl w:val="1"/>
          <w:numId w:val="2"/>
        </w:numPr>
        <w:spacing w:before="240" w:line="360" w:lineRule="auto"/>
        <w:rPr>
          <w:rFonts w:asciiTheme="minorHAnsi" w:hAnsiTheme="minorHAnsi" w:cstheme="minorHAnsi"/>
          <w:b/>
          <w:bCs/>
          <w:sz w:val="22"/>
          <w:szCs w:val="22"/>
        </w:rPr>
      </w:pPr>
      <w:r w:rsidRPr="00274A49">
        <w:rPr>
          <w:rFonts w:asciiTheme="minorHAnsi" w:hAnsiTheme="minorHAnsi" w:cstheme="minorHAnsi"/>
          <w:b/>
          <w:bCs/>
          <w:sz w:val="22"/>
          <w:szCs w:val="22"/>
        </w:rPr>
        <w:t xml:space="preserve">Mitigation </w:t>
      </w:r>
      <w:r w:rsidR="009B694A">
        <w:rPr>
          <w:rFonts w:asciiTheme="minorHAnsi" w:hAnsiTheme="minorHAnsi" w:cstheme="minorHAnsi"/>
          <w:b/>
          <w:bCs/>
          <w:sz w:val="22"/>
          <w:szCs w:val="22"/>
        </w:rPr>
        <w:t>s</w:t>
      </w:r>
      <w:r w:rsidRPr="00274A49">
        <w:rPr>
          <w:rFonts w:asciiTheme="minorHAnsi" w:hAnsiTheme="minorHAnsi" w:cstheme="minorHAnsi"/>
          <w:b/>
          <w:bCs/>
          <w:sz w:val="22"/>
          <w:szCs w:val="22"/>
        </w:rPr>
        <w:t>cenarios</w:t>
      </w:r>
    </w:p>
    <w:p w14:paraId="498C995E" w14:textId="111EB2D4" w:rsidR="00FB348F" w:rsidRDefault="006B10AE" w:rsidP="00FB348F">
      <w:pPr>
        <w:spacing w:line="360" w:lineRule="auto"/>
        <w:jc w:val="both"/>
        <w:rPr>
          <w:rFonts w:asciiTheme="minorHAnsi" w:hAnsiTheme="minorHAnsi" w:cstheme="minorHAnsi"/>
          <w:sz w:val="22"/>
          <w:szCs w:val="22"/>
        </w:rPr>
      </w:pPr>
      <w:r>
        <w:rPr>
          <w:rFonts w:asciiTheme="minorHAnsi" w:hAnsiTheme="minorHAnsi" w:cstheme="minorHAnsi"/>
          <w:sz w:val="22"/>
          <w:szCs w:val="22"/>
        </w:rPr>
        <w:t>Mitigation measures were implemented in a sequential approach</w:t>
      </w:r>
      <w:r w:rsidR="00EE3FD3">
        <w:rPr>
          <w:rFonts w:asciiTheme="minorHAnsi" w:hAnsiTheme="minorHAnsi" w:cstheme="minorHAnsi"/>
          <w:sz w:val="22"/>
          <w:szCs w:val="22"/>
        </w:rPr>
        <w:t xml:space="preserve">, culminating in a </w:t>
      </w:r>
      <w:r w:rsidR="00AB7536">
        <w:rPr>
          <w:rFonts w:asciiTheme="minorHAnsi" w:hAnsiTheme="minorHAnsi" w:cstheme="minorHAnsi"/>
          <w:sz w:val="22"/>
          <w:szCs w:val="22"/>
        </w:rPr>
        <w:t>Net Zero</w:t>
      </w:r>
      <w:r w:rsidR="00714338">
        <w:rPr>
          <w:rFonts w:asciiTheme="minorHAnsi" w:hAnsiTheme="minorHAnsi" w:cstheme="minorHAnsi"/>
          <w:sz w:val="22"/>
          <w:szCs w:val="22"/>
        </w:rPr>
        <w:t xml:space="preserve"> </w:t>
      </w:r>
      <w:r w:rsidR="00EE3FD3">
        <w:rPr>
          <w:rFonts w:asciiTheme="minorHAnsi" w:hAnsiTheme="minorHAnsi" w:cstheme="minorHAnsi"/>
          <w:sz w:val="22"/>
          <w:szCs w:val="22"/>
        </w:rPr>
        <w:t xml:space="preserve">GHG </w:t>
      </w:r>
      <w:r w:rsidR="00714338">
        <w:rPr>
          <w:rFonts w:asciiTheme="minorHAnsi" w:hAnsiTheme="minorHAnsi" w:cstheme="minorHAnsi"/>
          <w:sz w:val="22"/>
          <w:szCs w:val="22"/>
        </w:rPr>
        <w:t>scenario</w:t>
      </w:r>
      <w:r w:rsidR="00EE3FD3">
        <w:rPr>
          <w:rFonts w:asciiTheme="minorHAnsi" w:hAnsiTheme="minorHAnsi" w:cstheme="minorHAnsi"/>
          <w:sz w:val="22"/>
          <w:szCs w:val="22"/>
        </w:rPr>
        <w:t xml:space="preserve"> </w:t>
      </w:r>
      <w:r w:rsidR="00714338">
        <w:rPr>
          <w:rFonts w:asciiTheme="minorHAnsi" w:hAnsiTheme="minorHAnsi" w:cstheme="minorHAnsi"/>
          <w:sz w:val="22"/>
          <w:szCs w:val="22"/>
        </w:rPr>
        <w:t xml:space="preserve">for </w:t>
      </w:r>
      <w:r w:rsidR="002F410B">
        <w:rPr>
          <w:rFonts w:asciiTheme="minorHAnsi" w:hAnsiTheme="minorHAnsi" w:cstheme="minorHAnsi"/>
          <w:sz w:val="22"/>
          <w:szCs w:val="22"/>
        </w:rPr>
        <w:t xml:space="preserve">each </w:t>
      </w:r>
      <w:r w:rsidR="006F43E6">
        <w:rPr>
          <w:rFonts w:asciiTheme="minorHAnsi" w:hAnsiTheme="minorHAnsi" w:cstheme="minorHAnsi"/>
          <w:sz w:val="22"/>
          <w:szCs w:val="22"/>
        </w:rPr>
        <w:t>farm</w:t>
      </w:r>
      <w:r w:rsidR="00EE3FD3">
        <w:rPr>
          <w:rFonts w:asciiTheme="minorHAnsi" w:hAnsiTheme="minorHAnsi" w:cstheme="minorHAnsi"/>
          <w:sz w:val="22"/>
          <w:szCs w:val="22"/>
        </w:rPr>
        <w:t xml:space="preserve"> through GHG removals via afforestation</w:t>
      </w:r>
      <w:r w:rsidR="006F43E6">
        <w:rPr>
          <w:rFonts w:asciiTheme="minorHAnsi" w:hAnsiTheme="minorHAnsi" w:cstheme="minorHAnsi"/>
          <w:sz w:val="22"/>
          <w:szCs w:val="22"/>
        </w:rPr>
        <w:t>;</w:t>
      </w:r>
      <w:r w:rsidR="007B2482">
        <w:rPr>
          <w:rFonts w:asciiTheme="minorHAnsi" w:hAnsiTheme="minorHAnsi" w:cstheme="minorHAnsi"/>
          <w:sz w:val="22"/>
          <w:szCs w:val="22"/>
        </w:rPr>
        <w:t xml:space="preserve"> an example farm is shown in </w:t>
      </w:r>
      <w:r w:rsidR="00AF0453">
        <w:rPr>
          <w:rFonts w:asciiTheme="minorHAnsi" w:hAnsiTheme="minorHAnsi" w:cstheme="minorHAnsi"/>
          <w:sz w:val="22"/>
          <w:szCs w:val="22"/>
        </w:rPr>
        <w:t>F</w:t>
      </w:r>
      <w:r w:rsidR="007B2482">
        <w:rPr>
          <w:rFonts w:asciiTheme="minorHAnsi" w:hAnsiTheme="minorHAnsi" w:cstheme="minorHAnsi"/>
          <w:sz w:val="22"/>
          <w:szCs w:val="22"/>
        </w:rPr>
        <w:t>ig</w:t>
      </w:r>
      <w:r w:rsidR="003842E5">
        <w:rPr>
          <w:rFonts w:asciiTheme="minorHAnsi" w:hAnsiTheme="minorHAnsi" w:cstheme="minorHAnsi"/>
          <w:sz w:val="22"/>
          <w:szCs w:val="22"/>
        </w:rPr>
        <w:t>ure</w:t>
      </w:r>
      <w:r w:rsidR="007B2482">
        <w:rPr>
          <w:rFonts w:asciiTheme="minorHAnsi" w:hAnsiTheme="minorHAnsi" w:cstheme="minorHAnsi"/>
          <w:sz w:val="22"/>
          <w:szCs w:val="22"/>
        </w:rPr>
        <w:t xml:space="preserve"> </w:t>
      </w:r>
      <w:r w:rsidR="001F783A">
        <w:rPr>
          <w:rFonts w:asciiTheme="minorHAnsi" w:hAnsiTheme="minorHAnsi" w:cstheme="minorHAnsi"/>
          <w:sz w:val="22"/>
          <w:szCs w:val="22"/>
        </w:rPr>
        <w:t>3</w:t>
      </w:r>
      <w:r w:rsidR="002F410B">
        <w:rPr>
          <w:rFonts w:asciiTheme="minorHAnsi" w:hAnsiTheme="minorHAnsi" w:cstheme="minorHAnsi"/>
          <w:sz w:val="22"/>
          <w:szCs w:val="22"/>
        </w:rPr>
        <w:t>.</w:t>
      </w:r>
      <w:r w:rsidR="00DA75CA">
        <w:rPr>
          <w:rFonts w:asciiTheme="minorHAnsi" w:hAnsiTheme="minorHAnsi" w:cstheme="minorHAnsi"/>
          <w:sz w:val="22"/>
          <w:szCs w:val="22"/>
        </w:rPr>
        <w:t xml:space="preserve"> </w:t>
      </w:r>
      <w:r w:rsidR="0099507A">
        <w:rPr>
          <w:rFonts w:asciiTheme="minorHAnsi" w:hAnsiTheme="minorHAnsi" w:cstheme="minorHAnsi"/>
          <w:sz w:val="22"/>
          <w:szCs w:val="22"/>
        </w:rPr>
        <w:t xml:space="preserve">Mitigation scenarios for each farm can be </w:t>
      </w:r>
      <w:r w:rsidR="0099507A" w:rsidRPr="00F174EB">
        <w:rPr>
          <w:rFonts w:asciiTheme="minorHAnsi" w:hAnsiTheme="minorHAnsi" w:cstheme="minorHAnsi"/>
          <w:sz w:val="22"/>
          <w:szCs w:val="22"/>
        </w:rPr>
        <w:t xml:space="preserve">found </w:t>
      </w:r>
      <w:r w:rsidR="000C689A">
        <w:rPr>
          <w:rFonts w:asciiTheme="minorHAnsi" w:hAnsiTheme="minorHAnsi" w:cstheme="minorHAnsi"/>
          <w:sz w:val="22"/>
          <w:szCs w:val="22"/>
        </w:rPr>
        <w:t xml:space="preserve">in </w:t>
      </w:r>
      <w:r w:rsidR="00F174EB">
        <w:rPr>
          <w:rFonts w:asciiTheme="minorHAnsi" w:hAnsiTheme="minorHAnsi" w:cstheme="minorHAnsi"/>
          <w:sz w:val="22"/>
          <w:szCs w:val="22"/>
        </w:rPr>
        <w:t>Fi</w:t>
      </w:r>
      <w:r w:rsidR="004960DA">
        <w:rPr>
          <w:rFonts w:asciiTheme="minorHAnsi" w:hAnsiTheme="minorHAnsi" w:cstheme="minorHAnsi"/>
          <w:sz w:val="22"/>
          <w:szCs w:val="22"/>
        </w:rPr>
        <w:t>gures</w:t>
      </w:r>
      <w:r w:rsidR="00F174EB">
        <w:rPr>
          <w:rFonts w:asciiTheme="minorHAnsi" w:hAnsiTheme="minorHAnsi" w:cstheme="minorHAnsi"/>
          <w:sz w:val="22"/>
          <w:szCs w:val="22"/>
        </w:rPr>
        <w:t xml:space="preserve"> </w:t>
      </w:r>
      <w:r w:rsidR="00107798">
        <w:rPr>
          <w:rFonts w:asciiTheme="minorHAnsi" w:hAnsiTheme="minorHAnsi" w:cstheme="minorHAnsi"/>
          <w:sz w:val="22"/>
          <w:szCs w:val="22"/>
        </w:rPr>
        <w:t>C.1-</w:t>
      </w:r>
      <w:r w:rsidR="005D0CB8">
        <w:rPr>
          <w:rFonts w:asciiTheme="minorHAnsi" w:hAnsiTheme="minorHAnsi" w:cstheme="minorHAnsi"/>
          <w:sz w:val="22"/>
          <w:szCs w:val="22"/>
        </w:rPr>
        <w:t>19</w:t>
      </w:r>
      <w:r w:rsidR="0099507A">
        <w:rPr>
          <w:rFonts w:asciiTheme="minorHAnsi" w:hAnsiTheme="minorHAnsi" w:cstheme="minorHAnsi"/>
          <w:sz w:val="22"/>
          <w:szCs w:val="22"/>
        </w:rPr>
        <w:t xml:space="preserve">. </w:t>
      </w:r>
      <w:r w:rsidR="00947A45">
        <w:rPr>
          <w:rFonts w:asciiTheme="minorHAnsi" w:hAnsiTheme="minorHAnsi" w:cstheme="minorHAnsi"/>
          <w:sz w:val="22"/>
          <w:szCs w:val="22"/>
        </w:rPr>
        <w:t>Implementing the m</w:t>
      </w:r>
      <w:r w:rsidR="00D952D0">
        <w:rPr>
          <w:rFonts w:asciiTheme="minorHAnsi" w:hAnsiTheme="minorHAnsi" w:cstheme="minorHAnsi"/>
          <w:sz w:val="22"/>
          <w:szCs w:val="22"/>
        </w:rPr>
        <w:t xml:space="preserve">itigation </w:t>
      </w:r>
      <w:r w:rsidR="00947A45">
        <w:rPr>
          <w:rFonts w:asciiTheme="minorHAnsi" w:hAnsiTheme="minorHAnsi" w:cstheme="minorHAnsi"/>
          <w:sz w:val="22"/>
          <w:szCs w:val="22"/>
        </w:rPr>
        <w:t xml:space="preserve">measures </w:t>
      </w:r>
      <w:r w:rsidR="00D952D0">
        <w:rPr>
          <w:rFonts w:asciiTheme="minorHAnsi" w:hAnsiTheme="minorHAnsi" w:cstheme="minorHAnsi"/>
          <w:sz w:val="22"/>
          <w:szCs w:val="22"/>
        </w:rPr>
        <w:t xml:space="preserve">alone was not </w:t>
      </w:r>
      <w:r w:rsidR="006F4497">
        <w:rPr>
          <w:rFonts w:asciiTheme="minorHAnsi" w:hAnsiTheme="minorHAnsi" w:cstheme="minorHAnsi"/>
          <w:sz w:val="22"/>
          <w:szCs w:val="22"/>
        </w:rPr>
        <w:t xml:space="preserve">sufficient </w:t>
      </w:r>
      <w:r w:rsidR="00D952D0">
        <w:rPr>
          <w:rFonts w:asciiTheme="minorHAnsi" w:hAnsiTheme="minorHAnsi" w:cstheme="minorHAnsi"/>
          <w:sz w:val="22"/>
          <w:szCs w:val="22"/>
        </w:rPr>
        <w:t>to reduce</w:t>
      </w:r>
      <w:r w:rsidR="00963FE6">
        <w:rPr>
          <w:rFonts w:asciiTheme="minorHAnsi" w:hAnsiTheme="minorHAnsi" w:cstheme="minorHAnsi"/>
          <w:sz w:val="22"/>
          <w:szCs w:val="22"/>
        </w:rPr>
        <w:t xml:space="preserve"> </w:t>
      </w:r>
      <w:r w:rsidR="00F7505E">
        <w:rPr>
          <w:rFonts w:asciiTheme="minorHAnsi" w:hAnsiTheme="minorHAnsi" w:cstheme="minorHAnsi"/>
          <w:sz w:val="22"/>
          <w:szCs w:val="22"/>
        </w:rPr>
        <w:t>total farm</w:t>
      </w:r>
      <w:r w:rsidR="00D952D0">
        <w:rPr>
          <w:rFonts w:asciiTheme="minorHAnsi" w:hAnsiTheme="minorHAnsi" w:cstheme="minorHAnsi"/>
          <w:sz w:val="22"/>
          <w:szCs w:val="22"/>
        </w:rPr>
        <w:t xml:space="preserve"> emissions to zero</w:t>
      </w:r>
      <w:r w:rsidR="00D421B3">
        <w:rPr>
          <w:rFonts w:asciiTheme="minorHAnsi" w:hAnsiTheme="minorHAnsi" w:cstheme="minorHAnsi"/>
          <w:sz w:val="22"/>
          <w:szCs w:val="22"/>
        </w:rPr>
        <w:t xml:space="preserve"> on any farm</w:t>
      </w:r>
      <w:r w:rsidR="00D952D0">
        <w:rPr>
          <w:rFonts w:asciiTheme="minorHAnsi" w:hAnsiTheme="minorHAnsi" w:cstheme="minorHAnsi"/>
          <w:sz w:val="22"/>
          <w:szCs w:val="22"/>
        </w:rPr>
        <w:t xml:space="preserve">. </w:t>
      </w:r>
      <w:r w:rsidR="00D952D0" w:rsidRPr="00D952D0">
        <w:rPr>
          <w:rFonts w:asciiTheme="minorHAnsi" w:hAnsiTheme="minorHAnsi" w:cstheme="minorHAnsi"/>
          <w:sz w:val="22"/>
          <w:szCs w:val="22"/>
        </w:rPr>
        <w:t xml:space="preserve">Emission reductions </w:t>
      </w:r>
      <w:r w:rsidR="00D952D0" w:rsidRPr="005D40BE">
        <w:rPr>
          <w:rFonts w:asciiTheme="minorHAnsi" w:hAnsiTheme="minorHAnsi" w:cstheme="minorHAnsi"/>
          <w:sz w:val="22"/>
          <w:szCs w:val="22"/>
        </w:rPr>
        <w:t xml:space="preserve">following the implementation of </w:t>
      </w:r>
      <w:r w:rsidR="00CE0201" w:rsidRPr="005D40BE">
        <w:rPr>
          <w:rFonts w:asciiTheme="minorHAnsi" w:hAnsiTheme="minorHAnsi" w:cstheme="minorHAnsi"/>
          <w:sz w:val="22"/>
          <w:szCs w:val="22"/>
        </w:rPr>
        <w:t>five to seven</w:t>
      </w:r>
      <w:r w:rsidR="00D952D0" w:rsidRPr="005D40BE">
        <w:rPr>
          <w:rFonts w:asciiTheme="minorHAnsi" w:hAnsiTheme="minorHAnsi" w:cstheme="minorHAnsi"/>
          <w:sz w:val="22"/>
          <w:szCs w:val="22"/>
        </w:rPr>
        <w:t xml:space="preserve"> mitigation measures ranged from 19.7</w:t>
      </w:r>
      <w:r w:rsidR="007D1C2C">
        <w:rPr>
          <w:rFonts w:asciiTheme="minorHAnsi" w:hAnsiTheme="minorHAnsi" w:cstheme="minorHAnsi"/>
          <w:sz w:val="22"/>
          <w:szCs w:val="22"/>
        </w:rPr>
        <w:t xml:space="preserve"> to </w:t>
      </w:r>
      <w:r w:rsidR="00781010" w:rsidRPr="005D40BE">
        <w:rPr>
          <w:rFonts w:asciiTheme="minorHAnsi" w:hAnsiTheme="minorHAnsi" w:cstheme="minorHAnsi"/>
          <w:sz w:val="22"/>
          <w:szCs w:val="22"/>
        </w:rPr>
        <w:t>35.0</w:t>
      </w:r>
      <w:r w:rsidR="00D952D0" w:rsidRPr="005D40BE">
        <w:rPr>
          <w:rFonts w:asciiTheme="minorHAnsi" w:hAnsiTheme="minorHAnsi" w:cstheme="minorHAnsi"/>
          <w:sz w:val="22"/>
          <w:szCs w:val="22"/>
        </w:rPr>
        <w:t>%</w:t>
      </w:r>
      <w:r w:rsidR="00D421B3">
        <w:rPr>
          <w:rFonts w:asciiTheme="minorHAnsi" w:hAnsiTheme="minorHAnsi" w:cstheme="minorHAnsi"/>
          <w:sz w:val="22"/>
          <w:szCs w:val="22"/>
        </w:rPr>
        <w:t>,</w:t>
      </w:r>
      <w:r w:rsidR="00D952D0" w:rsidRPr="005D40BE">
        <w:rPr>
          <w:rFonts w:asciiTheme="minorHAnsi" w:hAnsiTheme="minorHAnsi" w:cstheme="minorHAnsi"/>
          <w:sz w:val="22"/>
          <w:szCs w:val="22"/>
        </w:rPr>
        <w:t xml:space="preserve"> with an average of </w:t>
      </w:r>
      <w:r w:rsidR="00CD4846" w:rsidRPr="005D40BE">
        <w:rPr>
          <w:rFonts w:asciiTheme="minorHAnsi" w:hAnsiTheme="minorHAnsi" w:cstheme="minorHAnsi"/>
          <w:sz w:val="22"/>
          <w:szCs w:val="22"/>
        </w:rPr>
        <w:t>2</w:t>
      </w:r>
      <w:r w:rsidR="004333C0">
        <w:rPr>
          <w:rFonts w:asciiTheme="minorHAnsi" w:hAnsiTheme="minorHAnsi" w:cstheme="minorHAnsi"/>
          <w:sz w:val="22"/>
          <w:szCs w:val="22"/>
        </w:rPr>
        <w:t>7.9</w:t>
      </w:r>
      <w:r w:rsidR="00D952D0" w:rsidRPr="005D40BE">
        <w:rPr>
          <w:rFonts w:asciiTheme="minorHAnsi" w:hAnsiTheme="minorHAnsi" w:cstheme="minorHAnsi"/>
          <w:sz w:val="22"/>
          <w:szCs w:val="22"/>
        </w:rPr>
        <w:t xml:space="preserve">%. </w:t>
      </w:r>
      <w:r w:rsidR="00CE0201" w:rsidRPr="005D40BE">
        <w:rPr>
          <w:rFonts w:asciiTheme="minorHAnsi" w:hAnsiTheme="minorHAnsi" w:cstheme="minorHAnsi"/>
          <w:sz w:val="22"/>
          <w:szCs w:val="22"/>
        </w:rPr>
        <w:t xml:space="preserve">Individual mitigation measures resulted in </w:t>
      </w:r>
      <w:r w:rsidR="00EE3FD3" w:rsidRPr="005D40BE">
        <w:rPr>
          <w:rFonts w:asciiTheme="minorHAnsi" w:hAnsiTheme="minorHAnsi" w:cstheme="minorHAnsi"/>
          <w:sz w:val="22"/>
          <w:szCs w:val="22"/>
        </w:rPr>
        <w:t>an</w:t>
      </w:r>
      <w:r w:rsidR="00CE0201" w:rsidRPr="005D40BE">
        <w:rPr>
          <w:rFonts w:asciiTheme="minorHAnsi" w:hAnsiTheme="minorHAnsi" w:cstheme="minorHAnsi"/>
          <w:sz w:val="22"/>
          <w:szCs w:val="22"/>
        </w:rPr>
        <w:t xml:space="preserve"> average 0.8</w:t>
      </w:r>
      <w:r w:rsidR="007D1C2C">
        <w:rPr>
          <w:rFonts w:asciiTheme="minorHAnsi" w:hAnsiTheme="minorHAnsi" w:cstheme="minorHAnsi"/>
          <w:sz w:val="22"/>
          <w:szCs w:val="22"/>
        </w:rPr>
        <w:t xml:space="preserve"> to </w:t>
      </w:r>
      <w:r w:rsidR="00CE0201" w:rsidRPr="005D40BE">
        <w:rPr>
          <w:rFonts w:asciiTheme="minorHAnsi" w:hAnsiTheme="minorHAnsi" w:cstheme="minorHAnsi"/>
          <w:sz w:val="22"/>
          <w:szCs w:val="22"/>
        </w:rPr>
        <w:t>11.</w:t>
      </w:r>
      <w:r w:rsidR="00B60093" w:rsidRPr="005D40BE">
        <w:rPr>
          <w:rFonts w:asciiTheme="minorHAnsi" w:hAnsiTheme="minorHAnsi" w:cstheme="minorHAnsi"/>
          <w:sz w:val="22"/>
          <w:szCs w:val="22"/>
        </w:rPr>
        <w:t>9</w:t>
      </w:r>
      <w:r w:rsidR="00CE0201" w:rsidRPr="005D40BE">
        <w:rPr>
          <w:rFonts w:asciiTheme="minorHAnsi" w:hAnsiTheme="minorHAnsi" w:cstheme="minorHAnsi"/>
          <w:sz w:val="22"/>
          <w:szCs w:val="22"/>
        </w:rPr>
        <w:t xml:space="preserve">% reduction in overall emissions </w:t>
      </w:r>
      <w:r w:rsidR="00EE3FD3" w:rsidRPr="005D40BE">
        <w:rPr>
          <w:rFonts w:asciiTheme="minorHAnsi" w:hAnsiTheme="minorHAnsi" w:cstheme="minorHAnsi"/>
          <w:sz w:val="22"/>
          <w:szCs w:val="22"/>
        </w:rPr>
        <w:t xml:space="preserve">across </w:t>
      </w:r>
      <w:r w:rsidR="00CE0201" w:rsidRPr="005D40BE">
        <w:rPr>
          <w:rFonts w:asciiTheme="minorHAnsi" w:hAnsiTheme="minorHAnsi" w:cstheme="minorHAnsi"/>
          <w:sz w:val="22"/>
          <w:szCs w:val="22"/>
        </w:rPr>
        <w:t>farm</w:t>
      </w:r>
      <w:r w:rsidR="00947A45" w:rsidRPr="005D40BE">
        <w:rPr>
          <w:rFonts w:asciiTheme="minorHAnsi" w:hAnsiTheme="minorHAnsi" w:cstheme="minorHAnsi"/>
          <w:sz w:val="22"/>
          <w:szCs w:val="22"/>
        </w:rPr>
        <w:t>s</w:t>
      </w:r>
      <w:r w:rsidR="00CE0201" w:rsidRPr="005D40BE">
        <w:rPr>
          <w:rFonts w:asciiTheme="minorHAnsi" w:hAnsiTheme="minorHAnsi" w:cstheme="minorHAnsi"/>
          <w:sz w:val="22"/>
          <w:szCs w:val="22"/>
        </w:rPr>
        <w:t xml:space="preserve"> (</w:t>
      </w:r>
      <w:r w:rsidR="00FA4E8D" w:rsidRPr="005D40BE">
        <w:rPr>
          <w:rFonts w:asciiTheme="minorHAnsi" w:hAnsiTheme="minorHAnsi" w:cstheme="minorHAnsi"/>
          <w:sz w:val="22"/>
          <w:szCs w:val="22"/>
        </w:rPr>
        <w:t xml:space="preserve">Table </w:t>
      </w:r>
      <w:r w:rsidR="007E50B4">
        <w:rPr>
          <w:rFonts w:asciiTheme="minorHAnsi" w:hAnsiTheme="minorHAnsi" w:cstheme="minorHAnsi"/>
          <w:sz w:val="22"/>
          <w:szCs w:val="22"/>
        </w:rPr>
        <w:t>3</w:t>
      </w:r>
      <w:r w:rsidR="00CE0201" w:rsidRPr="005D40BE">
        <w:rPr>
          <w:rFonts w:asciiTheme="minorHAnsi" w:hAnsiTheme="minorHAnsi" w:cstheme="minorHAnsi"/>
          <w:sz w:val="22"/>
          <w:szCs w:val="22"/>
        </w:rPr>
        <w:t>)</w:t>
      </w:r>
      <w:r w:rsidR="00B271E9">
        <w:rPr>
          <w:rFonts w:asciiTheme="minorHAnsi" w:hAnsiTheme="minorHAnsi" w:cstheme="minorHAnsi"/>
          <w:sz w:val="22"/>
          <w:szCs w:val="22"/>
        </w:rPr>
        <w:t xml:space="preserve"> with </w:t>
      </w:r>
      <w:r w:rsidR="00841F55">
        <w:rPr>
          <w:rFonts w:asciiTheme="minorHAnsi" w:hAnsiTheme="minorHAnsi" w:cstheme="minorHAnsi"/>
          <w:sz w:val="22"/>
          <w:szCs w:val="22"/>
        </w:rPr>
        <w:t>3-NOP contributing to the largest reduction</w:t>
      </w:r>
      <w:r w:rsidR="00CE0201" w:rsidRPr="005D40BE">
        <w:rPr>
          <w:rFonts w:asciiTheme="minorHAnsi" w:hAnsiTheme="minorHAnsi" w:cstheme="minorHAnsi"/>
          <w:sz w:val="22"/>
          <w:szCs w:val="22"/>
        </w:rPr>
        <w:t xml:space="preserve">. </w:t>
      </w:r>
      <w:r w:rsidR="00512732" w:rsidRPr="005D40BE">
        <w:rPr>
          <w:rFonts w:asciiTheme="minorHAnsi" w:hAnsiTheme="minorHAnsi" w:cstheme="minorHAnsi"/>
          <w:sz w:val="22"/>
          <w:szCs w:val="22"/>
        </w:rPr>
        <w:t xml:space="preserve">Total emissions following mitigation measures ranged from </w:t>
      </w:r>
      <w:r w:rsidR="00DB1C5D" w:rsidRPr="005D40BE">
        <w:rPr>
          <w:rFonts w:asciiTheme="minorHAnsi" w:hAnsiTheme="minorHAnsi" w:cstheme="minorHAnsi"/>
          <w:sz w:val="22"/>
          <w:szCs w:val="22"/>
        </w:rPr>
        <w:t>264-</w:t>
      </w:r>
      <w:r w:rsidR="00B629E9" w:rsidRPr="005D40BE">
        <w:rPr>
          <w:rFonts w:asciiTheme="minorHAnsi" w:hAnsiTheme="minorHAnsi" w:cstheme="minorHAnsi"/>
          <w:sz w:val="22"/>
          <w:szCs w:val="22"/>
        </w:rPr>
        <w:t>1</w:t>
      </w:r>
      <w:r w:rsidR="00FE1684" w:rsidRPr="005D40BE">
        <w:rPr>
          <w:rFonts w:asciiTheme="minorHAnsi" w:hAnsiTheme="minorHAnsi" w:cstheme="minorHAnsi"/>
          <w:sz w:val="22"/>
          <w:szCs w:val="22"/>
        </w:rPr>
        <w:t>512</w:t>
      </w:r>
      <w:r w:rsidR="00C808D6">
        <w:t xml:space="preserve"> t </w:t>
      </w:r>
      <w:r w:rsidR="00512732" w:rsidRPr="005D40BE">
        <w:rPr>
          <w:rFonts w:asciiTheme="minorHAnsi" w:hAnsiTheme="minorHAnsi" w:cstheme="minorHAnsi"/>
          <w:sz w:val="22"/>
          <w:szCs w:val="22"/>
        </w:rPr>
        <w:t>CO</w:t>
      </w:r>
      <w:r w:rsidR="00512732" w:rsidRPr="005D40BE">
        <w:rPr>
          <w:rFonts w:asciiTheme="minorHAnsi" w:hAnsiTheme="minorHAnsi" w:cstheme="minorHAnsi"/>
          <w:sz w:val="22"/>
          <w:szCs w:val="22"/>
          <w:vertAlign w:val="subscript"/>
        </w:rPr>
        <w:t>2</w:t>
      </w:r>
      <w:r w:rsidR="00512732" w:rsidRPr="005D40BE">
        <w:rPr>
          <w:rFonts w:asciiTheme="minorHAnsi" w:hAnsiTheme="minorHAnsi" w:cstheme="minorHAnsi"/>
          <w:sz w:val="22"/>
          <w:szCs w:val="22"/>
        </w:rPr>
        <w:t>e y</w:t>
      </w:r>
      <w:r w:rsidR="00A61349" w:rsidRPr="005D40BE">
        <w:rPr>
          <w:rFonts w:asciiTheme="minorHAnsi" w:hAnsiTheme="minorHAnsi" w:cstheme="minorHAnsi"/>
          <w:sz w:val="22"/>
          <w:szCs w:val="22"/>
        </w:rPr>
        <w:t>r</w:t>
      </w:r>
      <w:r w:rsidR="00512732" w:rsidRPr="005D40BE">
        <w:rPr>
          <w:rFonts w:asciiTheme="minorHAnsi" w:hAnsiTheme="minorHAnsi" w:cstheme="minorHAnsi"/>
          <w:sz w:val="22"/>
          <w:szCs w:val="22"/>
          <w:vertAlign w:val="superscript"/>
        </w:rPr>
        <w:t>-1</w:t>
      </w:r>
      <w:r w:rsidR="00512732" w:rsidRPr="005D40BE">
        <w:rPr>
          <w:rFonts w:asciiTheme="minorHAnsi" w:hAnsiTheme="minorHAnsi" w:cstheme="minorHAnsi"/>
          <w:sz w:val="22"/>
          <w:szCs w:val="22"/>
        </w:rPr>
        <w:t xml:space="preserve">. </w:t>
      </w:r>
      <w:r w:rsidR="00D952D0" w:rsidRPr="005D40BE">
        <w:rPr>
          <w:rFonts w:asciiTheme="minorHAnsi" w:hAnsiTheme="minorHAnsi" w:cstheme="minorHAnsi"/>
          <w:sz w:val="22"/>
          <w:szCs w:val="22"/>
        </w:rPr>
        <w:t xml:space="preserve">Mitigated product emissions ranged from </w:t>
      </w:r>
      <w:r w:rsidR="004B09B0" w:rsidRPr="005D40BE">
        <w:rPr>
          <w:rFonts w:asciiTheme="minorHAnsi" w:hAnsiTheme="minorHAnsi" w:cstheme="minorHAnsi"/>
          <w:sz w:val="22"/>
          <w:szCs w:val="22"/>
        </w:rPr>
        <w:t>9.3</w:t>
      </w:r>
      <w:r w:rsidR="007D1C2C">
        <w:rPr>
          <w:rFonts w:asciiTheme="minorHAnsi" w:hAnsiTheme="minorHAnsi" w:cstheme="minorHAnsi"/>
          <w:sz w:val="22"/>
          <w:szCs w:val="22"/>
        </w:rPr>
        <w:t xml:space="preserve"> to </w:t>
      </w:r>
      <w:r w:rsidR="004B09B0" w:rsidRPr="005D40BE">
        <w:rPr>
          <w:rFonts w:asciiTheme="minorHAnsi" w:hAnsiTheme="minorHAnsi" w:cstheme="minorHAnsi"/>
          <w:sz w:val="22"/>
          <w:szCs w:val="22"/>
        </w:rPr>
        <w:t>29.4</w:t>
      </w:r>
      <w:r w:rsidR="00376448" w:rsidRPr="005D40BE">
        <w:rPr>
          <w:rFonts w:asciiTheme="minorHAnsi" w:hAnsiTheme="minorHAnsi" w:cstheme="minorHAnsi"/>
          <w:sz w:val="22"/>
          <w:szCs w:val="22"/>
        </w:rPr>
        <w:t xml:space="preserve"> </w:t>
      </w:r>
      <w:r w:rsidR="00D952D0" w:rsidRPr="005D40BE">
        <w:rPr>
          <w:rFonts w:asciiTheme="minorHAnsi" w:hAnsiTheme="minorHAnsi" w:cstheme="minorHAnsi"/>
          <w:sz w:val="22"/>
          <w:szCs w:val="22"/>
        </w:rPr>
        <w:t>kg CO</w:t>
      </w:r>
      <w:r w:rsidR="00D952D0" w:rsidRPr="005D40BE">
        <w:rPr>
          <w:rFonts w:asciiTheme="minorHAnsi" w:hAnsiTheme="minorHAnsi" w:cstheme="minorHAnsi"/>
          <w:sz w:val="22"/>
          <w:szCs w:val="22"/>
          <w:vertAlign w:val="subscript"/>
        </w:rPr>
        <w:t>2</w:t>
      </w:r>
      <w:r w:rsidR="00D952D0" w:rsidRPr="005D40BE">
        <w:rPr>
          <w:rFonts w:asciiTheme="minorHAnsi" w:hAnsiTheme="minorHAnsi" w:cstheme="minorHAnsi"/>
          <w:sz w:val="22"/>
          <w:szCs w:val="22"/>
        </w:rPr>
        <w:t>e</w:t>
      </w:r>
      <w:r w:rsidR="00E9692A" w:rsidRPr="005D40BE">
        <w:rPr>
          <w:rFonts w:asciiTheme="minorHAnsi" w:hAnsiTheme="minorHAnsi" w:cstheme="minorHAnsi"/>
          <w:sz w:val="22"/>
          <w:szCs w:val="22"/>
        </w:rPr>
        <w:t xml:space="preserve"> </w:t>
      </w:r>
      <w:r w:rsidR="00D952D0" w:rsidRPr="005D40BE">
        <w:rPr>
          <w:rFonts w:asciiTheme="minorHAnsi" w:hAnsiTheme="minorHAnsi" w:cstheme="minorHAnsi"/>
          <w:sz w:val="22"/>
          <w:szCs w:val="22"/>
        </w:rPr>
        <w:t>kg</w:t>
      </w:r>
      <w:r w:rsidR="00E9692A" w:rsidRPr="005D40BE">
        <w:rPr>
          <w:rFonts w:asciiTheme="minorHAnsi" w:hAnsiTheme="minorHAnsi" w:cstheme="minorHAnsi"/>
          <w:sz w:val="22"/>
          <w:szCs w:val="22"/>
          <w:vertAlign w:val="superscript"/>
        </w:rPr>
        <w:t>-1</w:t>
      </w:r>
      <w:r w:rsidR="00D952D0" w:rsidRPr="005D40BE">
        <w:rPr>
          <w:rFonts w:asciiTheme="minorHAnsi" w:hAnsiTheme="minorHAnsi" w:cstheme="minorHAnsi"/>
          <w:sz w:val="22"/>
          <w:szCs w:val="22"/>
        </w:rPr>
        <w:t xml:space="preserve"> </w:t>
      </w:r>
      <w:r w:rsidR="00287F54">
        <w:rPr>
          <w:rFonts w:asciiTheme="minorHAnsi" w:hAnsiTheme="minorHAnsi" w:cstheme="minorHAnsi"/>
          <w:sz w:val="22"/>
          <w:szCs w:val="22"/>
        </w:rPr>
        <w:t>dwt</w:t>
      </w:r>
      <w:r w:rsidR="00947A45" w:rsidRPr="005D40BE">
        <w:rPr>
          <w:rFonts w:asciiTheme="minorHAnsi" w:hAnsiTheme="minorHAnsi" w:cstheme="minorHAnsi"/>
          <w:sz w:val="22"/>
          <w:szCs w:val="22"/>
        </w:rPr>
        <w:t>,</w:t>
      </w:r>
      <w:r w:rsidR="00D952D0" w:rsidRPr="005D40BE">
        <w:rPr>
          <w:rFonts w:asciiTheme="minorHAnsi" w:hAnsiTheme="minorHAnsi" w:cstheme="minorHAnsi"/>
          <w:sz w:val="22"/>
          <w:szCs w:val="22"/>
        </w:rPr>
        <w:t xml:space="preserve"> with a mean of 18.</w:t>
      </w:r>
      <w:r w:rsidR="005D40BE" w:rsidRPr="005D40BE">
        <w:rPr>
          <w:rFonts w:asciiTheme="minorHAnsi" w:hAnsiTheme="minorHAnsi" w:cstheme="minorHAnsi"/>
          <w:sz w:val="22"/>
          <w:szCs w:val="22"/>
        </w:rPr>
        <w:t>9</w:t>
      </w:r>
      <w:r w:rsidR="00D952D0" w:rsidRPr="005D40BE">
        <w:rPr>
          <w:rFonts w:asciiTheme="minorHAnsi" w:hAnsiTheme="minorHAnsi" w:cstheme="minorHAnsi"/>
          <w:sz w:val="22"/>
          <w:szCs w:val="22"/>
        </w:rPr>
        <w:t xml:space="preserve"> kg</w:t>
      </w:r>
      <w:r w:rsidR="00D952D0" w:rsidRPr="00D952D0">
        <w:rPr>
          <w:rFonts w:asciiTheme="minorHAnsi" w:hAnsiTheme="minorHAnsi" w:cstheme="minorHAnsi"/>
          <w:sz w:val="22"/>
          <w:szCs w:val="22"/>
        </w:rPr>
        <w:t xml:space="preserve"> CO</w:t>
      </w:r>
      <w:r w:rsidR="00D952D0" w:rsidRPr="00F708B0">
        <w:rPr>
          <w:rFonts w:asciiTheme="minorHAnsi" w:hAnsiTheme="minorHAnsi" w:cstheme="minorHAnsi"/>
          <w:sz w:val="22"/>
          <w:szCs w:val="22"/>
          <w:vertAlign w:val="subscript"/>
        </w:rPr>
        <w:t>2</w:t>
      </w:r>
      <w:r w:rsidR="00D952D0" w:rsidRPr="00D952D0">
        <w:rPr>
          <w:rFonts w:asciiTheme="minorHAnsi" w:hAnsiTheme="minorHAnsi" w:cstheme="minorHAnsi"/>
          <w:sz w:val="22"/>
          <w:szCs w:val="22"/>
        </w:rPr>
        <w:t>e</w:t>
      </w:r>
      <w:r w:rsidR="00E0588D">
        <w:rPr>
          <w:rFonts w:asciiTheme="minorHAnsi" w:hAnsiTheme="minorHAnsi" w:cstheme="minorHAnsi"/>
          <w:sz w:val="22"/>
          <w:szCs w:val="22"/>
        </w:rPr>
        <w:t xml:space="preserve"> </w:t>
      </w:r>
      <w:r w:rsidR="00D952D0" w:rsidRPr="00D952D0">
        <w:rPr>
          <w:rFonts w:asciiTheme="minorHAnsi" w:hAnsiTheme="minorHAnsi" w:cstheme="minorHAnsi"/>
          <w:sz w:val="22"/>
          <w:szCs w:val="22"/>
        </w:rPr>
        <w:t>kg</w:t>
      </w:r>
      <w:r w:rsidR="00E9692A">
        <w:rPr>
          <w:rFonts w:asciiTheme="minorHAnsi" w:hAnsiTheme="minorHAnsi" w:cstheme="minorHAnsi"/>
          <w:sz w:val="22"/>
          <w:szCs w:val="22"/>
          <w:vertAlign w:val="superscript"/>
        </w:rPr>
        <w:t>-1</w:t>
      </w:r>
      <w:r w:rsidR="00D952D0" w:rsidRPr="00D952D0">
        <w:rPr>
          <w:rFonts w:asciiTheme="minorHAnsi" w:hAnsiTheme="minorHAnsi" w:cstheme="minorHAnsi"/>
          <w:sz w:val="22"/>
          <w:szCs w:val="22"/>
        </w:rPr>
        <w:t xml:space="preserve"> </w:t>
      </w:r>
      <w:r w:rsidR="00287F54">
        <w:rPr>
          <w:rFonts w:asciiTheme="minorHAnsi" w:hAnsiTheme="minorHAnsi" w:cstheme="minorHAnsi"/>
          <w:sz w:val="22"/>
          <w:szCs w:val="22"/>
        </w:rPr>
        <w:t>dwt</w:t>
      </w:r>
      <w:r w:rsidR="00287F54" w:rsidRPr="00D952D0">
        <w:rPr>
          <w:rFonts w:asciiTheme="minorHAnsi" w:hAnsiTheme="minorHAnsi" w:cstheme="minorHAnsi"/>
          <w:sz w:val="22"/>
          <w:szCs w:val="22"/>
        </w:rPr>
        <w:t xml:space="preserve"> </w:t>
      </w:r>
      <w:r w:rsidR="00D952D0" w:rsidRPr="00D952D0">
        <w:rPr>
          <w:rFonts w:asciiTheme="minorHAnsi" w:hAnsiTheme="minorHAnsi" w:cstheme="minorHAnsi"/>
          <w:sz w:val="22"/>
          <w:szCs w:val="22"/>
        </w:rPr>
        <w:t xml:space="preserve">(Table </w:t>
      </w:r>
      <w:r w:rsidR="00437A89">
        <w:rPr>
          <w:rFonts w:asciiTheme="minorHAnsi" w:hAnsiTheme="minorHAnsi" w:cstheme="minorHAnsi"/>
          <w:sz w:val="22"/>
          <w:szCs w:val="22"/>
        </w:rPr>
        <w:t>4</w:t>
      </w:r>
      <w:r w:rsidR="00D952D0" w:rsidRPr="00D952D0">
        <w:rPr>
          <w:rFonts w:asciiTheme="minorHAnsi" w:hAnsiTheme="minorHAnsi" w:cstheme="minorHAnsi"/>
          <w:sz w:val="22"/>
          <w:szCs w:val="22"/>
        </w:rPr>
        <w:t>)</w:t>
      </w:r>
      <w:r w:rsidR="00FB348F">
        <w:rPr>
          <w:rFonts w:asciiTheme="minorHAnsi" w:hAnsiTheme="minorHAnsi" w:cstheme="minorHAnsi"/>
          <w:sz w:val="22"/>
          <w:szCs w:val="22"/>
        </w:rPr>
        <w:t>.</w:t>
      </w:r>
    </w:p>
    <w:p w14:paraId="38C1D2E0" w14:textId="77777777" w:rsidR="00FB348F" w:rsidRDefault="00FB348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C2D864B" w14:textId="6F22205A" w:rsidR="00FB348F" w:rsidRDefault="00FB348F" w:rsidP="00FB348F">
      <w:pPr>
        <w:spacing w:line="360" w:lineRule="auto"/>
        <w:jc w:val="both"/>
        <w:rPr>
          <w:rFonts w:asciiTheme="minorHAnsi" w:hAnsiTheme="minorHAnsi" w:cstheme="minorHAnsi"/>
          <w:b/>
        </w:rPr>
      </w:pPr>
      <w:r>
        <w:rPr>
          <w:noProof/>
        </w:rPr>
        <w:drawing>
          <wp:anchor distT="0" distB="0" distL="114300" distR="114300" simplePos="0" relativeHeight="251671555" behindDoc="0" locked="0" layoutInCell="1" allowOverlap="1" wp14:anchorId="471FA22E" wp14:editId="4AB0A55F">
            <wp:simplePos x="0" y="0"/>
            <wp:positionH relativeFrom="column">
              <wp:posOffset>-448310</wp:posOffset>
            </wp:positionH>
            <wp:positionV relativeFrom="paragraph">
              <wp:posOffset>0</wp:posOffset>
            </wp:positionV>
            <wp:extent cx="6748780" cy="4476750"/>
            <wp:effectExtent l="0" t="0" r="0" b="0"/>
            <wp:wrapSquare wrapText="bothSides"/>
            <wp:docPr id="1707387197" name="Picture 1" descr="A chart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87197" name="Picture 1" descr="A chart of different colored bar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8780" cy="447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5F3183" w14:textId="68605110" w:rsidR="00A47C17" w:rsidRPr="00B91372" w:rsidRDefault="009B6E9A" w:rsidP="00A47C17">
      <w:pPr>
        <w:spacing w:after="160" w:line="360" w:lineRule="auto"/>
        <w:rPr>
          <w:rFonts w:asciiTheme="minorHAnsi" w:hAnsiTheme="minorHAnsi" w:cstheme="minorHAnsi"/>
          <w:b/>
        </w:rPr>
      </w:pPr>
      <w:r w:rsidRPr="00A47C17">
        <w:rPr>
          <w:rFonts w:asciiTheme="minorHAnsi" w:hAnsiTheme="minorHAnsi" w:cstheme="minorHAnsi"/>
          <w:b/>
        </w:rPr>
        <w:t xml:space="preserve">Figure </w:t>
      </w:r>
      <w:r w:rsidR="001F783A" w:rsidRPr="00A47C17">
        <w:rPr>
          <w:rFonts w:asciiTheme="minorHAnsi" w:hAnsiTheme="minorHAnsi" w:cstheme="minorHAnsi"/>
          <w:b/>
        </w:rPr>
        <w:t>3</w:t>
      </w:r>
      <w:r w:rsidRPr="00A47C17">
        <w:rPr>
          <w:rFonts w:asciiTheme="minorHAnsi" w:hAnsiTheme="minorHAnsi" w:cstheme="minorHAnsi"/>
          <w:b/>
        </w:rPr>
        <w:t>:</w:t>
      </w:r>
      <w:r w:rsidRPr="00A47C17">
        <w:rPr>
          <w:rFonts w:asciiTheme="minorHAnsi" w:hAnsiTheme="minorHAnsi" w:cstheme="minorHAnsi"/>
        </w:rPr>
        <w:t xml:space="preserve"> </w:t>
      </w:r>
      <w:r w:rsidR="00FB348F" w:rsidRPr="00A47C17">
        <w:rPr>
          <w:rFonts w:asciiTheme="minorHAnsi" w:hAnsiTheme="minorHAnsi" w:cstheme="minorHAnsi"/>
        </w:rPr>
        <w:t>An</w:t>
      </w:r>
      <w:r w:rsidR="00FB348F" w:rsidRPr="00FB348F">
        <w:t xml:space="preserve"> </w:t>
      </w:r>
      <w:r w:rsidR="00FB348F" w:rsidRPr="00A47C17">
        <w:rPr>
          <w:rFonts w:asciiTheme="minorHAnsi" w:hAnsiTheme="minorHAnsi" w:cstheme="minorHAnsi"/>
        </w:rPr>
        <w:t>example</w:t>
      </w:r>
      <w:r w:rsidRPr="00A47C17">
        <w:rPr>
          <w:rFonts w:asciiTheme="minorHAnsi" w:hAnsiTheme="minorHAnsi" w:cstheme="minorHAnsi"/>
        </w:rPr>
        <w:t xml:space="preserve"> of one hill farm – Farm Q’s (farm characteristics in Table </w:t>
      </w:r>
      <w:r w:rsidR="00D90413" w:rsidRPr="00A47C17">
        <w:rPr>
          <w:rFonts w:asciiTheme="minorHAnsi" w:hAnsiTheme="minorHAnsi" w:cstheme="minorHAnsi"/>
        </w:rPr>
        <w:t>A.1</w:t>
      </w:r>
      <w:r w:rsidRPr="00A47C17">
        <w:rPr>
          <w:rFonts w:asciiTheme="minorHAnsi" w:hAnsiTheme="minorHAnsi" w:cstheme="minorHAnsi"/>
        </w:rPr>
        <w:t xml:space="preserve">) mitigation scenario with mitigation measures implemented sequentially and cumulative emissions reduction shown (31%). The area of additional woodland needed to offset residual emissions to achieve Net Zero for this farm was calculated at 93 ha. Sensitivity analysis was carried out on a subsample of data and found little effect of the order of mitigation measures. </w:t>
      </w:r>
      <w:r w:rsidR="00A47C17" w:rsidRPr="00A47C17">
        <w:rPr>
          <w:rFonts w:asciiTheme="minorHAnsi" w:hAnsiTheme="minorHAnsi" w:cstheme="minorHAnsi"/>
          <w:b/>
          <w:bCs/>
        </w:rPr>
        <w:br w:type="page"/>
      </w:r>
    </w:p>
    <w:p w14:paraId="1B9DBDA5" w14:textId="46EF0D40" w:rsidR="001528D7" w:rsidRPr="00B22BAD" w:rsidRDefault="00DB1029" w:rsidP="00A47C17">
      <w:pPr>
        <w:spacing w:line="360" w:lineRule="auto"/>
        <w:rPr>
          <w:rFonts w:asciiTheme="minorHAnsi" w:hAnsiTheme="minorHAnsi" w:cstheme="minorHAnsi"/>
          <w:b/>
        </w:rPr>
        <w:sectPr w:rsidR="001528D7" w:rsidRPr="00B22BAD" w:rsidSect="00336756">
          <w:type w:val="continuous"/>
          <w:pgSz w:w="11906" w:h="16838"/>
          <w:pgMar w:top="1440" w:right="1440" w:bottom="1440" w:left="1440" w:header="708" w:footer="708" w:gutter="0"/>
          <w:lnNumType w:countBy="1" w:restart="continuous"/>
          <w:cols w:space="708"/>
          <w:titlePg/>
          <w:docGrid w:linePitch="360"/>
        </w:sectPr>
      </w:pPr>
      <w:r w:rsidRPr="00B22BAD">
        <w:rPr>
          <w:rFonts w:asciiTheme="minorHAnsi" w:hAnsiTheme="minorHAnsi" w:cstheme="minorHAnsi"/>
          <w:b/>
        </w:rPr>
        <w:lastRenderedPageBreak/>
        <w:t xml:space="preserve">Table 3: </w:t>
      </w:r>
      <w:r w:rsidRPr="00B22BAD">
        <w:rPr>
          <w:rFonts w:asciiTheme="minorHAnsi" w:hAnsiTheme="minorHAnsi" w:cstheme="minorHAnsi"/>
        </w:rPr>
        <w:t>Average emissions reductions</w:t>
      </w:r>
      <w:r w:rsidR="0083550A" w:rsidRPr="00B22BAD">
        <w:rPr>
          <w:rFonts w:asciiTheme="minorHAnsi" w:hAnsiTheme="minorHAnsi" w:cstheme="minorHAnsi"/>
        </w:rPr>
        <w:t xml:space="preserve"> and standard</w:t>
      </w:r>
      <w:r w:rsidR="008A49AA" w:rsidRPr="00B22BAD">
        <w:rPr>
          <w:rFonts w:asciiTheme="minorHAnsi" w:hAnsiTheme="minorHAnsi" w:cstheme="minorHAnsi"/>
        </w:rPr>
        <w:t xml:space="preserve"> error of the mean (SEM)</w:t>
      </w:r>
      <w:r w:rsidRPr="00B22BAD">
        <w:rPr>
          <w:rFonts w:asciiTheme="minorHAnsi" w:hAnsiTheme="minorHAnsi" w:cstheme="minorHAnsi"/>
        </w:rPr>
        <w:t xml:space="preserve"> for individual mitigation measures across the </w:t>
      </w:r>
      <w:r w:rsidR="000425DD" w:rsidRPr="00B22BAD">
        <w:rPr>
          <w:rFonts w:asciiTheme="minorHAnsi" w:hAnsiTheme="minorHAnsi" w:cstheme="minorHAnsi"/>
        </w:rPr>
        <w:t xml:space="preserve">twenty </w:t>
      </w:r>
      <w:r w:rsidRPr="00B22BAD">
        <w:rPr>
          <w:rFonts w:asciiTheme="minorHAnsi" w:hAnsiTheme="minorHAnsi" w:cstheme="minorHAnsi"/>
        </w:rPr>
        <w:t>farms</w:t>
      </w:r>
      <w:r w:rsidR="00374C56" w:rsidRPr="00B22BAD">
        <w:rPr>
          <w:rFonts w:asciiTheme="minorHAnsi" w:hAnsiTheme="minorHAnsi" w:cstheme="minorHAnsi"/>
        </w:rPr>
        <w:t>.</w:t>
      </w:r>
      <w:r w:rsidR="000B1677" w:rsidRPr="00B22BAD">
        <w:rPr>
          <w:rFonts w:asciiTheme="minorHAnsi" w:hAnsiTheme="minorHAnsi" w:cstheme="minorHAnsi"/>
        </w:rPr>
        <w:t xml:space="preserve"> </w:t>
      </w:r>
      <w:r w:rsidR="00440C5A" w:rsidRPr="00B22BAD">
        <w:rPr>
          <w:rFonts w:asciiTheme="minorHAnsi" w:hAnsiTheme="minorHAnsi" w:cstheme="minorHAnsi"/>
        </w:rPr>
        <w:t>Measures</w:t>
      </w:r>
      <w:r w:rsidR="0054408D" w:rsidRPr="00B22BAD">
        <w:rPr>
          <w:rFonts w:asciiTheme="minorHAnsi" w:hAnsiTheme="minorHAnsi" w:cstheme="minorHAnsi"/>
        </w:rPr>
        <w:t xml:space="preserve"> </w:t>
      </w:r>
      <w:r w:rsidR="000B1677" w:rsidRPr="00B22BAD">
        <w:rPr>
          <w:rFonts w:asciiTheme="minorHAnsi" w:hAnsiTheme="minorHAnsi" w:cstheme="minorHAnsi"/>
        </w:rPr>
        <w:t xml:space="preserve">ordered from </w:t>
      </w:r>
      <w:r w:rsidR="008345BF" w:rsidRPr="00B22BAD">
        <w:rPr>
          <w:rFonts w:asciiTheme="minorHAnsi" w:hAnsiTheme="minorHAnsi" w:cstheme="minorHAnsi"/>
        </w:rPr>
        <w:t>largest</w:t>
      </w:r>
      <w:r w:rsidR="000B1677" w:rsidRPr="00B22BAD">
        <w:rPr>
          <w:rFonts w:asciiTheme="minorHAnsi" w:hAnsiTheme="minorHAnsi" w:cstheme="minorHAnsi"/>
        </w:rPr>
        <w:t xml:space="preserve"> </w:t>
      </w:r>
      <w:r w:rsidR="0054408D" w:rsidRPr="00B22BAD">
        <w:rPr>
          <w:rFonts w:asciiTheme="minorHAnsi" w:hAnsiTheme="minorHAnsi" w:cstheme="minorHAnsi"/>
        </w:rPr>
        <w:t xml:space="preserve">to </w:t>
      </w:r>
      <w:r w:rsidR="008345BF" w:rsidRPr="00B22BAD">
        <w:rPr>
          <w:rFonts w:asciiTheme="minorHAnsi" w:hAnsiTheme="minorHAnsi" w:cstheme="minorHAnsi"/>
        </w:rPr>
        <w:t>small</w:t>
      </w:r>
      <w:r w:rsidR="0054408D" w:rsidRPr="00B22BAD">
        <w:rPr>
          <w:rFonts w:asciiTheme="minorHAnsi" w:hAnsiTheme="minorHAnsi" w:cstheme="minorHAnsi"/>
        </w:rPr>
        <w:t xml:space="preserve">est </w:t>
      </w:r>
      <w:r w:rsidR="000B1677" w:rsidRPr="00B22BAD">
        <w:rPr>
          <w:rFonts w:asciiTheme="minorHAnsi" w:hAnsiTheme="minorHAnsi" w:cstheme="minorHAnsi"/>
        </w:rPr>
        <w:t>emissions reduction</w:t>
      </w:r>
      <w:r w:rsidR="00440C5A" w:rsidRPr="00B22BAD">
        <w:rPr>
          <w:rFonts w:asciiTheme="minorHAnsi" w:hAnsiTheme="minorHAnsi" w:cstheme="minorHAnsi"/>
        </w:rPr>
        <w:t>s</w:t>
      </w:r>
      <w:r w:rsidR="00077026" w:rsidRPr="00B22BAD">
        <w:rPr>
          <w:rFonts w:asciiTheme="minorHAnsi" w:hAnsiTheme="minorHAnsi" w:cstheme="minorHAnsi"/>
        </w:rPr>
        <w:t>.</w:t>
      </w:r>
    </w:p>
    <w:p w14:paraId="20FF35C9" w14:textId="4DA483B4" w:rsidR="00DB1029" w:rsidRPr="00C636C2" w:rsidRDefault="00DB1029" w:rsidP="00E568F2">
      <w:pPr>
        <w:pStyle w:val="NoSpacing"/>
        <w:spacing w:line="360" w:lineRule="auto"/>
        <w:rPr>
          <w:b/>
          <w:bCs/>
        </w:rPr>
      </w:pPr>
    </w:p>
    <w:tbl>
      <w:tblPr>
        <w:tblpPr w:leftFromText="180" w:rightFromText="180" w:vertAnchor="text" w:horzAnchor="page" w:tblpX="2056" w:tblpY="74"/>
        <w:tblW w:w="6852" w:type="dxa"/>
        <w:tblLook w:val="04A0" w:firstRow="1" w:lastRow="0" w:firstColumn="1" w:lastColumn="0" w:noHBand="0" w:noVBand="1"/>
      </w:tblPr>
      <w:tblGrid>
        <w:gridCol w:w="3828"/>
        <w:gridCol w:w="1846"/>
        <w:gridCol w:w="1178"/>
      </w:tblGrid>
      <w:tr w:rsidR="00154EE8" w14:paraId="0C6BD11B" w14:textId="77777777" w:rsidTr="00FB348F">
        <w:trPr>
          <w:trHeight w:val="132"/>
        </w:trPr>
        <w:tc>
          <w:tcPr>
            <w:tcW w:w="3828" w:type="dxa"/>
            <w:vMerge w:val="restart"/>
            <w:tcBorders>
              <w:top w:val="single" w:sz="4" w:space="0" w:color="auto"/>
            </w:tcBorders>
            <w:noWrap/>
          </w:tcPr>
          <w:p w14:paraId="459D8D01" w14:textId="54FCB429" w:rsidR="00154EE8" w:rsidRPr="00FB348F" w:rsidRDefault="00154EE8" w:rsidP="00E568F2">
            <w:pPr>
              <w:spacing w:line="360" w:lineRule="auto"/>
              <w:jc w:val="center"/>
              <w:rPr>
                <w:rFonts w:ascii="Calibri" w:hAnsi="Calibri" w:cs="Calibri"/>
                <w:b/>
                <w:bCs/>
                <w:sz w:val="22"/>
                <w:szCs w:val="22"/>
              </w:rPr>
            </w:pPr>
            <w:r w:rsidRPr="00FB348F">
              <w:rPr>
                <w:rFonts w:ascii="Calibri" w:hAnsi="Calibri" w:cs="Calibri"/>
                <w:b/>
                <w:bCs/>
                <w:sz w:val="22"/>
                <w:szCs w:val="22"/>
              </w:rPr>
              <w:t xml:space="preserve">Mitigation </w:t>
            </w:r>
            <w:r w:rsidR="007D53C2" w:rsidRPr="00FB348F">
              <w:rPr>
                <w:rFonts w:ascii="Calibri" w:hAnsi="Calibri" w:cs="Calibri"/>
                <w:b/>
                <w:bCs/>
                <w:sz w:val="22"/>
                <w:szCs w:val="22"/>
              </w:rPr>
              <w:t>m</w:t>
            </w:r>
            <w:r w:rsidRPr="00FB348F">
              <w:rPr>
                <w:rFonts w:ascii="Calibri" w:hAnsi="Calibri" w:cs="Calibri"/>
                <w:b/>
                <w:bCs/>
                <w:sz w:val="22"/>
                <w:szCs w:val="22"/>
              </w:rPr>
              <w:t>easure</w:t>
            </w:r>
          </w:p>
        </w:tc>
        <w:tc>
          <w:tcPr>
            <w:tcW w:w="3024" w:type="dxa"/>
            <w:gridSpan w:val="2"/>
            <w:tcBorders>
              <w:top w:val="single" w:sz="4" w:space="0" w:color="auto"/>
            </w:tcBorders>
            <w:noWrap/>
          </w:tcPr>
          <w:p w14:paraId="48374C02" w14:textId="22A24A5F" w:rsidR="00154EE8" w:rsidRPr="00FB348F" w:rsidRDefault="00154EE8" w:rsidP="00E568F2">
            <w:pPr>
              <w:spacing w:line="360" w:lineRule="auto"/>
              <w:jc w:val="center"/>
              <w:rPr>
                <w:rFonts w:ascii="Calibri" w:hAnsi="Calibri" w:cs="Calibri"/>
                <w:b/>
                <w:bCs/>
                <w:sz w:val="22"/>
                <w:szCs w:val="22"/>
              </w:rPr>
            </w:pPr>
            <w:r w:rsidRPr="00FB348F">
              <w:rPr>
                <w:rFonts w:ascii="Calibri" w:hAnsi="Calibri" w:cs="Calibri"/>
                <w:b/>
                <w:bCs/>
                <w:sz w:val="22"/>
                <w:szCs w:val="22"/>
              </w:rPr>
              <w:t xml:space="preserve">        Emission </w:t>
            </w:r>
            <w:r w:rsidR="007D53C2" w:rsidRPr="00FB348F">
              <w:rPr>
                <w:rFonts w:ascii="Calibri" w:hAnsi="Calibri" w:cs="Calibri"/>
                <w:b/>
                <w:bCs/>
                <w:sz w:val="22"/>
                <w:szCs w:val="22"/>
              </w:rPr>
              <w:t>r</w:t>
            </w:r>
            <w:r w:rsidRPr="00FB348F">
              <w:rPr>
                <w:rFonts w:ascii="Calibri" w:hAnsi="Calibri" w:cs="Calibri"/>
                <w:b/>
                <w:bCs/>
                <w:sz w:val="22"/>
                <w:szCs w:val="22"/>
              </w:rPr>
              <w:t>eduction (%)</w:t>
            </w:r>
          </w:p>
        </w:tc>
      </w:tr>
      <w:tr w:rsidR="00154EE8" w14:paraId="5819B3A9" w14:textId="77777777" w:rsidTr="00FB348F">
        <w:trPr>
          <w:trHeight w:val="418"/>
        </w:trPr>
        <w:tc>
          <w:tcPr>
            <w:tcW w:w="3828" w:type="dxa"/>
            <w:vMerge/>
            <w:tcBorders>
              <w:bottom w:val="single" w:sz="4" w:space="0" w:color="auto"/>
            </w:tcBorders>
            <w:noWrap/>
          </w:tcPr>
          <w:p w14:paraId="1F41AD43" w14:textId="77777777" w:rsidR="00154EE8" w:rsidRPr="00FB348F" w:rsidRDefault="00154EE8" w:rsidP="00E568F2">
            <w:pPr>
              <w:spacing w:line="360" w:lineRule="auto"/>
              <w:rPr>
                <w:rFonts w:ascii="Calibri" w:hAnsi="Calibri" w:cs="Calibri"/>
                <w:b/>
                <w:bCs/>
                <w:sz w:val="22"/>
                <w:szCs w:val="22"/>
              </w:rPr>
            </w:pPr>
          </w:p>
        </w:tc>
        <w:tc>
          <w:tcPr>
            <w:tcW w:w="1846" w:type="dxa"/>
            <w:tcBorders>
              <w:bottom w:val="single" w:sz="4" w:space="0" w:color="auto"/>
            </w:tcBorders>
            <w:noWrap/>
          </w:tcPr>
          <w:p w14:paraId="35A09C83" w14:textId="77777777" w:rsidR="00154EE8" w:rsidRPr="00FB348F" w:rsidRDefault="00154EE8" w:rsidP="00E568F2">
            <w:pPr>
              <w:spacing w:line="360" w:lineRule="auto"/>
              <w:jc w:val="center"/>
              <w:rPr>
                <w:rFonts w:ascii="Calibri" w:hAnsi="Calibri" w:cs="Calibri"/>
                <w:b/>
                <w:bCs/>
                <w:sz w:val="22"/>
                <w:szCs w:val="22"/>
              </w:rPr>
            </w:pPr>
            <w:r w:rsidRPr="00FB348F">
              <w:rPr>
                <w:rFonts w:ascii="Calibri" w:hAnsi="Calibri" w:cs="Calibri"/>
                <w:b/>
                <w:bCs/>
                <w:sz w:val="22"/>
                <w:szCs w:val="22"/>
              </w:rPr>
              <w:t>Mean</w:t>
            </w:r>
          </w:p>
        </w:tc>
        <w:tc>
          <w:tcPr>
            <w:tcW w:w="1178" w:type="dxa"/>
            <w:tcBorders>
              <w:bottom w:val="single" w:sz="4" w:space="0" w:color="auto"/>
            </w:tcBorders>
            <w:noWrap/>
          </w:tcPr>
          <w:p w14:paraId="6DA117C4" w14:textId="77777777" w:rsidR="00154EE8" w:rsidRPr="00FB348F" w:rsidRDefault="00154EE8" w:rsidP="00E568F2">
            <w:pPr>
              <w:spacing w:line="360" w:lineRule="auto"/>
              <w:jc w:val="center"/>
              <w:rPr>
                <w:rFonts w:ascii="Calibri" w:hAnsi="Calibri" w:cs="Calibri"/>
                <w:b/>
                <w:bCs/>
                <w:sz w:val="22"/>
                <w:szCs w:val="22"/>
              </w:rPr>
            </w:pPr>
            <w:r w:rsidRPr="00FB348F">
              <w:rPr>
                <w:rFonts w:ascii="Calibri" w:hAnsi="Calibri" w:cs="Calibri"/>
                <w:b/>
                <w:bCs/>
                <w:sz w:val="22"/>
                <w:szCs w:val="22"/>
              </w:rPr>
              <w:t>SEM</w:t>
            </w:r>
          </w:p>
        </w:tc>
      </w:tr>
      <w:tr w:rsidR="00D667E4" w14:paraId="5715EE99" w14:textId="77777777" w:rsidTr="00FB348F">
        <w:trPr>
          <w:trHeight w:val="244"/>
        </w:trPr>
        <w:tc>
          <w:tcPr>
            <w:tcW w:w="3828" w:type="dxa"/>
            <w:tcBorders>
              <w:top w:val="single" w:sz="4" w:space="0" w:color="auto"/>
            </w:tcBorders>
            <w:noWrap/>
            <w:hideMark/>
          </w:tcPr>
          <w:p w14:paraId="6D0E452A" w14:textId="619F0A27"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3NOP as a feed additive</w:t>
            </w:r>
          </w:p>
        </w:tc>
        <w:tc>
          <w:tcPr>
            <w:tcW w:w="1846" w:type="dxa"/>
            <w:tcBorders>
              <w:top w:val="single" w:sz="4" w:space="0" w:color="auto"/>
            </w:tcBorders>
            <w:noWrap/>
            <w:hideMark/>
          </w:tcPr>
          <w:p w14:paraId="5780563D" w14:textId="108A219B"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11.9</w:t>
            </w:r>
          </w:p>
        </w:tc>
        <w:tc>
          <w:tcPr>
            <w:tcW w:w="0" w:type="auto"/>
            <w:tcBorders>
              <w:top w:val="single" w:sz="4" w:space="0" w:color="auto"/>
            </w:tcBorders>
            <w:noWrap/>
            <w:hideMark/>
          </w:tcPr>
          <w:p w14:paraId="71795745" w14:textId="434E30B8"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0.23</w:t>
            </w:r>
          </w:p>
        </w:tc>
      </w:tr>
      <w:tr w:rsidR="00D667E4" w14:paraId="32AE0319" w14:textId="77777777" w:rsidTr="00FB348F">
        <w:trPr>
          <w:trHeight w:val="244"/>
        </w:trPr>
        <w:tc>
          <w:tcPr>
            <w:tcW w:w="3828" w:type="dxa"/>
            <w:noWrap/>
            <w:hideMark/>
          </w:tcPr>
          <w:p w14:paraId="7F6F3939" w14:textId="77B6BE84"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Improved beef and sheep productivity</w:t>
            </w:r>
          </w:p>
        </w:tc>
        <w:tc>
          <w:tcPr>
            <w:tcW w:w="1846" w:type="dxa"/>
            <w:noWrap/>
            <w:hideMark/>
          </w:tcPr>
          <w:p w14:paraId="68F33125" w14:textId="6498A5B9"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8.7</w:t>
            </w:r>
          </w:p>
        </w:tc>
        <w:tc>
          <w:tcPr>
            <w:tcW w:w="0" w:type="auto"/>
            <w:noWrap/>
            <w:hideMark/>
          </w:tcPr>
          <w:p w14:paraId="54B158F1" w14:textId="261B71FB"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0.23</w:t>
            </w:r>
          </w:p>
        </w:tc>
      </w:tr>
      <w:tr w:rsidR="00D667E4" w14:paraId="49633D62" w14:textId="77777777" w:rsidTr="00FB348F">
        <w:trPr>
          <w:trHeight w:val="244"/>
        </w:trPr>
        <w:tc>
          <w:tcPr>
            <w:tcW w:w="3828" w:type="dxa"/>
            <w:noWrap/>
            <w:hideMark/>
          </w:tcPr>
          <w:p w14:paraId="58B99EFC" w14:textId="63A01B77"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Nitrification inhibitors</w:t>
            </w:r>
          </w:p>
        </w:tc>
        <w:tc>
          <w:tcPr>
            <w:tcW w:w="1846" w:type="dxa"/>
            <w:noWrap/>
            <w:hideMark/>
          </w:tcPr>
          <w:p w14:paraId="64151FA2" w14:textId="3CBC3218"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6.7</w:t>
            </w:r>
          </w:p>
        </w:tc>
        <w:tc>
          <w:tcPr>
            <w:tcW w:w="0" w:type="auto"/>
            <w:noWrap/>
            <w:hideMark/>
          </w:tcPr>
          <w:p w14:paraId="196B6DE2" w14:textId="556B1220"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0.58</w:t>
            </w:r>
          </w:p>
        </w:tc>
      </w:tr>
      <w:tr w:rsidR="00D667E4" w14:paraId="6C9EC737" w14:textId="77777777" w:rsidTr="00FB348F">
        <w:trPr>
          <w:trHeight w:val="244"/>
        </w:trPr>
        <w:tc>
          <w:tcPr>
            <w:tcW w:w="3828" w:type="dxa"/>
            <w:noWrap/>
            <w:hideMark/>
          </w:tcPr>
          <w:p w14:paraId="7F36C0F9" w14:textId="62765FA3"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Legume-grass mixtures</w:t>
            </w:r>
          </w:p>
        </w:tc>
        <w:tc>
          <w:tcPr>
            <w:tcW w:w="1846" w:type="dxa"/>
            <w:noWrap/>
            <w:hideMark/>
          </w:tcPr>
          <w:p w14:paraId="729611A1" w14:textId="67CC235D"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5</w:t>
            </w:r>
            <w:r w:rsidR="00147757" w:rsidRPr="00D639FB">
              <w:rPr>
                <w:rFonts w:ascii="Calibri" w:hAnsi="Calibri" w:cs="Calibri"/>
                <w:color w:val="000000" w:themeColor="text1"/>
                <w:sz w:val="22"/>
                <w:szCs w:val="22"/>
              </w:rPr>
              <w:t>.0</w:t>
            </w:r>
          </w:p>
        </w:tc>
        <w:tc>
          <w:tcPr>
            <w:tcW w:w="0" w:type="auto"/>
            <w:noWrap/>
            <w:hideMark/>
          </w:tcPr>
          <w:p w14:paraId="022F5364" w14:textId="3B4122E9"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1.49</w:t>
            </w:r>
          </w:p>
        </w:tc>
      </w:tr>
      <w:tr w:rsidR="00D667E4" w14:paraId="1136F874" w14:textId="77777777" w:rsidTr="00FB348F">
        <w:trPr>
          <w:trHeight w:val="244"/>
        </w:trPr>
        <w:tc>
          <w:tcPr>
            <w:tcW w:w="3828" w:type="dxa"/>
            <w:noWrap/>
            <w:hideMark/>
          </w:tcPr>
          <w:p w14:paraId="224D8969" w14:textId="5013EFE4"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Slurry acidification</w:t>
            </w:r>
          </w:p>
        </w:tc>
        <w:tc>
          <w:tcPr>
            <w:tcW w:w="1846" w:type="dxa"/>
            <w:noWrap/>
            <w:hideMark/>
          </w:tcPr>
          <w:p w14:paraId="139D5870" w14:textId="13118266"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3.6</w:t>
            </w:r>
          </w:p>
        </w:tc>
        <w:tc>
          <w:tcPr>
            <w:tcW w:w="0" w:type="auto"/>
            <w:noWrap/>
            <w:hideMark/>
          </w:tcPr>
          <w:p w14:paraId="16568B9E" w14:textId="56BF973C"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0.31</w:t>
            </w:r>
          </w:p>
        </w:tc>
      </w:tr>
      <w:tr w:rsidR="00D667E4" w14:paraId="2C48259B" w14:textId="77777777" w:rsidTr="00FB348F">
        <w:trPr>
          <w:trHeight w:val="244"/>
        </w:trPr>
        <w:tc>
          <w:tcPr>
            <w:tcW w:w="3828" w:type="dxa"/>
            <w:noWrap/>
            <w:hideMark/>
          </w:tcPr>
          <w:p w14:paraId="04E63BA2" w14:textId="7823D43A"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Improved organic N use</w:t>
            </w:r>
          </w:p>
        </w:tc>
        <w:tc>
          <w:tcPr>
            <w:tcW w:w="1846" w:type="dxa"/>
            <w:noWrap/>
            <w:hideMark/>
          </w:tcPr>
          <w:p w14:paraId="0F8A5FE4" w14:textId="423100C8"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2.7</w:t>
            </w:r>
          </w:p>
        </w:tc>
        <w:tc>
          <w:tcPr>
            <w:tcW w:w="0" w:type="auto"/>
            <w:noWrap/>
            <w:hideMark/>
          </w:tcPr>
          <w:p w14:paraId="4A8D5D7B" w14:textId="76DFAE1F"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0.26</w:t>
            </w:r>
          </w:p>
        </w:tc>
      </w:tr>
      <w:tr w:rsidR="00D667E4" w14:paraId="3A58FDFD" w14:textId="77777777" w:rsidTr="00FB348F">
        <w:trPr>
          <w:trHeight w:val="244"/>
        </w:trPr>
        <w:tc>
          <w:tcPr>
            <w:tcW w:w="3828" w:type="dxa"/>
            <w:noWrap/>
            <w:hideMark/>
          </w:tcPr>
          <w:p w14:paraId="66D770B1" w14:textId="04AA1455"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Improved synthetic N use</w:t>
            </w:r>
          </w:p>
        </w:tc>
        <w:tc>
          <w:tcPr>
            <w:tcW w:w="1846" w:type="dxa"/>
            <w:noWrap/>
            <w:hideMark/>
          </w:tcPr>
          <w:p w14:paraId="720B17C8" w14:textId="14A20502"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2.1</w:t>
            </w:r>
          </w:p>
        </w:tc>
        <w:tc>
          <w:tcPr>
            <w:tcW w:w="0" w:type="auto"/>
            <w:noWrap/>
            <w:hideMark/>
          </w:tcPr>
          <w:p w14:paraId="2E9C398F" w14:textId="680009AE"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0.31</w:t>
            </w:r>
          </w:p>
        </w:tc>
      </w:tr>
      <w:tr w:rsidR="00D667E4" w14:paraId="68FD8284" w14:textId="77777777" w:rsidTr="00FB348F">
        <w:trPr>
          <w:trHeight w:val="244"/>
        </w:trPr>
        <w:tc>
          <w:tcPr>
            <w:tcW w:w="3828" w:type="dxa"/>
            <w:tcBorders>
              <w:bottom w:val="single" w:sz="4" w:space="0" w:color="auto"/>
            </w:tcBorders>
            <w:noWrap/>
            <w:hideMark/>
          </w:tcPr>
          <w:p w14:paraId="0314A0FD" w14:textId="5A25F70B" w:rsidR="00D667E4" w:rsidRPr="00D639FB" w:rsidRDefault="00D667E4" w:rsidP="00D667E4">
            <w:pPr>
              <w:spacing w:line="360" w:lineRule="auto"/>
              <w:rPr>
                <w:rFonts w:ascii="Calibri" w:hAnsi="Calibri" w:cs="Calibri"/>
                <w:b/>
                <w:bCs/>
                <w:color w:val="000000" w:themeColor="text1"/>
                <w:sz w:val="22"/>
                <w:szCs w:val="22"/>
              </w:rPr>
            </w:pPr>
            <w:r w:rsidRPr="00D639FB">
              <w:rPr>
                <w:rFonts w:ascii="Calibri" w:hAnsi="Calibri" w:cs="Calibri"/>
                <w:color w:val="000000" w:themeColor="text1"/>
                <w:sz w:val="22"/>
                <w:szCs w:val="22"/>
              </w:rPr>
              <w:t>Behavioural change in fuel efficiency</w:t>
            </w:r>
          </w:p>
        </w:tc>
        <w:tc>
          <w:tcPr>
            <w:tcW w:w="1846" w:type="dxa"/>
            <w:tcBorders>
              <w:bottom w:val="single" w:sz="4" w:space="0" w:color="auto"/>
            </w:tcBorders>
            <w:noWrap/>
            <w:hideMark/>
          </w:tcPr>
          <w:p w14:paraId="4970C7BA" w14:textId="08AD45FD" w:rsidR="00D667E4" w:rsidRPr="00D639FB" w:rsidRDefault="00D667E4" w:rsidP="00D667E4">
            <w:pPr>
              <w:spacing w:line="360" w:lineRule="auto"/>
              <w:jc w:val="center"/>
              <w:rPr>
                <w:rFonts w:asciiTheme="minorHAnsi" w:hAnsiTheme="minorHAnsi" w:cstheme="minorHAnsi"/>
                <w:color w:val="000000" w:themeColor="text1"/>
                <w:sz w:val="22"/>
                <w:szCs w:val="22"/>
              </w:rPr>
            </w:pPr>
            <w:r w:rsidRPr="00D639FB">
              <w:rPr>
                <w:rFonts w:ascii="Calibri" w:hAnsi="Calibri" w:cs="Calibri"/>
                <w:color w:val="000000" w:themeColor="text1"/>
                <w:sz w:val="22"/>
                <w:szCs w:val="22"/>
              </w:rPr>
              <w:t>0.8</w:t>
            </w:r>
          </w:p>
        </w:tc>
        <w:tc>
          <w:tcPr>
            <w:tcW w:w="0" w:type="auto"/>
            <w:tcBorders>
              <w:bottom w:val="single" w:sz="4" w:space="0" w:color="auto"/>
            </w:tcBorders>
            <w:noWrap/>
            <w:hideMark/>
          </w:tcPr>
          <w:p w14:paraId="06AAFECC" w14:textId="31F41868" w:rsidR="00D667E4" w:rsidRPr="00312773" w:rsidRDefault="00D667E4" w:rsidP="00D667E4">
            <w:pPr>
              <w:spacing w:line="360" w:lineRule="auto"/>
              <w:jc w:val="center"/>
              <w:rPr>
                <w:rFonts w:asciiTheme="minorHAnsi" w:hAnsiTheme="minorHAnsi" w:cstheme="minorHAnsi"/>
                <w:color w:val="000000" w:themeColor="text1"/>
                <w:sz w:val="22"/>
                <w:szCs w:val="22"/>
              </w:rPr>
            </w:pPr>
            <w:r w:rsidRPr="00312773">
              <w:rPr>
                <w:rFonts w:ascii="Calibri" w:hAnsi="Calibri" w:cs="Calibri"/>
                <w:color w:val="000000" w:themeColor="text1"/>
                <w:sz w:val="22"/>
                <w:szCs w:val="22"/>
              </w:rPr>
              <w:t>0.32</w:t>
            </w:r>
          </w:p>
        </w:tc>
      </w:tr>
    </w:tbl>
    <w:p w14:paraId="79BF1CA2" w14:textId="77777777" w:rsidR="00DB1029" w:rsidRDefault="00DB1029" w:rsidP="00E568F2">
      <w:pPr>
        <w:pStyle w:val="NoSpacing"/>
        <w:spacing w:line="360" w:lineRule="auto"/>
      </w:pPr>
    </w:p>
    <w:p w14:paraId="26C042D8" w14:textId="77777777" w:rsidR="00EB6D10" w:rsidRDefault="005517C5" w:rsidP="00E568F2">
      <w:pPr>
        <w:spacing w:after="160" w:line="360" w:lineRule="auto"/>
        <w:rPr>
          <w:b/>
          <w:bCs/>
        </w:rPr>
      </w:pPr>
      <w:r w:rsidRPr="0067784C">
        <w:t xml:space="preserve"> </w:t>
      </w:r>
      <w:r w:rsidR="00BF7C70">
        <w:rPr>
          <w:b/>
          <w:bCs/>
        </w:rPr>
        <w:t xml:space="preserve"> </w:t>
      </w:r>
    </w:p>
    <w:p w14:paraId="4BD19A64" w14:textId="77777777" w:rsidR="00EB6D10" w:rsidRDefault="00EB6D10" w:rsidP="00E568F2">
      <w:pPr>
        <w:spacing w:after="160" w:line="360" w:lineRule="auto"/>
        <w:rPr>
          <w:b/>
          <w:bCs/>
        </w:rPr>
      </w:pPr>
    </w:p>
    <w:p w14:paraId="40328292" w14:textId="77777777" w:rsidR="00EB6D10" w:rsidRDefault="00EB6D10" w:rsidP="00E568F2">
      <w:pPr>
        <w:spacing w:after="160" w:line="360" w:lineRule="auto"/>
        <w:rPr>
          <w:b/>
          <w:bCs/>
        </w:rPr>
      </w:pPr>
    </w:p>
    <w:p w14:paraId="4FE757F1" w14:textId="77777777" w:rsidR="00EB6D10" w:rsidRDefault="00EB6D10" w:rsidP="00E568F2">
      <w:pPr>
        <w:spacing w:after="160" w:line="360" w:lineRule="auto"/>
        <w:rPr>
          <w:b/>
          <w:bCs/>
        </w:rPr>
      </w:pPr>
    </w:p>
    <w:p w14:paraId="3253CDA8" w14:textId="77777777" w:rsidR="00EB6D10" w:rsidRDefault="00EB6D10" w:rsidP="00E568F2">
      <w:pPr>
        <w:spacing w:after="160" w:line="360" w:lineRule="auto"/>
        <w:rPr>
          <w:b/>
          <w:bCs/>
        </w:rPr>
      </w:pPr>
    </w:p>
    <w:p w14:paraId="6E920783" w14:textId="77777777" w:rsidR="00EB6D10" w:rsidRDefault="00EB6D10" w:rsidP="00E568F2">
      <w:pPr>
        <w:spacing w:after="160" w:line="360" w:lineRule="auto"/>
        <w:rPr>
          <w:b/>
          <w:bCs/>
        </w:rPr>
      </w:pPr>
    </w:p>
    <w:p w14:paraId="0D812136" w14:textId="77777777" w:rsidR="001528D7" w:rsidRDefault="001528D7" w:rsidP="00E568F2">
      <w:pPr>
        <w:spacing w:after="160" w:line="360" w:lineRule="auto"/>
        <w:rPr>
          <w:b/>
          <w:bCs/>
        </w:rPr>
        <w:sectPr w:rsidR="001528D7" w:rsidSect="00336756">
          <w:type w:val="continuous"/>
          <w:pgSz w:w="11906" w:h="16838"/>
          <w:pgMar w:top="1440" w:right="1440" w:bottom="1440" w:left="1440" w:header="708" w:footer="708" w:gutter="0"/>
          <w:lnNumType w:countBy="1" w:restart="continuous"/>
          <w:cols w:space="708"/>
          <w:titlePg/>
          <w:docGrid w:linePitch="360"/>
        </w:sectPr>
      </w:pPr>
    </w:p>
    <w:p w14:paraId="3C807980" w14:textId="77777777" w:rsidR="00D27B15" w:rsidRDefault="00D27B15" w:rsidP="00D27B15">
      <w:pPr>
        <w:spacing w:after="160" w:line="360" w:lineRule="auto"/>
        <w:rPr>
          <w:rFonts w:asciiTheme="minorHAnsi" w:hAnsiTheme="minorHAnsi" w:cstheme="minorHAnsi"/>
          <w:b/>
          <w:bCs/>
          <w:sz w:val="22"/>
          <w:szCs w:val="22"/>
        </w:rPr>
      </w:pPr>
    </w:p>
    <w:p w14:paraId="065F4DFD" w14:textId="77777777" w:rsidR="00D27B15" w:rsidRDefault="00D27B15" w:rsidP="00D27B15">
      <w:pPr>
        <w:spacing w:after="160" w:line="360"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2A8D2B8A" w14:textId="235A4996" w:rsidR="00D27B15" w:rsidRDefault="00D27B15" w:rsidP="00D27B15">
      <w:pPr>
        <w:spacing w:after="160" w:line="360" w:lineRule="auto"/>
        <w:rPr>
          <w:rFonts w:asciiTheme="minorHAnsi" w:hAnsiTheme="minorHAnsi" w:cstheme="minorHAnsi"/>
          <w:b/>
          <w:bCs/>
          <w:sz w:val="22"/>
          <w:szCs w:val="22"/>
        </w:rPr>
        <w:sectPr w:rsidR="00D27B15" w:rsidSect="00336756">
          <w:type w:val="continuous"/>
          <w:pgSz w:w="11906" w:h="16838"/>
          <w:pgMar w:top="1440" w:right="1440" w:bottom="1440" w:left="1440" w:header="708" w:footer="708" w:gutter="0"/>
          <w:lnNumType w:countBy="1" w:restart="continuous"/>
          <w:cols w:space="708"/>
          <w:titlePg/>
          <w:docGrid w:linePitch="360"/>
        </w:sectPr>
      </w:pPr>
      <w:r w:rsidRPr="00131A43">
        <w:rPr>
          <w:rFonts w:asciiTheme="minorHAnsi" w:hAnsiTheme="minorHAnsi" w:cstheme="minorHAnsi"/>
          <w:b/>
          <w:bCs/>
          <w:sz w:val="22"/>
          <w:szCs w:val="22"/>
        </w:rPr>
        <w:lastRenderedPageBreak/>
        <w:t xml:space="preserve">Table </w:t>
      </w:r>
      <w:r>
        <w:rPr>
          <w:rFonts w:asciiTheme="minorHAnsi" w:hAnsiTheme="minorHAnsi" w:cstheme="minorHAnsi"/>
          <w:b/>
          <w:bCs/>
          <w:sz w:val="22"/>
          <w:szCs w:val="22"/>
        </w:rPr>
        <w:t>4</w:t>
      </w:r>
      <w:r w:rsidRPr="00131A43">
        <w:rPr>
          <w:rFonts w:asciiTheme="minorHAnsi" w:hAnsiTheme="minorHAnsi" w:cstheme="minorHAnsi"/>
          <w:b/>
          <w:bCs/>
          <w:sz w:val="22"/>
          <w:szCs w:val="22"/>
        </w:rPr>
        <w:t xml:space="preserve">: </w:t>
      </w:r>
      <w:r w:rsidRPr="00312773">
        <w:rPr>
          <w:rFonts w:asciiTheme="minorHAnsi" w:hAnsiTheme="minorHAnsi" w:cstheme="minorHAnsi"/>
          <w:bCs/>
          <w:sz w:val="22"/>
          <w:szCs w:val="22"/>
        </w:rPr>
        <w:t xml:space="preserve">Emission reductions, </w:t>
      </w:r>
      <w:r w:rsidR="00C50F18" w:rsidRPr="00312773">
        <w:rPr>
          <w:rFonts w:asciiTheme="minorHAnsi" w:hAnsiTheme="minorHAnsi" w:cstheme="minorHAnsi"/>
          <w:bCs/>
          <w:sz w:val="22"/>
          <w:szCs w:val="22"/>
        </w:rPr>
        <w:t xml:space="preserve">mitigated </w:t>
      </w:r>
      <w:r w:rsidRPr="00312773">
        <w:rPr>
          <w:rFonts w:asciiTheme="minorHAnsi" w:hAnsiTheme="minorHAnsi" w:cstheme="minorHAnsi"/>
          <w:bCs/>
          <w:sz w:val="22"/>
          <w:szCs w:val="22"/>
        </w:rPr>
        <w:t>emissions</w:t>
      </w:r>
      <w:r w:rsidR="00C50F18" w:rsidRPr="00312773">
        <w:rPr>
          <w:rFonts w:asciiTheme="minorHAnsi" w:hAnsiTheme="minorHAnsi" w:cstheme="minorHAnsi"/>
          <w:bCs/>
          <w:sz w:val="22"/>
          <w:szCs w:val="22"/>
        </w:rPr>
        <w:t xml:space="preserve"> and</w:t>
      </w:r>
      <w:r w:rsidRPr="00312773">
        <w:rPr>
          <w:rFonts w:asciiTheme="minorHAnsi" w:hAnsiTheme="minorHAnsi" w:cstheme="minorHAnsi"/>
          <w:bCs/>
          <w:sz w:val="22"/>
          <w:szCs w:val="22"/>
        </w:rPr>
        <w:t xml:space="preserve"> area of woodland needed to offset residual emissions following mitigation scenarios on each farm. Offset areas are expressed as a percentage of farm’s total area a</w:t>
      </w:r>
      <w:r w:rsidR="002D24B0" w:rsidRPr="00312773">
        <w:rPr>
          <w:rFonts w:asciiTheme="minorHAnsi" w:hAnsiTheme="minorHAnsi" w:cstheme="minorHAnsi"/>
          <w:bCs/>
          <w:sz w:val="22"/>
          <w:szCs w:val="22"/>
        </w:rPr>
        <w:t xml:space="preserve">s well as </w:t>
      </w:r>
      <w:r w:rsidR="007B3E1D" w:rsidRPr="00312773">
        <w:rPr>
          <w:rFonts w:asciiTheme="minorHAnsi" w:hAnsiTheme="minorHAnsi" w:cstheme="minorHAnsi"/>
          <w:bCs/>
          <w:sz w:val="22"/>
          <w:szCs w:val="22"/>
        </w:rPr>
        <w:t xml:space="preserve">specific </w:t>
      </w:r>
      <w:r w:rsidR="002D24B0" w:rsidRPr="00312773">
        <w:rPr>
          <w:rFonts w:asciiTheme="minorHAnsi" w:hAnsiTheme="minorHAnsi" w:cstheme="minorHAnsi"/>
          <w:bCs/>
          <w:sz w:val="22"/>
          <w:szCs w:val="22"/>
        </w:rPr>
        <w:t>annual</w:t>
      </w:r>
      <w:r w:rsidR="007B3E1D" w:rsidRPr="00312773">
        <w:rPr>
          <w:rFonts w:asciiTheme="minorHAnsi" w:hAnsiTheme="minorHAnsi" w:cstheme="minorHAnsi"/>
          <w:bCs/>
          <w:sz w:val="22"/>
          <w:szCs w:val="22"/>
        </w:rPr>
        <w:t xml:space="preserve"> </w:t>
      </w:r>
      <w:r w:rsidR="00172303" w:rsidRPr="00312773">
        <w:rPr>
          <w:rFonts w:asciiTheme="minorHAnsi" w:hAnsiTheme="minorHAnsi" w:cstheme="minorHAnsi"/>
          <w:bCs/>
          <w:sz w:val="22"/>
          <w:szCs w:val="22"/>
        </w:rPr>
        <w:t xml:space="preserve">area </w:t>
      </w:r>
      <w:r w:rsidR="007B3E1D" w:rsidRPr="00312773">
        <w:rPr>
          <w:rFonts w:asciiTheme="minorHAnsi" w:hAnsiTheme="minorHAnsi" w:cstheme="minorHAnsi"/>
          <w:bCs/>
          <w:sz w:val="22"/>
          <w:szCs w:val="22"/>
        </w:rPr>
        <w:t>occupation per unit meat output (</w:t>
      </w:r>
      <w:r w:rsidR="00172303" w:rsidRPr="00312773">
        <w:rPr>
          <w:rFonts w:asciiTheme="minorHAnsi" w:hAnsiTheme="minorHAnsi" w:cstheme="minorHAnsi"/>
          <w:bCs/>
          <w:sz w:val="22"/>
          <w:szCs w:val="22"/>
        </w:rPr>
        <w:t>in m</w:t>
      </w:r>
      <w:proofErr w:type="gramStart"/>
      <w:r w:rsidR="00172303" w:rsidRPr="00312773">
        <w:rPr>
          <w:rFonts w:asciiTheme="minorHAnsi" w:hAnsiTheme="minorHAnsi" w:cstheme="minorHAnsi"/>
          <w:bCs/>
          <w:sz w:val="22"/>
          <w:szCs w:val="22"/>
          <w:vertAlign w:val="superscript"/>
        </w:rPr>
        <w:t>2</w:t>
      </w:r>
      <w:r w:rsidR="009F51EF" w:rsidRPr="00312773">
        <w:rPr>
          <w:rFonts w:asciiTheme="minorHAnsi" w:hAnsiTheme="minorHAnsi" w:cstheme="minorHAnsi"/>
          <w:bCs/>
          <w:sz w:val="22"/>
          <w:szCs w:val="22"/>
        </w:rPr>
        <w:t>.yr</w:t>
      </w:r>
      <w:proofErr w:type="gramEnd"/>
      <w:r w:rsidR="009F51EF" w:rsidRPr="00312773">
        <w:rPr>
          <w:rFonts w:asciiTheme="minorHAnsi" w:hAnsiTheme="minorHAnsi" w:cstheme="minorHAnsi"/>
          <w:bCs/>
          <w:sz w:val="22"/>
          <w:szCs w:val="22"/>
        </w:rPr>
        <w:t xml:space="preserve"> kg</w:t>
      </w:r>
      <w:r w:rsidR="009F51EF" w:rsidRPr="00312773">
        <w:rPr>
          <w:rFonts w:asciiTheme="minorHAnsi" w:hAnsiTheme="minorHAnsi" w:cstheme="minorHAnsi"/>
          <w:bCs/>
          <w:sz w:val="22"/>
          <w:szCs w:val="22"/>
          <w:vertAlign w:val="superscript"/>
        </w:rPr>
        <w:t xml:space="preserve">-1 </w:t>
      </w:r>
      <w:r w:rsidR="009F51EF" w:rsidRPr="00312773">
        <w:rPr>
          <w:rFonts w:asciiTheme="minorHAnsi" w:hAnsiTheme="minorHAnsi" w:cstheme="minorHAnsi"/>
          <w:bCs/>
          <w:sz w:val="22"/>
          <w:szCs w:val="22"/>
        </w:rPr>
        <w:t>dwt</w:t>
      </w:r>
      <w:r w:rsidR="007B3E1D" w:rsidRPr="00312773">
        <w:rPr>
          <w:rFonts w:asciiTheme="minorHAnsi" w:hAnsiTheme="minorHAnsi" w:cstheme="minorHAnsi"/>
          <w:bCs/>
          <w:sz w:val="22"/>
          <w:szCs w:val="22"/>
        </w:rPr>
        <w:t>)</w:t>
      </w:r>
      <w:r w:rsidR="00172303" w:rsidRPr="00312773">
        <w:rPr>
          <w:rFonts w:asciiTheme="minorHAnsi" w:hAnsiTheme="minorHAnsi" w:cstheme="minorHAnsi"/>
          <w:bCs/>
          <w:sz w:val="22"/>
          <w:szCs w:val="22"/>
        </w:rPr>
        <w:t xml:space="preserve"> </w:t>
      </w:r>
      <w:r w:rsidRPr="00312773">
        <w:rPr>
          <w:rFonts w:asciiTheme="minorHAnsi" w:hAnsiTheme="minorHAnsi" w:cstheme="minorHAnsi"/>
          <w:bCs/>
          <w:sz w:val="22"/>
          <w:szCs w:val="22"/>
        </w:rPr>
        <w:t>to indicate magnitude.</w:t>
      </w:r>
    </w:p>
    <w:tbl>
      <w:tblPr>
        <w:tblpPr w:leftFromText="180" w:rightFromText="180" w:vertAnchor="text" w:horzAnchor="page" w:tblpX="736" w:tblpY="-60"/>
        <w:tblW w:w="10417" w:type="dxa"/>
        <w:tblLayout w:type="fixed"/>
        <w:tblLook w:val="04A0" w:firstRow="1" w:lastRow="0" w:firstColumn="1" w:lastColumn="0" w:noHBand="0" w:noVBand="1"/>
      </w:tblPr>
      <w:tblGrid>
        <w:gridCol w:w="1737"/>
        <w:gridCol w:w="1736"/>
        <w:gridCol w:w="1630"/>
        <w:gridCol w:w="1842"/>
        <w:gridCol w:w="1736"/>
        <w:gridCol w:w="1736"/>
      </w:tblGrid>
      <w:tr w:rsidR="00312773" w:rsidRPr="00D27B15" w14:paraId="7FE6934E" w14:textId="77777777" w:rsidTr="00FB348F">
        <w:trPr>
          <w:trHeight w:val="491"/>
        </w:trPr>
        <w:tc>
          <w:tcPr>
            <w:tcW w:w="1737" w:type="dxa"/>
            <w:tcBorders>
              <w:top w:val="single" w:sz="4" w:space="0" w:color="auto"/>
              <w:bottom w:val="single" w:sz="4" w:space="0" w:color="auto"/>
            </w:tcBorders>
            <w:hideMark/>
          </w:tcPr>
          <w:p w14:paraId="4AC3E233"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Farm</w:t>
            </w:r>
          </w:p>
        </w:tc>
        <w:tc>
          <w:tcPr>
            <w:tcW w:w="1736" w:type="dxa"/>
            <w:tcBorders>
              <w:top w:val="single" w:sz="4" w:space="0" w:color="auto"/>
              <w:bottom w:val="single" w:sz="4" w:space="0" w:color="auto"/>
            </w:tcBorders>
            <w:hideMark/>
          </w:tcPr>
          <w:p w14:paraId="57C9AEB2"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Emission reduction (%)</w:t>
            </w:r>
          </w:p>
        </w:tc>
        <w:tc>
          <w:tcPr>
            <w:tcW w:w="1630" w:type="dxa"/>
            <w:tcBorders>
              <w:top w:val="single" w:sz="4" w:space="0" w:color="auto"/>
              <w:bottom w:val="single" w:sz="4" w:space="0" w:color="auto"/>
            </w:tcBorders>
            <w:hideMark/>
          </w:tcPr>
          <w:p w14:paraId="6F3FB947"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 xml:space="preserve">Mitigated </w:t>
            </w:r>
            <w:proofErr w:type="gramStart"/>
            <w:r w:rsidRPr="00FB348F">
              <w:rPr>
                <w:rFonts w:ascii="Calibri" w:hAnsi="Calibri" w:cs="Calibri"/>
                <w:b/>
                <w:bCs/>
                <w:sz w:val="22"/>
                <w:szCs w:val="22"/>
              </w:rPr>
              <w:t>emissions</w:t>
            </w:r>
            <w:proofErr w:type="gramEnd"/>
          </w:p>
          <w:p w14:paraId="7AB3D818" w14:textId="721DC4C9"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w:t>
            </w:r>
            <w:r w:rsidR="005A3617" w:rsidRPr="00FB348F">
              <w:rPr>
                <w:rFonts w:ascii="Calibri" w:hAnsi="Calibri" w:cs="Calibri"/>
                <w:b/>
                <w:bCs/>
                <w:sz w:val="22"/>
                <w:szCs w:val="22"/>
              </w:rPr>
              <w:t xml:space="preserve">Mg </w:t>
            </w:r>
            <w:r w:rsidRPr="00FB348F">
              <w:rPr>
                <w:rFonts w:ascii="Calibri" w:hAnsi="Calibri" w:cs="Calibri"/>
                <w:b/>
                <w:bCs/>
                <w:sz w:val="22"/>
                <w:szCs w:val="22"/>
              </w:rPr>
              <w:t>CO</w:t>
            </w:r>
            <w:r w:rsidRPr="00FB348F">
              <w:rPr>
                <w:rFonts w:ascii="Calibri" w:hAnsi="Calibri" w:cs="Calibri"/>
                <w:b/>
                <w:bCs/>
                <w:sz w:val="22"/>
                <w:szCs w:val="22"/>
                <w:vertAlign w:val="subscript"/>
              </w:rPr>
              <w:t>2</w:t>
            </w:r>
            <w:r w:rsidRPr="00FB348F">
              <w:rPr>
                <w:rFonts w:ascii="Calibri" w:hAnsi="Calibri" w:cs="Calibri"/>
                <w:b/>
                <w:bCs/>
                <w:sz w:val="22"/>
                <w:szCs w:val="22"/>
              </w:rPr>
              <w:t>e yr</w:t>
            </w:r>
            <w:r w:rsidRPr="00FB348F">
              <w:rPr>
                <w:rFonts w:ascii="Calibri" w:hAnsi="Calibri" w:cs="Calibri"/>
                <w:b/>
                <w:bCs/>
                <w:sz w:val="22"/>
                <w:szCs w:val="22"/>
                <w:vertAlign w:val="superscript"/>
              </w:rPr>
              <w:t>-1</w:t>
            </w:r>
            <w:r w:rsidRPr="00FB348F">
              <w:rPr>
                <w:rFonts w:ascii="Calibri" w:hAnsi="Calibri" w:cs="Calibri"/>
                <w:b/>
                <w:bCs/>
                <w:sz w:val="22"/>
                <w:szCs w:val="22"/>
              </w:rPr>
              <w:t>)</w:t>
            </w:r>
          </w:p>
        </w:tc>
        <w:tc>
          <w:tcPr>
            <w:tcW w:w="1842" w:type="dxa"/>
            <w:tcBorders>
              <w:top w:val="single" w:sz="4" w:space="0" w:color="auto"/>
              <w:bottom w:val="single" w:sz="4" w:space="0" w:color="auto"/>
            </w:tcBorders>
            <w:hideMark/>
          </w:tcPr>
          <w:p w14:paraId="607601EF"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 xml:space="preserve">Mitigated production </w:t>
            </w:r>
            <w:proofErr w:type="gramStart"/>
            <w:r w:rsidRPr="00FB348F">
              <w:rPr>
                <w:rFonts w:ascii="Calibri" w:hAnsi="Calibri" w:cs="Calibri"/>
                <w:b/>
                <w:bCs/>
                <w:sz w:val="22"/>
                <w:szCs w:val="22"/>
              </w:rPr>
              <w:t>emissions</w:t>
            </w:r>
            <w:proofErr w:type="gramEnd"/>
          </w:p>
          <w:p w14:paraId="2A351959"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(kg CO</w:t>
            </w:r>
            <w:r w:rsidRPr="00FB348F">
              <w:rPr>
                <w:rFonts w:ascii="Calibri" w:hAnsi="Calibri" w:cs="Calibri"/>
                <w:b/>
                <w:bCs/>
                <w:sz w:val="22"/>
                <w:szCs w:val="22"/>
                <w:vertAlign w:val="subscript"/>
              </w:rPr>
              <w:t>2</w:t>
            </w:r>
            <w:r w:rsidRPr="00FB348F">
              <w:rPr>
                <w:rFonts w:ascii="Calibri" w:hAnsi="Calibri" w:cs="Calibri"/>
                <w:b/>
                <w:bCs/>
                <w:sz w:val="22"/>
                <w:szCs w:val="22"/>
              </w:rPr>
              <w:t>e kg</w:t>
            </w:r>
            <w:r w:rsidRPr="00FB348F">
              <w:rPr>
                <w:rFonts w:ascii="Calibri" w:hAnsi="Calibri" w:cs="Calibri"/>
                <w:b/>
                <w:bCs/>
                <w:sz w:val="22"/>
                <w:szCs w:val="22"/>
                <w:vertAlign w:val="superscript"/>
              </w:rPr>
              <w:t>-1</w:t>
            </w:r>
            <w:r w:rsidRPr="00FB348F">
              <w:rPr>
                <w:rFonts w:ascii="Calibri" w:hAnsi="Calibri" w:cs="Calibri"/>
                <w:b/>
                <w:bCs/>
                <w:sz w:val="22"/>
                <w:szCs w:val="22"/>
              </w:rPr>
              <w:t xml:space="preserve"> dwt)</w:t>
            </w:r>
          </w:p>
        </w:tc>
        <w:tc>
          <w:tcPr>
            <w:tcW w:w="1736" w:type="dxa"/>
            <w:tcBorders>
              <w:top w:val="single" w:sz="4" w:space="0" w:color="auto"/>
              <w:bottom w:val="single" w:sz="4" w:space="0" w:color="auto"/>
            </w:tcBorders>
            <w:hideMark/>
          </w:tcPr>
          <w:p w14:paraId="521A37E8"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Woodland needed to reach Net Zero</w:t>
            </w:r>
          </w:p>
          <w:p w14:paraId="52DFB18C"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 total farm) *</w:t>
            </w:r>
          </w:p>
        </w:tc>
        <w:tc>
          <w:tcPr>
            <w:tcW w:w="1736" w:type="dxa"/>
            <w:tcBorders>
              <w:top w:val="single" w:sz="4" w:space="0" w:color="auto"/>
              <w:bottom w:val="single" w:sz="4" w:space="0" w:color="auto"/>
            </w:tcBorders>
            <w:hideMark/>
          </w:tcPr>
          <w:p w14:paraId="6AAB21C5"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Woodland needed to reach Net Zero</w:t>
            </w:r>
          </w:p>
          <w:p w14:paraId="423B8192" w14:textId="77777777" w:rsidR="00312773" w:rsidRPr="00FB348F" w:rsidRDefault="00312773" w:rsidP="00312773">
            <w:pPr>
              <w:spacing w:line="360" w:lineRule="auto"/>
              <w:jc w:val="center"/>
              <w:rPr>
                <w:rFonts w:ascii="Calibri" w:hAnsi="Calibri" w:cs="Calibri"/>
                <w:b/>
                <w:bCs/>
                <w:sz w:val="22"/>
                <w:szCs w:val="22"/>
              </w:rPr>
            </w:pPr>
            <w:r w:rsidRPr="00FB348F">
              <w:rPr>
                <w:rFonts w:ascii="Calibri" w:hAnsi="Calibri" w:cs="Calibri"/>
                <w:b/>
                <w:bCs/>
                <w:sz w:val="22"/>
                <w:szCs w:val="22"/>
              </w:rPr>
              <w:t>(m</w:t>
            </w:r>
            <w:proofErr w:type="gramStart"/>
            <w:r w:rsidRPr="00FB348F">
              <w:rPr>
                <w:rFonts w:ascii="Calibri" w:hAnsi="Calibri" w:cs="Calibri"/>
                <w:b/>
                <w:bCs/>
                <w:sz w:val="22"/>
                <w:szCs w:val="22"/>
              </w:rPr>
              <w:t>².yr</w:t>
            </w:r>
            <w:proofErr w:type="gramEnd"/>
            <w:r w:rsidRPr="00FB348F">
              <w:rPr>
                <w:rFonts w:ascii="Calibri" w:hAnsi="Calibri" w:cs="Calibri"/>
                <w:b/>
                <w:bCs/>
                <w:sz w:val="22"/>
                <w:szCs w:val="22"/>
              </w:rPr>
              <w:t xml:space="preserve"> kg</w:t>
            </w:r>
            <w:r w:rsidRPr="00FB348F">
              <w:rPr>
                <w:rFonts w:ascii="Calibri" w:hAnsi="Calibri" w:cs="Calibri"/>
                <w:b/>
                <w:bCs/>
                <w:sz w:val="22"/>
                <w:szCs w:val="22"/>
                <w:vertAlign w:val="superscript"/>
              </w:rPr>
              <w:t>-1</w:t>
            </w:r>
            <w:r w:rsidRPr="00FB348F">
              <w:rPr>
                <w:rFonts w:ascii="Calibri" w:hAnsi="Calibri" w:cs="Calibri"/>
                <w:b/>
                <w:bCs/>
                <w:sz w:val="22"/>
                <w:szCs w:val="22"/>
              </w:rPr>
              <w:t xml:space="preserve"> dwt)</w:t>
            </w:r>
          </w:p>
        </w:tc>
      </w:tr>
      <w:tr w:rsidR="00312773" w:rsidRPr="00D27B15" w14:paraId="4E298A5A" w14:textId="77777777" w:rsidTr="00FB348F">
        <w:trPr>
          <w:trHeight w:val="245"/>
        </w:trPr>
        <w:tc>
          <w:tcPr>
            <w:tcW w:w="1737" w:type="dxa"/>
            <w:tcBorders>
              <w:top w:val="single" w:sz="4" w:space="0" w:color="auto"/>
            </w:tcBorders>
            <w:noWrap/>
            <w:hideMark/>
          </w:tcPr>
          <w:p w14:paraId="4BAE0C4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A</w:t>
            </w:r>
          </w:p>
        </w:tc>
        <w:tc>
          <w:tcPr>
            <w:tcW w:w="1736" w:type="dxa"/>
            <w:tcBorders>
              <w:top w:val="single" w:sz="4" w:space="0" w:color="auto"/>
            </w:tcBorders>
            <w:noWrap/>
            <w:hideMark/>
          </w:tcPr>
          <w:p w14:paraId="6F1AAE4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25.6</w:t>
            </w:r>
          </w:p>
        </w:tc>
        <w:tc>
          <w:tcPr>
            <w:tcW w:w="1630" w:type="dxa"/>
            <w:tcBorders>
              <w:top w:val="single" w:sz="4" w:space="0" w:color="auto"/>
            </w:tcBorders>
            <w:noWrap/>
            <w:hideMark/>
          </w:tcPr>
          <w:p w14:paraId="6D9CBE7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708</w:t>
            </w:r>
          </w:p>
        </w:tc>
        <w:tc>
          <w:tcPr>
            <w:tcW w:w="1842" w:type="dxa"/>
            <w:tcBorders>
              <w:top w:val="single" w:sz="4" w:space="0" w:color="auto"/>
            </w:tcBorders>
            <w:noWrap/>
            <w:hideMark/>
          </w:tcPr>
          <w:p w14:paraId="3144ECC6"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16.4</w:t>
            </w:r>
          </w:p>
        </w:tc>
        <w:tc>
          <w:tcPr>
            <w:tcW w:w="1736" w:type="dxa"/>
            <w:tcBorders>
              <w:top w:val="single" w:sz="4" w:space="0" w:color="auto"/>
            </w:tcBorders>
            <w:noWrap/>
            <w:hideMark/>
          </w:tcPr>
          <w:p w14:paraId="3C3C2B4A"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17</w:t>
            </w:r>
          </w:p>
        </w:tc>
        <w:tc>
          <w:tcPr>
            <w:tcW w:w="1736" w:type="dxa"/>
            <w:tcBorders>
              <w:top w:val="single" w:sz="4" w:space="0" w:color="auto"/>
            </w:tcBorders>
            <w:noWrap/>
            <w:hideMark/>
          </w:tcPr>
          <w:p w14:paraId="6B559B0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10.5</w:t>
            </w:r>
          </w:p>
        </w:tc>
      </w:tr>
      <w:tr w:rsidR="00312773" w:rsidRPr="00D27B15" w14:paraId="58526B45" w14:textId="77777777" w:rsidTr="00FB348F">
        <w:trPr>
          <w:trHeight w:val="245"/>
        </w:trPr>
        <w:tc>
          <w:tcPr>
            <w:tcW w:w="1737" w:type="dxa"/>
            <w:noWrap/>
            <w:hideMark/>
          </w:tcPr>
          <w:p w14:paraId="2AAD6FB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B</w:t>
            </w:r>
          </w:p>
        </w:tc>
        <w:tc>
          <w:tcPr>
            <w:tcW w:w="1736" w:type="dxa"/>
            <w:noWrap/>
            <w:hideMark/>
          </w:tcPr>
          <w:p w14:paraId="5AA2C0B3"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19.7</w:t>
            </w:r>
          </w:p>
        </w:tc>
        <w:tc>
          <w:tcPr>
            <w:tcW w:w="1630" w:type="dxa"/>
            <w:noWrap/>
            <w:hideMark/>
          </w:tcPr>
          <w:p w14:paraId="30C78658"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309</w:t>
            </w:r>
          </w:p>
        </w:tc>
        <w:tc>
          <w:tcPr>
            <w:tcW w:w="1842" w:type="dxa"/>
            <w:noWrap/>
            <w:hideMark/>
          </w:tcPr>
          <w:p w14:paraId="7179A65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23.4</w:t>
            </w:r>
          </w:p>
        </w:tc>
        <w:tc>
          <w:tcPr>
            <w:tcW w:w="1736" w:type="dxa"/>
            <w:noWrap/>
            <w:hideMark/>
          </w:tcPr>
          <w:p w14:paraId="62EF9001"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w:t>
            </w:r>
          </w:p>
        </w:tc>
        <w:tc>
          <w:tcPr>
            <w:tcW w:w="1736" w:type="dxa"/>
            <w:noWrap/>
            <w:hideMark/>
          </w:tcPr>
          <w:p w14:paraId="1B7450F4"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12.9</w:t>
            </w:r>
          </w:p>
        </w:tc>
      </w:tr>
      <w:tr w:rsidR="00312773" w:rsidRPr="00D27B15" w14:paraId="04D3BDD9" w14:textId="77777777" w:rsidTr="00FB348F">
        <w:trPr>
          <w:trHeight w:val="245"/>
        </w:trPr>
        <w:tc>
          <w:tcPr>
            <w:tcW w:w="1737" w:type="dxa"/>
            <w:noWrap/>
            <w:hideMark/>
          </w:tcPr>
          <w:p w14:paraId="6CEA0C9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C</w:t>
            </w:r>
          </w:p>
        </w:tc>
        <w:tc>
          <w:tcPr>
            <w:tcW w:w="1736" w:type="dxa"/>
            <w:noWrap/>
            <w:hideMark/>
          </w:tcPr>
          <w:p w14:paraId="69F28EA4"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25.6</w:t>
            </w:r>
          </w:p>
        </w:tc>
        <w:tc>
          <w:tcPr>
            <w:tcW w:w="1630" w:type="dxa"/>
            <w:noWrap/>
            <w:hideMark/>
          </w:tcPr>
          <w:p w14:paraId="19571EF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649</w:t>
            </w:r>
          </w:p>
        </w:tc>
        <w:tc>
          <w:tcPr>
            <w:tcW w:w="1842" w:type="dxa"/>
            <w:noWrap/>
            <w:hideMark/>
          </w:tcPr>
          <w:p w14:paraId="3E4CC1F4"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17.1</w:t>
            </w:r>
          </w:p>
        </w:tc>
        <w:tc>
          <w:tcPr>
            <w:tcW w:w="1736" w:type="dxa"/>
            <w:noWrap/>
            <w:hideMark/>
          </w:tcPr>
          <w:p w14:paraId="21B972A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49</w:t>
            </w:r>
          </w:p>
        </w:tc>
        <w:tc>
          <w:tcPr>
            <w:tcW w:w="1736" w:type="dxa"/>
            <w:noWrap/>
            <w:hideMark/>
          </w:tcPr>
          <w:p w14:paraId="62702F4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20.5</w:t>
            </w:r>
          </w:p>
        </w:tc>
      </w:tr>
      <w:tr w:rsidR="00312773" w:rsidRPr="00D27B15" w14:paraId="2F053750" w14:textId="77777777" w:rsidTr="00FB348F">
        <w:trPr>
          <w:trHeight w:val="245"/>
        </w:trPr>
        <w:tc>
          <w:tcPr>
            <w:tcW w:w="1737" w:type="dxa"/>
            <w:noWrap/>
            <w:hideMark/>
          </w:tcPr>
          <w:p w14:paraId="4A26E0A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D</w:t>
            </w:r>
          </w:p>
        </w:tc>
        <w:tc>
          <w:tcPr>
            <w:tcW w:w="1736" w:type="dxa"/>
            <w:noWrap/>
            <w:hideMark/>
          </w:tcPr>
          <w:p w14:paraId="5084868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33.3</w:t>
            </w:r>
          </w:p>
        </w:tc>
        <w:tc>
          <w:tcPr>
            <w:tcW w:w="1630" w:type="dxa"/>
            <w:noWrap/>
            <w:hideMark/>
          </w:tcPr>
          <w:p w14:paraId="072A0DE4"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827</w:t>
            </w:r>
          </w:p>
        </w:tc>
        <w:tc>
          <w:tcPr>
            <w:tcW w:w="1842" w:type="dxa"/>
            <w:noWrap/>
            <w:hideMark/>
          </w:tcPr>
          <w:p w14:paraId="73638851"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17.4</w:t>
            </w:r>
          </w:p>
        </w:tc>
        <w:tc>
          <w:tcPr>
            <w:tcW w:w="1736" w:type="dxa"/>
            <w:noWrap/>
            <w:hideMark/>
          </w:tcPr>
          <w:p w14:paraId="4C7176D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26</w:t>
            </w:r>
          </w:p>
        </w:tc>
        <w:tc>
          <w:tcPr>
            <w:tcW w:w="1736" w:type="dxa"/>
            <w:noWrap/>
            <w:hideMark/>
          </w:tcPr>
          <w:p w14:paraId="37EA352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14.9</w:t>
            </w:r>
          </w:p>
        </w:tc>
      </w:tr>
      <w:tr w:rsidR="00312773" w:rsidRPr="00D27B15" w14:paraId="6553F666" w14:textId="77777777" w:rsidTr="00FB348F">
        <w:trPr>
          <w:trHeight w:val="245"/>
        </w:trPr>
        <w:tc>
          <w:tcPr>
            <w:tcW w:w="1737" w:type="dxa"/>
            <w:noWrap/>
            <w:hideMark/>
          </w:tcPr>
          <w:p w14:paraId="7627C95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E</w:t>
            </w:r>
          </w:p>
        </w:tc>
        <w:tc>
          <w:tcPr>
            <w:tcW w:w="1736" w:type="dxa"/>
            <w:noWrap/>
            <w:hideMark/>
          </w:tcPr>
          <w:p w14:paraId="6F64AB55"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23.9</w:t>
            </w:r>
          </w:p>
        </w:tc>
        <w:tc>
          <w:tcPr>
            <w:tcW w:w="1630" w:type="dxa"/>
            <w:noWrap/>
            <w:hideMark/>
          </w:tcPr>
          <w:p w14:paraId="040DBEB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264</w:t>
            </w:r>
          </w:p>
        </w:tc>
        <w:tc>
          <w:tcPr>
            <w:tcW w:w="1842" w:type="dxa"/>
            <w:noWrap/>
            <w:hideMark/>
          </w:tcPr>
          <w:p w14:paraId="1E5A1613"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11.8</w:t>
            </w:r>
          </w:p>
        </w:tc>
        <w:tc>
          <w:tcPr>
            <w:tcW w:w="1736" w:type="dxa"/>
            <w:noWrap/>
            <w:hideMark/>
          </w:tcPr>
          <w:p w14:paraId="010D951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28</w:t>
            </w:r>
          </w:p>
        </w:tc>
        <w:tc>
          <w:tcPr>
            <w:tcW w:w="1736" w:type="dxa"/>
            <w:noWrap/>
            <w:hideMark/>
          </w:tcPr>
          <w:p w14:paraId="011D8A6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11.6</w:t>
            </w:r>
          </w:p>
        </w:tc>
      </w:tr>
      <w:tr w:rsidR="00312773" w:rsidRPr="00D27B15" w14:paraId="3618D2E9" w14:textId="77777777" w:rsidTr="00FB348F">
        <w:trPr>
          <w:trHeight w:val="245"/>
        </w:trPr>
        <w:tc>
          <w:tcPr>
            <w:tcW w:w="1737" w:type="dxa"/>
            <w:noWrap/>
            <w:hideMark/>
          </w:tcPr>
          <w:p w14:paraId="61208FFD"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F</w:t>
            </w:r>
          </w:p>
        </w:tc>
        <w:tc>
          <w:tcPr>
            <w:tcW w:w="1736" w:type="dxa"/>
            <w:noWrap/>
            <w:hideMark/>
          </w:tcPr>
          <w:p w14:paraId="3940C1D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26.6</w:t>
            </w:r>
          </w:p>
        </w:tc>
        <w:tc>
          <w:tcPr>
            <w:tcW w:w="1630" w:type="dxa"/>
            <w:noWrap/>
            <w:hideMark/>
          </w:tcPr>
          <w:p w14:paraId="0459224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792</w:t>
            </w:r>
          </w:p>
        </w:tc>
        <w:tc>
          <w:tcPr>
            <w:tcW w:w="1842" w:type="dxa"/>
            <w:noWrap/>
            <w:hideMark/>
          </w:tcPr>
          <w:p w14:paraId="6A850171"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26.5</w:t>
            </w:r>
          </w:p>
        </w:tc>
        <w:tc>
          <w:tcPr>
            <w:tcW w:w="1736" w:type="dxa"/>
            <w:noWrap/>
            <w:hideMark/>
          </w:tcPr>
          <w:p w14:paraId="0B952B5D"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66</w:t>
            </w:r>
          </w:p>
        </w:tc>
        <w:tc>
          <w:tcPr>
            <w:tcW w:w="1736" w:type="dxa"/>
            <w:noWrap/>
            <w:hideMark/>
          </w:tcPr>
          <w:p w14:paraId="74AD440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23.2</w:t>
            </w:r>
          </w:p>
        </w:tc>
      </w:tr>
      <w:tr w:rsidR="00312773" w:rsidRPr="00D27B15" w14:paraId="715892A0" w14:textId="77777777" w:rsidTr="00FB348F">
        <w:trPr>
          <w:trHeight w:val="245"/>
        </w:trPr>
        <w:tc>
          <w:tcPr>
            <w:tcW w:w="1737" w:type="dxa"/>
            <w:noWrap/>
            <w:hideMark/>
          </w:tcPr>
          <w:p w14:paraId="715FF801"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G</w:t>
            </w:r>
          </w:p>
        </w:tc>
        <w:tc>
          <w:tcPr>
            <w:tcW w:w="1736" w:type="dxa"/>
            <w:noWrap/>
            <w:hideMark/>
          </w:tcPr>
          <w:p w14:paraId="09BA2385"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23.2</w:t>
            </w:r>
          </w:p>
        </w:tc>
        <w:tc>
          <w:tcPr>
            <w:tcW w:w="1630" w:type="dxa"/>
            <w:noWrap/>
            <w:hideMark/>
          </w:tcPr>
          <w:p w14:paraId="44F1612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355</w:t>
            </w:r>
          </w:p>
        </w:tc>
        <w:tc>
          <w:tcPr>
            <w:tcW w:w="1842" w:type="dxa"/>
            <w:noWrap/>
            <w:hideMark/>
          </w:tcPr>
          <w:p w14:paraId="7B2A26E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20.2</w:t>
            </w:r>
          </w:p>
        </w:tc>
        <w:tc>
          <w:tcPr>
            <w:tcW w:w="1736" w:type="dxa"/>
            <w:noWrap/>
            <w:hideMark/>
          </w:tcPr>
          <w:p w14:paraId="1B247704"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60</w:t>
            </w:r>
          </w:p>
        </w:tc>
        <w:tc>
          <w:tcPr>
            <w:tcW w:w="1736" w:type="dxa"/>
            <w:noWrap/>
            <w:hideMark/>
          </w:tcPr>
          <w:p w14:paraId="60F6A65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26.8</w:t>
            </w:r>
          </w:p>
        </w:tc>
      </w:tr>
      <w:tr w:rsidR="00312773" w:rsidRPr="00D27B15" w14:paraId="71E09D4C" w14:textId="77777777" w:rsidTr="00FB348F">
        <w:trPr>
          <w:trHeight w:val="245"/>
        </w:trPr>
        <w:tc>
          <w:tcPr>
            <w:tcW w:w="1737" w:type="dxa"/>
            <w:noWrap/>
            <w:hideMark/>
          </w:tcPr>
          <w:p w14:paraId="6DFDEC5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H</w:t>
            </w:r>
          </w:p>
        </w:tc>
        <w:tc>
          <w:tcPr>
            <w:tcW w:w="1736" w:type="dxa"/>
            <w:noWrap/>
            <w:hideMark/>
          </w:tcPr>
          <w:p w14:paraId="416105A6"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27.4</w:t>
            </w:r>
          </w:p>
        </w:tc>
        <w:tc>
          <w:tcPr>
            <w:tcW w:w="1630" w:type="dxa"/>
            <w:noWrap/>
            <w:hideMark/>
          </w:tcPr>
          <w:p w14:paraId="422279C3"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875</w:t>
            </w:r>
          </w:p>
        </w:tc>
        <w:tc>
          <w:tcPr>
            <w:tcW w:w="1842" w:type="dxa"/>
            <w:noWrap/>
            <w:hideMark/>
          </w:tcPr>
          <w:p w14:paraId="3FA5FA1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17.2</w:t>
            </w:r>
          </w:p>
        </w:tc>
        <w:tc>
          <w:tcPr>
            <w:tcW w:w="1736" w:type="dxa"/>
            <w:noWrap/>
            <w:hideMark/>
          </w:tcPr>
          <w:p w14:paraId="5D79274A"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25</w:t>
            </w:r>
          </w:p>
        </w:tc>
        <w:tc>
          <w:tcPr>
            <w:tcW w:w="1736" w:type="dxa"/>
            <w:noWrap/>
            <w:hideMark/>
          </w:tcPr>
          <w:p w14:paraId="0BE52C4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12.1</w:t>
            </w:r>
          </w:p>
        </w:tc>
      </w:tr>
      <w:tr w:rsidR="00312773" w:rsidRPr="00D27B15" w14:paraId="626DD34F" w14:textId="77777777" w:rsidTr="00FB348F">
        <w:trPr>
          <w:trHeight w:val="245"/>
        </w:trPr>
        <w:tc>
          <w:tcPr>
            <w:tcW w:w="1737" w:type="dxa"/>
            <w:noWrap/>
            <w:hideMark/>
          </w:tcPr>
          <w:p w14:paraId="50FF4FF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I</w:t>
            </w:r>
          </w:p>
        </w:tc>
        <w:tc>
          <w:tcPr>
            <w:tcW w:w="1736" w:type="dxa"/>
            <w:noWrap/>
            <w:hideMark/>
          </w:tcPr>
          <w:p w14:paraId="6DAB8B2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27.8</w:t>
            </w:r>
          </w:p>
        </w:tc>
        <w:tc>
          <w:tcPr>
            <w:tcW w:w="1630" w:type="dxa"/>
            <w:noWrap/>
            <w:hideMark/>
          </w:tcPr>
          <w:p w14:paraId="69070C05"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562</w:t>
            </w:r>
          </w:p>
        </w:tc>
        <w:tc>
          <w:tcPr>
            <w:tcW w:w="1842" w:type="dxa"/>
            <w:noWrap/>
            <w:hideMark/>
          </w:tcPr>
          <w:p w14:paraId="4E65118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15.4</w:t>
            </w:r>
          </w:p>
        </w:tc>
        <w:tc>
          <w:tcPr>
            <w:tcW w:w="1736" w:type="dxa"/>
            <w:noWrap/>
            <w:hideMark/>
          </w:tcPr>
          <w:p w14:paraId="165E4F9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16</w:t>
            </w:r>
          </w:p>
        </w:tc>
        <w:tc>
          <w:tcPr>
            <w:tcW w:w="1736" w:type="dxa"/>
            <w:noWrap/>
            <w:hideMark/>
          </w:tcPr>
          <w:p w14:paraId="3B20551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11.7</w:t>
            </w:r>
          </w:p>
        </w:tc>
      </w:tr>
      <w:tr w:rsidR="00312773" w:rsidRPr="00D27B15" w14:paraId="4397DB07" w14:textId="77777777" w:rsidTr="00FB348F">
        <w:trPr>
          <w:trHeight w:val="245"/>
        </w:trPr>
        <w:tc>
          <w:tcPr>
            <w:tcW w:w="1737" w:type="dxa"/>
            <w:noWrap/>
            <w:hideMark/>
          </w:tcPr>
          <w:p w14:paraId="2A506A1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J</w:t>
            </w:r>
          </w:p>
        </w:tc>
        <w:tc>
          <w:tcPr>
            <w:tcW w:w="1736" w:type="dxa"/>
            <w:noWrap/>
            <w:hideMark/>
          </w:tcPr>
          <w:p w14:paraId="6A03FAB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33.9</w:t>
            </w:r>
          </w:p>
        </w:tc>
        <w:tc>
          <w:tcPr>
            <w:tcW w:w="1630" w:type="dxa"/>
            <w:noWrap/>
            <w:hideMark/>
          </w:tcPr>
          <w:p w14:paraId="35B6BF1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1337</w:t>
            </w:r>
          </w:p>
        </w:tc>
        <w:tc>
          <w:tcPr>
            <w:tcW w:w="1842" w:type="dxa"/>
            <w:noWrap/>
            <w:hideMark/>
          </w:tcPr>
          <w:p w14:paraId="3ECE7395"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16.4</w:t>
            </w:r>
          </w:p>
        </w:tc>
        <w:tc>
          <w:tcPr>
            <w:tcW w:w="1736" w:type="dxa"/>
            <w:noWrap/>
            <w:hideMark/>
          </w:tcPr>
          <w:p w14:paraId="1134EFE0"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65</w:t>
            </w:r>
          </w:p>
        </w:tc>
        <w:tc>
          <w:tcPr>
            <w:tcW w:w="1736" w:type="dxa"/>
            <w:noWrap/>
            <w:hideMark/>
          </w:tcPr>
          <w:p w14:paraId="36E32890"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15.5</w:t>
            </w:r>
          </w:p>
        </w:tc>
      </w:tr>
      <w:tr w:rsidR="00312773" w:rsidRPr="00D27B15" w14:paraId="66F94B55" w14:textId="77777777" w:rsidTr="00FB348F">
        <w:trPr>
          <w:trHeight w:val="245"/>
        </w:trPr>
        <w:tc>
          <w:tcPr>
            <w:tcW w:w="1737" w:type="dxa"/>
            <w:noWrap/>
            <w:hideMark/>
          </w:tcPr>
          <w:p w14:paraId="33BA76A8"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K</w:t>
            </w:r>
          </w:p>
        </w:tc>
        <w:tc>
          <w:tcPr>
            <w:tcW w:w="1736" w:type="dxa"/>
            <w:noWrap/>
            <w:hideMark/>
          </w:tcPr>
          <w:p w14:paraId="1366E014"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23.4</w:t>
            </w:r>
          </w:p>
        </w:tc>
        <w:tc>
          <w:tcPr>
            <w:tcW w:w="1630" w:type="dxa"/>
            <w:noWrap/>
            <w:hideMark/>
          </w:tcPr>
          <w:p w14:paraId="6CAF18F5"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681</w:t>
            </w:r>
          </w:p>
        </w:tc>
        <w:tc>
          <w:tcPr>
            <w:tcW w:w="1842" w:type="dxa"/>
            <w:noWrap/>
            <w:hideMark/>
          </w:tcPr>
          <w:p w14:paraId="145D69F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29.4</w:t>
            </w:r>
          </w:p>
        </w:tc>
        <w:tc>
          <w:tcPr>
            <w:tcW w:w="1736" w:type="dxa"/>
            <w:noWrap/>
            <w:hideMark/>
          </w:tcPr>
          <w:p w14:paraId="5EB6DF0D"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8</w:t>
            </w:r>
          </w:p>
        </w:tc>
        <w:tc>
          <w:tcPr>
            <w:tcW w:w="1736" w:type="dxa"/>
            <w:noWrap/>
            <w:hideMark/>
          </w:tcPr>
          <w:p w14:paraId="2897EA03"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17.1</w:t>
            </w:r>
          </w:p>
        </w:tc>
      </w:tr>
      <w:tr w:rsidR="00312773" w:rsidRPr="00D27B15" w14:paraId="3DCEAC9F" w14:textId="77777777" w:rsidTr="00FB348F">
        <w:trPr>
          <w:trHeight w:val="245"/>
        </w:trPr>
        <w:tc>
          <w:tcPr>
            <w:tcW w:w="1737" w:type="dxa"/>
            <w:noWrap/>
            <w:hideMark/>
          </w:tcPr>
          <w:p w14:paraId="04CBD858"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L</w:t>
            </w:r>
          </w:p>
        </w:tc>
        <w:tc>
          <w:tcPr>
            <w:tcW w:w="1736" w:type="dxa"/>
            <w:noWrap/>
            <w:hideMark/>
          </w:tcPr>
          <w:p w14:paraId="1B3760F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28.5</w:t>
            </w:r>
          </w:p>
        </w:tc>
        <w:tc>
          <w:tcPr>
            <w:tcW w:w="1630" w:type="dxa"/>
            <w:noWrap/>
            <w:hideMark/>
          </w:tcPr>
          <w:p w14:paraId="3690AC84"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679</w:t>
            </w:r>
          </w:p>
        </w:tc>
        <w:tc>
          <w:tcPr>
            <w:tcW w:w="1842" w:type="dxa"/>
            <w:noWrap/>
            <w:hideMark/>
          </w:tcPr>
          <w:p w14:paraId="67371F4A"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18.9</w:t>
            </w:r>
          </w:p>
        </w:tc>
        <w:tc>
          <w:tcPr>
            <w:tcW w:w="1736" w:type="dxa"/>
            <w:noWrap/>
            <w:hideMark/>
          </w:tcPr>
          <w:p w14:paraId="48B843D5"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30</w:t>
            </w:r>
          </w:p>
        </w:tc>
        <w:tc>
          <w:tcPr>
            <w:tcW w:w="1736" w:type="dxa"/>
            <w:noWrap/>
            <w:hideMark/>
          </w:tcPr>
          <w:p w14:paraId="600F161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19.6</w:t>
            </w:r>
          </w:p>
        </w:tc>
      </w:tr>
      <w:tr w:rsidR="00312773" w:rsidRPr="00D27B15" w14:paraId="61112838" w14:textId="77777777" w:rsidTr="00FB348F">
        <w:trPr>
          <w:trHeight w:val="245"/>
        </w:trPr>
        <w:tc>
          <w:tcPr>
            <w:tcW w:w="1737" w:type="dxa"/>
            <w:noWrap/>
            <w:hideMark/>
          </w:tcPr>
          <w:p w14:paraId="3CC121C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M</w:t>
            </w:r>
          </w:p>
        </w:tc>
        <w:tc>
          <w:tcPr>
            <w:tcW w:w="1736" w:type="dxa"/>
            <w:noWrap/>
            <w:hideMark/>
          </w:tcPr>
          <w:p w14:paraId="583AD811"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25.8</w:t>
            </w:r>
          </w:p>
        </w:tc>
        <w:tc>
          <w:tcPr>
            <w:tcW w:w="1630" w:type="dxa"/>
            <w:noWrap/>
            <w:hideMark/>
          </w:tcPr>
          <w:p w14:paraId="647FE428"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353</w:t>
            </w:r>
          </w:p>
        </w:tc>
        <w:tc>
          <w:tcPr>
            <w:tcW w:w="1842" w:type="dxa"/>
            <w:noWrap/>
            <w:hideMark/>
          </w:tcPr>
          <w:p w14:paraId="1960C686"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16.1</w:t>
            </w:r>
          </w:p>
        </w:tc>
        <w:tc>
          <w:tcPr>
            <w:tcW w:w="1736" w:type="dxa"/>
            <w:noWrap/>
            <w:hideMark/>
          </w:tcPr>
          <w:p w14:paraId="30ACBD0D"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73</w:t>
            </w:r>
          </w:p>
        </w:tc>
        <w:tc>
          <w:tcPr>
            <w:tcW w:w="1736" w:type="dxa"/>
            <w:noWrap/>
            <w:hideMark/>
          </w:tcPr>
          <w:p w14:paraId="6DDD624D"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35</w:t>
            </w:r>
          </w:p>
        </w:tc>
      </w:tr>
      <w:tr w:rsidR="00312773" w:rsidRPr="00D27B15" w14:paraId="3665591A" w14:textId="77777777" w:rsidTr="00FB348F">
        <w:trPr>
          <w:trHeight w:val="245"/>
        </w:trPr>
        <w:tc>
          <w:tcPr>
            <w:tcW w:w="1737" w:type="dxa"/>
            <w:noWrap/>
            <w:hideMark/>
          </w:tcPr>
          <w:p w14:paraId="6A40DD1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N</w:t>
            </w:r>
          </w:p>
        </w:tc>
        <w:tc>
          <w:tcPr>
            <w:tcW w:w="1736" w:type="dxa"/>
            <w:noWrap/>
            <w:hideMark/>
          </w:tcPr>
          <w:p w14:paraId="556F632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32.4</w:t>
            </w:r>
          </w:p>
        </w:tc>
        <w:tc>
          <w:tcPr>
            <w:tcW w:w="1630" w:type="dxa"/>
            <w:noWrap/>
            <w:hideMark/>
          </w:tcPr>
          <w:p w14:paraId="2D3C6D5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735</w:t>
            </w:r>
          </w:p>
        </w:tc>
        <w:tc>
          <w:tcPr>
            <w:tcW w:w="1842" w:type="dxa"/>
            <w:noWrap/>
            <w:hideMark/>
          </w:tcPr>
          <w:p w14:paraId="023AB09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9.3</w:t>
            </w:r>
          </w:p>
        </w:tc>
        <w:tc>
          <w:tcPr>
            <w:tcW w:w="1736" w:type="dxa"/>
            <w:noWrap/>
            <w:hideMark/>
          </w:tcPr>
          <w:p w14:paraId="209472F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85</w:t>
            </w:r>
          </w:p>
        </w:tc>
        <w:tc>
          <w:tcPr>
            <w:tcW w:w="1736" w:type="dxa"/>
            <w:noWrap/>
            <w:hideMark/>
          </w:tcPr>
          <w:p w14:paraId="7A0BEBE3"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11.8</w:t>
            </w:r>
          </w:p>
        </w:tc>
      </w:tr>
      <w:tr w:rsidR="00312773" w:rsidRPr="00D27B15" w14:paraId="710A6195" w14:textId="77777777" w:rsidTr="00FB348F">
        <w:trPr>
          <w:trHeight w:val="245"/>
        </w:trPr>
        <w:tc>
          <w:tcPr>
            <w:tcW w:w="1737" w:type="dxa"/>
            <w:noWrap/>
            <w:hideMark/>
          </w:tcPr>
          <w:p w14:paraId="69181B2D"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O</w:t>
            </w:r>
          </w:p>
        </w:tc>
        <w:tc>
          <w:tcPr>
            <w:tcW w:w="1736" w:type="dxa"/>
            <w:noWrap/>
            <w:hideMark/>
          </w:tcPr>
          <w:p w14:paraId="5CD77A4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29</w:t>
            </w:r>
          </w:p>
        </w:tc>
        <w:tc>
          <w:tcPr>
            <w:tcW w:w="1630" w:type="dxa"/>
            <w:noWrap/>
            <w:hideMark/>
          </w:tcPr>
          <w:p w14:paraId="517B6D21"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527</w:t>
            </w:r>
          </w:p>
        </w:tc>
        <w:tc>
          <w:tcPr>
            <w:tcW w:w="1842" w:type="dxa"/>
            <w:noWrap/>
            <w:hideMark/>
          </w:tcPr>
          <w:p w14:paraId="07167BA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27</w:t>
            </w:r>
          </w:p>
        </w:tc>
        <w:tc>
          <w:tcPr>
            <w:tcW w:w="1736" w:type="dxa"/>
            <w:noWrap/>
            <w:hideMark/>
          </w:tcPr>
          <w:p w14:paraId="0493A33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35</w:t>
            </w:r>
          </w:p>
        </w:tc>
        <w:tc>
          <w:tcPr>
            <w:tcW w:w="1736" w:type="dxa"/>
            <w:noWrap/>
            <w:hideMark/>
          </w:tcPr>
          <w:p w14:paraId="2EEA63F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22.9</w:t>
            </w:r>
          </w:p>
        </w:tc>
      </w:tr>
      <w:tr w:rsidR="00312773" w:rsidRPr="00D27B15" w14:paraId="2B2D8D12" w14:textId="77777777" w:rsidTr="00FB348F">
        <w:trPr>
          <w:trHeight w:val="245"/>
        </w:trPr>
        <w:tc>
          <w:tcPr>
            <w:tcW w:w="1737" w:type="dxa"/>
            <w:noWrap/>
            <w:hideMark/>
          </w:tcPr>
          <w:p w14:paraId="364E835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P</w:t>
            </w:r>
          </w:p>
        </w:tc>
        <w:tc>
          <w:tcPr>
            <w:tcW w:w="1736" w:type="dxa"/>
            <w:noWrap/>
            <w:hideMark/>
          </w:tcPr>
          <w:p w14:paraId="7D10B3B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35</w:t>
            </w:r>
          </w:p>
        </w:tc>
        <w:tc>
          <w:tcPr>
            <w:tcW w:w="1630" w:type="dxa"/>
            <w:noWrap/>
            <w:hideMark/>
          </w:tcPr>
          <w:p w14:paraId="04CC1010"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1512</w:t>
            </w:r>
          </w:p>
        </w:tc>
        <w:tc>
          <w:tcPr>
            <w:tcW w:w="1842" w:type="dxa"/>
            <w:noWrap/>
            <w:hideMark/>
          </w:tcPr>
          <w:p w14:paraId="2390E47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15.8</w:t>
            </w:r>
          </w:p>
        </w:tc>
        <w:tc>
          <w:tcPr>
            <w:tcW w:w="1736" w:type="dxa"/>
            <w:noWrap/>
            <w:hideMark/>
          </w:tcPr>
          <w:p w14:paraId="089A95D6"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51</w:t>
            </w:r>
          </w:p>
        </w:tc>
        <w:tc>
          <w:tcPr>
            <w:tcW w:w="1736" w:type="dxa"/>
            <w:noWrap/>
            <w:hideMark/>
          </w:tcPr>
          <w:p w14:paraId="2D72E0F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15.4</w:t>
            </w:r>
          </w:p>
        </w:tc>
      </w:tr>
      <w:tr w:rsidR="00312773" w:rsidRPr="00D27B15" w14:paraId="20EA4800" w14:textId="77777777" w:rsidTr="00FB348F">
        <w:trPr>
          <w:trHeight w:val="245"/>
        </w:trPr>
        <w:tc>
          <w:tcPr>
            <w:tcW w:w="1737" w:type="dxa"/>
            <w:noWrap/>
            <w:hideMark/>
          </w:tcPr>
          <w:p w14:paraId="0D89B280"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Q</w:t>
            </w:r>
          </w:p>
        </w:tc>
        <w:tc>
          <w:tcPr>
            <w:tcW w:w="1736" w:type="dxa"/>
            <w:noWrap/>
            <w:hideMark/>
          </w:tcPr>
          <w:p w14:paraId="76918C7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31.3</w:t>
            </w:r>
          </w:p>
        </w:tc>
        <w:tc>
          <w:tcPr>
            <w:tcW w:w="1630" w:type="dxa"/>
            <w:noWrap/>
            <w:hideMark/>
          </w:tcPr>
          <w:p w14:paraId="48C7E696"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977</w:t>
            </w:r>
          </w:p>
        </w:tc>
        <w:tc>
          <w:tcPr>
            <w:tcW w:w="1842" w:type="dxa"/>
            <w:noWrap/>
            <w:hideMark/>
          </w:tcPr>
          <w:p w14:paraId="37E5EB7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28.3</w:t>
            </w:r>
          </w:p>
        </w:tc>
        <w:tc>
          <w:tcPr>
            <w:tcW w:w="1736" w:type="dxa"/>
            <w:noWrap/>
            <w:hideMark/>
          </w:tcPr>
          <w:p w14:paraId="0A8758C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31</w:t>
            </w:r>
          </w:p>
        </w:tc>
        <w:tc>
          <w:tcPr>
            <w:tcW w:w="1736" w:type="dxa"/>
            <w:noWrap/>
            <w:hideMark/>
          </w:tcPr>
          <w:p w14:paraId="0565794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26.9</w:t>
            </w:r>
          </w:p>
        </w:tc>
      </w:tr>
      <w:tr w:rsidR="00312773" w:rsidRPr="00D27B15" w14:paraId="53B71952" w14:textId="77777777" w:rsidTr="00FB348F">
        <w:trPr>
          <w:trHeight w:val="245"/>
        </w:trPr>
        <w:tc>
          <w:tcPr>
            <w:tcW w:w="1737" w:type="dxa"/>
            <w:noWrap/>
            <w:hideMark/>
          </w:tcPr>
          <w:p w14:paraId="56D8EC1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R</w:t>
            </w:r>
          </w:p>
        </w:tc>
        <w:tc>
          <w:tcPr>
            <w:tcW w:w="1736" w:type="dxa"/>
            <w:noWrap/>
            <w:hideMark/>
          </w:tcPr>
          <w:p w14:paraId="5AE6CC48"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28.6</w:t>
            </w:r>
          </w:p>
        </w:tc>
        <w:tc>
          <w:tcPr>
            <w:tcW w:w="1630" w:type="dxa"/>
            <w:noWrap/>
            <w:hideMark/>
          </w:tcPr>
          <w:p w14:paraId="6337C563"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946</w:t>
            </w:r>
          </w:p>
        </w:tc>
        <w:tc>
          <w:tcPr>
            <w:tcW w:w="1842" w:type="dxa"/>
            <w:noWrap/>
            <w:hideMark/>
          </w:tcPr>
          <w:p w14:paraId="6D9C61F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17</w:t>
            </w:r>
          </w:p>
        </w:tc>
        <w:tc>
          <w:tcPr>
            <w:tcW w:w="1736" w:type="dxa"/>
            <w:noWrap/>
            <w:hideMark/>
          </w:tcPr>
          <w:p w14:paraId="23685738"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24</w:t>
            </w:r>
          </w:p>
        </w:tc>
        <w:tc>
          <w:tcPr>
            <w:tcW w:w="1736" w:type="dxa"/>
            <w:noWrap/>
            <w:hideMark/>
          </w:tcPr>
          <w:p w14:paraId="74E6C240"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12.1</w:t>
            </w:r>
          </w:p>
        </w:tc>
      </w:tr>
      <w:tr w:rsidR="00312773" w:rsidRPr="00D27B15" w14:paraId="4DC554D9" w14:textId="77777777" w:rsidTr="00FB348F">
        <w:trPr>
          <w:trHeight w:val="245"/>
        </w:trPr>
        <w:tc>
          <w:tcPr>
            <w:tcW w:w="1737" w:type="dxa"/>
            <w:noWrap/>
            <w:hideMark/>
          </w:tcPr>
          <w:p w14:paraId="3253333C"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S</w:t>
            </w:r>
          </w:p>
        </w:tc>
        <w:tc>
          <w:tcPr>
            <w:tcW w:w="1736" w:type="dxa"/>
            <w:noWrap/>
            <w:hideMark/>
          </w:tcPr>
          <w:p w14:paraId="3CE15379"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28.2</w:t>
            </w:r>
          </w:p>
        </w:tc>
        <w:tc>
          <w:tcPr>
            <w:tcW w:w="1630" w:type="dxa"/>
            <w:noWrap/>
            <w:hideMark/>
          </w:tcPr>
          <w:p w14:paraId="2B4C1828"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986</w:t>
            </w:r>
          </w:p>
        </w:tc>
        <w:tc>
          <w:tcPr>
            <w:tcW w:w="1842" w:type="dxa"/>
            <w:noWrap/>
            <w:hideMark/>
          </w:tcPr>
          <w:p w14:paraId="21479026"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18.2</w:t>
            </w:r>
          </w:p>
        </w:tc>
        <w:tc>
          <w:tcPr>
            <w:tcW w:w="1736" w:type="dxa"/>
            <w:noWrap/>
            <w:hideMark/>
          </w:tcPr>
          <w:p w14:paraId="5171BE92"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43</w:t>
            </w:r>
          </w:p>
        </w:tc>
        <w:tc>
          <w:tcPr>
            <w:tcW w:w="1736" w:type="dxa"/>
            <w:noWrap/>
            <w:hideMark/>
          </w:tcPr>
          <w:p w14:paraId="13A8CCCB"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15.7</w:t>
            </w:r>
          </w:p>
        </w:tc>
      </w:tr>
      <w:tr w:rsidR="00312773" w:rsidRPr="00D27B15" w14:paraId="1CD5A3C9" w14:textId="77777777" w:rsidTr="00FB348F">
        <w:trPr>
          <w:trHeight w:val="245"/>
        </w:trPr>
        <w:tc>
          <w:tcPr>
            <w:tcW w:w="1737" w:type="dxa"/>
            <w:tcBorders>
              <w:bottom w:val="single" w:sz="4" w:space="0" w:color="auto"/>
            </w:tcBorders>
            <w:noWrap/>
            <w:hideMark/>
          </w:tcPr>
          <w:p w14:paraId="2654DF2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T</w:t>
            </w:r>
          </w:p>
        </w:tc>
        <w:tc>
          <w:tcPr>
            <w:tcW w:w="1736" w:type="dxa"/>
            <w:tcBorders>
              <w:bottom w:val="single" w:sz="4" w:space="0" w:color="auto"/>
            </w:tcBorders>
            <w:noWrap/>
            <w:hideMark/>
          </w:tcPr>
          <w:p w14:paraId="2101983D"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28.5</w:t>
            </w:r>
          </w:p>
        </w:tc>
        <w:tc>
          <w:tcPr>
            <w:tcW w:w="1630" w:type="dxa"/>
            <w:tcBorders>
              <w:bottom w:val="single" w:sz="4" w:space="0" w:color="auto"/>
            </w:tcBorders>
            <w:noWrap/>
            <w:hideMark/>
          </w:tcPr>
          <w:p w14:paraId="553A110F"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574</w:t>
            </w:r>
          </w:p>
        </w:tc>
        <w:tc>
          <w:tcPr>
            <w:tcW w:w="1842" w:type="dxa"/>
            <w:tcBorders>
              <w:bottom w:val="single" w:sz="4" w:space="0" w:color="auto"/>
            </w:tcBorders>
            <w:noWrap/>
            <w:hideMark/>
          </w:tcPr>
          <w:p w14:paraId="2FAD4F6E"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15.8</w:t>
            </w:r>
          </w:p>
        </w:tc>
        <w:tc>
          <w:tcPr>
            <w:tcW w:w="1736" w:type="dxa"/>
            <w:tcBorders>
              <w:bottom w:val="single" w:sz="4" w:space="0" w:color="auto"/>
            </w:tcBorders>
            <w:noWrap/>
            <w:hideMark/>
          </w:tcPr>
          <w:p w14:paraId="26CD06C7"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22</w:t>
            </w:r>
          </w:p>
        </w:tc>
        <w:tc>
          <w:tcPr>
            <w:tcW w:w="1736" w:type="dxa"/>
            <w:tcBorders>
              <w:bottom w:val="single" w:sz="4" w:space="0" w:color="auto"/>
            </w:tcBorders>
            <w:noWrap/>
            <w:hideMark/>
          </w:tcPr>
          <w:p w14:paraId="2289D5A3"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11.5</w:t>
            </w:r>
          </w:p>
        </w:tc>
      </w:tr>
      <w:tr w:rsidR="00312773" w:rsidRPr="00D27B15" w14:paraId="34D5D653" w14:textId="77777777" w:rsidTr="00FB348F">
        <w:trPr>
          <w:trHeight w:val="245"/>
        </w:trPr>
        <w:tc>
          <w:tcPr>
            <w:tcW w:w="1737" w:type="dxa"/>
            <w:tcBorders>
              <w:top w:val="single" w:sz="4" w:space="0" w:color="auto"/>
              <w:bottom w:val="single" w:sz="4" w:space="0" w:color="auto"/>
            </w:tcBorders>
            <w:noWrap/>
            <w:hideMark/>
          </w:tcPr>
          <w:p w14:paraId="4AF91A21" w14:textId="77777777" w:rsidR="00312773" w:rsidRPr="00D27B15" w:rsidRDefault="00312773" w:rsidP="00312773">
            <w:pPr>
              <w:spacing w:line="360" w:lineRule="auto"/>
              <w:jc w:val="center"/>
              <w:rPr>
                <w:rFonts w:ascii="Calibri" w:hAnsi="Calibri" w:cs="Calibri"/>
                <w:color w:val="000000"/>
                <w:sz w:val="22"/>
                <w:szCs w:val="22"/>
              </w:rPr>
            </w:pPr>
            <w:r w:rsidRPr="00D27B15">
              <w:rPr>
                <w:rFonts w:ascii="Calibri" w:hAnsi="Calibri" w:cs="Calibri"/>
                <w:color w:val="000000"/>
                <w:sz w:val="22"/>
                <w:szCs w:val="22"/>
              </w:rPr>
              <w:t>Average</w:t>
            </w:r>
          </w:p>
        </w:tc>
        <w:tc>
          <w:tcPr>
            <w:tcW w:w="1736" w:type="dxa"/>
            <w:tcBorders>
              <w:top w:val="single" w:sz="4" w:space="0" w:color="auto"/>
              <w:bottom w:val="single" w:sz="4" w:space="0" w:color="auto"/>
            </w:tcBorders>
            <w:noWrap/>
            <w:hideMark/>
          </w:tcPr>
          <w:p w14:paraId="516C4219" w14:textId="77777777" w:rsidR="00312773" w:rsidRPr="00D27B15" w:rsidRDefault="00312773" w:rsidP="00312773">
            <w:pPr>
              <w:spacing w:line="360" w:lineRule="auto"/>
              <w:jc w:val="center"/>
              <w:rPr>
                <w:rFonts w:ascii="Calibri" w:hAnsi="Calibri" w:cs="Calibri"/>
                <w:b/>
                <w:bCs/>
                <w:color w:val="000000"/>
                <w:sz w:val="22"/>
                <w:szCs w:val="22"/>
              </w:rPr>
            </w:pPr>
            <w:r w:rsidRPr="00D27B15">
              <w:rPr>
                <w:rFonts w:ascii="Calibri" w:hAnsi="Calibri" w:cs="Calibri"/>
                <w:b/>
                <w:bCs/>
                <w:color w:val="000000"/>
                <w:sz w:val="22"/>
                <w:szCs w:val="22"/>
              </w:rPr>
              <w:t>27.9</w:t>
            </w:r>
          </w:p>
        </w:tc>
        <w:tc>
          <w:tcPr>
            <w:tcW w:w="1630" w:type="dxa"/>
            <w:tcBorders>
              <w:top w:val="single" w:sz="4" w:space="0" w:color="auto"/>
              <w:bottom w:val="single" w:sz="4" w:space="0" w:color="auto"/>
            </w:tcBorders>
            <w:noWrap/>
            <w:hideMark/>
          </w:tcPr>
          <w:p w14:paraId="41309851" w14:textId="77777777" w:rsidR="00312773" w:rsidRPr="00D27B15" w:rsidRDefault="00312773" w:rsidP="00312773">
            <w:pPr>
              <w:spacing w:line="360" w:lineRule="auto"/>
              <w:jc w:val="center"/>
              <w:rPr>
                <w:rFonts w:ascii="Calibri" w:hAnsi="Calibri" w:cs="Calibri"/>
                <w:b/>
                <w:bCs/>
                <w:color w:val="000000"/>
                <w:sz w:val="22"/>
                <w:szCs w:val="22"/>
              </w:rPr>
            </w:pPr>
            <w:r w:rsidRPr="00D27B15">
              <w:rPr>
                <w:rFonts w:ascii="Calibri" w:hAnsi="Calibri" w:cs="Calibri"/>
                <w:b/>
                <w:bCs/>
                <w:color w:val="000000"/>
                <w:sz w:val="22"/>
                <w:szCs w:val="22"/>
              </w:rPr>
              <w:t>732</w:t>
            </w:r>
          </w:p>
        </w:tc>
        <w:tc>
          <w:tcPr>
            <w:tcW w:w="1842" w:type="dxa"/>
            <w:tcBorders>
              <w:top w:val="single" w:sz="4" w:space="0" w:color="auto"/>
              <w:bottom w:val="single" w:sz="4" w:space="0" w:color="auto"/>
            </w:tcBorders>
            <w:noWrap/>
            <w:hideMark/>
          </w:tcPr>
          <w:p w14:paraId="00503019" w14:textId="77777777" w:rsidR="00312773" w:rsidRPr="00D27B15" w:rsidRDefault="00312773" w:rsidP="00312773">
            <w:pPr>
              <w:spacing w:line="360" w:lineRule="auto"/>
              <w:jc w:val="center"/>
              <w:rPr>
                <w:rFonts w:ascii="Calibri" w:hAnsi="Calibri" w:cs="Calibri"/>
                <w:b/>
                <w:bCs/>
                <w:color w:val="000000"/>
                <w:sz w:val="22"/>
                <w:szCs w:val="22"/>
              </w:rPr>
            </w:pPr>
            <w:r w:rsidRPr="00D27B15">
              <w:rPr>
                <w:rFonts w:ascii="Calibri" w:hAnsi="Calibri" w:cs="Calibri"/>
                <w:b/>
                <w:bCs/>
                <w:color w:val="000000"/>
                <w:sz w:val="22"/>
                <w:szCs w:val="22"/>
              </w:rPr>
              <w:t>18.9</w:t>
            </w:r>
          </w:p>
        </w:tc>
        <w:tc>
          <w:tcPr>
            <w:tcW w:w="1736" w:type="dxa"/>
            <w:tcBorders>
              <w:top w:val="single" w:sz="4" w:space="0" w:color="auto"/>
              <w:bottom w:val="single" w:sz="4" w:space="0" w:color="auto"/>
            </w:tcBorders>
            <w:noWrap/>
            <w:hideMark/>
          </w:tcPr>
          <w:p w14:paraId="1F51EC4D" w14:textId="77777777" w:rsidR="00312773" w:rsidRPr="00D27B15" w:rsidRDefault="00312773" w:rsidP="00312773">
            <w:pPr>
              <w:spacing w:line="360" w:lineRule="auto"/>
              <w:jc w:val="center"/>
              <w:rPr>
                <w:rFonts w:ascii="Calibri" w:hAnsi="Calibri" w:cs="Calibri"/>
                <w:b/>
                <w:bCs/>
                <w:color w:val="000000"/>
                <w:sz w:val="22"/>
                <w:szCs w:val="22"/>
              </w:rPr>
            </w:pPr>
            <w:r w:rsidRPr="00D27B15">
              <w:rPr>
                <w:rFonts w:ascii="Calibri" w:hAnsi="Calibri" w:cs="Calibri"/>
                <w:b/>
                <w:bCs/>
                <w:color w:val="000000"/>
                <w:sz w:val="22"/>
                <w:szCs w:val="22"/>
              </w:rPr>
              <w:t>38</w:t>
            </w:r>
          </w:p>
        </w:tc>
        <w:tc>
          <w:tcPr>
            <w:tcW w:w="1736" w:type="dxa"/>
            <w:tcBorders>
              <w:top w:val="single" w:sz="4" w:space="0" w:color="auto"/>
              <w:bottom w:val="single" w:sz="4" w:space="0" w:color="auto"/>
            </w:tcBorders>
            <w:noWrap/>
            <w:hideMark/>
          </w:tcPr>
          <w:p w14:paraId="24E308D0" w14:textId="77777777" w:rsidR="00312773" w:rsidRPr="00D27B15" w:rsidRDefault="00312773" w:rsidP="00312773">
            <w:pPr>
              <w:spacing w:line="360" w:lineRule="auto"/>
              <w:jc w:val="center"/>
              <w:rPr>
                <w:rFonts w:ascii="Calibri" w:hAnsi="Calibri" w:cs="Calibri"/>
                <w:b/>
                <w:bCs/>
                <w:color w:val="000000"/>
                <w:sz w:val="22"/>
                <w:szCs w:val="22"/>
              </w:rPr>
            </w:pPr>
            <w:r w:rsidRPr="00D27B15">
              <w:rPr>
                <w:rFonts w:ascii="Calibri" w:hAnsi="Calibri" w:cs="Calibri"/>
                <w:b/>
                <w:bCs/>
                <w:color w:val="000000"/>
                <w:sz w:val="22"/>
                <w:szCs w:val="22"/>
              </w:rPr>
              <w:t>17.4</w:t>
            </w:r>
          </w:p>
        </w:tc>
      </w:tr>
    </w:tbl>
    <w:p w14:paraId="37C16CDC" w14:textId="10485E7E" w:rsidR="001528D7" w:rsidRDefault="003A34E4" w:rsidP="00E568F2">
      <w:pPr>
        <w:pStyle w:val="NoSpacing"/>
        <w:spacing w:line="360" w:lineRule="auto"/>
        <w:jc w:val="both"/>
        <w:sectPr w:rsidR="001528D7" w:rsidSect="00336756">
          <w:type w:val="continuous"/>
          <w:pgSz w:w="11906" w:h="16838"/>
          <w:pgMar w:top="1440" w:right="1440" w:bottom="1440" w:left="1440" w:header="708" w:footer="708" w:gutter="0"/>
          <w:lnNumType w:countBy="1" w:restart="continuous"/>
          <w:cols w:space="708"/>
          <w:titlePg/>
          <w:docGrid w:linePitch="360"/>
        </w:sectPr>
      </w:pPr>
      <w:r w:rsidRPr="00595752">
        <w:t>*</w:t>
      </w:r>
      <w:r w:rsidR="00E3595C" w:rsidRPr="00595752">
        <w:t xml:space="preserve"> </w:t>
      </w:r>
      <w:r w:rsidR="00365665" w:rsidRPr="00595752">
        <w:t xml:space="preserve">Offset area </w:t>
      </w:r>
      <w:r w:rsidR="00E45468" w:rsidRPr="00595752">
        <w:t xml:space="preserve">is </w:t>
      </w:r>
      <w:r w:rsidR="00365665" w:rsidRPr="00595752">
        <w:t xml:space="preserve">equivalent to % of farm’s total area, not the area </w:t>
      </w:r>
      <w:r w:rsidR="00595752" w:rsidRPr="00595752">
        <w:t>which</w:t>
      </w:r>
      <w:r w:rsidR="00365665" w:rsidRPr="00595752">
        <w:t xml:space="preserve"> needs to be afforested on the </w:t>
      </w:r>
      <w:r w:rsidR="007E2FAC" w:rsidRPr="00595752">
        <w:t>current</w:t>
      </w:r>
      <w:r w:rsidR="00365665" w:rsidRPr="00595752">
        <w:t xml:space="preserve"> farm</w:t>
      </w:r>
    </w:p>
    <w:p w14:paraId="2B00B86A" w14:textId="55AF7DB8" w:rsidR="001528D7" w:rsidRPr="001528D7" w:rsidRDefault="001528D7" w:rsidP="00E568F2">
      <w:pPr>
        <w:pStyle w:val="NoSpacing"/>
        <w:spacing w:line="360" w:lineRule="auto"/>
        <w:jc w:val="both"/>
      </w:pPr>
      <w:r>
        <w:br w:type="page"/>
      </w:r>
    </w:p>
    <w:p w14:paraId="6FEFF1AF" w14:textId="42C8E1D3" w:rsidR="003842E5" w:rsidRPr="00CC11A7" w:rsidRDefault="003842E5" w:rsidP="00CC11A7">
      <w:pPr>
        <w:pStyle w:val="ListParagraph"/>
        <w:numPr>
          <w:ilvl w:val="1"/>
          <w:numId w:val="2"/>
        </w:numPr>
        <w:spacing w:line="360" w:lineRule="auto"/>
        <w:rPr>
          <w:rFonts w:asciiTheme="minorHAnsi" w:hAnsiTheme="minorHAnsi" w:cstheme="minorHAnsi"/>
          <w:b/>
          <w:bCs/>
          <w:sz w:val="22"/>
          <w:szCs w:val="22"/>
        </w:rPr>
      </w:pPr>
      <w:r w:rsidRPr="00CC11A7">
        <w:rPr>
          <w:rFonts w:asciiTheme="minorHAnsi" w:hAnsiTheme="minorHAnsi" w:cstheme="minorHAnsi"/>
          <w:b/>
          <w:bCs/>
          <w:sz w:val="22"/>
          <w:szCs w:val="22"/>
        </w:rPr>
        <w:lastRenderedPageBreak/>
        <w:t>Afforestation</w:t>
      </w:r>
    </w:p>
    <w:p w14:paraId="3F2DFF70" w14:textId="1994654C" w:rsidR="00850C62" w:rsidRPr="00850C62" w:rsidRDefault="003842E5" w:rsidP="00BA3E62">
      <w:pPr>
        <w:pStyle w:val="NoSpacing"/>
        <w:spacing w:line="360" w:lineRule="auto"/>
        <w:jc w:val="both"/>
        <w:rPr>
          <w:noProof/>
        </w:rPr>
      </w:pPr>
      <w:r>
        <w:rPr>
          <w:rFonts w:cstheme="minorHAnsi"/>
        </w:rPr>
        <w:t>The</w:t>
      </w:r>
      <w:r w:rsidRPr="0033163B">
        <w:rPr>
          <w:rFonts w:cstheme="minorHAnsi"/>
        </w:rPr>
        <w:t xml:space="preserve"> area of woodland needed to offset the remaining emissions to </w:t>
      </w:r>
      <w:r>
        <w:rPr>
          <w:rFonts w:cstheme="minorHAnsi"/>
        </w:rPr>
        <w:t>achieve Net Zero</w:t>
      </w:r>
      <w:r w:rsidRPr="0033163B">
        <w:rPr>
          <w:rFonts w:cstheme="minorHAnsi"/>
        </w:rPr>
        <w:t xml:space="preserve"> </w:t>
      </w:r>
      <w:r>
        <w:rPr>
          <w:rFonts w:cstheme="minorHAnsi"/>
        </w:rPr>
        <w:t xml:space="preserve">on each farm </w:t>
      </w:r>
      <w:r w:rsidRPr="0033163B">
        <w:rPr>
          <w:rFonts w:cstheme="minorHAnsi"/>
        </w:rPr>
        <w:t xml:space="preserve">ranged from </w:t>
      </w:r>
      <w:r>
        <w:rPr>
          <w:rFonts w:cstheme="minorHAnsi"/>
        </w:rPr>
        <w:t>8</w:t>
      </w:r>
      <w:r w:rsidR="007D1C2C">
        <w:rPr>
          <w:rFonts w:cstheme="minorHAnsi"/>
        </w:rPr>
        <w:t xml:space="preserve"> to </w:t>
      </w:r>
      <w:r>
        <w:rPr>
          <w:rFonts w:cstheme="minorHAnsi"/>
        </w:rPr>
        <w:t>85</w:t>
      </w:r>
      <w:r w:rsidRPr="0033163B">
        <w:rPr>
          <w:rFonts w:cstheme="minorHAnsi"/>
        </w:rPr>
        <w:t xml:space="preserve">% of </w:t>
      </w:r>
      <w:r>
        <w:rPr>
          <w:rFonts w:cstheme="minorHAnsi"/>
        </w:rPr>
        <w:t xml:space="preserve">the </w:t>
      </w:r>
      <w:r w:rsidRPr="0033163B">
        <w:rPr>
          <w:rFonts w:cstheme="minorHAnsi"/>
        </w:rPr>
        <w:t>farm</w:t>
      </w:r>
      <w:r>
        <w:rPr>
          <w:rFonts w:cstheme="minorHAnsi"/>
        </w:rPr>
        <w:t>’s</w:t>
      </w:r>
      <w:r w:rsidRPr="0033163B">
        <w:rPr>
          <w:rFonts w:cstheme="minorHAnsi"/>
        </w:rPr>
        <w:t xml:space="preserve"> </w:t>
      </w:r>
      <w:r w:rsidRPr="007943F7">
        <w:rPr>
          <w:rFonts w:cstheme="minorHAnsi"/>
        </w:rPr>
        <w:t>area</w:t>
      </w:r>
      <w:r>
        <w:rPr>
          <w:rFonts w:cstheme="minorHAnsi"/>
        </w:rPr>
        <w:t xml:space="preserve">, with an average of </w:t>
      </w:r>
      <w:r w:rsidR="0084079C">
        <w:rPr>
          <w:rFonts w:cstheme="minorHAnsi"/>
        </w:rPr>
        <w:t>38</w:t>
      </w:r>
      <w:r>
        <w:rPr>
          <w:rFonts w:cstheme="minorHAnsi"/>
        </w:rPr>
        <w:t>% (Table 4</w:t>
      </w:r>
      <w:proofErr w:type="gramStart"/>
      <w:r>
        <w:rPr>
          <w:rFonts w:cstheme="minorHAnsi"/>
        </w:rPr>
        <w:t>);</w:t>
      </w:r>
      <w:proofErr w:type="gramEnd"/>
      <w:r>
        <w:rPr>
          <w:rFonts w:cstheme="minorHAnsi"/>
        </w:rPr>
        <w:t xml:space="preserve"> making </w:t>
      </w:r>
      <w:r w:rsidRPr="00850C62">
        <w:rPr>
          <w:rFonts w:cstheme="minorHAnsi"/>
        </w:rPr>
        <w:t xml:space="preserve">woodland the primary carbon sequestration (and, indeed, Net Zero) measure for all mitigated scenarios. </w:t>
      </w:r>
      <w:r>
        <w:rPr>
          <w:rFonts w:cstheme="minorHAnsi"/>
        </w:rPr>
        <w:t>This offset area was equivalent to 10.</w:t>
      </w:r>
      <w:r w:rsidR="0045796D">
        <w:rPr>
          <w:rFonts w:cstheme="minorHAnsi"/>
        </w:rPr>
        <w:t>5</w:t>
      </w:r>
      <w:r w:rsidR="007D1C2C">
        <w:rPr>
          <w:rFonts w:cstheme="minorHAnsi"/>
        </w:rPr>
        <w:t xml:space="preserve"> to </w:t>
      </w:r>
      <w:r>
        <w:rPr>
          <w:rFonts w:cstheme="minorHAnsi"/>
        </w:rPr>
        <w:t xml:space="preserve">35.0 </w:t>
      </w:r>
      <w:r w:rsidRPr="00DE5F76">
        <w:rPr>
          <w:rFonts w:cstheme="minorHAnsi"/>
        </w:rPr>
        <w:t>m</w:t>
      </w:r>
      <w:proofErr w:type="gramStart"/>
      <w:r w:rsidRPr="00DE5F76">
        <w:rPr>
          <w:rFonts w:cstheme="minorHAnsi"/>
        </w:rPr>
        <w:t>².yr</w:t>
      </w:r>
      <w:proofErr w:type="gramEnd"/>
      <w:r w:rsidRPr="00DE5F76">
        <w:rPr>
          <w:rFonts w:cstheme="minorHAnsi"/>
        </w:rPr>
        <w:t xml:space="preserve"> kg</w:t>
      </w:r>
      <w:r w:rsidRPr="00DE5F76">
        <w:rPr>
          <w:rFonts w:cstheme="minorHAnsi"/>
          <w:vertAlign w:val="superscript"/>
        </w:rPr>
        <w:t>-1</w:t>
      </w:r>
      <w:r w:rsidRPr="00DE5F76">
        <w:rPr>
          <w:rFonts w:cstheme="minorHAnsi"/>
        </w:rPr>
        <w:t xml:space="preserve"> </w:t>
      </w:r>
      <w:r w:rsidR="00287F54">
        <w:rPr>
          <w:rFonts w:cstheme="minorHAnsi"/>
        </w:rPr>
        <w:t>dwt</w:t>
      </w:r>
      <w:r>
        <w:rPr>
          <w:rFonts w:cstheme="minorHAnsi"/>
        </w:rPr>
        <w:t>, with an average of 17.</w:t>
      </w:r>
      <w:r w:rsidR="0045796D">
        <w:rPr>
          <w:rFonts w:cstheme="minorHAnsi"/>
        </w:rPr>
        <w:t>4</w:t>
      </w:r>
      <w:r w:rsidRPr="00DE5F76">
        <w:rPr>
          <w:rFonts w:ascii="Calibri" w:hAnsi="Calibri" w:cs="Calibri"/>
        </w:rPr>
        <w:t xml:space="preserve"> </w:t>
      </w:r>
      <w:r w:rsidRPr="00E170B7">
        <w:rPr>
          <w:rFonts w:ascii="Calibri" w:hAnsi="Calibri" w:cs="Calibri"/>
        </w:rPr>
        <w:t>m².yr kg</w:t>
      </w:r>
      <w:r w:rsidRPr="00E170B7">
        <w:rPr>
          <w:rFonts w:ascii="Calibri" w:hAnsi="Calibri" w:cs="Calibri"/>
          <w:vertAlign w:val="superscript"/>
        </w:rPr>
        <w:t>-1</w:t>
      </w:r>
      <w:r w:rsidRPr="00E170B7">
        <w:rPr>
          <w:rFonts w:ascii="Calibri" w:hAnsi="Calibri" w:cs="Calibri"/>
        </w:rPr>
        <w:t xml:space="preserve"> </w:t>
      </w:r>
      <w:r w:rsidR="00287F54">
        <w:rPr>
          <w:rFonts w:ascii="Calibri" w:hAnsi="Calibri" w:cs="Calibri"/>
        </w:rPr>
        <w:t>dwt</w:t>
      </w:r>
      <w:r>
        <w:rPr>
          <w:rFonts w:cstheme="minorHAnsi"/>
        </w:rPr>
        <w:t>. A</w:t>
      </w:r>
      <w:r w:rsidRPr="007D1BFC">
        <w:rPr>
          <w:rFonts w:cstheme="minorHAnsi"/>
        </w:rPr>
        <w:t>verage</w:t>
      </w:r>
      <w:r w:rsidRPr="00850C62">
        <w:rPr>
          <w:rFonts w:cstheme="minorHAnsi"/>
        </w:rPr>
        <w:t xml:space="preserve"> area footprints for production plus offset (afforested) area required to reach Net Zero ranged from 25.8</w:t>
      </w:r>
      <w:r w:rsidR="007D1C2C">
        <w:rPr>
          <w:rFonts w:cstheme="minorHAnsi"/>
        </w:rPr>
        <w:t xml:space="preserve"> to </w:t>
      </w:r>
      <w:r w:rsidRPr="00850C62">
        <w:rPr>
          <w:rFonts w:cstheme="minorHAnsi"/>
        </w:rPr>
        <w:t>231.7</w:t>
      </w:r>
      <w:r w:rsidRPr="007943F7">
        <w:rPr>
          <w:rFonts w:cstheme="minorHAnsi"/>
        </w:rPr>
        <w:t xml:space="preserve"> </w:t>
      </w:r>
      <w:r w:rsidRPr="0082009C">
        <w:rPr>
          <w:rFonts w:ascii="Calibri" w:hAnsi="Calibri" w:cs="Calibri"/>
        </w:rPr>
        <w:t>m².yr kg</w:t>
      </w:r>
      <w:r w:rsidRPr="0082009C">
        <w:rPr>
          <w:rFonts w:ascii="Calibri" w:hAnsi="Calibri" w:cs="Calibri"/>
          <w:vertAlign w:val="superscript"/>
        </w:rPr>
        <w:t>-1</w:t>
      </w:r>
      <w:r w:rsidR="00287F54" w:rsidRPr="0082009C">
        <w:rPr>
          <w:rFonts w:ascii="Calibri" w:hAnsi="Calibri" w:cs="Calibri"/>
          <w:vertAlign w:val="superscript"/>
        </w:rPr>
        <w:t xml:space="preserve"> </w:t>
      </w:r>
      <w:r w:rsidR="00287F54" w:rsidRPr="0082009C">
        <w:rPr>
          <w:rFonts w:ascii="Calibri" w:hAnsi="Calibri" w:cs="Calibri"/>
        </w:rPr>
        <w:t>dwt</w:t>
      </w:r>
      <w:r w:rsidR="00167CA4">
        <w:rPr>
          <w:rFonts w:cstheme="minorHAnsi"/>
        </w:rPr>
        <w:t xml:space="preserve">. </w:t>
      </w:r>
      <w:r w:rsidR="00167CA4">
        <w:rPr>
          <w:bCs/>
        </w:rPr>
        <w:t>A s</w:t>
      </w:r>
      <w:r w:rsidR="0062303F" w:rsidRPr="00682634">
        <w:rPr>
          <w:bCs/>
        </w:rPr>
        <w:t>catterplot</w:t>
      </w:r>
      <w:r w:rsidR="00CB4C18" w:rsidRPr="00682634">
        <w:rPr>
          <w:bCs/>
        </w:rPr>
        <w:t xml:space="preserve"> of </w:t>
      </w:r>
      <w:r w:rsidR="0044232C" w:rsidRPr="00682634">
        <w:rPr>
          <w:bCs/>
        </w:rPr>
        <w:t xml:space="preserve">production </w:t>
      </w:r>
      <w:r w:rsidR="00CB4C18" w:rsidRPr="00682634">
        <w:rPr>
          <w:bCs/>
        </w:rPr>
        <w:t>a</w:t>
      </w:r>
      <w:r w:rsidR="00F63C5B" w:rsidRPr="00682634">
        <w:rPr>
          <w:bCs/>
        </w:rPr>
        <w:t>rea footprint</w:t>
      </w:r>
      <w:r w:rsidR="00167CA4">
        <w:rPr>
          <w:bCs/>
        </w:rPr>
        <w:t>s</w:t>
      </w:r>
      <w:r w:rsidR="003061A0">
        <w:rPr>
          <w:bCs/>
        </w:rPr>
        <w:t xml:space="preserve"> plotted</w:t>
      </w:r>
      <w:r w:rsidR="00F63C5B" w:rsidRPr="00682634">
        <w:rPr>
          <w:bCs/>
        </w:rPr>
        <w:t xml:space="preserve"> against </w:t>
      </w:r>
      <w:r w:rsidR="0044232C" w:rsidRPr="00682634">
        <w:rPr>
          <w:bCs/>
        </w:rPr>
        <w:t>production</w:t>
      </w:r>
      <w:r w:rsidR="00844093" w:rsidRPr="00682634">
        <w:rPr>
          <w:bCs/>
        </w:rPr>
        <w:t xml:space="preserve"> </w:t>
      </w:r>
      <w:r w:rsidR="00167CA4">
        <w:rPr>
          <w:bCs/>
        </w:rPr>
        <w:t xml:space="preserve">plus </w:t>
      </w:r>
      <w:r w:rsidR="0044232C" w:rsidRPr="00682634">
        <w:rPr>
          <w:bCs/>
        </w:rPr>
        <w:t xml:space="preserve">offset </w:t>
      </w:r>
      <w:r w:rsidR="00F63C5B" w:rsidRPr="00682634">
        <w:rPr>
          <w:bCs/>
        </w:rPr>
        <w:t>area footprint</w:t>
      </w:r>
      <w:r w:rsidR="00167CA4">
        <w:rPr>
          <w:bCs/>
        </w:rPr>
        <w:t>s</w:t>
      </w:r>
      <w:r w:rsidR="00F63C5B" w:rsidRPr="00682634">
        <w:rPr>
          <w:bCs/>
        </w:rPr>
        <w:t xml:space="preserve"> </w:t>
      </w:r>
      <w:r w:rsidR="0098517D">
        <w:rPr>
          <w:bCs/>
        </w:rPr>
        <w:t xml:space="preserve">which </w:t>
      </w:r>
      <w:r w:rsidR="00987572" w:rsidRPr="00682634">
        <w:rPr>
          <w:bCs/>
        </w:rPr>
        <w:t>depict</w:t>
      </w:r>
      <w:r w:rsidR="0098517D">
        <w:rPr>
          <w:bCs/>
        </w:rPr>
        <w:t>s</w:t>
      </w:r>
      <w:r w:rsidR="00987572" w:rsidRPr="00682634">
        <w:rPr>
          <w:bCs/>
        </w:rPr>
        <w:t xml:space="preserve"> changes in the area efficiency ranking</w:t>
      </w:r>
      <w:r w:rsidR="00F907A5" w:rsidRPr="00682634">
        <w:rPr>
          <w:bCs/>
        </w:rPr>
        <w:t xml:space="preserve"> from baseline compared with </w:t>
      </w:r>
      <w:r w:rsidR="001B73A7" w:rsidRPr="00682634">
        <w:rPr>
          <w:bCs/>
        </w:rPr>
        <w:t>Net Zero scenarios</w:t>
      </w:r>
      <w:r w:rsidR="0098517D">
        <w:rPr>
          <w:noProof/>
        </w:rPr>
        <w:t xml:space="preserve"> </w:t>
      </w:r>
      <w:r w:rsidR="0098517D">
        <w:rPr>
          <w:bCs/>
        </w:rPr>
        <w:t>can be found in Figure C.20.</w:t>
      </w:r>
    </w:p>
    <w:p w14:paraId="0DADA68C" w14:textId="77777777" w:rsidR="004960DA" w:rsidRDefault="004960DA" w:rsidP="00E568F2">
      <w:pPr>
        <w:pStyle w:val="NoSpacing"/>
        <w:spacing w:line="360" w:lineRule="auto"/>
        <w:rPr>
          <w:b/>
          <w:bCs/>
        </w:rPr>
      </w:pPr>
    </w:p>
    <w:p w14:paraId="476B3EC4" w14:textId="70944A92" w:rsidR="00F96486" w:rsidRDefault="00F96486" w:rsidP="00CC11A7">
      <w:pPr>
        <w:pStyle w:val="NoSpacing"/>
        <w:numPr>
          <w:ilvl w:val="0"/>
          <w:numId w:val="2"/>
        </w:numPr>
        <w:spacing w:line="360" w:lineRule="auto"/>
        <w:rPr>
          <w:b/>
          <w:bCs/>
        </w:rPr>
      </w:pPr>
      <w:r>
        <w:rPr>
          <w:b/>
          <w:bCs/>
        </w:rPr>
        <w:t xml:space="preserve">Discussion </w:t>
      </w:r>
    </w:p>
    <w:p w14:paraId="35E902DD" w14:textId="5BA62ADF" w:rsidR="00041494" w:rsidRDefault="00041494" w:rsidP="00E568F2">
      <w:pPr>
        <w:pStyle w:val="NoSpacing"/>
        <w:spacing w:line="360" w:lineRule="auto"/>
        <w:ind w:left="720"/>
        <w:rPr>
          <w:b/>
          <w:bCs/>
        </w:rPr>
      </w:pPr>
    </w:p>
    <w:p w14:paraId="7D02FCD0" w14:textId="79841061" w:rsidR="007E55DB" w:rsidRDefault="007E55DB" w:rsidP="00CC11A7">
      <w:pPr>
        <w:pStyle w:val="NoSpacing"/>
        <w:numPr>
          <w:ilvl w:val="1"/>
          <w:numId w:val="2"/>
        </w:numPr>
        <w:spacing w:line="360" w:lineRule="auto"/>
        <w:rPr>
          <w:b/>
          <w:bCs/>
        </w:rPr>
      </w:pPr>
      <w:r>
        <w:rPr>
          <w:b/>
          <w:bCs/>
        </w:rPr>
        <w:t xml:space="preserve"> Baseline Scenarios</w:t>
      </w:r>
    </w:p>
    <w:p w14:paraId="0003C8E7" w14:textId="45577044" w:rsidR="007E55DB" w:rsidRDefault="007E55DB" w:rsidP="00CC11A7">
      <w:pPr>
        <w:pStyle w:val="NoSpacing"/>
        <w:numPr>
          <w:ilvl w:val="2"/>
          <w:numId w:val="2"/>
        </w:numPr>
        <w:spacing w:line="360" w:lineRule="auto"/>
        <w:rPr>
          <w:b/>
          <w:bCs/>
        </w:rPr>
      </w:pPr>
      <w:r>
        <w:rPr>
          <w:b/>
          <w:bCs/>
        </w:rPr>
        <w:t>Emissions</w:t>
      </w:r>
    </w:p>
    <w:p w14:paraId="3718303A" w14:textId="65A18489" w:rsidR="007D46A5" w:rsidRDefault="007D46A5" w:rsidP="00E568F2">
      <w:pPr>
        <w:pStyle w:val="NoSpacing"/>
        <w:spacing w:line="360" w:lineRule="auto"/>
        <w:rPr>
          <w:b/>
          <w:bCs/>
        </w:rPr>
      </w:pPr>
    </w:p>
    <w:p w14:paraId="367BD57E" w14:textId="292CBB26" w:rsidR="004F3E69" w:rsidRPr="00B503CD" w:rsidRDefault="007D46A5" w:rsidP="00BA3E62">
      <w:pPr>
        <w:pStyle w:val="NoSpacing"/>
        <w:spacing w:line="360" w:lineRule="auto"/>
        <w:jc w:val="both"/>
        <w:sectPr w:rsidR="004F3E69" w:rsidRPr="00B503CD" w:rsidSect="00336756">
          <w:type w:val="continuous"/>
          <w:pgSz w:w="11906" w:h="16838"/>
          <w:pgMar w:top="1440" w:right="1440" w:bottom="1440" w:left="1440" w:header="708" w:footer="708" w:gutter="0"/>
          <w:lnNumType w:countBy="1" w:restart="continuous"/>
          <w:cols w:space="708"/>
          <w:titlePg/>
          <w:docGrid w:linePitch="360"/>
        </w:sectPr>
      </w:pPr>
      <w:proofErr w:type="gramStart"/>
      <w:r>
        <w:t>In order to</w:t>
      </w:r>
      <w:proofErr w:type="gramEnd"/>
      <w:r>
        <w:t xml:space="preserve"> achieve </w:t>
      </w:r>
      <w:r w:rsidR="00AB7536">
        <w:t>Net Zero</w:t>
      </w:r>
      <w:r>
        <w:t xml:space="preserve"> in any sector, it is essential to</w:t>
      </w:r>
      <w:r w:rsidR="002B6F2E">
        <w:t xml:space="preserve"> first</w:t>
      </w:r>
      <w:r>
        <w:t xml:space="preserve"> </w:t>
      </w:r>
      <w:r w:rsidR="002B6F2E">
        <w:t>gain</w:t>
      </w:r>
      <w:r>
        <w:t xml:space="preserve"> a</w:t>
      </w:r>
      <w:r w:rsidR="00D10C2E">
        <w:t xml:space="preserve">n </w:t>
      </w:r>
      <w:r>
        <w:t>understanding of the</w:t>
      </w:r>
      <w:r w:rsidR="002B6F2E">
        <w:t xml:space="preserve"> </w:t>
      </w:r>
      <w:r>
        <w:t>magnitude of baseline emissions</w:t>
      </w:r>
      <w:r w:rsidR="002B6F2E">
        <w:t xml:space="preserve">. </w:t>
      </w:r>
      <w:r w:rsidR="00D807C8">
        <w:t xml:space="preserve">This not only allows us to consider total emissions but also highlights sources of emissions where there is potential for mitigation. </w:t>
      </w:r>
      <w:r w:rsidR="007D53C2">
        <w:t xml:space="preserve">Considerable </w:t>
      </w:r>
      <w:r w:rsidR="00D807C8">
        <w:t xml:space="preserve">variation was seen between farms in this study, </w:t>
      </w:r>
      <w:r w:rsidR="00CE0201">
        <w:t>reflect</w:t>
      </w:r>
      <w:r w:rsidR="00DC12C6">
        <w:t>ing</w:t>
      </w:r>
      <w:r w:rsidR="00521DCC">
        <w:t xml:space="preserve"> large differences</w:t>
      </w:r>
      <w:r w:rsidR="000D021A">
        <w:t xml:space="preserve"> in </w:t>
      </w:r>
      <w:r w:rsidR="00431952">
        <w:t>size</w:t>
      </w:r>
      <w:r w:rsidR="0022466B">
        <w:t xml:space="preserve">, </w:t>
      </w:r>
      <w:r w:rsidR="000D021A">
        <w:t>land quality</w:t>
      </w:r>
      <w:r w:rsidR="002A67F1">
        <w:t xml:space="preserve">, </w:t>
      </w:r>
      <w:r w:rsidR="000D021A">
        <w:t xml:space="preserve">management systems </w:t>
      </w:r>
      <w:r w:rsidR="002A67F1">
        <w:t>and</w:t>
      </w:r>
      <w:r w:rsidR="000D021A">
        <w:t xml:space="preserve"> efficiency. The farm with the highest product emissions</w:t>
      </w:r>
      <w:r w:rsidR="00A74394">
        <w:t xml:space="preserve"> – Farm K</w:t>
      </w:r>
      <w:r w:rsidR="00DC12C6">
        <w:t>,</w:t>
      </w:r>
      <w:r w:rsidR="00100339">
        <w:t xml:space="preserve"> at 38.5</w:t>
      </w:r>
      <w:r w:rsidR="00100339" w:rsidRPr="00100339">
        <w:rPr>
          <w:rFonts w:cstheme="minorHAnsi"/>
        </w:rPr>
        <w:t xml:space="preserve"> </w:t>
      </w:r>
      <w:r w:rsidR="00100339" w:rsidRPr="00131A43">
        <w:rPr>
          <w:rFonts w:cstheme="minorHAnsi"/>
        </w:rPr>
        <w:t>kg CO</w:t>
      </w:r>
      <w:r w:rsidR="00100339" w:rsidRPr="004A7359">
        <w:rPr>
          <w:rFonts w:cstheme="minorHAnsi"/>
          <w:vertAlign w:val="subscript"/>
        </w:rPr>
        <w:t>2</w:t>
      </w:r>
      <w:r w:rsidR="00100339" w:rsidRPr="00131A43">
        <w:rPr>
          <w:rFonts w:cstheme="minorHAnsi"/>
        </w:rPr>
        <w:t>e</w:t>
      </w:r>
      <w:r w:rsidR="00100339">
        <w:rPr>
          <w:rFonts w:cstheme="minorHAnsi"/>
        </w:rPr>
        <w:t xml:space="preserve"> kg</w:t>
      </w:r>
      <w:r w:rsidR="00100339">
        <w:rPr>
          <w:rFonts w:cstheme="minorHAnsi"/>
          <w:vertAlign w:val="superscript"/>
        </w:rPr>
        <w:t>-1</w:t>
      </w:r>
      <w:r w:rsidR="00100339" w:rsidRPr="00131A43">
        <w:rPr>
          <w:rFonts w:cstheme="minorHAnsi"/>
        </w:rPr>
        <w:t xml:space="preserve"> </w:t>
      </w:r>
      <w:r w:rsidR="001A6ECA">
        <w:rPr>
          <w:rFonts w:cstheme="minorHAnsi"/>
        </w:rPr>
        <w:t>dwt</w:t>
      </w:r>
      <w:r w:rsidR="00DC12C6">
        <w:rPr>
          <w:rFonts w:cstheme="minorHAnsi"/>
        </w:rPr>
        <w:t>,</w:t>
      </w:r>
      <w:r w:rsidR="000D021A">
        <w:t xml:space="preserve"> </w:t>
      </w:r>
      <w:r w:rsidR="002864E2">
        <w:t xml:space="preserve">had </w:t>
      </w:r>
      <w:r w:rsidR="00576E09">
        <w:t>product emissions</w:t>
      </w:r>
      <w:r w:rsidR="002864E2">
        <w:t xml:space="preserve"> </w:t>
      </w:r>
      <w:r w:rsidR="000D021A">
        <w:t xml:space="preserve">almost </w:t>
      </w:r>
      <w:r w:rsidR="00C77043">
        <w:t>three</w:t>
      </w:r>
      <w:r w:rsidR="000D021A">
        <w:t xml:space="preserve"> times that of </w:t>
      </w:r>
      <w:r w:rsidR="002864E2">
        <w:t>the farm with the lowest product emissions</w:t>
      </w:r>
      <w:r w:rsidR="00A74394">
        <w:t xml:space="preserve"> – Farm N</w:t>
      </w:r>
      <w:r w:rsidR="00DC12C6">
        <w:t>,</w:t>
      </w:r>
      <w:r w:rsidR="004209EE">
        <w:t xml:space="preserve"> </w:t>
      </w:r>
      <w:r w:rsidR="00100339">
        <w:t xml:space="preserve">at </w:t>
      </w:r>
      <w:r w:rsidR="004209EE">
        <w:t>13.8</w:t>
      </w:r>
      <w:r w:rsidR="00100339" w:rsidRPr="00100339">
        <w:rPr>
          <w:rFonts w:cstheme="minorHAnsi"/>
        </w:rPr>
        <w:t xml:space="preserve"> </w:t>
      </w:r>
      <w:r w:rsidR="00100339" w:rsidRPr="00131A43">
        <w:rPr>
          <w:rFonts w:cstheme="minorHAnsi"/>
        </w:rPr>
        <w:t>kg CO</w:t>
      </w:r>
      <w:r w:rsidR="00100339" w:rsidRPr="002C4DB2">
        <w:rPr>
          <w:rFonts w:cstheme="minorHAnsi"/>
          <w:vertAlign w:val="subscript"/>
        </w:rPr>
        <w:t>2</w:t>
      </w:r>
      <w:r w:rsidR="00100339" w:rsidRPr="004960DA">
        <w:t>e</w:t>
      </w:r>
      <w:r w:rsidR="00100339">
        <w:rPr>
          <w:rFonts w:cstheme="minorHAnsi"/>
        </w:rPr>
        <w:t xml:space="preserve"> kg</w:t>
      </w:r>
      <w:r w:rsidR="00100339">
        <w:rPr>
          <w:rFonts w:cstheme="minorHAnsi"/>
          <w:vertAlign w:val="superscript"/>
        </w:rPr>
        <w:t>-1</w:t>
      </w:r>
      <w:r w:rsidR="00100339" w:rsidRPr="00131A43">
        <w:rPr>
          <w:rFonts w:cstheme="minorHAnsi"/>
        </w:rPr>
        <w:t xml:space="preserve"> </w:t>
      </w:r>
      <w:r w:rsidR="001A6ECA">
        <w:rPr>
          <w:rFonts w:cstheme="minorHAnsi"/>
        </w:rPr>
        <w:t>dwt</w:t>
      </w:r>
      <w:r w:rsidR="000D021A">
        <w:t xml:space="preserve">, </w:t>
      </w:r>
      <w:r w:rsidR="00BA4E56">
        <w:t>indicating</w:t>
      </w:r>
      <w:r w:rsidR="000D021A">
        <w:t xml:space="preserve"> the opportunity for efficiency gains</w:t>
      </w:r>
      <w:r w:rsidR="005C2821">
        <w:t xml:space="preserve"> (Table 2)</w:t>
      </w:r>
      <w:r w:rsidR="000D021A">
        <w:t>.</w:t>
      </w:r>
      <w:r w:rsidR="00B92FFF" w:rsidRPr="00B92FFF">
        <w:t xml:space="preserve"> </w:t>
      </w:r>
      <w:r w:rsidR="00B92FFF">
        <w:fldChar w:fldCharType="begin"/>
      </w:r>
      <w:r w:rsidR="00B92FFF">
        <w:instrText xml:space="preserve"> ADDIN ZOTERO_ITEM CSL_CITATION {"citationID":"MbNF1YPT","properties":{"formattedCitation":"(Hyland et al., 2016)","plainCitation":"(Hyland et al., 2016)","dontUpdate":true,"noteIndex":0},"citationItems":[{"id":57,"uris":["http://zotero.org/users/6500992/items/V5QXGRXR"],"itemData":{"id":57,"type":"article-journal","container-title":"Agricultural Systems","DOI":"10.1016/j.agsy.2016.06.006","ISSN":"0308521X","journalAbbreviation":"Agricultural Systems","language":"en","page":"123-131","source":"DOI.org (Crossref)","title":"Improving livestock production efficiencies presents a major opportunity to reduce sectoral greenhouse gas emissions","volume":"147","author":[{"family":"Hyland","given":"J.J."},{"family":"Styles","given":"D."},{"family":"Jones","given":"D.L."},{"family":"Williams","given":"A.P."}],"issued":{"date-parts":[["2016",9]]}}}],"schema":"https://github.com/citation-style-language/schema/raw/master/csl-citation.json"} </w:instrText>
      </w:r>
      <w:r w:rsidR="00B92FFF">
        <w:fldChar w:fldCharType="separate"/>
      </w:r>
      <w:r w:rsidR="00B92FFF" w:rsidRPr="000D021A">
        <w:rPr>
          <w:rFonts w:ascii="Calibri" w:hAnsi="Calibri" w:cs="Calibri"/>
        </w:rPr>
        <w:t xml:space="preserve">Hyland et al. </w:t>
      </w:r>
      <w:r w:rsidR="00B92FFF">
        <w:rPr>
          <w:rFonts w:ascii="Calibri" w:hAnsi="Calibri" w:cs="Calibri"/>
        </w:rPr>
        <w:t>(</w:t>
      </w:r>
      <w:r w:rsidR="00B92FFF" w:rsidRPr="000D021A">
        <w:rPr>
          <w:rFonts w:ascii="Calibri" w:hAnsi="Calibri" w:cs="Calibri"/>
        </w:rPr>
        <w:t>2016)</w:t>
      </w:r>
      <w:r w:rsidR="00B92FFF">
        <w:fldChar w:fldCharType="end"/>
      </w:r>
      <w:r w:rsidR="00B92FFF">
        <w:t xml:space="preserve"> demonstrated this potential for emission reductions in the production of Welsh beef and lamb if all enterprises replicated the efficiency levels of the highest-performing produc</w:t>
      </w:r>
      <w:r w:rsidR="00B92FFF" w:rsidRPr="00C91DD0">
        <w:t xml:space="preserve">ers. </w:t>
      </w:r>
      <w:r w:rsidR="0092639A">
        <w:t>Although t</w:t>
      </w:r>
      <w:r w:rsidR="0092639A" w:rsidRPr="00F11DAD">
        <w:t xml:space="preserve">his modelling was carried out on 20 </w:t>
      </w:r>
      <w:r w:rsidR="00D80376">
        <w:t>case study</w:t>
      </w:r>
      <w:r w:rsidR="0073083B">
        <w:t xml:space="preserve"> </w:t>
      </w:r>
      <w:r w:rsidR="0092639A">
        <w:t>farm</w:t>
      </w:r>
      <w:r w:rsidR="003913C0">
        <w:t>s</w:t>
      </w:r>
      <w:r w:rsidR="0092639A">
        <w:t xml:space="preserve"> </w:t>
      </w:r>
      <w:r w:rsidR="0037508E">
        <w:t xml:space="preserve">in </w:t>
      </w:r>
      <w:r w:rsidR="0037508E" w:rsidRPr="003913C0">
        <w:t>Wales</w:t>
      </w:r>
      <w:r w:rsidR="003913C0" w:rsidRPr="003913C0">
        <w:t>, and therefore the aim was not to generate statistically scalable results,</w:t>
      </w:r>
      <w:r w:rsidR="003913C0">
        <w:t xml:space="preserve"> </w:t>
      </w:r>
      <w:r w:rsidR="00B628BA">
        <w:t xml:space="preserve">this </w:t>
      </w:r>
      <w:r w:rsidR="00D80376">
        <w:t>principle</w:t>
      </w:r>
      <w:r w:rsidR="0073083B">
        <w:t xml:space="preserve"> </w:t>
      </w:r>
      <w:r w:rsidR="00B628BA">
        <w:t xml:space="preserve">applies </w:t>
      </w:r>
      <w:r w:rsidR="0092639A">
        <w:t>at a global as well as local level.</w:t>
      </w:r>
      <w:r w:rsidR="00AA3805">
        <w:t xml:space="preserve"> For example,</w:t>
      </w:r>
      <w:r w:rsidR="0063594F">
        <w:t xml:space="preserve"> </w:t>
      </w:r>
      <w:r w:rsidR="0063594F">
        <w:fldChar w:fldCharType="begin"/>
      </w:r>
      <w:r w:rsidR="0063594F">
        <w:instrText xml:space="preserve"> ADDIN ZOTERO_ITEM CSL_CITATION {"citationID":"TLjJlTqe","properties":{"formattedCitation":"(Costa et al., 2022)","plainCitation":"(Costa et al., 2022)","noteIndex":0},"citationItems":[{"id":1158,"uris":["http://zotero.org/users/6500992/items/PHF5AGUF"],"itemData":{"id":1158,"type":"article-journal","abstract":"Food systems (FSs) emit ~ 20 GtCO2e/y (~ 35% of global greenhouse gas emissions). This level tends to raise given the expected increases in food demands, which may threaten global climate targets. Through a rapid assessment, evaluating 60+ scenarios based on existing low-emission and carbon sequestration practices, we estimate that intensifying FSs could reduce its emissions from 21.4 to − 2.0 GtCO2e/y and address increasing food demands without relying on carbon offsets (e.g., related to afforestation and reforestation programs). However, given historical trends and regional contexts, a more diverse portfolio of practices, including diet shifts and new-horizon technologies, will be needed to increase the feasibility of achieving net-zero FSs. One likely pathway consists of implementing practices that shift food production to the 30th-percentile of least emission-intensive FSs (~ 45% emissions reduction), sequester carbon at 50% of its potential (~ 5 GtCO2e/y) and adopt diet shifts and new-horizon technologies (~ 6 GtCO2e/y). For a successful transition to happen, the global FSs would, in the next decade (2020s), need to implement cost-effective mitigation practices and technologies, supported by improvements in countries’ governance and technical assistance, innovative financial mechanisms and research focused on making affordable technologies in the following two decades (2030–2050). This work provides options and a vision to guide global FSs to achieving net-zero by 2050.","container-title":"Scientific Reports","DOI":"10.1038/s41598-022-18601-1","ISSN":"2045-2322","issue":"1","journalAbbreviation":"Sci Rep","language":"en","license":"2022 The Author(s)","note":"number: 1\npublisher: Nature Publishing Group","page":"15064","source":"www.nature.com","title":"Roadmap for achieving net-zero emissions in global food systems by 2050","volume":"12","author":[{"family":"Costa","given":"Ciniro"},{"family":"Wollenberg","given":"Eva"},{"family":"Benitez","given":"Mauricio"},{"family":"Newman","given":"Richard"},{"family":"Gardner","given":"Nick"},{"family":"Bellone","given":"Federico"}],"issued":{"date-parts":[["2022",9,5]]}}}],"schema":"https://github.com/citation-style-language/schema/raw/master/csl-citation.json"} </w:instrText>
      </w:r>
      <w:r w:rsidR="0063594F">
        <w:fldChar w:fldCharType="separate"/>
      </w:r>
      <w:r w:rsidR="0063594F" w:rsidRPr="0063594F">
        <w:rPr>
          <w:rFonts w:ascii="Calibri" w:hAnsi="Calibri" w:cs="Calibri"/>
        </w:rPr>
        <w:t xml:space="preserve">Costa et al. </w:t>
      </w:r>
      <w:r w:rsidR="0063594F">
        <w:rPr>
          <w:rFonts w:ascii="Calibri" w:hAnsi="Calibri" w:cs="Calibri"/>
        </w:rPr>
        <w:t>(</w:t>
      </w:r>
      <w:r w:rsidR="0063594F" w:rsidRPr="0063594F">
        <w:rPr>
          <w:rFonts w:ascii="Calibri" w:hAnsi="Calibri" w:cs="Calibri"/>
        </w:rPr>
        <w:t>2022)</w:t>
      </w:r>
      <w:r w:rsidR="0063594F">
        <w:fldChar w:fldCharType="end"/>
      </w:r>
      <w:r w:rsidR="0063594F">
        <w:t xml:space="preserve"> found </w:t>
      </w:r>
      <w:r w:rsidR="00343DFB">
        <w:t xml:space="preserve">global food systems could reduce emissions by 45% </w:t>
      </w:r>
      <w:r w:rsidR="0063594F">
        <w:t xml:space="preserve">if  </w:t>
      </w:r>
      <w:r w:rsidR="00C83390">
        <w:t>all food production was shifted to the 30</w:t>
      </w:r>
      <w:r w:rsidR="00C83390" w:rsidRPr="00D23EB5">
        <w:rPr>
          <w:vertAlign w:val="superscript"/>
        </w:rPr>
        <w:t>th</w:t>
      </w:r>
      <w:r w:rsidR="00C83390">
        <w:t xml:space="preserve">-percentile of the least emission-intensive </w:t>
      </w:r>
      <w:r w:rsidR="008F6B85">
        <w:t>systems</w:t>
      </w:r>
      <w:r w:rsidR="00D94DFB">
        <w:t>.</w:t>
      </w:r>
      <w:r w:rsidR="00D23EB5" w:rsidRPr="00D23EB5">
        <w:t xml:space="preserve"> </w:t>
      </w:r>
      <w:r w:rsidR="00D23EB5" w:rsidRPr="00C91DD0">
        <w:t>However, these efficiency gains must be made sustainably to avoid an unintended increase in total emissions</w:t>
      </w:r>
      <w:r w:rsidR="00040933">
        <w:t>,</w:t>
      </w:r>
      <w:r w:rsidR="00D23EB5" w:rsidRPr="00C91DD0">
        <w:t xml:space="preserve"> i.e., by increasing livestock numbers across the </w:t>
      </w:r>
      <w:proofErr w:type="gramStart"/>
      <w:r w:rsidR="00D23EB5" w:rsidRPr="00C91DD0">
        <w:t>sector as a whole</w:t>
      </w:r>
      <w:proofErr w:type="gramEnd"/>
      <w:r w:rsidR="00D23EB5" w:rsidRPr="00C91DD0">
        <w:t>.</w:t>
      </w:r>
      <w:r w:rsidR="00D23EB5">
        <w:t xml:space="preserve">  </w:t>
      </w:r>
    </w:p>
    <w:p w14:paraId="0385D9AA" w14:textId="77777777" w:rsidR="0092639A" w:rsidRDefault="0092639A" w:rsidP="00BA3E62">
      <w:pPr>
        <w:pStyle w:val="NoSpacing"/>
        <w:spacing w:line="360" w:lineRule="auto"/>
        <w:jc w:val="both"/>
      </w:pPr>
    </w:p>
    <w:p w14:paraId="5F78A64D" w14:textId="1F5D1326" w:rsidR="00B769D9" w:rsidRDefault="0097172A" w:rsidP="00BA3E62">
      <w:pPr>
        <w:pStyle w:val="NoSpacing"/>
        <w:spacing w:line="360" w:lineRule="auto"/>
        <w:jc w:val="both"/>
      </w:pPr>
      <w:r>
        <w:t>Despite</w:t>
      </w:r>
      <w:r w:rsidR="00A74394">
        <w:t xml:space="preserve"> </w:t>
      </w:r>
      <w:r w:rsidR="006907A1">
        <w:t>F</w:t>
      </w:r>
      <w:r w:rsidR="00A74394">
        <w:t>arm N ha</w:t>
      </w:r>
      <w:r>
        <w:t>ving</w:t>
      </w:r>
      <w:r w:rsidR="00A74394">
        <w:t xml:space="preserve"> the lowest product emissions, it also </w:t>
      </w:r>
      <w:r w:rsidR="00CC64B6" w:rsidRPr="00A10E06">
        <w:t xml:space="preserve">had a notably high </w:t>
      </w:r>
      <w:r w:rsidR="00CC64B6">
        <w:t>farm</w:t>
      </w:r>
      <w:r w:rsidR="0073083B">
        <w:t>-</w:t>
      </w:r>
      <w:r w:rsidR="00CC64B6">
        <w:t xml:space="preserve">level GHG emissions </w:t>
      </w:r>
      <w:r w:rsidR="0073083B">
        <w:t xml:space="preserve">– </w:t>
      </w:r>
      <w:r w:rsidR="00CC64B6">
        <w:t>mostly a reflection of the enteric emissions associated with their large livestock numbers (Table 2)</w:t>
      </w:r>
      <w:r w:rsidR="00CC64B6" w:rsidRPr="00A10E06">
        <w:t>.</w:t>
      </w:r>
      <w:r w:rsidR="00A74394">
        <w:t xml:space="preserve"> </w:t>
      </w:r>
      <w:r w:rsidR="00CC64B6">
        <w:t xml:space="preserve">This shows </w:t>
      </w:r>
      <w:r w:rsidR="00CC64B6" w:rsidRPr="00A10E06">
        <w:t>that the most efficient farm</w:t>
      </w:r>
      <w:r w:rsidR="00CC64B6">
        <w:t xml:space="preserve">s in terms of </w:t>
      </w:r>
      <w:r w:rsidR="00CC64B6" w:rsidRPr="00020D19">
        <w:t xml:space="preserve">emissions intensity are not always those </w:t>
      </w:r>
      <w:r w:rsidR="00CC64B6" w:rsidRPr="00020D19">
        <w:lastRenderedPageBreak/>
        <w:t xml:space="preserve">with the lowest </w:t>
      </w:r>
      <w:r w:rsidR="00CC64B6">
        <w:t>farm-level emissions</w:t>
      </w:r>
      <w:r w:rsidR="00CC64B6" w:rsidRPr="00020D19">
        <w:t xml:space="preserve"> due to higher stocking densities</w:t>
      </w:r>
      <w:r w:rsidR="00287D9A">
        <w:t>.</w:t>
      </w:r>
      <w:r w:rsidR="0082597D">
        <w:t xml:space="preserve"> This </w:t>
      </w:r>
      <w:r w:rsidR="001B372F">
        <w:t>highlights</w:t>
      </w:r>
      <w:r w:rsidR="0082597D">
        <w:t xml:space="preserve"> an important</w:t>
      </w:r>
      <w:r w:rsidR="00773516">
        <w:t xml:space="preserve"> global</w:t>
      </w:r>
      <w:r w:rsidR="0082597D">
        <w:t xml:space="preserve"> issue</w:t>
      </w:r>
      <w:r w:rsidR="001B372F">
        <w:t xml:space="preserve"> that although food production </w:t>
      </w:r>
      <w:r w:rsidR="00497867">
        <w:t xml:space="preserve">must be increased </w:t>
      </w:r>
      <w:r w:rsidR="001B372F">
        <w:t xml:space="preserve">to feed a growing population, </w:t>
      </w:r>
      <w:r w:rsidR="00AB48EE">
        <w:t>this</w:t>
      </w:r>
      <w:r w:rsidR="001B372F">
        <w:t xml:space="preserve"> must </w:t>
      </w:r>
      <w:r w:rsidR="00AB48EE">
        <w:t>be done</w:t>
      </w:r>
      <w:r w:rsidR="001B372F">
        <w:t xml:space="preserve"> sustainably </w:t>
      </w:r>
      <w:r w:rsidR="000111FB">
        <w:t>to avoid increasing</w:t>
      </w:r>
      <w:r w:rsidR="001B372F">
        <w:t xml:space="preserve"> </w:t>
      </w:r>
      <w:r w:rsidR="003D6CAC">
        <w:t>net GHG</w:t>
      </w:r>
      <w:r w:rsidR="001B372F">
        <w:t xml:space="preserve"> </w:t>
      </w:r>
      <w:r w:rsidR="000111FB">
        <w:t>emissions</w:t>
      </w:r>
      <w:r w:rsidR="00773516">
        <w:t xml:space="preserve"> </w:t>
      </w:r>
      <w:r w:rsidR="00773516">
        <w:fldChar w:fldCharType="begin"/>
      </w:r>
      <w:r w:rsidR="00773516">
        <w:instrText xml:space="preserve"> ADDIN ZOTERO_ITEM CSL_CITATION {"citationID":"UxPxDgPo","properties":{"formattedCitation":"(Costa et al., 2022)","plainCitation":"(Costa et al., 2022)","noteIndex":0},"citationItems":[{"id":1158,"uris":["http://zotero.org/users/6500992/items/PHF5AGUF"],"itemData":{"id":1158,"type":"article-journal","abstract":"Food systems (FSs) emit ~ 20 GtCO2e/y (~ 35% of global greenhouse gas emissions). This level tends to raise given the expected increases in food demands, which may threaten global climate targets. Through a rapid assessment, evaluating 60+ scenarios based on existing low-emission and carbon sequestration practices, we estimate that intensifying FSs could reduce its emissions from 21.4 to − 2.0 GtCO2e/y and address increasing food demands without relying on carbon offsets (e.g., related to afforestation and reforestation programs). However, given historical trends and regional contexts, a more diverse portfolio of practices, including diet shifts and new-horizon technologies, will be needed to increase the feasibility of achieving net-zero FSs. One likely pathway consists of implementing practices that shift food production to the 30th-percentile of least emission-intensive FSs (~ 45% emissions reduction), sequester carbon at 50% of its potential (~ 5 GtCO2e/y) and adopt diet shifts and new-horizon technologies (~ 6 GtCO2e/y). For a successful transition to happen, the global FSs would, in the next decade (2020s), need to implement cost-effective mitigation practices and technologies, supported by improvements in countries’ governance and technical assistance, innovative financial mechanisms and research focused on making affordable technologies in the following two decades (2030–2050). This work provides options and a vision to guide global FSs to achieving net-zero by 2050.","container-title":"Scientific Reports","DOI":"10.1038/s41598-022-18601-1","ISSN":"2045-2322","issue":"1","journalAbbreviation":"Sci Rep","language":"en","license":"2022 The Author(s)","note":"number: 1\npublisher: Nature Publishing Group","page":"15064","source":"www.nature.com","title":"Roadmap for achieving net-zero emissions in global food systems by 2050","volume":"12","author":[{"family":"Costa","given":"Ciniro"},{"family":"Wollenberg","given":"Eva"},{"family":"Benitez","given":"Mauricio"},{"family":"Newman","given":"Richard"},{"family":"Gardner","given":"Nick"},{"family":"Bellone","given":"Federico"}],"issued":{"date-parts":[["2022",9,5]]}}}],"schema":"https://github.com/citation-style-language/schema/raw/master/csl-citation.json"} </w:instrText>
      </w:r>
      <w:r w:rsidR="00773516">
        <w:fldChar w:fldCharType="separate"/>
      </w:r>
      <w:r w:rsidR="00773516" w:rsidRPr="00773516">
        <w:rPr>
          <w:rFonts w:ascii="Calibri" w:hAnsi="Calibri" w:cs="Calibri"/>
        </w:rPr>
        <w:t>(Costa et al., 2022)</w:t>
      </w:r>
      <w:r w:rsidR="00773516">
        <w:fldChar w:fldCharType="end"/>
      </w:r>
      <w:r w:rsidR="001B372F">
        <w:t>.</w:t>
      </w:r>
      <w:r w:rsidR="0073083B">
        <w:t xml:space="preserve"> </w:t>
      </w:r>
    </w:p>
    <w:p w14:paraId="620D220D" w14:textId="6D015130" w:rsidR="00BA4E56" w:rsidRDefault="002B65D9" w:rsidP="00BA3E62">
      <w:pPr>
        <w:pStyle w:val="NoSpacing"/>
        <w:spacing w:line="360" w:lineRule="auto"/>
        <w:jc w:val="both"/>
      </w:pPr>
      <w:r>
        <w:t>This also highlights another key consideration that displacing production from those efficient farms (with a low product footprint) to less efficient farms (which need a greater number of inputs and/or livestock to generate the same amount of product) could lead to an overall increase in emissions across the sector.</w:t>
      </w:r>
      <w:r w:rsidR="00F86852">
        <w:t xml:space="preserve"> </w:t>
      </w:r>
      <w:r w:rsidR="004E6DB7">
        <w:t>Conducting</w:t>
      </w:r>
      <w:r w:rsidR="000055AE">
        <w:t xml:space="preserve"> a full</w:t>
      </w:r>
      <w:r w:rsidR="00F86852">
        <w:t xml:space="preserve"> consequential LCA could </w:t>
      </w:r>
      <w:r w:rsidR="00ED25CB">
        <w:t xml:space="preserve">account </w:t>
      </w:r>
      <w:r w:rsidR="007D10BC">
        <w:t>for</w:t>
      </w:r>
      <w:r w:rsidR="00ED25CB">
        <w:t xml:space="preserve"> this</w:t>
      </w:r>
      <w:r w:rsidR="007D10BC">
        <w:t xml:space="preserve"> potential displaced production.</w:t>
      </w:r>
    </w:p>
    <w:p w14:paraId="30280718" w14:textId="77777777" w:rsidR="002B65D9" w:rsidRDefault="002B65D9" w:rsidP="00BA3E62">
      <w:pPr>
        <w:pStyle w:val="NoSpacing"/>
        <w:spacing w:line="360" w:lineRule="auto"/>
        <w:jc w:val="both"/>
      </w:pPr>
    </w:p>
    <w:p w14:paraId="64196DA6" w14:textId="4E55D6D8" w:rsidR="003401A4" w:rsidRDefault="00D10C2E" w:rsidP="00BA3E62">
      <w:pPr>
        <w:pStyle w:val="NoSpacing"/>
        <w:spacing w:line="360" w:lineRule="auto"/>
        <w:jc w:val="both"/>
        <w:rPr>
          <w:color w:val="000000" w:themeColor="text1"/>
        </w:rPr>
      </w:pPr>
      <w:r>
        <w:t xml:space="preserve">Farm type had little </w:t>
      </w:r>
      <w:r w:rsidR="00835BF9">
        <w:t xml:space="preserve">apparent </w:t>
      </w:r>
      <w:r>
        <w:t>influence o</w:t>
      </w:r>
      <w:r w:rsidR="008D1FDA">
        <w:t>n</w:t>
      </w:r>
      <w:r>
        <w:t xml:space="preserve"> product emissions, with considerable overlap </w:t>
      </w:r>
      <w:r w:rsidR="00E826AD">
        <w:t xml:space="preserve">in values </w:t>
      </w:r>
      <w:r>
        <w:t xml:space="preserve">between </w:t>
      </w:r>
      <w:r w:rsidR="00E826AD">
        <w:t xml:space="preserve">hill, </w:t>
      </w:r>
      <w:proofErr w:type="gramStart"/>
      <w:r w:rsidR="00E826AD">
        <w:t>upland</w:t>
      </w:r>
      <w:proofErr w:type="gramEnd"/>
      <w:r w:rsidR="00E826AD">
        <w:t xml:space="preserve"> and lowland farms</w:t>
      </w:r>
      <w:r w:rsidR="0023573B">
        <w:t xml:space="preserve"> (Table 2)</w:t>
      </w:r>
      <w:r w:rsidR="00E826AD">
        <w:t xml:space="preserve">. In general, lowland farms used more inputs which contributed to a greater </w:t>
      </w:r>
      <w:r w:rsidR="00E826AD" w:rsidRPr="000139CC">
        <w:t>weight</w:t>
      </w:r>
      <w:r w:rsidR="00E826AD">
        <w:t xml:space="preserve"> of products over which those inputs </w:t>
      </w:r>
      <w:r w:rsidR="00CE0201">
        <w:t>were</w:t>
      </w:r>
      <w:r w:rsidR="00E826AD">
        <w:t xml:space="preserve"> divided. Hill farms required fewer inputs</w:t>
      </w:r>
      <w:r w:rsidR="006809BB">
        <w:t>,</w:t>
      </w:r>
      <w:r w:rsidR="00E826AD">
        <w:t xml:space="preserve"> however</w:t>
      </w:r>
      <w:r w:rsidR="000F19F0">
        <w:t>,</w:t>
      </w:r>
      <w:r w:rsidR="00E826AD">
        <w:t xml:space="preserve"> livestock produced on hill systems were often </w:t>
      </w:r>
      <w:r w:rsidR="00CB464E">
        <w:t>sold at</w:t>
      </w:r>
      <w:r w:rsidR="00E826AD">
        <w:t xml:space="preserve"> a lower weight. Moreover, the </w:t>
      </w:r>
      <w:r w:rsidR="00371E1D">
        <w:t xml:space="preserve">farms with the highest and lowest </w:t>
      </w:r>
      <w:r w:rsidR="00235542">
        <w:t xml:space="preserve">total emissions </w:t>
      </w:r>
      <w:r w:rsidR="00E826AD">
        <w:t xml:space="preserve">were </w:t>
      </w:r>
      <w:r w:rsidR="000139CC">
        <w:t xml:space="preserve">both </w:t>
      </w:r>
      <w:r w:rsidR="00E826AD">
        <w:t>the same farm type (hill).</w:t>
      </w:r>
      <w:r w:rsidR="00B41203">
        <w:t xml:space="preserve"> </w:t>
      </w:r>
      <w:r w:rsidR="005D41A9">
        <w:t xml:space="preserve">There was also </w:t>
      </w:r>
      <w:r w:rsidR="003246CE">
        <w:t xml:space="preserve">no clear association between farm </w:t>
      </w:r>
      <w:r w:rsidR="00307A02">
        <w:t xml:space="preserve">product </w:t>
      </w:r>
      <w:r w:rsidR="003246CE">
        <w:t>emissions and farm size or stock numbers across farm types</w:t>
      </w:r>
      <w:r w:rsidR="00261A1D">
        <w:t xml:space="preserve"> (Table 2)</w:t>
      </w:r>
      <w:r w:rsidR="003246CE">
        <w:t xml:space="preserve">. This may in part reflect the small sample size in </w:t>
      </w:r>
      <w:r w:rsidR="003246CE" w:rsidRPr="00C77043">
        <w:rPr>
          <w:color w:val="000000" w:themeColor="text1"/>
        </w:rPr>
        <w:t>some categories</w:t>
      </w:r>
      <w:r w:rsidR="009E625F">
        <w:rPr>
          <w:color w:val="000000" w:themeColor="text1"/>
        </w:rPr>
        <w:t>,</w:t>
      </w:r>
      <w:r w:rsidR="003246CE" w:rsidRPr="00C77043">
        <w:rPr>
          <w:color w:val="000000" w:themeColor="text1"/>
        </w:rPr>
        <w:t xml:space="preserve"> however</w:t>
      </w:r>
      <w:r w:rsidR="000F19F0">
        <w:rPr>
          <w:color w:val="000000" w:themeColor="text1"/>
        </w:rPr>
        <w:t>,</w:t>
      </w:r>
      <w:r w:rsidR="003246CE" w:rsidRPr="00C77043">
        <w:rPr>
          <w:color w:val="000000" w:themeColor="text1"/>
        </w:rPr>
        <w:t xml:space="preserve"> farm size has also been shown in other studies to have no effect of emission intensity </w:t>
      </w:r>
      <w:r w:rsidR="003246CE" w:rsidRPr="00C77043">
        <w:rPr>
          <w:color w:val="000000" w:themeColor="text1"/>
        </w:rPr>
        <w:fldChar w:fldCharType="begin"/>
      </w:r>
      <w:r w:rsidR="003246CE" w:rsidRPr="00C77043">
        <w:rPr>
          <w:color w:val="000000" w:themeColor="text1"/>
        </w:rPr>
        <w:instrText xml:space="preserve"> ADDIN ZOTERO_ITEM CSL_CITATION {"citationID":"XyDomgqm","properties":{"formattedCitation":"(Hyland et al., 2016)","plainCitation":"(Hyland et al., 2016)","noteIndex":0},"citationItems":[{"id":57,"uris":["http://zotero.org/users/6500992/items/V5QXGRXR"],"itemData":{"id":57,"type":"article-journal","container-title":"Agricultural Systems","DOI":"10.1016/j.agsy.2016.06.006","ISSN":"0308521X","journalAbbreviation":"Agricultural Systems","language":"en","page":"123-131","source":"DOI.org (Crossref)","title":"Improving livestock production efficiencies presents a major opportunity to reduce sectoral greenhouse gas emissions","volume":"147","author":[{"family":"Hyland","given":"J.J."},{"family":"Styles","given":"D."},{"family":"Jones","given":"D.L."},{"family":"Williams","given":"A.P."}],"issued":{"date-parts":[["2016",9]]}}}],"schema":"https://github.com/citation-style-language/schema/raw/master/csl-citation.json"} </w:instrText>
      </w:r>
      <w:r w:rsidR="003246CE" w:rsidRPr="00C77043">
        <w:rPr>
          <w:color w:val="000000" w:themeColor="text1"/>
        </w:rPr>
        <w:fldChar w:fldCharType="separate"/>
      </w:r>
      <w:r w:rsidR="00A573B5" w:rsidRPr="00A573B5">
        <w:rPr>
          <w:rFonts w:ascii="Calibri" w:hAnsi="Calibri" w:cs="Calibri"/>
        </w:rPr>
        <w:t>(Hyland et al., 2016)</w:t>
      </w:r>
      <w:r w:rsidR="003246CE" w:rsidRPr="00C77043">
        <w:rPr>
          <w:color w:val="000000" w:themeColor="text1"/>
        </w:rPr>
        <w:fldChar w:fldCharType="end"/>
      </w:r>
      <w:r w:rsidR="003246CE" w:rsidRPr="00C77043">
        <w:rPr>
          <w:color w:val="000000" w:themeColor="text1"/>
        </w:rPr>
        <w:t>.</w:t>
      </w:r>
      <w:r w:rsidR="005D41A9" w:rsidRPr="00C77043">
        <w:rPr>
          <w:color w:val="000000" w:themeColor="text1"/>
        </w:rPr>
        <w:t xml:space="preserve"> </w:t>
      </w:r>
      <w:r w:rsidR="00E826AD" w:rsidRPr="00C77043">
        <w:rPr>
          <w:color w:val="000000" w:themeColor="text1"/>
        </w:rPr>
        <w:t xml:space="preserve">These results reiterate the </w:t>
      </w:r>
      <w:r w:rsidR="003246CE" w:rsidRPr="00C77043">
        <w:rPr>
          <w:color w:val="000000" w:themeColor="text1"/>
        </w:rPr>
        <w:t>importance of management system</w:t>
      </w:r>
      <w:r w:rsidR="005D41A9" w:rsidRPr="00C77043">
        <w:rPr>
          <w:color w:val="000000" w:themeColor="text1"/>
        </w:rPr>
        <w:t>s</w:t>
      </w:r>
      <w:r w:rsidR="003246CE" w:rsidRPr="00C77043">
        <w:rPr>
          <w:color w:val="000000" w:themeColor="text1"/>
        </w:rPr>
        <w:t xml:space="preserve"> as </w:t>
      </w:r>
      <w:r w:rsidR="005D41A9" w:rsidRPr="00C77043">
        <w:rPr>
          <w:color w:val="000000" w:themeColor="text1"/>
        </w:rPr>
        <w:t>opposed</w:t>
      </w:r>
      <w:r w:rsidR="003246CE" w:rsidRPr="00C77043">
        <w:rPr>
          <w:color w:val="000000" w:themeColor="text1"/>
        </w:rPr>
        <w:t xml:space="preserve"> to geographical factors on</w:t>
      </w:r>
      <w:r w:rsidR="000139CC">
        <w:rPr>
          <w:color w:val="000000" w:themeColor="text1"/>
        </w:rPr>
        <w:t xml:space="preserve"> product</w:t>
      </w:r>
      <w:r w:rsidR="003246CE" w:rsidRPr="00C77043">
        <w:rPr>
          <w:color w:val="000000" w:themeColor="text1"/>
        </w:rPr>
        <w:t xml:space="preserve"> carbon footprints.</w:t>
      </w:r>
    </w:p>
    <w:p w14:paraId="5DAEDA38" w14:textId="77777777" w:rsidR="00EB62AE" w:rsidRDefault="00EB62AE" w:rsidP="00BA3E62">
      <w:pPr>
        <w:pStyle w:val="NoSpacing"/>
        <w:spacing w:line="360" w:lineRule="auto"/>
        <w:jc w:val="both"/>
      </w:pPr>
    </w:p>
    <w:p w14:paraId="2BD51D43" w14:textId="15694B9B" w:rsidR="001B0192" w:rsidRDefault="0017744B" w:rsidP="00BA3E62">
      <w:pPr>
        <w:pStyle w:val="NoSpacing"/>
        <w:spacing w:line="360" w:lineRule="auto"/>
        <w:jc w:val="both"/>
      </w:pPr>
      <w:r w:rsidRPr="000139CC">
        <w:t xml:space="preserve">Production area footprints </w:t>
      </w:r>
      <w:r w:rsidR="00923B8B" w:rsidRPr="000139CC">
        <w:t xml:space="preserve">appear to be lower on lowland farms at 42.3 </w:t>
      </w:r>
      <w:r w:rsidR="00923B8B" w:rsidRPr="000139CC">
        <w:rPr>
          <w:rFonts w:ascii="Calibri" w:hAnsi="Calibri" w:cs="Calibri"/>
        </w:rPr>
        <w:t>m</w:t>
      </w:r>
      <w:proofErr w:type="gramStart"/>
      <w:r w:rsidR="00923B8B" w:rsidRPr="000139CC">
        <w:rPr>
          <w:rFonts w:ascii="Calibri" w:hAnsi="Calibri" w:cs="Calibri"/>
        </w:rPr>
        <w:t>².yr</w:t>
      </w:r>
      <w:proofErr w:type="gramEnd"/>
      <w:r w:rsidR="00923B8B" w:rsidRPr="000139CC">
        <w:rPr>
          <w:rFonts w:ascii="Calibri" w:hAnsi="Calibri" w:cs="Calibri"/>
        </w:rPr>
        <w:t xml:space="preserve"> kg</w:t>
      </w:r>
      <w:r w:rsidR="00923B8B" w:rsidRPr="000139CC">
        <w:rPr>
          <w:rFonts w:ascii="Calibri" w:hAnsi="Calibri" w:cs="Calibri"/>
          <w:vertAlign w:val="superscript"/>
        </w:rPr>
        <w:t>-1</w:t>
      </w:r>
      <w:r w:rsidR="00287F54">
        <w:rPr>
          <w:rFonts w:ascii="Calibri" w:hAnsi="Calibri" w:cs="Calibri"/>
        </w:rPr>
        <w:t xml:space="preserve"> dwt </w:t>
      </w:r>
      <w:r w:rsidR="007B73EE" w:rsidRPr="000139CC">
        <w:rPr>
          <w:rFonts w:ascii="Calibri" w:hAnsi="Calibri" w:cs="Calibri"/>
        </w:rPr>
        <w:t>than on</w:t>
      </w:r>
      <w:r w:rsidR="00923B8B" w:rsidRPr="000139CC">
        <w:rPr>
          <w:rFonts w:ascii="Calibri" w:hAnsi="Calibri" w:cs="Calibri"/>
        </w:rPr>
        <w:t xml:space="preserve"> hill and upland</w:t>
      </w:r>
      <w:r w:rsidR="009E0F38" w:rsidRPr="000139CC">
        <w:rPr>
          <w:rFonts w:ascii="Calibri" w:hAnsi="Calibri" w:cs="Calibri"/>
        </w:rPr>
        <w:t xml:space="preserve"> (</w:t>
      </w:r>
      <w:r w:rsidR="00923B8B" w:rsidRPr="000139CC">
        <w:t>66.3</w:t>
      </w:r>
      <w:r w:rsidR="00923B8B" w:rsidRPr="000139CC">
        <w:rPr>
          <w:rFonts w:ascii="Calibri" w:hAnsi="Calibri" w:cs="Calibri"/>
        </w:rPr>
        <w:t xml:space="preserve"> m².yr kg</w:t>
      </w:r>
      <w:r w:rsidR="00923B8B" w:rsidRPr="000139CC">
        <w:rPr>
          <w:rFonts w:ascii="Calibri" w:hAnsi="Calibri" w:cs="Calibri"/>
          <w:vertAlign w:val="superscript"/>
        </w:rPr>
        <w:t>-1</w:t>
      </w:r>
      <w:r w:rsidR="00287F54">
        <w:t xml:space="preserve"> dwt </w:t>
      </w:r>
      <w:r w:rsidR="00923B8B" w:rsidRPr="000139CC">
        <w:t>and 53.2</w:t>
      </w:r>
      <w:r w:rsidR="00923B8B" w:rsidRPr="000139CC">
        <w:rPr>
          <w:rFonts w:ascii="Calibri" w:hAnsi="Calibri" w:cs="Calibri"/>
        </w:rPr>
        <w:t xml:space="preserve"> m².yr kg</w:t>
      </w:r>
      <w:r w:rsidR="00923B8B" w:rsidRPr="000139CC">
        <w:rPr>
          <w:rFonts w:ascii="Calibri" w:hAnsi="Calibri" w:cs="Calibri"/>
          <w:vertAlign w:val="superscript"/>
        </w:rPr>
        <w:t>-1</w:t>
      </w:r>
      <w:r w:rsidR="002B3642">
        <w:rPr>
          <w:rFonts w:ascii="Calibri" w:hAnsi="Calibri" w:cs="Calibri"/>
        </w:rPr>
        <w:t xml:space="preserve"> </w:t>
      </w:r>
      <w:r w:rsidR="001A6ECA">
        <w:rPr>
          <w:rFonts w:ascii="Calibri" w:hAnsi="Calibri" w:cs="Calibri"/>
        </w:rPr>
        <w:t>dwt</w:t>
      </w:r>
      <w:r w:rsidR="000139CC" w:rsidRPr="000139CC">
        <w:rPr>
          <w:rFonts w:ascii="Calibri" w:hAnsi="Calibri" w:cs="Calibri"/>
        </w:rPr>
        <w:t xml:space="preserve">, </w:t>
      </w:r>
      <w:r w:rsidR="00923B8B" w:rsidRPr="000139CC">
        <w:t>respectively</w:t>
      </w:r>
      <w:r w:rsidR="009E0F38" w:rsidRPr="000139CC">
        <w:t>)</w:t>
      </w:r>
      <w:r w:rsidR="00261A1D">
        <w:t xml:space="preserve"> (Figure C.20)</w:t>
      </w:r>
      <w:r w:rsidR="00923B8B" w:rsidRPr="000139CC">
        <w:t>.</w:t>
      </w:r>
      <w:r w:rsidR="00923B8B" w:rsidRPr="000139CC">
        <w:rPr>
          <w:rFonts w:ascii="Calibri" w:hAnsi="Calibri" w:cs="Calibri"/>
        </w:rPr>
        <w:t xml:space="preserve"> </w:t>
      </w:r>
      <w:r w:rsidR="000767DD" w:rsidRPr="000139CC">
        <w:rPr>
          <w:rFonts w:ascii="Calibri" w:hAnsi="Calibri" w:cs="Calibri"/>
        </w:rPr>
        <w:t xml:space="preserve">However, </w:t>
      </w:r>
      <w:r w:rsidR="008748AC">
        <w:rPr>
          <w:rFonts w:ascii="Calibri" w:hAnsi="Calibri" w:cs="Calibri"/>
        </w:rPr>
        <w:t xml:space="preserve">although study farms were deemed by sectoral stakeholders to be representative </w:t>
      </w:r>
      <w:r w:rsidR="00F933E6">
        <w:rPr>
          <w:rFonts w:ascii="Calibri" w:hAnsi="Calibri" w:cs="Calibri"/>
        </w:rPr>
        <w:t xml:space="preserve">of their respective “types”, </w:t>
      </w:r>
      <w:r w:rsidR="000767DD" w:rsidRPr="000139CC">
        <w:rPr>
          <w:rFonts w:ascii="Calibri" w:hAnsi="Calibri" w:cs="Calibri"/>
        </w:rPr>
        <w:t>with only three lowland farms in this study</w:t>
      </w:r>
      <w:r w:rsidR="005556A1">
        <w:rPr>
          <w:rFonts w:ascii="Calibri" w:hAnsi="Calibri" w:cs="Calibri"/>
        </w:rPr>
        <w:t>,</w:t>
      </w:r>
      <w:r w:rsidR="000767DD" w:rsidRPr="000139CC">
        <w:rPr>
          <w:rFonts w:ascii="Calibri" w:hAnsi="Calibri" w:cs="Calibri"/>
        </w:rPr>
        <w:t xml:space="preserve"> </w:t>
      </w:r>
      <w:r w:rsidR="009E0F38" w:rsidRPr="000139CC">
        <w:rPr>
          <w:rFonts w:ascii="Calibri" w:hAnsi="Calibri" w:cs="Calibri"/>
        </w:rPr>
        <w:t>there are not enough data points to be conclusive</w:t>
      </w:r>
      <w:r w:rsidR="000767DD" w:rsidRPr="000139CC">
        <w:rPr>
          <w:rFonts w:ascii="Calibri" w:hAnsi="Calibri" w:cs="Calibri"/>
        </w:rPr>
        <w:t xml:space="preserve">. </w:t>
      </w:r>
      <w:r w:rsidR="00611041" w:rsidRPr="001B1FF2">
        <w:t>Production a</w:t>
      </w:r>
      <w:r w:rsidR="000455D0" w:rsidRPr="001B1FF2">
        <w:t>rea</w:t>
      </w:r>
      <w:r w:rsidR="00F3002D" w:rsidRPr="001B1FF2">
        <w:t xml:space="preserve"> footprint</w:t>
      </w:r>
      <w:r w:rsidR="001C0432" w:rsidRPr="001B1FF2">
        <w:t xml:space="preserve">s </w:t>
      </w:r>
      <w:r w:rsidR="00EB04FA" w:rsidRPr="001B1FF2">
        <w:t>did not appear to be associated with</w:t>
      </w:r>
      <w:r w:rsidR="00F3002D" w:rsidRPr="001B1FF2">
        <w:t xml:space="preserve"> total emissions</w:t>
      </w:r>
      <w:r w:rsidR="007F15F2" w:rsidRPr="001B1FF2">
        <w:t xml:space="preserve"> or product emissions</w:t>
      </w:r>
      <w:r w:rsidR="00682649">
        <w:t>, i</w:t>
      </w:r>
      <w:r w:rsidR="003C10CA">
        <w:t>nstead</w:t>
      </w:r>
      <w:r w:rsidR="00682649">
        <w:t xml:space="preserve"> </w:t>
      </w:r>
      <w:r w:rsidR="003C10CA">
        <w:t>t</w:t>
      </w:r>
      <w:r w:rsidR="001C0432" w:rsidRPr="001B1FF2">
        <w:t>his metric</w:t>
      </w:r>
      <w:r w:rsidR="00F83EAF">
        <w:t xml:space="preserve"> </w:t>
      </w:r>
      <w:r w:rsidR="00682649">
        <w:t>addresses</w:t>
      </w:r>
      <w:r w:rsidR="00377F6B">
        <w:t xml:space="preserve"> </w:t>
      </w:r>
      <w:r w:rsidR="003C10CA">
        <w:t xml:space="preserve">a separate </w:t>
      </w:r>
      <w:r w:rsidR="00B26BB3">
        <w:t>issue</w:t>
      </w:r>
      <w:r w:rsidR="00682649">
        <w:t xml:space="preserve"> -</w:t>
      </w:r>
      <w:r w:rsidR="00A74015">
        <w:t xml:space="preserve"> </w:t>
      </w:r>
      <w:r w:rsidR="00121068">
        <w:t>competition for land</w:t>
      </w:r>
      <w:r w:rsidR="007F7038">
        <w:t>.</w:t>
      </w:r>
      <w:r w:rsidR="001C0432" w:rsidRPr="001B1FF2">
        <w:t xml:space="preserve"> </w:t>
      </w:r>
      <w:r w:rsidR="00250D27" w:rsidRPr="000139CC">
        <w:t>In order</w:t>
      </w:r>
      <w:r w:rsidR="001C0432" w:rsidRPr="000139CC">
        <w:t xml:space="preserve"> to reach current policy targets, </w:t>
      </w:r>
      <w:r w:rsidR="001C0432" w:rsidRPr="008877F1">
        <w:t xml:space="preserve">Welsh farms </w:t>
      </w:r>
      <w:r w:rsidR="00C73CC7">
        <w:t xml:space="preserve">(and </w:t>
      </w:r>
      <w:r w:rsidR="002B65D9">
        <w:t>indeed</w:t>
      </w:r>
      <w:r w:rsidR="00717B9E">
        <w:t xml:space="preserve"> </w:t>
      </w:r>
      <w:r w:rsidR="00C73CC7">
        <w:t xml:space="preserve">farms across the world) </w:t>
      </w:r>
      <w:r w:rsidR="001C0432" w:rsidRPr="008877F1">
        <w:t xml:space="preserve">will need to reduce both emission intensity and total emissions </w:t>
      </w:r>
      <w:r w:rsidR="00802CD6" w:rsidRPr="008877F1">
        <w:t>as well as prioritise</w:t>
      </w:r>
      <w:r w:rsidR="001C0432" w:rsidRPr="008877F1">
        <w:t xml:space="preserve"> land use</w:t>
      </w:r>
      <w:r w:rsidR="001671DC" w:rsidRPr="008877F1">
        <w:t>,</w:t>
      </w:r>
      <w:r w:rsidR="001C0432" w:rsidRPr="008877F1">
        <w:t xml:space="preserve"> especially with the increased demand for </w:t>
      </w:r>
      <w:r w:rsidR="006809BB" w:rsidRPr="008877F1">
        <w:t>land-based CO</w:t>
      </w:r>
      <w:r w:rsidR="006809BB" w:rsidRPr="008877F1">
        <w:rPr>
          <w:vertAlign w:val="subscript"/>
        </w:rPr>
        <w:t>2</w:t>
      </w:r>
      <w:r w:rsidR="006809BB" w:rsidRPr="008877F1">
        <w:t xml:space="preserve"> removal activities</w:t>
      </w:r>
      <w:r w:rsidR="0067453A">
        <w:t xml:space="preserve"> </w:t>
      </w:r>
      <w:r w:rsidR="00B109E5">
        <w:fldChar w:fldCharType="begin"/>
      </w:r>
      <w:r w:rsidR="00B109E5">
        <w:instrText xml:space="preserve"> ADDIN ZOTERO_ITEM CSL_CITATION {"citationID":"EhNUuIqR","properties":{"formattedCitation":"(Beauchemin et al., 2020; Rosa and Gabrielli, 2023)","plainCitation":"(Beauchemin et al., 2020; Rosa and Gabrielli, 2023)","noteIndex":0},"citationItems":[{"id":1762,"uris":["http://zotero.org/users/6500992/items/CARJY8XZ"],"itemData":{"id":1762,"type":"article-journal","abstract":"Meat and milk from ruminants provide an important source of protein and other nutrients for human consumption. Although ruminants have a unique advantage of being able to consume forages and graze lands not suitable for arable cropping, 2% to 12% of the gross energy consumed is converted to enteric CH4 during ruminal digestion, which contributes approximately 6% of global anthropogenic greenhouse gas emissions. Thus, ruminant producers need to find cost-effective ways to reduce emissions while meeting consumer demand for food. This paper provides a critical review of the substantial amount of ruminant CH4-related research published in past decades, highlighting hydrogen flow in the rumen, the microbiome associated with methanogenesis, current and future prospects for CH4 mitigation and insights into future challenges for science, governments, farmers and associated industries. Methane emission intensity, measured as emissions per unit of meat and milk, has continuously declined over the past decades due to improvements in production efficiency and animal performance, and this trend is expected to continue. However, continued decline in emission intensity will likely be insufficient to offset the rising emissions from increasing demand for animal protein. Thus, decreases in both emission intensity (g CH4/animal product) and absolute emissions (g CH4/day) are needed if the ruminant industries continue to grow. Providing producers with cost-effective options for decreasing CH4 emissions is therefore imperative, yet few cost-effective approaches are currently available. Future abatement may be achieved through animal genetics, vaccine development, early life programming, diet formulation, use of alternative hydrogen sinks, chemical inhibitors and fermentation modifiers. Individually, these strategies are expected to have moderate effects (&lt;20% decrease), with the exception of the experimental inhibitor 3-nitrooxypropanol for which decreases in CH4 have consistently been greater (20% to 40% decrease). Therefore, it will be necessary to combine strategies to attain the sizable reduction in CH4 needed, but further research is required to determine whether combining anti-methanogenic strategies will have consistent additive effects. It is also not clear whether a decrease in CH4 production leads to consistent improved animal performance, information that will be necessary for adoption by producers. Major constraints for decreasing global enteric CH4 emissions from ruminants are continued expansion of the industry, the cost of mitigation, the difficulty of applying mitigation strategies to grazing ruminants, the inconsistent effects on animal performance and the paucity of information on animal health, reproduction, product quality, cost-benefit, safety and consumer acceptance.","container-title":"animal","DOI":"10.1017/S1751731119003100","ISSN":"1751-7311, 1751-732X","issue":"S1","language":"en","note":"publisher: Cambridge University Press","page":"s2-s16","source":"Cambridge University Press","title":"Review: Fifty years of research on rumen methanogenesis: lessons learned and future challenges for mitigation","title-short":"Review","volume":"14","author":[{"family":"Beauchemin","given":"K. A."},{"family":"Ungerfeld","given":"E. M."},{"family":"Eckard","given":"R. J."},{"family":"Wang","given":"M."}],"issued":{"date-parts":[["2020",3]]}}},{"id":1836,"uris":["http://zotero.org/users/6500992/items/FIJWTAQE"],"itemData":{"id":1836,"type":"article-journal","abstract":"Agriculture accounts for 12% of global annual greenhouse gas (GHG) emissions (7.1 Gt CO2 equivalent), primarily through non-CO2 emissions, namely methane (54%), nitrous oxide (28%), and carbon dioxide (18%). Thus, agriculture contributes significantly to climate change and is significantly impacted by its consequences. Here, we present a review of technologies and innovations for reducing GHG emissions in agriculture. These include decarbonizing on-farm energy use, adopting nitrogen fertilizers management technologies, alternative rice cultivation methods, and feeding and breeding technologies for reducing enteric methane. Combined, all these measures can reduce agricultural GHG emissions by up to 45%. However, residual emissions of 3.8 Gt CO2 equivalent per year will require offsets from carbon dioxide removal technologies to make agriculture net-zero. Bioenergy with carbon capture and storage and enhanced rock weathering are particularly promising techniques, as they can be implemented within agriculture and result in permanent carbon sequestration. While net-zero technologies are technically available, they come with a price premium over the status quo and have limited adoption. Further research and development are needed to make such technologies more affordable and scalable and understand their synergies and wider socio-environmental impacts. With support and incentives, agriculture can transition from a significant emitter to a carbon sink. This study may serve as a blueprint to identify areas where further research and investments are needed to support and accelerate a transition to net-zero emissions agriculture.","container-title":"Environmental Research Letters","DOI":"10.1088/1748-9326/acd5e8","ISSN":"1748-9326","issue":"6","journalAbbreviation":"Environ. Res. Lett.","language":"en","note":"publisher: IOP Publishing","page":"063002","source":"Institute of Physics","title":"Achieving net-zero emissions in agriculture: a review","title-short":"Achieving net-zero emissions in agriculture","volume":"18","author":[{"family":"Rosa","given":"Lorenzo"},{"family":"Gabrielli","given":"Paolo"}],"issued":{"date-parts":[["2023",5]]}}}],"schema":"https://github.com/citation-style-language/schema/raw/master/csl-citation.json"} </w:instrText>
      </w:r>
      <w:r w:rsidR="00B109E5">
        <w:fldChar w:fldCharType="separate"/>
      </w:r>
      <w:r w:rsidR="00B109E5" w:rsidRPr="00B109E5">
        <w:rPr>
          <w:rFonts w:ascii="Calibri" w:hAnsi="Calibri" w:cs="Calibri"/>
        </w:rPr>
        <w:t>(Beauchemin et al., 2020; Rosa and Gabrielli, 2023)</w:t>
      </w:r>
      <w:r w:rsidR="00B109E5">
        <w:fldChar w:fldCharType="end"/>
      </w:r>
      <w:r w:rsidR="001C0432" w:rsidRPr="008877F1">
        <w:t>.</w:t>
      </w:r>
    </w:p>
    <w:p w14:paraId="1595B3ED" w14:textId="77777777" w:rsidR="001B0192" w:rsidRPr="001B0192" w:rsidRDefault="001B0192" w:rsidP="00BA3E62">
      <w:pPr>
        <w:pStyle w:val="NoSpacing"/>
        <w:spacing w:line="360" w:lineRule="auto"/>
        <w:jc w:val="both"/>
        <w:rPr>
          <w:rFonts w:ascii="Calibri" w:hAnsi="Calibri" w:cs="Calibri"/>
        </w:rPr>
      </w:pPr>
    </w:p>
    <w:p w14:paraId="54AAC5AB" w14:textId="09D82421" w:rsidR="00802CD6" w:rsidRPr="001A7478" w:rsidRDefault="007E55DB" w:rsidP="001A7478">
      <w:pPr>
        <w:pStyle w:val="NoSpacing"/>
        <w:numPr>
          <w:ilvl w:val="2"/>
          <w:numId w:val="2"/>
        </w:numPr>
        <w:spacing w:line="360" w:lineRule="auto"/>
        <w:rPr>
          <w:b/>
          <w:bCs/>
        </w:rPr>
      </w:pPr>
      <w:r>
        <w:rPr>
          <w:b/>
          <w:bCs/>
        </w:rPr>
        <w:t xml:space="preserve">Sequestration </w:t>
      </w:r>
    </w:p>
    <w:p w14:paraId="65D2ED67" w14:textId="12FFAB6D" w:rsidR="00BF2559" w:rsidRPr="005C6714" w:rsidRDefault="002828E2" w:rsidP="00BA3E62">
      <w:pPr>
        <w:pStyle w:val="NoSpacing"/>
        <w:spacing w:line="360" w:lineRule="auto"/>
        <w:jc w:val="both"/>
      </w:pPr>
      <w:r>
        <w:t xml:space="preserve">On balance, </w:t>
      </w:r>
      <w:r w:rsidR="00CB464E">
        <w:t xml:space="preserve">baseline </w:t>
      </w:r>
      <w:r w:rsidR="00DC12C6">
        <w:t xml:space="preserve">carbon </w:t>
      </w:r>
      <w:r>
        <w:t xml:space="preserve">sequestration on </w:t>
      </w:r>
      <w:r w:rsidR="007179CF">
        <w:t>these</w:t>
      </w:r>
      <w:r w:rsidR="00FB14A0">
        <w:t xml:space="preserve"> farms was</w:t>
      </w:r>
      <w:r>
        <w:t xml:space="preserve"> low compared to the level of emissions</w:t>
      </w:r>
      <w:r w:rsidR="00FC1675">
        <w:t xml:space="preserve">, offsetting </w:t>
      </w:r>
      <w:r w:rsidR="001671DC">
        <w:t>a</w:t>
      </w:r>
      <w:r w:rsidR="00FC1675">
        <w:t xml:space="preserve">n average </w:t>
      </w:r>
      <w:r w:rsidR="00FB14A0">
        <w:t>22% of total emission</w:t>
      </w:r>
      <w:r w:rsidR="00FC1675">
        <w:t>s</w:t>
      </w:r>
      <w:r w:rsidR="00233541">
        <w:t xml:space="preserve"> (Table </w:t>
      </w:r>
      <w:r w:rsidR="005A3AF5">
        <w:t>2</w:t>
      </w:r>
      <w:r w:rsidR="00233541">
        <w:t>)</w:t>
      </w:r>
      <w:r w:rsidR="00FB14A0">
        <w:t>.</w:t>
      </w:r>
      <w:r w:rsidR="00BF2559">
        <w:t xml:space="preserve"> </w:t>
      </w:r>
      <w:r w:rsidR="006E68D1">
        <w:t>Of this offsetting, the majority was attributed to soil sequestration under grassland</w:t>
      </w:r>
      <w:r w:rsidR="008F5580">
        <w:t>,</w:t>
      </w:r>
      <w:r w:rsidR="006E68D1">
        <w:t xml:space="preserve"> a</w:t>
      </w:r>
      <w:r w:rsidR="00AB02D2">
        <w:t>ccounting for</w:t>
      </w:r>
      <w:r w:rsidR="006E68D1">
        <w:t xml:space="preserve"> 67% of total sequestration</w:t>
      </w:r>
      <w:r w:rsidR="00BB19D8">
        <w:t xml:space="preserve"> (Figure 2)</w:t>
      </w:r>
      <w:r w:rsidR="006E68D1">
        <w:t xml:space="preserve">. There is </w:t>
      </w:r>
      <w:r w:rsidR="009E625F">
        <w:lastRenderedPageBreak/>
        <w:t>much</w:t>
      </w:r>
      <w:r w:rsidR="006E68D1">
        <w:t xml:space="preserve"> debate around the potential for soil carbon sequestration in </w:t>
      </w:r>
      <w:r w:rsidR="006E04C6">
        <w:t xml:space="preserve">ruminant production </w:t>
      </w:r>
      <w:r w:rsidR="006E68D1">
        <w:t xml:space="preserve">systems </w:t>
      </w:r>
      <w:r w:rsidR="007C2199">
        <w:fldChar w:fldCharType="begin"/>
      </w:r>
      <w:r w:rsidR="00AE0C74">
        <w:instrText xml:space="preserve"> ADDIN ZOTERO_ITEM CSL_CITATION {"citationID":"R5lo1Zp7","properties":{"formattedCitation":"(Abdalla et al., 2018; Arca et al., 2021; Batalla et al., 2015; Hammer et al., 2016; Soussana et al., 2010)","plainCitation":"(Abdalla et al., 2018; Arca et al., 2021; Batalla et al., 2015; Hammer et al., 2016; Soussana et al., 2010)","noteIndex":0},"citationItems":[{"id":46,"uris":["http://zotero.org/users/6500992/items/LB7VCV4N"],"itemData":{"id":46,"type":"article-journal","abstract":"Livestock grazing intensity (GI) is thought to have a major impact on soil organic carbon (SOC) storage and soil quality indicators in grassland agroecosystems. To critically investigate this, we conducted a global review and meta-analysis of 83 studies of extensive grazing, covering 164 sites across different countries and climatic zones. Unlike previous published reviews we normalized the SOC and total nitrogen (TN) data to a 30cm depth to be compatible with IPCC guidelines. We also calculated a normalized GI and divided the data into four main groups depending on the regional climate (dry warm, DW; dry cool, DC; moist warm, MW; moist cool, MC). Our results show that taken across all climatic zones and GIs, grazing (below the carrying capacity of the systems) results in a decrease in SOC storage, although its impact on SOC is climate-dependent. When assessed for different regional climates, all GI levels increased SOC stocks under the MW climate (+7.6%) whilst there were reductions under the MC climate (−19%). Under the DW and DC climates, only the low (+5.8%) and low to medium (+16.1%) grazing intensities, respectively, were associated with increased SOC stocks. High GI significantly increased SOC for C4-dominated grassland compared to C3-dominated grassland and C3-C4 mixed grasslands. It was also associated with significant increases in TN and bulk density but had no effect on soil pH. To protect grassland soils from degradation, we recommend that GI and management practices should be optimized according to climate region and grassland type (C3, C4 or C3-C4 mixed).","container-title":"Agriculture, Ecosystems &amp; Environment","DOI":"10.1016/j.agee.2017.10.023","ISSN":"0167-8809","journalAbbreviation":"Agriculture, Ecosystems &amp; Environment","language":"en","page":"62-81","source":"ScienceDirect","title":"Critical review of the impacts of grazing intensity on soil organic carbon storage and other soil quality indicators in extensively managed grasslands","volume":"253","author":[{"family":"Abdalla","given":"M."},{"family":"Hastings","given":"A."},{"family":"Chadwick","given":"D. R."},{"family":"Jones","given":"D. L."},{"family":"Evans","given":"C. D."},{"family":"Jones","given":"M. B."},{"family":"Rees","given":"R. M."},{"family":"Smith","given":"P."}],"issued":{"date-parts":[["2018",2,1]]}}},{"id":1109,"uris":["http://zotero.org/users/6500992/items/G929YVD4"],"itemData":{"id":1109,"type":"article-journal","abstract":"A life cycle assessment (LCA) study of a transition from semiintensive to semi-extensive Mediterranean dairy sheep farm suggests that the latter has a strong potential for offsetting greenhouse gas (GHG) emissions through the soil C sequestration (Cseq) in permanent grasslands. The extensification process shows clear environmental advantage when emission intensity is referred to the area-based functional unit (FU). Several LCA studies reported that extensive livestock systems have greater GHG emissions per mass of product than intensive one, due to their lower productivity. However, these studies did not account for soil Cseq of temporary and permanent grasslands, that have a strong potential to partly mitigate the GHG balance of ruminant production systems. Our LCA study was carried out considering the transition from a semiintensive (SI) towards a semi-extensive (SE) production system, adopted in a dairy sheep farm located in North-Western Sardinia (Italy). Impact scope included enteric methane emissions, feed production, on-farm energy use and transportation, infrastructures as well as the potential C sink from soil Cseq compared to emission intensity. In order to provide a more comprehensive analysis, we used the following FUs: 1 kg of fat and protein corrected milk (FPCM) and 1 ha of utilised agricultural area (UAA). We observed that the extensification of production system determined contrasting environmental effects when using different FUs accounting for soil Cseq. When soil Cseq in emission intensity estimate was included, we observed slightly lower values of GHG emissions per kg of FPCM in the SI production system (from 3.37 to 3.12 kg CO2 equivalents â€“ CO2-eq), whereas a greater variation we observed in the SE one (from 3.54 to 2.90 kg CO2-eq). Considering 1 ha of UAA as FU and including the soil Cseq, the emission intensity in SI moved from 6257 to 5793 kg CO2-eq, whereas values varied from 4020 to 3299 kg CO2-eq in SE. These results indicated that the emission intensity from semi-extensive Mediterranean dairy sheep farms can be considerably reduced through the soil Cseq, although its measurement is influenced by the models used in the estimation.\nHighlights - Extensification of dairy sheep systems provides an environmental benefit when soil C sequestration is considered. - Extensification of dairy sheep systems determines lower environmental impact per hectare of utilized agricultural area. - Enteric methane emissions are the main source of GHG emissions of the sheep milk life cycle. - Carbon sequestration in permanent grasslands can considerably contribute to climate change mitigation.","container-title":"Italian Journal of Agronomy","DOI":"10.4081/ija.2021.1789","ISSN":"2039-6805","issue":"3","language":"en","license":"Copyright (c) 2021 The Author(s)","note":"number: 3","source":"www.agronomy.it","title":"How does soil carbon sequestration affect greenhouse gas emissions from a sheep farming system? Results of a life cycle assessment case study","title-short":"How does soil carbon sequestration affect greenhouse gas emissions from a sheep farming system?","URL":"https://www.agronomy.it/index.php/agro/article/view/1789","volume":"16","author":[{"family":"Arca","given":"Pasquale"},{"family":"Vagnoni","given":"Enrico"},{"family":"Duce","given":"Pierpaolo"},{"family":"Franca","given":"Antonello"}],"accessed":{"date-parts":[["2022",9,11]]},"issued":{"date-parts":[["2021",5,11]]}}},{"id":27,"uris":["http://zotero.org/users/6500992/items/V6RQC6DQ"],"itemData":{"id":27,"type":"article-journal","abstract":"The link between climate change and livestock production has made carbon footprint based on life cycle assessment a world-wide indicator to assess and communicate the amount of greenhouse gases emitted per unit of product. Nevertheless, the majority of studies have not included soil carbon sequestration in the carbon footprint calculations. Especially in grasslands, soil carbon sequestration might be a potential sink to mitigate greenhouse gas emissions in the livestock sector. However, there is no commonly accepted methodology on how to include soil carbon sequestration in carbon footprint calculations. In this study, the carbon footprint of sheep milk was estimated from 12 farms in Northern Spain. Before taken into account contribution from soil carbon sequestration in the calculation, the carbon footprint values varied from 2.0 to 5.2 kg CO2 eq. per kg Fat and Protein Corrected Milk (FPCM). Milk from semi-intensive systems with foreign breeds kept indoors had significantly lower carbon footprint than milk from semi-extensive systems with local breeds and grazing in mountain uplands during summer. However, no difference was found in the carbon footprint of sheep milk from different systems and breeds when soil carbon sequestration was included in the calculations. Four different approaches to estimate and include soil carbon sequestration in the carbon footprint calculations were tested. This study highlights the importance of including soil carbon sequestration in the carbon footprint calculations. Furthermore, it highlights the climate mitigation potential of the grazing systems.","container-title":"Journal of Cleaner Production","DOI":"10.1016/j.jclepro.2015.05.043","ISSN":"0959-6526","journalAbbreviation":"Journal of Cleaner Production","language":"en","page":"121-129","source":"ScienceDirect","title":"Carbon footprint of milk from sheep farming systems in Northern Spain including soil carbon sequestration in grasslands","volume":"104","author":[{"family":"Batalla","given":"Inmaculada"},{"family":"Knudsen","given":"Marie Trydeman"},{"family":"Mogensen","given":"Lisbeth"},{"family":"Hierro","given":"Óscar","dropping-particle":"del"},{"family":"Pinto","given":"Miriam"},{"family":"Hermansen","given":"John E."}],"issued":{"date-parts":[["2015",10,1]]}}},{"id":215,"uris":["http://zotero.org/users/6500992/items/BX3F6X4B"],"itemData":{"id":215,"type":"article-journal","abstract":"Antibiotics are routinely used to improve livestock health and growth. However, this practice may have unintended environmental impacts mediated by interactions among the wide range of micro- and macroorganisms found in agroecosystems. For example, antibiotics may alter microbial emissions of greenhouse gases by affecting livestock gut microbiota. Furthermore, antibiotics may affect the microbiota of non-target animals that rely on dung, such as dung beetles, and the ecosystem services they provide. To examine these interactions, we treated cattle with a commonly used broad-spectrum antibiotic and assessed downstream effects on microbiota in dung and dung beetles, greenhouse gas fluxes from dung, and beetle size, survival and reproduction. We found that antibiotic treatment restructured microbiota in dung beetles, which harboured a microbial community distinct from those in the dung they were consuming. The antibiotic effect on beetle microbiota was not associated with smaller size or lower numbers. Unexpectedly, antibiotic treatment raised methane fluxes from dung, possibly by altering the interactions between methanogenic archaea and bacteria in rumen and dung environments. Our findings that antibiotics restructure dung beetle microbiota and modify greenhouse gas emissions from dung indicate that antibiotic treatment may have unintended, cascading ecological effects that extend beyond the target animal.","container-title":"Proceedings of the Royal Society B: Biological Sciences","DOI":"10.1098/rspb.2016.0150","issue":"1831","journalAbbreviation":"Proceedings of the Royal Society B: Biological Sciences","note":"publisher: Royal Society","page":"20160150","source":"royalsocietypublishing.org (Atypon)","title":"Treating cattle with antibiotics affects greenhouse gas emissions, and microbiota in dung and dung beetles","volume":"283","author":[{"family":"Hammer","given":"Tobin J."},{"family":"Fierer","given":"Noah"},{"family":"Hardwick","given":"Bess"},{"family":"Simojoki","given":"Asko"},{"family":"Slade","given":"Eleanor"},{"family":"Taponen","given":"Juhani"},{"family":"Viljanen","given":"Heidi"},{"family":"Roslin","given":"Tomas"}],"issued":{"date-parts":[["2016",5,25]]}}},{"id":154,"uris":["http://zotero.org/users/6500992/items/SZGSAQEZ"],"itemData":{"id":154,"type":"article-journal","abstract":"Soil carbon sequestration (enhanced sinks) is the mechanism responsible for most of the greenhouse gas (GHG) mitigation potential in the agriculture sector. Carbon sequestration in grasslands can be determined directly by measuring changes in soil organic carbon (SOC) stocks and indirectly by measuring the net balance of C fluxes. A literature search shows that grassland C sequestration reaches on average 5 ± 30 g C/m\n              2\n              per year according to inventories of SOC stocks and −231 and 77 g C/m\n              2\n              per year for drained organic and mineral soils, respectively, according to C flux balance. Off-site C sequestration occurs whenever more manure C is produced by than returned to a grassland plot. The sum of on- and off-site C sequestration reaches 129, 98 and 71 g C/m\n              2\n              per year for grazed, cut and mixed European grasslands on mineral soils, respectively, however with high uncertainty. A range of management practices reduce C losses and increase C sequestration: (i) avoiding soil tillage and the conversion of grasslands to arable use, (ii) moderately intensifying nutrient-poor permanent grasslands, (iii) using light grazing instead of heavy grazing, (iv) increasing the duration of grass leys; (v) converting grass leys to grass-legume mixtures or to permanent grasslands. With nine European sites, direct emissions of N\n              2\n              O from soil and of CH\n              4\n              from enteric fermentation at grazing, expressed in CO\n              2\n              equivalents, compensated 10% and 34% of the on-site grassland C sequestration, respectively. Digestion inside the barn of the harvested herbage leads to further emissions of CH\n              4\n              and N\n              2\n              O by the production systems, which were estimated at 130 g CO\n              2</w:instrText>
      </w:r>
      <w:r w:rsidR="00AE0C74" w:rsidRPr="004960DA">
        <w:rPr>
          <w:lang w:val="it-IT"/>
        </w:rPr>
        <w:instrText xml:space="preserve">\n              equivalents/m\n              2\n              per year. The net balance of on- and off-site C sequestration, CH\n              4\n              and N\n              2\n              O emissions reached 38 g CO\n              2\n              equivalents/m\n              2\n              per year, indicating a non-significant net sink activity. This net balance was, however, negative for intensively managed cut sites indicating a source to the atmosphere. In conclusion, this review confirms that grassland C sequestration has a strong potential to partly mitigate the GHG balance of ruminant production systems. However, as soil C sequestration is both reversible and vulnerable to disturbance, biodiversity loss and climate change, CH\n              4\n              and N\n              2\n              O emissions from the livestock sector need to be reduced and current SOC stocks preserved.","container-title":"animal","DOI":"10.1017/S1751731109990784","ISSN":"1751-7311, 1751-732X","issue":"03","journalAbbreviation":"Animal","language":"en","page":"334-350","source":"DOI.org (Crossref)","title":"Mitigating the greenhouse gas balance of ruminant production systems through carbon sequestration in grasslands","volume":"4","author":[{"family":"Soussana","given":"J. F."},{"family":"Tallec","given":"T."},{"family":"Blanfort","given":"V."}],"issued":{"date-parts":[["2010",3]]}}}],"schema":"https://github.com/citation-style-language/schema/raw/master/csl-citation.json"} </w:instrText>
      </w:r>
      <w:r w:rsidR="007C2199">
        <w:fldChar w:fldCharType="separate"/>
      </w:r>
      <w:r w:rsidR="00A573B5" w:rsidRPr="00A573B5">
        <w:rPr>
          <w:rFonts w:ascii="Calibri" w:hAnsi="Calibri" w:cs="Calibri"/>
        </w:rPr>
        <w:t>(Abdalla et al., 2018; Arca et al., 2021; Batalla et al., 2015; Hammer et al., 2016; Soussana et al., 2010)</w:t>
      </w:r>
      <w:r w:rsidR="007C2199">
        <w:fldChar w:fldCharType="end"/>
      </w:r>
      <w:r w:rsidR="00FE345D" w:rsidRPr="00316C95">
        <w:rPr>
          <w:lang w:val="it-IT"/>
        </w:rPr>
        <w:t>.</w:t>
      </w:r>
      <w:r w:rsidR="00D3352C">
        <w:rPr>
          <w:lang w:val="it-IT"/>
        </w:rPr>
        <w:t xml:space="preserve"> </w:t>
      </w:r>
      <w:r w:rsidR="00D3352C" w:rsidRPr="00983716">
        <w:t>Within the UK</w:t>
      </w:r>
      <w:r w:rsidR="00040933">
        <w:t>,</w:t>
      </w:r>
      <w:r w:rsidR="00D3352C" w:rsidRPr="00983716">
        <w:t xml:space="preserve"> it </w:t>
      </w:r>
      <w:r w:rsidR="000652D8" w:rsidRPr="00983716">
        <w:t xml:space="preserve">is widely considered that long term grasslands will have reached </w:t>
      </w:r>
      <w:r w:rsidR="00507F24" w:rsidRPr="00983716">
        <w:t xml:space="preserve">an approximate equilibrium in </w:t>
      </w:r>
      <w:r w:rsidR="00697499" w:rsidRPr="00983716">
        <w:t>carbon exchange wi</w:t>
      </w:r>
      <w:r w:rsidR="00926CC1" w:rsidRPr="00983716">
        <w:t>th</w:t>
      </w:r>
      <w:r w:rsidR="00697499" w:rsidRPr="00983716">
        <w:t xml:space="preserve"> the atmosphere resulting in </w:t>
      </w:r>
      <w:r w:rsidR="00267407" w:rsidRPr="00983716">
        <w:t>a small potential for</w:t>
      </w:r>
      <w:r w:rsidR="00983716">
        <w:t xml:space="preserve"> any additional</w:t>
      </w:r>
      <w:r w:rsidR="00267407" w:rsidRPr="00983716">
        <w:t xml:space="preserve"> carbon sequestration (Smith</w:t>
      </w:r>
      <w:r w:rsidR="00926CC1" w:rsidRPr="00983716">
        <w:t>,</w:t>
      </w:r>
      <w:r w:rsidR="00267407" w:rsidRPr="00983716">
        <w:t xml:space="preserve"> 2014)</w:t>
      </w:r>
      <w:r w:rsidR="0091373F" w:rsidRPr="00983716">
        <w:t>.</w:t>
      </w:r>
      <w:r w:rsidR="005C6714" w:rsidRPr="005C6714">
        <w:t xml:space="preserve"> </w:t>
      </w:r>
      <w:r w:rsidR="005C6714">
        <w:t>Accurately estimating soil carbon sequestration (without field sampling to measure actual change in soil carbon) is difficult, therefore, sequestration estimates must be interpreted with caution.</w:t>
      </w:r>
    </w:p>
    <w:p w14:paraId="26A2C5D2" w14:textId="77777777" w:rsidR="00BF2559" w:rsidRPr="00316C95" w:rsidRDefault="00BF2559" w:rsidP="00BA3E62">
      <w:pPr>
        <w:pStyle w:val="NoSpacing"/>
        <w:spacing w:line="360" w:lineRule="auto"/>
        <w:jc w:val="both"/>
        <w:rPr>
          <w:lang w:val="it-IT"/>
        </w:rPr>
      </w:pPr>
    </w:p>
    <w:p w14:paraId="12DBD848" w14:textId="4EDA3B26" w:rsidR="008366F1" w:rsidRDefault="001E30ED" w:rsidP="00BA3E62">
      <w:pPr>
        <w:pStyle w:val="NoSpacing"/>
        <w:spacing w:line="360" w:lineRule="auto"/>
        <w:jc w:val="both"/>
      </w:pPr>
      <w:r>
        <w:t>Existing farm w</w:t>
      </w:r>
      <w:r w:rsidR="00FB14A0">
        <w:t>oodland and hedgerow sequestration</w:t>
      </w:r>
      <w:r w:rsidR="00FC1675">
        <w:t xml:space="preserve"> </w:t>
      </w:r>
      <w:r w:rsidR="00FB14A0">
        <w:t xml:space="preserve">accounted for </w:t>
      </w:r>
      <w:r w:rsidR="00FC1675">
        <w:t>relatively little of t</w:t>
      </w:r>
      <w:r w:rsidR="00653E7B">
        <w:t>he t</w:t>
      </w:r>
      <w:r w:rsidR="00FC1675">
        <w:t>otal</w:t>
      </w:r>
      <w:r w:rsidR="00653E7B">
        <w:t xml:space="preserve"> carbon</w:t>
      </w:r>
      <w:r w:rsidR="00FC1675">
        <w:t xml:space="preserve"> sequestration at only </w:t>
      </w:r>
      <w:r w:rsidR="007D70D4">
        <w:t>28</w:t>
      </w:r>
      <w:r w:rsidR="00FC1675">
        <w:t>%</w:t>
      </w:r>
      <w:r w:rsidR="003F6E47">
        <w:t xml:space="preserve"> (Figure 2)</w:t>
      </w:r>
      <w:r>
        <w:t>,</w:t>
      </w:r>
      <w:r w:rsidR="00FC1675">
        <w:t xml:space="preserve"> </w:t>
      </w:r>
      <w:r w:rsidR="006809BB">
        <w:t xml:space="preserve">representing an average </w:t>
      </w:r>
      <w:r w:rsidR="00B71FA5">
        <w:t>7</w:t>
      </w:r>
      <w:r w:rsidR="006809BB">
        <w:t xml:space="preserve">% offset of </w:t>
      </w:r>
      <w:r w:rsidR="005E2ABC">
        <w:t>total farm emissions</w:t>
      </w:r>
      <w:r w:rsidR="001932D3">
        <w:t xml:space="preserve"> – </w:t>
      </w:r>
      <w:r w:rsidR="00FC1675">
        <w:t>however</w:t>
      </w:r>
      <w:r w:rsidR="00E11EB0">
        <w:t>,</w:t>
      </w:r>
      <w:r w:rsidR="00FC1675">
        <w:t xml:space="preserve"> this was higher than reported in other </w:t>
      </w:r>
      <w:r w:rsidR="00FC1675" w:rsidRPr="00C77043">
        <w:rPr>
          <w:color w:val="000000" w:themeColor="text1"/>
        </w:rPr>
        <w:t>studies (</w:t>
      </w:r>
      <w:r>
        <w:rPr>
          <w:color w:val="000000" w:themeColor="text1"/>
        </w:rPr>
        <w:t xml:space="preserve">e.g., </w:t>
      </w:r>
      <w:r w:rsidR="004459FB">
        <w:rPr>
          <w:color w:val="000000" w:themeColor="text1"/>
        </w:rPr>
        <w:fldChar w:fldCharType="begin"/>
      </w:r>
      <w:r w:rsidR="004459FB">
        <w:rPr>
          <w:color w:val="000000" w:themeColor="text1"/>
        </w:rPr>
        <w:instrText xml:space="preserve"> ADDIN ZOTERO_ITEM CSL_CITATION {"citationID":"z6JGulCz","properties":{"formattedCitation":"(Emmett et al., 2017)","plainCitation":"(Emmett et al., 2017)","noteIndex":0},"citationItems":[{"id":588,"uris":["http://zotero.org/users/6500992/items/QVDF6ETX"],"itemData":{"id":588,"type":"report","abstract":"Final Report to Welsh Government, prepared by CEH on behalf of the Glastir Monitoring &amp; Evaluation Programme Team. The Glastir Monitoring and Evaluation Programme (GMEP) provides a comprehensive programme to establish a baseline against which future assessments of Glastir can be made. GMEP also contributes national trend data which supports a range of national and international biodiversity and environmental targets. GMEP fulfils a commitment by the Welsh Government to establish a monitoring programme concurrently with the launch of the Glastir scheme. The use of models and farmer surveys provides early indicators of the likely direction, magnitude and timing of future outcomes. The programme ensures compliance with the rigorous requirements of the European Commission’s Common Monitoring and Evaluation Framework (CMEF) through the Rural Development Plan (RDP) for Wales. This report represents the final results of the GMEP programme which ran from 2012 to 2016.","genre":"Publication - Report","language":"en","note":"number-of-pages: 97\npublisher-place: Bangor, UK\npublisher: NERC/Centre for Ecology &amp; Hydrology","title":"Glastir Monitoring &amp; Evaluation Programme. Final report","URL":"https://nora.nerc.ac.uk/id/eprint/518194/","author":[{"family":"Emmett","given":"B. E."},{"family":"Abdalla","given":"M."},{"family":"Anthony","given":"S."},{"family":"Astbury","given":"S."},{"family":"August","given":"T."},{"family":"Barrett","given":"G."},{"family":"Beckmann","given":"B."},{"family":"Biggs","given":"J."},{"family":"Botham","given":"M."},{"family":"Bradley","given":"D."},{"family":"Brown","given":"M."},{"family":"Burden","given":"A."},{"family":"Carter","given":"H."},{"family":"Chadwick","given":"D."},{"family":"Cigna","given":"F."},{"family":"Collier","given":"R."},{"family":"Cooper","given":"D."},{"family":"Cooper","given":"J."},{"family":"Cosby","given":"B. J."},{"family":"Creer","given":"S."},{"family":"Cross","given":"P."},{"family":"Dadam","given":"D."},{"family":"Edwards","given":"F."},{"family":"Edwards","given":"M."},{"family":"Evans","given":"C."},{"family":"Ewald","given":"N."},{"family":"Fitton","given":"A."},{"family":"Garbutt","given":"A."},{"family":"Giampieri","given":"C."},{"family":"Gooday","given":"R."},{"family":"Grebby","given":"S."},{"family":"Greene","given":"S."},{"family":"Halfpenney","given":"I."},{"family":"Hall","given":"J."},{"family":"Harrison","given":"S."},{"family":"Harrower","given":"C."},{"family":"Henrys","given":"P."},{"family":"Hobson","given":"R."},{"family":"Hughes","given":"P."},{"family":"Hughes","given":"S."},{"family":"Illian","given":"J."},{"family":"Isaac","given":"N."},{"family":"Jackson","given":"B."},{"family":"Jarvis","given":"S."},{"family":"Jones","given":"D. L."},{"family":"Jones","given":"P."},{"family":"Keith","given":"A."},{"family":"Kelly","given":"M."},{"family":"Kneebone","given":"N."},{"family":"Korenko","given":"J."},{"family":"Lallias","given":"D."},{"family":"Leaver","given":"D."},{"family":"Robinson","given":"I."},{"family":"Malcolm","given":"H."},{"family":"Maskell","given":"L."},{"family":"McDonald","given":"J."},{"family":"Moxley","given":"J."},{"family":"Norton","given":"L."},{"family":"O'Hare","given":"M."},{"family":"Oliver","given":"T."},{"family":"Owen","given":"A."},{"family":"Parkhill","given":"K. A."},{"family":"Pereira","given":"M."},{"family":"Peyton","given":"J."},{"family":"Pogson","given":"M."},{"family":"Powney","given":"G."},{"family":"Pritchard","given":"N."},{"family":"Prochorskaite","given":"A."},{"family":"Prosser","given":"M."},{"family":"Pywell","given":"R."},{"family":"Rawlins","given":"B."},{"family":"Reuland","given":"O."},{"family":"Richards","given":"M."},{"family":"Robinson","given":"D. A."},{"family":"Rorke","given":"S."},{"family":"Rowland","given":"C."},{"family":"Roy","given":"D."},{"family":"Scarlett","given":"P."},{"family":"Scholefield","given":"P."},{"family":"Scott","given":"A."},{"family":"Scott","given":"L."},{"family":"Scott","given":"R."},{"family":"Sharps","given":"K."},{"family":"Siriwardena","given":"G."},{"family":"Smart","given":"S."},{"family":"Smith","given":"G."},{"family":"Smith","given":"P."},{"family":"Stopps","given":"J."},{"family":"Swetnam","given":"R."},{"family":"Taft","given":"H."},{"family":"Taylor","given":"R."},{"family":"Tebbs","given":"E."},{"family":"Thomas","given":"A."},{"family":"Todd-Jones","given":"C."},{"family":"Tordoff","given":"G."},{"family":"Turner","given":"G."},{"family":"Van Breda","given":"J."},{"family":"Vincent","given":"H."},{"family":"Wagner","given":"M."},{"family":"Waters","given":"E."},{"family":"Walker-Springett","given":"K."},{"family":"Wallace","given":"H."},{"family":"Watkins","given":"J."},{"family":"Webb","given":"G."},{"family":"White","given":"J."},{"family":"Whitworth","given":"E."},{"family":"Williams","given":"B."},{"family":"Williams","given":"P."},{"family":"Wood","given":"C."},{"family":"Wright","given":"S."}],"contributor":[{"family":"Aspey","given":"Nik"},{"family":"Bamford","given":"R."},{"family":"Barrett","given":"Cyril"},{"family":"Bell","given":"Chris"},{"family":"Boffey","given":"Caroline"},{"family":"Cameron","given":"Fiona"},{"family":"Carter","given":"D."},{"family":"Clague","given":"Sally"},{"family":"Clarke","given":"S."},{"family":"Cope","given":"S."},{"family":"Cox","given":"Megan"},{"family":"Couldrey","given":"Chris"},{"family":"Davies","given":"Ceirios"},{"family":"Ellison","given":"M."},{"family":"Everett","given":"C."},{"family":"Everingham","given":"Fiona"},{"family":"Fells","given":"Ann"},{"family":"Fitos","given":"Eleonora"},{"family":"Freeman","given":"David"},{"family":"Green","given":"D."},{"family":"Hart","given":"Judith"},{"family":"Harvey","given":"Anne"},{"family":"Haycock","given":"B."},{"family":"Heise","given":"Waldemar"},{"family":"Highfield","given":"Catherine"},{"family":"Howell","given":"Katherine"},{"family":"Jackson","given":"Emily"},{"family":"Jenks","given":"P."},{"family":"Jones","given":"K."},{"family":"Kelsall","given":"J."},{"family":"Knight","given":"T."},{"family":"Koblizek","given":"Emma"},{"family":"Long","given":"Charlotte"},{"family":"McGinn","given":"Kevin"},{"family":"Meilleur","given":"Emily"},{"family":"Mitchell","given":"Alan"},{"family":"Norfolk","given":"D."},{"family":"Nuttall","given":"P."},{"family":"Pedashenko","given":"Hristo"},{"family":"Roberts","given":"M."},{"family":"Ryan","given":"Francis"},{"family":"Salter","given":"A."},{"family":"Sazer","given":"D."},{"family":"Scott","given":"H."},{"family":"Seaton","given":"Robert"},{"family":"Small","given":"J."},{"family":"Smith","given":"A."},{"family":"Stoyanov","given":"Jasen"},{"family":"Vasilev","given":"Kiril"},{"family":"Vaughan","given":"D."},{"family":"Walker","given":"Katherine"},{"family":"Warwick","given":"Alan"},{"family":"Wilson","given":"P."},{"family":"Wilson","given":"S."},{"family":"Winder","given":"Janice"},{"family":"Yardy","given":"Sharon"}],"accessed":{"date-parts":[["2022",11,2]]},"issued":{"date-parts":[["2017",7]]}}}],"schema":"https://github.com/citation-style-language/schema/raw/master/csl-citation.json"} </w:instrText>
      </w:r>
      <w:r w:rsidR="004459FB">
        <w:rPr>
          <w:color w:val="000000" w:themeColor="text1"/>
        </w:rPr>
        <w:fldChar w:fldCharType="separate"/>
      </w:r>
      <w:r w:rsidR="004459FB" w:rsidRPr="004459FB">
        <w:rPr>
          <w:rFonts w:ascii="Calibri" w:hAnsi="Calibri" w:cs="Calibri"/>
        </w:rPr>
        <w:t>Emmett et al., 2017)</w:t>
      </w:r>
      <w:r w:rsidR="004459FB">
        <w:rPr>
          <w:color w:val="000000" w:themeColor="text1"/>
        </w:rPr>
        <w:fldChar w:fldCharType="end"/>
      </w:r>
      <w:r w:rsidR="00FC1675" w:rsidRPr="00C77043">
        <w:rPr>
          <w:color w:val="000000" w:themeColor="text1"/>
        </w:rPr>
        <w:t xml:space="preserve">. </w:t>
      </w:r>
      <w:r w:rsidR="00247C42">
        <w:rPr>
          <w:color w:val="000000" w:themeColor="text1"/>
        </w:rPr>
        <w:t>The contribution of</w:t>
      </w:r>
      <w:r w:rsidR="00FC1675">
        <w:t xml:space="preserve"> </w:t>
      </w:r>
      <w:r w:rsidR="00247C42">
        <w:t xml:space="preserve">carbon </w:t>
      </w:r>
      <w:r w:rsidR="00FC1675">
        <w:t xml:space="preserve">sequestration </w:t>
      </w:r>
      <w:r w:rsidR="00247C42">
        <w:t>by woodl</w:t>
      </w:r>
      <w:r w:rsidR="00B72E73">
        <w:t>a</w:t>
      </w:r>
      <w:r w:rsidR="00247C42">
        <w:t xml:space="preserve">nd </w:t>
      </w:r>
      <w:r w:rsidR="00FC1675">
        <w:t>differed between farm types</w:t>
      </w:r>
      <w:r w:rsidR="0066367F">
        <w:t xml:space="preserve">, for example on lowland farms, isolated trees </w:t>
      </w:r>
      <w:r w:rsidR="00B9696E">
        <w:t>(1</w:t>
      </w:r>
      <w:r w:rsidR="00C879E1">
        <w:t>9</w:t>
      </w:r>
      <w:r w:rsidR="00B9696E">
        <w:t xml:space="preserve">% of total sequestration) </w:t>
      </w:r>
      <w:r w:rsidR="0066367F">
        <w:t>accounted for a considerably greater proportion of sequestration</w:t>
      </w:r>
      <w:r w:rsidR="00D51A65">
        <w:t xml:space="preserve"> </w:t>
      </w:r>
      <w:r w:rsidR="009136B8">
        <w:t>than</w:t>
      </w:r>
      <w:r w:rsidR="00D51A65">
        <w:t xml:space="preserve"> woodland</w:t>
      </w:r>
      <w:r w:rsidR="00B9696E">
        <w:t xml:space="preserve"> (</w:t>
      </w:r>
      <w:r w:rsidR="00C879E1">
        <w:t>7% of total sequestration)</w:t>
      </w:r>
      <w:r w:rsidR="0066367F">
        <w:t xml:space="preserve">. This was due to the considerable variation </w:t>
      </w:r>
      <w:r w:rsidR="00745D41">
        <w:t>i</w:t>
      </w:r>
      <w:r w:rsidR="0066367F">
        <w:t>n tree cover on farms</w:t>
      </w:r>
      <w:r w:rsidR="004074C7">
        <w:t xml:space="preserve"> (0</w:t>
      </w:r>
      <w:r w:rsidR="007D1C2C">
        <w:t xml:space="preserve"> to </w:t>
      </w:r>
      <w:r w:rsidR="004074C7">
        <w:t>27%</w:t>
      </w:r>
      <w:r w:rsidR="00FA520A">
        <w:t>)</w:t>
      </w:r>
      <w:r w:rsidR="00682ECC">
        <w:t xml:space="preserve"> (Table A.1)</w:t>
      </w:r>
      <w:r>
        <w:t>,</w:t>
      </w:r>
      <w:r w:rsidR="0066367F">
        <w:t xml:space="preserve"> with some </w:t>
      </w:r>
      <w:r w:rsidR="00184526">
        <w:t xml:space="preserve">farms </w:t>
      </w:r>
      <w:r w:rsidR="0066367F">
        <w:t>reporting they had no trees or hedges.</w:t>
      </w:r>
      <w:r w:rsidR="0039238E">
        <w:t xml:space="preserve"> F</w:t>
      </w:r>
      <w:r w:rsidR="0066367F">
        <w:t>armers often had little detail</w:t>
      </w:r>
      <w:r w:rsidR="00505851">
        <w:t>ed knowledge</w:t>
      </w:r>
      <w:r w:rsidR="0066367F">
        <w:t xml:space="preserve"> of </w:t>
      </w:r>
      <w:r w:rsidR="00505851">
        <w:t xml:space="preserve">the extent of </w:t>
      </w:r>
      <w:r w:rsidR="0066367F">
        <w:t xml:space="preserve">hedges, individual </w:t>
      </w:r>
      <w:proofErr w:type="gramStart"/>
      <w:r w:rsidR="0066367F">
        <w:t>trees</w:t>
      </w:r>
      <w:proofErr w:type="gramEnd"/>
      <w:r w:rsidR="0066367F">
        <w:t xml:space="preserve"> and areas of woodland on </w:t>
      </w:r>
      <w:r w:rsidR="00505851">
        <w:t>their</w:t>
      </w:r>
      <w:r w:rsidR="0066367F">
        <w:t xml:space="preserve"> farms</w:t>
      </w:r>
      <w:r w:rsidR="008A0F9D">
        <w:t>, so</w:t>
      </w:r>
      <w:r w:rsidR="0066367F">
        <w:t xml:space="preserve"> the estimates of woodland cover have a high level of uncertainty.</w:t>
      </w:r>
      <w:r w:rsidR="005F0DAD">
        <w:t xml:space="preserve"> Upland farms had the highest woodland cover at </w:t>
      </w:r>
      <w:r w:rsidR="00E26B9C">
        <w:t>8</w:t>
      </w:r>
      <w:r w:rsidR="005F0DAD">
        <w:t>%</w:t>
      </w:r>
      <w:r w:rsidR="001671DC">
        <w:t>,</w:t>
      </w:r>
      <w:r w:rsidR="005F0DAD">
        <w:t xml:space="preserve"> with lowland </w:t>
      </w:r>
      <w:r w:rsidR="006809BB">
        <w:t xml:space="preserve">farms having </w:t>
      </w:r>
      <w:r w:rsidR="005F0DAD">
        <w:t xml:space="preserve">the lowest at </w:t>
      </w:r>
      <w:r w:rsidR="00E26B9C">
        <w:t>2</w:t>
      </w:r>
      <w:r w:rsidR="005F0DAD">
        <w:t>%</w:t>
      </w:r>
      <w:r w:rsidR="00DE7753">
        <w:t xml:space="preserve"> (Table A.1)</w:t>
      </w:r>
      <w:r w:rsidR="005F0DAD">
        <w:t>. Many factors influence</w:t>
      </w:r>
      <w:r w:rsidR="00E11EB0">
        <w:t>d</w:t>
      </w:r>
      <w:r w:rsidR="005F0DAD">
        <w:t xml:space="preserve"> these figures, for example upland farms </w:t>
      </w:r>
      <w:r w:rsidR="00E11EB0">
        <w:t>we</w:t>
      </w:r>
      <w:r w:rsidR="005F0DAD">
        <w:t xml:space="preserve">re more likely to </w:t>
      </w:r>
      <w:r>
        <w:t xml:space="preserve">have </w:t>
      </w:r>
      <w:r w:rsidR="00697718">
        <w:t xml:space="preserve">planted trees as </w:t>
      </w:r>
      <w:r w:rsidR="005F0DAD">
        <w:t>shelter for their more exposed areas. Tree cover was lower on hill farms due to the exposed nature of the</w:t>
      </w:r>
      <w:r w:rsidR="008A0F9D">
        <w:t xml:space="preserve"> land</w:t>
      </w:r>
      <w:r w:rsidR="00600AC0">
        <w:t>,</w:t>
      </w:r>
      <w:r w:rsidR="005F0DAD">
        <w:t xml:space="preserve"> and lowest on lowland farms despite their soil and climatic conditions favouring tree growth.</w:t>
      </w:r>
    </w:p>
    <w:p w14:paraId="1640F74C" w14:textId="77777777" w:rsidR="00410704" w:rsidRDefault="00410704" w:rsidP="00BA3E62">
      <w:pPr>
        <w:pStyle w:val="NoSpacing"/>
        <w:spacing w:line="360" w:lineRule="auto"/>
        <w:jc w:val="both"/>
      </w:pPr>
    </w:p>
    <w:p w14:paraId="2126BEE1" w14:textId="1492E0EC" w:rsidR="005C6714" w:rsidRDefault="000C7C6A" w:rsidP="00BA3E62">
      <w:pPr>
        <w:pStyle w:val="NoSpacing"/>
        <w:spacing w:line="360" w:lineRule="auto"/>
        <w:jc w:val="both"/>
      </w:pPr>
      <w:r>
        <w:t xml:space="preserve">Hedgerows are </w:t>
      </w:r>
      <w:r w:rsidR="00503D36">
        <w:t xml:space="preserve">often </w:t>
      </w:r>
      <w:r w:rsidR="007C2E33">
        <w:t>thought to be an important contributor</w:t>
      </w:r>
      <w:r w:rsidR="0039238E">
        <w:t xml:space="preserve"> to</w:t>
      </w:r>
      <w:r w:rsidR="007C2E33">
        <w:t xml:space="preserve"> sequestration on farm</w:t>
      </w:r>
      <w:r w:rsidR="00503D36">
        <w:t xml:space="preserve">s </w:t>
      </w:r>
      <w:r w:rsidR="006E6A97">
        <w:fldChar w:fldCharType="begin"/>
      </w:r>
      <w:r w:rsidR="006E6A97">
        <w:instrText xml:space="preserve"> ADDIN ZOTERO_ITEM CSL_CITATION {"citationID":"CKpQ6Hl6","properties":{"formattedCitation":"(Blair, 2018)","plainCitation":"(Blair, 2018)","noteIndex":0},"citationItems":[{"id":1117,"uris":["http://zotero.org/users/6500992/items/8VS9ICWC"],"itemData":{"id":1117,"type":"paper-conference","container-title":"European Agroforestry Conference-Agroforestry as Sustainable Land Use, 4th","publisher":"EURAF","source":"Google Scholar","title":"Hedgerows as form of agroforestry to sequester and store carbon in agricultural landscapes: a review","title-short":"Hedgerows as form of agroforestry to sequester and store carbon in agricultural landscapes","author":[{"family":"Blair","given":"J."}],"issued":{"date-parts":[["2018"]]}}}],"schema":"https://github.com/citation-style-language/schema/raw/master/csl-citation.json"} </w:instrText>
      </w:r>
      <w:r w:rsidR="006E6A97">
        <w:fldChar w:fldCharType="separate"/>
      </w:r>
      <w:r w:rsidR="00A573B5" w:rsidRPr="00A573B5">
        <w:rPr>
          <w:rFonts w:ascii="Calibri" w:hAnsi="Calibri" w:cs="Calibri"/>
        </w:rPr>
        <w:t>(Blair, 2018)</w:t>
      </w:r>
      <w:r w:rsidR="006E6A97">
        <w:fldChar w:fldCharType="end"/>
      </w:r>
      <w:r w:rsidR="00503D36">
        <w:t>,</w:t>
      </w:r>
      <w:r w:rsidR="007C2E33">
        <w:t xml:space="preserve"> however</w:t>
      </w:r>
      <w:r w:rsidR="00364DB0">
        <w:t>,</w:t>
      </w:r>
      <w:r w:rsidR="007C2E33">
        <w:t xml:space="preserve"> the</w:t>
      </w:r>
      <w:r w:rsidR="00503D36">
        <w:t>ir</w:t>
      </w:r>
      <w:r w:rsidR="007C2E33">
        <w:t xml:space="preserve"> offsetting potential was relatively low in this study</w:t>
      </w:r>
      <w:r w:rsidR="006809BB">
        <w:t>. T</w:t>
      </w:r>
      <w:r w:rsidR="00503D36">
        <w:t>he</w:t>
      </w:r>
      <w:r w:rsidR="004C354F">
        <w:t xml:space="preserve"> </w:t>
      </w:r>
      <w:r w:rsidR="004F2427">
        <w:t>Bangor</w:t>
      </w:r>
      <w:r w:rsidR="006809BB">
        <w:t xml:space="preserve"> </w:t>
      </w:r>
      <w:r w:rsidR="004F2427">
        <w:t>T</w:t>
      </w:r>
      <w:r w:rsidR="006809BB">
        <w:t xml:space="preserve">ool assumes no net sequestration in </w:t>
      </w:r>
      <w:r w:rsidR="004C354F">
        <w:t xml:space="preserve">hedges which are </w:t>
      </w:r>
      <w:r w:rsidR="001A6ECA">
        <w:t xml:space="preserve">cut </w:t>
      </w:r>
      <w:r w:rsidR="004C354F">
        <w:t>in the sample year. This means that managed hedges will not count towards any carbon sequestration. Additionally, this</w:t>
      </w:r>
      <w:r w:rsidR="004370E4">
        <w:t xml:space="preserve"> management practice</w:t>
      </w:r>
      <w:r w:rsidR="004C354F">
        <w:t xml:space="preserve"> could skew </w:t>
      </w:r>
      <w:r w:rsidR="00BF19D8">
        <w:t xml:space="preserve">carbon sequestration and offset </w:t>
      </w:r>
      <w:r w:rsidR="004C354F">
        <w:t>values depending on wh</w:t>
      </w:r>
      <w:r w:rsidR="00003810">
        <w:t>ether</w:t>
      </w:r>
      <w:r w:rsidR="004C354F">
        <w:t xml:space="preserve"> the hedge </w:t>
      </w:r>
      <w:r w:rsidR="00CD68DD">
        <w:t>wa</w:t>
      </w:r>
      <w:r w:rsidR="004C354F">
        <w:t xml:space="preserve">s flailed </w:t>
      </w:r>
      <w:r w:rsidR="00003810">
        <w:t>in the same year as the footprint was carried out</w:t>
      </w:r>
      <w:r w:rsidR="00BF2559">
        <w:t xml:space="preserve">. </w:t>
      </w:r>
      <w:r w:rsidR="00A873B7">
        <w:t>Allowing hedgerows to grow taller and wider</w:t>
      </w:r>
      <w:r w:rsidR="00C807CA">
        <w:t xml:space="preserve"> increase the hedge</w:t>
      </w:r>
      <w:r w:rsidR="0093470D">
        <w:t>’</w:t>
      </w:r>
      <w:r w:rsidR="00C807CA">
        <w:t xml:space="preserve">s capacity to sequester </w:t>
      </w:r>
      <w:r w:rsidR="000B3F73">
        <w:t>carbon in above</w:t>
      </w:r>
      <w:r w:rsidR="002445DF">
        <w:t>- and below-</w:t>
      </w:r>
      <w:r w:rsidR="000B3F73">
        <w:t>ground biomass</w:t>
      </w:r>
      <w:r w:rsidR="00A873B7">
        <w:t xml:space="preserve"> </w:t>
      </w:r>
      <w:r w:rsidR="00A873B7">
        <w:fldChar w:fldCharType="begin"/>
      </w:r>
      <w:r w:rsidR="002445DF">
        <w:instrText xml:space="preserve"> ADDIN ZOTERO_ITEM CSL_CITATION {"citationID":"2ivt8n94","properties":{"formattedCitation":"(Axe, 2018; Axe et al., 2017)","plainCitation":"(Axe, 2018; Axe et al., 2017)","noteIndex":0},"citationItems":[{"id":1098,"uris":["http://zotero.org/users/6500992/items/XPSLULRB"],"itemData":{"id":1098,"type":"paper-conference","container-title":"European Agroforestry Conference-Agroforestry as Sustainable Land Use, 4th","publisher":"EURAF","source":"Google Scholar","title":"Hedgerow agroforestry in England and Wales: increasing width to sequester additional carbon","title-short":"Hedgerow agroforestry in England and Wales","author":[{"family":"Axe","given":"M. S."}],"issued":{"date-parts":[["2018"]]}}},{"id":1405,"uris":["http://zotero.org/users/6500992/items/QAI6RHDA"],"itemData":{"id":1405,"type":"article-journal","abstract":"Farmland hedges could be managed for carbon sequestration, but empirical data on their carbon (C) stock in the UK is lacking. Lowland hedges managed by hedge laying and triennial trimming using a mechanical flail formed a dense woody structure (mean 81,368 stems ha−1). Hedges untrimmed for 3 years (mean height 3.5m, widths 2.6–4.2m), contained an above ground biomass (AGB) C stock of 42.0±3.78tCha−1 (14.0±1.94tCkm−1); when trimmed to 2.7m high, and subsequently 1.9m high, AGB C stocks were reduced to 40.6±4.47tCha−1 (11.4tCkm−1) and 32.2±2.76tCha−1 (9.9tCkm−1), respectively. A 4.2m wide hedge contained 9.7tCkm−1 more AGB C stock than a 2.6m wide hedge (mean height 3.5m). Below ground biomass (BGB) was 38.2±3.66tCha−1 (11.5tCkm−1). Near horizontal stems, arranged by hedge laying, 12–18 years prior to sampling, accounted for 5.2tCha−1 (1.6tCkm−1) of AGB C. The empirical data demonstrated how changing management practices to wider/taller hedges sequestered C in AGB. These estimates of hedgerow C stocks fill a knowledge gap on C storage and identified the need for a more comprehensive biomass inventory of hedgerows to strengthen the national carbon accounting of agro-ecosystems in the UK.","container-title":"Agriculture, Ecosystems &amp; Environment","DOI":"10.1016/j.agee.2017.08.008","ISSN":"0167-8809","journalAbbreviation":"Agriculture, Ecosystems &amp; Environment","language":"en","page":"81-88","source":"ScienceDirect","title":"Carbon storage in hedge biomass—A case study of actively managed hedges in England","volume":"250","author":[{"family":"Axe","given":"Matthew S."},{"family":"Grange","given":"Ian D."},{"family":"Conway","given":"John S."}],"issued":{"date-parts":[["2017",12,1]]}}}],"schema":"https://github.com/citation-style-language/schema/raw/master/csl-citation.json"} </w:instrText>
      </w:r>
      <w:r w:rsidR="00A873B7">
        <w:fldChar w:fldCharType="separate"/>
      </w:r>
      <w:r w:rsidR="00A573B5" w:rsidRPr="00A573B5">
        <w:rPr>
          <w:rFonts w:ascii="Calibri" w:hAnsi="Calibri" w:cs="Calibri"/>
        </w:rPr>
        <w:t>(Axe, 2018; Axe et al., 2017)</w:t>
      </w:r>
      <w:r w:rsidR="00A873B7">
        <w:fldChar w:fldCharType="end"/>
      </w:r>
      <w:r w:rsidR="003F5F87">
        <w:t>.</w:t>
      </w:r>
    </w:p>
    <w:p w14:paraId="61CB84B1" w14:textId="77777777" w:rsidR="005C6714" w:rsidRDefault="005C6714" w:rsidP="00BA3E62">
      <w:pPr>
        <w:spacing w:after="160" w:line="259" w:lineRule="auto"/>
        <w:jc w:val="both"/>
        <w:rPr>
          <w:rFonts w:asciiTheme="minorHAnsi" w:eastAsiaTheme="minorHAnsi" w:hAnsiTheme="minorHAnsi" w:cstheme="minorBidi"/>
          <w:sz w:val="22"/>
          <w:szCs w:val="22"/>
          <w:lang w:eastAsia="en-US"/>
        </w:rPr>
      </w:pPr>
      <w:r>
        <w:br w:type="page"/>
      </w:r>
    </w:p>
    <w:p w14:paraId="0F366EAC" w14:textId="7F65A5F1" w:rsidR="007E55DB" w:rsidRDefault="007E55DB" w:rsidP="00CC11A7">
      <w:pPr>
        <w:pStyle w:val="NoSpacing"/>
        <w:numPr>
          <w:ilvl w:val="1"/>
          <w:numId w:val="2"/>
        </w:numPr>
        <w:spacing w:line="360" w:lineRule="auto"/>
        <w:rPr>
          <w:b/>
          <w:bCs/>
        </w:rPr>
      </w:pPr>
      <w:r>
        <w:rPr>
          <w:b/>
          <w:bCs/>
        </w:rPr>
        <w:lastRenderedPageBreak/>
        <w:t xml:space="preserve"> Mitigation </w:t>
      </w:r>
      <w:r w:rsidR="00D912F0">
        <w:rPr>
          <w:b/>
          <w:bCs/>
        </w:rPr>
        <w:t>s</w:t>
      </w:r>
      <w:r>
        <w:rPr>
          <w:b/>
          <w:bCs/>
        </w:rPr>
        <w:t>cenarios</w:t>
      </w:r>
    </w:p>
    <w:p w14:paraId="01591313" w14:textId="65F14178" w:rsidR="007E55DB" w:rsidRDefault="007E55DB" w:rsidP="00CC11A7">
      <w:pPr>
        <w:pStyle w:val="NoSpacing"/>
        <w:numPr>
          <w:ilvl w:val="2"/>
          <w:numId w:val="2"/>
        </w:numPr>
        <w:spacing w:line="360" w:lineRule="auto"/>
        <w:rPr>
          <w:b/>
          <w:bCs/>
        </w:rPr>
      </w:pPr>
      <w:r>
        <w:rPr>
          <w:b/>
          <w:bCs/>
        </w:rPr>
        <w:t xml:space="preserve">Emission </w:t>
      </w:r>
      <w:r w:rsidR="00D912F0">
        <w:rPr>
          <w:b/>
          <w:bCs/>
        </w:rPr>
        <w:t>r</w:t>
      </w:r>
      <w:r>
        <w:rPr>
          <w:b/>
          <w:bCs/>
        </w:rPr>
        <w:t xml:space="preserve">eductions </w:t>
      </w:r>
    </w:p>
    <w:p w14:paraId="6F3828A4" w14:textId="7072FE3D" w:rsidR="00090E63" w:rsidRDefault="00090E63" w:rsidP="00BA3E62">
      <w:pPr>
        <w:pStyle w:val="NoSpacing"/>
        <w:spacing w:line="360" w:lineRule="auto"/>
        <w:jc w:val="both"/>
      </w:pPr>
    </w:p>
    <w:p w14:paraId="2AEA2490" w14:textId="5F467600" w:rsidR="00A8583D" w:rsidRDefault="00C1096B" w:rsidP="00BA3E62">
      <w:pPr>
        <w:pStyle w:val="NoSpacing"/>
        <w:spacing w:line="360" w:lineRule="auto"/>
        <w:jc w:val="both"/>
        <w:rPr>
          <w:rFonts w:cstheme="minorHAnsi"/>
        </w:rPr>
      </w:pPr>
      <w:r w:rsidRPr="00317335">
        <w:rPr>
          <w:rFonts w:cstheme="minorHAnsi"/>
        </w:rPr>
        <w:t xml:space="preserve">The implementation of mitigation measures was </w:t>
      </w:r>
      <w:r w:rsidR="00925214">
        <w:rPr>
          <w:rFonts w:cstheme="minorHAnsi"/>
        </w:rPr>
        <w:t>found</w:t>
      </w:r>
      <w:r w:rsidRPr="00317335">
        <w:rPr>
          <w:rFonts w:cstheme="minorHAnsi"/>
        </w:rPr>
        <w:t xml:space="preserve"> to reduce emissions by an average of </w:t>
      </w:r>
      <w:r w:rsidR="003C2B2B" w:rsidRPr="00317335">
        <w:rPr>
          <w:rFonts w:cstheme="minorHAnsi"/>
        </w:rPr>
        <w:t>28</w:t>
      </w:r>
      <w:r w:rsidRPr="00317335">
        <w:rPr>
          <w:rFonts w:cstheme="minorHAnsi"/>
        </w:rPr>
        <w:t>% across all farms. Emission reductions were similar across all farm types</w:t>
      </w:r>
      <w:r w:rsidR="00503D36" w:rsidRPr="00317335">
        <w:rPr>
          <w:rFonts w:cstheme="minorHAnsi"/>
        </w:rPr>
        <w:t>,</w:t>
      </w:r>
      <w:r w:rsidRPr="00317335">
        <w:rPr>
          <w:rFonts w:cstheme="minorHAnsi"/>
        </w:rPr>
        <w:t xml:space="preserve"> with average emission reductions of 2</w:t>
      </w:r>
      <w:r w:rsidR="000E5084" w:rsidRPr="00317335">
        <w:rPr>
          <w:rFonts w:cstheme="minorHAnsi"/>
        </w:rPr>
        <w:t>6</w:t>
      </w:r>
      <w:r w:rsidR="00CB464E" w:rsidRPr="00317335">
        <w:rPr>
          <w:rFonts w:cstheme="minorHAnsi"/>
        </w:rPr>
        <w:t>%</w:t>
      </w:r>
      <w:r w:rsidRPr="00317335">
        <w:rPr>
          <w:rFonts w:cstheme="minorHAnsi"/>
        </w:rPr>
        <w:t xml:space="preserve">, </w:t>
      </w:r>
      <w:r w:rsidR="008C1793" w:rsidRPr="00317335">
        <w:rPr>
          <w:rFonts w:cstheme="minorHAnsi"/>
        </w:rPr>
        <w:t>30</w:t>
      </w:r>
      <w:r w:rsidR="00CB464E" w:rsidRPr="00317335">
        <w:rPr>
          <w:rFonts w:cstheme="minorHAnsi"/>
        </w:rPr>
        <w:t>%</w:t>
      </w:r>
      <w:r w:rsidRPr="00317335">
        <w:rPr>
          <w:rFonts w:cstheme="minorHAnsi"/>
        </w:rPr>
        <w:t xml:space="preserve"> and</w:t>
      </w:r>
      <w:r w:rsidRPr="008C1793">
        <w:rPr>
          <w:rFonts w:cstheme="minorHAnsi"/>
        </w:rPr>
        <w:t xml:space="preserve"> </w:t>
      </w:r>
      <w:r w:rsidR="008C1793" w:rsidRPr="008C1793">
        <w:rPr>
          <w:rFonts w:cstheme="minorHAnsi"/>
        </w:rPr>
        <w:t>29</w:t>
      </w:r>
      <w:r w:rsidRPr="008C1793">
        <w:rPr>
          <w:rFonts w:cstheme="minorHAnsi"/>
        </w:rPr>
        <w:t xml:space="preserve">% for hill, </w:t>
      </w:r>
      <w:proofErr w:type="gramStart"/>
      <w:r w:rsidRPr="008C1793">
        <w:rPr>
          <w:rFonts w:cstheme="minorHAnsi"/>
        </w:rPr>
        <w:t>upland</w:t>
      </w:r>
      <w:proofErr w:type="gramEnd"/>
      <w:r w:rsidRPr="008C1793">
        <w:rPr>
          <w:rFonts w:cstheme="minorHAnsi"/>
        </w:rPr>
        <w:t xml:space="preserve"> and lowland</w:t>
      </w:r>
      <w:r w:rsidR="00503D36" w:rsidRPr="008C1793">
        <w:rPr>
          <w:rFonts w:cstheme="minorHAnsi"/>
        </w:rPr>
        <w:t>,</w:t>
      </w:r>
      <w:r w:rsidRPr="008C1793">
        <w:rPr>
          <w:rFonts w:cstheme="minorHAnsi"/>
        </w:rPr>
        <w:t xml:space="preserve"> respectively</w:t>
      </w:r>
      <w:r w:rsidR="005A3AF5">
        <w:rPr>
          <w:rFonts w:cstheme="minorHAnsi"/>
        </w:rPr>
        <w:t xml:space="preserve"> (Table 4)</w:t>
      </w:r>
      <w:r w:rsidRPr="008C1793">
        <w:rPr>
          <w:rFonts w:cstheme="minorHAnsi"/>
        </w:rPr>
        <w:t xml:space="preserve">. </w:t>
      </w:r>
      <w:r w:rsidR="00E560C2">
        <w:rPr>
          <w:rFonts w:cstheme="minorHAnsi"/>
        </w:rPr>
        <w:t>Farms with only s</w:t>
      </w:r>
      <w:r w:rsidRPr="008C1793">
        <w:rPr>
          <w:rFonts w:cstheme="minorHAnsi"/>
        </w:rPr>
        <w:t>heep had lower emission reductions of 24%</w:t>
      </w:r>
      <w:r w:rsidR="009E4341" w:rsidRPr="008C1793">
        <w:rPr>
          <w:rFonts w:cstheme="minorHAnsi"/>
        </w:rPr>
        <w:t xml:space="preserve">, </w:t>
      </w:r>
      <w:r w:rsidR="009E6702" w:rsidRPr="008C1793">
        <w:rPr>
          <w:rFonts w:cstheme="minorHAnsi"/>
        </w:rPr>
        <w:t>most likely reflect</w:t>
      </w:r>
      <w:r w:rsidR="009E4341" w:rsidRPr="008C1793">
        <w:rPr>
          <w:rFonts w:cstheme="minorHAnsi"/>
        </w:rPr>
        <w:t>ing</w:t>
      </w:r>
      <w:r w:rsidR="009E6702" w:rsidRPr="008C1793">
        <w:rPr>
          <w:rFonts w:cstheme="minorHAnsi"/>
        </w:rPr>
        <w:t xml:space="preserve"> the </w:t>
      </w:r>
      <w:r w:rsidR="00503D36" w:rsidRPr="008C1793">
        <w:rPr>
          <w:rFonts w:cstheme="minorHAnsi"/>
        </w:rPr>
        <w:t xml:space="preserve">more </w:t>
      </w:r>
      <w:r w:rsidR="009E6702" w:rsidRPr="008C1793">
        <w:rPr>
          <w:rFonts w:cstheme="minorHAnsi"/>
        </w:rPr>
        <w:t>limited number of mitigation measure</w:t>
      </w:r>
      <w:r w:rsidR="006F0C6C" w:rsidRPr="008C1793">
        <w:rPr>
          <w:rFonts w:cstheme="minorHAnsi"/>
        </w:rPr>
        <w:t>s</w:t>
      </w:r>
      <w:r w:rsidR="009E6702" w:rsidRPr="008C1793">
        <w:rPr>
          <w:rFonts w:cstheme="minorHAnsi"/>
        </w:rPr>
        <w:t xml:space="preserve"> applicable </w:t>
      </w:r>
      <w:r w:rsidR="009E4341" w:rsidRPr="008C1793">
        <w:rPr>
          <w:rFonts w:cstheme="minorHAnsi"/>
        </w:rPr>
        <w:t>to</w:t>
      </w:r>
      <w:r w:rsidR="009E6702" w:rsidRPr="008C1793">
        <w:rPr>
          <w:rFonts w:cstheme="minorHAnsi"/>
        </w:rPr>
        <w:t xml:space="preserve"> these farms. </w:t>
      </w:r>
      <w:r w:rsidR="009E4341" w:rsidRPr="008C1793">
        <w:rPr>
          <w:rFonts w:cstheme="minorHAnsi"/>
        </w:rPr>
        <w:t xml:space="preserve">Nitrous oxide emissions from sheep only farms </w:t>
      </w:r>
      <w:r w:rsidR="00366315" w:rsidRPr="008C1793">
        <w:rPr>
          <w:rFonts w:cstheme="minorHAnsi"/>
        </w:rPr>
        <w:t xml:space="preserve">were </w:t>
      </w:r>
      <w:r w:rsidR="009E4341" w:rsidRPr="008C1793">
        <w:rPr>
          <w:rFonts w:cstheme="minorHAnsi"/>
        </w:rPr>
        <w:t>generally lower than th</w:t>
      </w:r>
      <w:r w:rsidR="00A84847" w:rsidRPr="008C1793">
        <w:rPr>
          <w:rFonts w:cstheme="minorHAnsi"/>
        </w:rPr>
        <w:t>ose</w:t>
      </w:r>
      <w:r w:rsidR="009E4341" w:rsidRPr="008C1793">
        <w:rPr>
          <w:rFonts w:cstheme="minorHAnsi"/>
        </w:rPr>
        <w:t xml:space="preserve"> of cattle</w:t>
      </w:r>
      <w:r w:rsidR="00503D36" w:rsidRPr="008C1793">
        <w:rPr>
          <w:rFonts w:cstheme="minorHAnsi"/>
        </w:rPr>
        <w:t>,</w:t>
      </w:r>
      <w:r w:rsidR="009E4341" w:rsidRPr="008C1793">
        <w:rPr>
          <w:rFonts w:cstheme="minorHAnsi"/>
        </w:rPr>
        <w:t xml:space="preserve"> so the effectiveness of measures</w:t>
      </w:r>
      <w:r w:rsidR="009E4341">
        <w:rPr>
          <w:rFonts w:cstheme="minorHAnsi"/>
        </w:rPr>
        <w:t xml:space="preserve"> targeting N</w:t>
      </w:r>
      <w:r w:rsidR="009E4341">
        <w:rPr>
          <w:rFonts w:cstheme="minorHAnsi"/>
          <w:vertAlign w:val="subscript"/>
        </w:rPr>
        <w:t>2</w:t>
      </w:r>
      <w:r w:rsidR="009E4341">
        <w:rPr>
          <w:rFonts w:cstheme="minorHAnsi"/>
        </w:rPr>
        <w:t xml:space="preserve">O are limited. Measures relating to manure management are </w:t>
      </w:r>
      <w:r w:rsidR="004C4AF6">
        <w:rPr>
          <w:rFonts w:cstheme="minorHAnsi"/>
        </w:rPr>
        <w:t xml:space="preserve">not applicable </w:t>
      </w:r>
      <w:r w:rsidR="009E4341">
        <w:rPr>
          <w:rFonts w:cstheme="minorHAnsi"/>
        </w:rPr>
        <w:t xml:space="preserve">for sheep farms </w:t>
      </w:r>
      <w:r w:rsidR="00A84847">
        <w:rPr>
          <w:rFonts w:cstheme="minorHAnsi"/>
        </w:rPr>
        <w:t xml:space="preserve">which are primarily </w:t>
      </w:r>
      <w:r w:rsidR="009E4341">
        <w:rPr>
          <w:rFonts w:cstheme="minorHAnsi"/>
        </w:rPr>
        <w:t>extensive systems w</w:t>
      </w:r>
      <w:r w:rsidR="00A84847">
        <w:rPr>
          <w:rFonts w:cstheme="minorHAnsi"/>
        </w:rPr>
        <w:t xml:space="preserve">ith short </w:t>
      </w:r>
      <w:r w:rsidR="001671DC">
        <w:rPr>
          <w:rFonts w:cstheme="minorHAnsi"/>
        </w:rPr>
        <w:t xml:space="preserve">(or no) </w:t>
      </w:r>
      <w:r w:rsidR="00A84847">
        <w:rPr>
          <w:rFonts w:cstheme="minorHAnsi"/>
        </w:rPr>
        <w:t>periods of animal housing</w:t>
      </w:r>
      <w:r w:rsidR="009E4341">
        <w:rPr>
          <w:rFonts w:cstheme="minorHAnsi"/>
        </w:rPr>
        <w:t>. S</w:t>
      </w:r>
      <w:r w:rsidR="009E6702">
        <w:rPr>
          <w:rFonts w:cstheme="minorHAnsi"/>
        </w:rPr>
        <w:t>heep farms</w:t>
      </w:r>
      <w:r w:rsidR="009E4341">
        <w:rPr>
          <w:rFonts w:cstheme="minorHAnsi"/>
        </w:rPr>
        <w:t xml:space="preserve"> also have lower levels of inputs including fertiliser and fuel</w:t>
      </w:r>
      <w:r w:rsidR="00503D36">
        <w:rPr>
          <w:rFonts w:cstheme="minorHAnsi"/>
        </w:rPr>
        <w:t>,</w:t>
      </w:r>
      <w:r w:rsidR="009E4341">
        <w:rPr>
          <w:rFonts w:cstheme="minorHAnsi"/>
        </w:rPr>
        <w:t xml:space="preserve"> which limited th</w:t>
      </w:r>
      <w:r w:rsidR="00503D36">
        <w:rPr>
          <w:rFonts w:cstheme="minorHAnsi"/>
        </w:rPr>
        <w:t xml:space="preserve">e potential from mitigation measures in such </w:t>
      </w:r>
      <w:r w:rsidR="009E4341">
        <w:rPr>
          <w:rFonts w:cstheme="minorHAnsi"/>
        </w:rPr>
        <w:t>area</w:t>
      </w:r>
      <w:r w:rsidR="00503D36">
        <w:rPr>
          <w:rFonts w:cstheme="minorHAnsi"/>
        </w:rPr>
        <w:t>s</w:t>
      </w:r>
      <w:r w:rsidR="009E4341">
        <w:rPr>
          <w:rFonts w:cstheme="minorHAnsi"/>
        </w:rPr>
        <w:t>.</w:t>
      </w:r>
      <w:r w:rsidR="00CA48EA">
        <w:rPr>
          <w:rFonts w:cstheme="minorHAnsi"/>
        </w:rPr>
        <w:t xml:space="preserve"> </w:t>
      </w:r>
    </w:p>
    <w:p w14:paraId="15F77273" w14:textId="67540517" w:rsidR="00F23F63" w:rsidRDefault="00A8583D" w:rsidP="00BA3E62">
      <w:pPr>
        <w:pStyle w:val="NoSpacing"/>
        <w:spacing w:line="360" w:lineRule="auto"/>
        <w:jc w:val="both"/>
      </w:pPr>
      <w:r>
        <w:rPr>
          <w:rFonts w:cstheme="minorHAnsi"/>
        </w:rPr>
        <w:t xml:space="preserve">The </w:t>
      </w:r>
      <w:r w:rsidR="00A65F6D">
        <w:rPr>
          <w:rFonts w:cstheme="minorHAnsi"/>
        </w:rPr>
        <w:t>CH</w:t>
      </w:r>
      <w:r w:rsidR="00A65F6D" w:rsidRPr="007D6DB8">
        <w:rPr>
          <w:rFonts w:cstheme="minorHAnsi"/>
          <w:vertAlign w:val="subscript"/>
        </w:rPr>
        <w:t>4</w:t>
      </w:r>
      <w:r w:rsidR="00A65F6D">
        <w:rPr>
          <w:rFonts w:cstheme="minorHAnsi"/>
        </w:rPr>
        <w:t xml:space="preserve"> </w:t>
      </w:r>
      <w:r>
        <w:rPr>
          <w:rFonts w:cstheme="minorHAnsi"/>
        </w:rPr>
        <w:t>inhibitor 3NOP was the measure with the largest mitigation potential</w:t>
      </w:r>
      <w:r w:rsidR="005A3AF5">
        <w:rPr>
          <w:rFonts w:cstheme="minorHAnsi"/>
        </w:rPr>
        <w:t xml:space="preserve"> (Table 3)</w:t>
      </w:r>
      <w:r>
        <w:rPr>
          <w:rFonts w:cstheme="minorHAnsi"/>
        </w:rPr>
        <w:t xml:space="preserve">. This finding should be interpreted with caution as 3NOP is still a relatively new </w:t>
      </w:r>
      <w:r w:rsidR="00E560C2">
        <w:rPr>
          <w:rFonts w:cstheme="minorHAnsi"/>
        </w:rPr>
        <w:t>product</w:t>
      </w:r>
      <w:r>
        <w:rPr>
          <w:rFonts w:cstheme="minorHAnsi"/>
        </w:rPr>
        <w:t>, with most literature arising from experimental studies</w:t>
      </w:r>
      <w:r w:rsidR="00002DA2">
        <w:rPr>
          <w:rFonts w:cstheme="minorHAnsi"/>
        </w:rPr>
        <w:t xml:space="preserve"> </w:t>
      </w:r>
      <w:r w:rsidR="00366315">
        <w:rPr>
          <w:rFonts w:cstheme="minorHAnsi"/>
        </w:rPr>
        <w:fldChar w:fldCharType="begin"/>
      </w:r>
      <w:r w:rsidR="005E1053">
        <w:rPr>
          <w:rFonts w:cstheme="minorHAnsi"/>
        </w:rPr>
        <w:instrText xml:space="preserve"> ADDIN ZOTERO_ITEM CSL_CITATION {"citationID":"aW9WCyuC","properties":{"formattedCitation":"(Jayanegara et al., 2018; Yu et al., 2021)","plainCitation":"(Jayanegara et al., 2018; Yu et al., 2021)","noteIndex":0},"citationItems":[{"id":67,"uris":["http://zotero.org/users/6500992/items/9T2XN8N3"],"itemData":{"id":67,"type":"article-journal","abstract":"This study aimed to perform a meta-analysis on the effect of 3-nitrooxypropanol (3-NOP) on enteric methane (CH4) emissions from ruminants. A total of 12 in vivo studies from 10 articles were integrated into a database. Ruminant species included were dairy cows, beef cattle and sheep. Concentration of 3-NOP in diets varied from 0 to 280 mg/kg dry matter intake (DMI). Parameters included were CH4 emissions, rumen fermentation, microbial population, nutrient digestibility and animal performance. Meta-analysis of data was performed by using mixed model methodology in which different studies were treated as random effects whereas 3-NOP addition levels in diets of ruminants were treated as fixed effects. Results showed that increasing level of 3-NOP addition in diets of ruminants decreased enteric CH4 emissions per unit of body weight, CH4/DMI, CH4/milk produced, CH4/digested organic matter or CH4/gross energy intake (p &lt; .05). Production of H2 was higher with increasing level of 3-NOP addition (p &lt; .001). Addition of 3-NOP decreased total VFA concentration (p &lt; .01), and decreased and increased proportions of C2 and C3, respectively (p &lt; .001). Addition of 3-NOP decreased archaea population (p &lt; .01) but it did not change total bacteria and protozoa populations. The substance had minor effect on digestibility of nutrients. Production performance of dairy cows and beef cattle was limitedly influenced by the addition of 3-NOP in the diets, and it had no negative effect on DMI of ruminants. It is concluded that 3-NOP is an effective feed additive to mitigate enteric CH4 emissions without compromising productive performance of ruminants.","container-title":"Italian Journal of Animal Science","DOI":"10.1080/1828051X.2017.1404945","ISSN":"null","issue":"3","note":"publisher: Taylor &amp; Francis\n_eprint: https://doi.org/10.1080/1828051X.2017.1404945","page":"650-656","source":"Taylor and Francis+NEJM","title":"Use of 3-nitrooxypropanol as feed additive for mitigating enteric methane emissions from ruminants: a meta-analysis","title-short":"Use of 3-nitrooxypropanol as feed additive for mitigating enteric methane emissions from ruminants","volume":"17","author":[{"family":"Jayanegara","given":"Anuraga"},{"family":"Sarwono","given":"Ki Ageng"},{"family":"Kondo","given":"Makoto"},{"family":"Matsui","given":"Hiroki"},{"family":"Ridla","given":"Muhammad"},{"family":"Laconi","given":"Erika B."},{"literal":"Nahrowi"}],"issued":{"date-parts":[["2018",7,3]]}}},{"id":1100,"uris":["http://zotero.org/users/6500992/items/WK7BK3GE"],"itemData":{"id":1100,"type":"article-journal","abstract":"Simple Summary\nEnteric methane (CH4) from the anaerobic fermentation of feed carbohydrates in ruminant livestock accounts for 3 to 5% of global greenhouse gas emissions. Among the different CH4 mitigating approaches evaluated to decrease enteric CH4 emissions from ruminants, the feed additive 3-nitrooxypropanol is effective with a mean reduction in CH4 of 30%, depending on animal type, diet and dose. 3-nitrooxypropanol is chemically synthesized and studies show low safety risk with no detrimental effects to animals and humans. 3-nitrooxypropanol was recently approved by regulatory authorities for use in Brazil and Chile and has received a favorable opinion from the scientific panel of the European Food Safety Authority, with approvals in various jurisdictions expected in the near future. As a substantial body of research on 3-nitrooxypropanol is now available, this review offers a timely analysis of the opportunities and challenges of using 3-nitrooxypropanol to mitigate enteric CH4 emissions in ruminant livestock.\n\nAbstract\nMethane (CH4) from enteric fermentation accounts for 3 to 5% of global anthropogenic greenhouse gas emissions, which contribute to climate change. Cost-effective strategies are needed to reduce feed energy losses as enteric CH4 while improving ruminant production efficiency. Mitigation strategies need to be environmentally friendly, easily adopted by producers and accepted by consumers. However, few sustainable CH4 mitigation approaches are available. Recent studies show that the chemically synthesized CH4 inhibitor 3-nitrooxypropanol is one of the most effective approaches for enteric CH4 abatement. 3-nitrooxypropanol specifically targets the methyl-coenzyme M reductase and inhibits the final catalytic step in methanogenesis in rumen archaea. Providing 3-nitrooxypropanol to dairy and beef cattle in research studies has consistently decreased enteric CH4 production by 30% on average, with reductions as high as 82% in some cases. Efficacy is positively related to 3-NOP dose and negatively affected by neutral detergent fiber concentration of the diet, with greater responses in dairy compared with beef cattle when compared at the same dose. This review collates the current literature on 3-nitrooxypropanol and examines the overall findings of meta-analyses and individual studies to provide a synthesis of science-based information on the use of 3-nitrooxypropanol for CH4 abatement. The intent is to help guide commercial adoption at the farm level in the future. There is a significant body of peer-reviewed scientific literature to indicate that 3-nitrooxypropanol is effective and safe when incorporated into total mixed rations, but further research is required to fully understand the long-term effects and the interactions with other CH4 mitigating compounds.","container-title":"Animals : an Open Access Journal from MDPI","DOI":"10.3390/ani11123540","ISSN":"2076-2615","issue":"12","journalAbbreviation":"Animals (Basel)","note":"PMID: 34944313\nPMCID: PMC8697901","page":"3540","source":"PubMed Central","title":"A Review of 3-Nitrooxypropanol for Enteric Methane Mitigation from Ruminant Livestock","volume":"11","author":[{"family":"Yu","given":"Guanghui"},{"family":"Beauchemin","given":"Karen A."},{"family":"Dong","given":"Ruilan"}],"issued":{"date-parts":[["2021",12,13]]}}}],"schema":"https://github.com/citation-style-language/schema/raw/master/csl-citation.json"} </w:instrText>
      </w:r>
      <w:r w:rsidR="00366315">
        <w:rPr>
          <w:rFonts w:cstheme="minorHAnsi"/>
        </w:rPr>
        <w:fldChar w:fldCharType="separate"/>
      </w:r>
      <w:r w:rsidR="00A573B5" w:rsidRPr="00A573B5">
        <w:rPr>
          <w:rFonts w:ascii="Calibri" w:hAnsi="Calibri" w:cs="Calibri"/>
        </w:rPr>
        <w:t>(Jayanegara et al., 2018; Yu et al., 2021)</w:t>
      </w:r>
      <w:r w:rsidR="00366315">
        <w:rPr>
          <w:rFonts w:cstheme="minorHAnsi"/>
        </w:rPr>
        <w:fldChar w:fldCharType="end"/>
      </w:r>
      <w:r w:rsidR="00366315">
        <w:rPr>
          <w:rFonts w:cstheme="minorHAnsi"/>
        </w:rPr>
        <w:t>.</w:t>
      </w:r>
      <w:r w:rsidR="000D1753">
        <w:rPr>
          <w:rFonts w:cstheme="minorHAnsi"/>
        </w:rPr>
        <w:t xml:space="preserve"> It was assumed that 3NOP could be administered to all grazing animal</w:t>
      </w:r>
      <w:r w:rsidR="00503D36">
        <w:rPr>
          <w:rFonts w:cstheme="minorHAnsi"/>
        </w:rPr>
        <w:t>s</w:t>
      </w:r>
      <w:r w:rsidR="000D1753">
        <w:rPr>
          <w:rFonts w:cstheme="minorHAnsi"/>
        </w:rPr>
        <w:t xml:space="preserve"> as a bolus</w:t>
      </w:r>
      <w:r w:rsidR="00AC7CB0">
        <w:rPr>
          <w:rFonts w:cstheme="minorHAnsi"/>
        </w:rPr>
        <w:t xml:space="preserve"> </w:t>
      </w:r>
      <w:r w:rsidR="00AC7CB0">
        <w:rPr>
          <w:rFonts w:cstheme="minorHAnsi"/>
        </w:rPr>
        <w:fldChar w:fldCharType="begin"/>
      </w:r>
      <w:r w:rsidR="00AC7CB0">
        <w:rPr>
          <w:rFonts w:cstheme="minorHAnsi"/>
        </w:rPr>
        <w:instrText xml:space="preserve"> ADDIN ZOTERO_ITEM CSL_CITATION {"citationID":"mj3A6kP0","properties":{"formattedCitation":"(Rooke et al., 2016)","plainCitation":"(Rooke et al., 2016)","noteIndex":0},"citationItems":[{"id":1179,"uris":["http://zotero.org/users/6500992/items/AMU2PVCX"],"itemData":{"id":1179,"type":"article-journal","note":"publisher: Scotland's Rural College (SRUC)","source":"Google Scholar","title":"Nutritional strategies to reduce enteric methane emissions","author":[{"family":"Rooke","given":"J. A."},{"family":"Miller","given":"G. A."},{"family":"Flockhart","given":"J. F."},{"family":"McDowell","given":"M. M."},{"family":"MacLeod","given":"M."}],"issued":{"date-parts":[["2016"]]}}}],"schema":"https://github.com/citation-style-language/schema/raw/master/csl-citation.json"} </w:instrText>
      </w:r>
      <w:r w:rsidR="00AC7CB0">
        <w:rPr>
          <w:rFonts w:cstheme="minorHAnsi"/>
        </w:rPr>
        <w:fldChar w:fldCharType="separate"/>
      </w:r>
      <w:r w:rsidR="00A573B5" w:rsidRPr="00A573B5">
        <w:rPr>
          <w:rFonts w:ascii="Calibri" w:hAnsi="Calibri" w:cs="Calibri"/>
        </w:rPr>
        <w:t>(Rooke et al., 2016)</w:t>
      </w:r>
      <w:r w:rsidR="00AC7CB0">
        <w:rPr>
          <w:rFonts w:cstheme="minorHAnsi"/>
        </w:rPr>
        <w:fldChar w:fldCharType="end"/>
      </w:r>
      <w:r w:rsidR="00503D36">
        <w:rPr>
          <w:rFonts w:cstheme="minorHAnsi"/>
        </w:rPr>
        <w:t>,</w:t>
      </w:r>
      <w:r w:rsidR="000D1753">
        <w:rPr>
          <w:rFonts w:cstheme="minorHAnsi"/>
        </w:rPr>
        <w:t xml:space="preserve"> </w:t>
      </w:r>
      <w:r w:rsidR="00002DA2">
        <w:rPr>
          <w:rFonts w:cstheme="minorHAnsi"/>
        </w:rPr>
        <w:t>but</w:t>
      </w:r>
      <w:r w:rsidR="000D1753">
        <w:rPr>
          <w:rFonts w:cstheme="minorHAnsi"/>
        </w:rPr>
        <w:t xml:space="preserve"> little literature exists on </w:t>
      </w:r>
      <w:r w:rsidR="00C77043">
        <w:rPr>
          <w:rFonts w:cstheme="minorHAnsi"/>
        </w:rPr>
        <w:t>its</w:t>
      </w:r>
      <w:r w:rsidR="000D1753">
        <w:rPr>
          <w:rFonts w:cstheme="minorHAnsi"/>
        </w:rPr>
        <w:t xml:space="preserve"> effectiveness in these conditions.</w:t>
      </w:r>
      <w:r w:rsidR="00694928">
        <w:rPr>
          <w:rFonts w:cstheme="minorHAnsi"/>
        </w:rPr>
        <w:t xml:space="preserve"> </w:t>
      </w:r>
      <w:r w:rsidR="00D75585">
        <w:rPr>
          <w:rFonts w:cstheme="minorHAnsi"/>
        </w:rPr>
        <w:t xml:space="preserve">The effectiveness of </w:t>
      </w:r>
      <w:r w:rsidR="00694928">
        <w:rPr>
          <w:rFonts w:cstheme="minorHAnsi"/>
        </w:rPr>
        <w:t>3NOP</w:t>
      </w:r>
      <w:r>
        <w:rPr>
          <w:rFonts w:cstheme="minorHAnsi"/>
        </w:rPr>
        <w:t xml:space="preserve"> </w:t>
      </w:r>
      <w:r w:rsidR="00D75585">
        <w:rPr>
          <w:rFonts w:cstheme="minorHAnsi"/>
        </w:rPr>
        <w:t>to reduce emissions</w:t>
      </w:r>
      <w:r w:rsidR="002D2455">
        <w:rPr>
          <w:rFonts w:cstheme="minorHAnsi"/>
        </w:rPr>
        <w:t xml:space="preserve"> </w:t>
      </w:r>
      <w:r>
        <w:rPr>
          <w:rFonts w:cstheme="minorHAnsi"/>
        </w:rPr>
        <w:t>was closely followed by the group of mitigation measure</w:t>
      </w:r>
      <w:r w:rsidR="009C1A36">
        <w:rPr>
          <w:rFonts w:cstheme="minorHAnsi"/>
        </w:rPr>
        <w:t>s</w:t>
      </w:r>
      <w:r>
        <w:rPr>
          <w:rFonts w:cstheme="minorHAnsi"/>
        </w:rPr>
        <w:t xml:space="preserve"> for animal productivity. </w:t>
      </w:r>
      <w:r w:rsidR="0005640E">
        <w:t xml:space="preserve">Improved beef and sheep productivity had the </w:t>
      </w:r>
      <w:r w:rsidR="005D6F9D">
        <w:t xml:space="preserve">second </w:t>
      </w:r>
      <w:r w:rsidR="00CD781C">
        <w:t>highest</w:t>
      </w:r>
      <w:r w:rsidR="0005640E">
        <w:t xml:space="preserve"> mitigation potential (Table 3</w:t>
      </w:r>
      <w:proofErr w:type="gramStart"/>
      <w:r w:rsidR="0005640E">
        <w:t>)</w:t>
      </w:r>
      <w:r w:rsidR="00E62E3D">
        <w:t>,</w:t>
      </w:r>
      <w:proofErr w:type="gramEnd"/>
      <w:r w:rsidR="00E62E3D">
        <w:t xml:space="preserve"> h</w:t>
      </w:r>
      <w:r w:rsidR="0005640E">
        <w:t xml:space="preserve">owever, these emission reductions rely on the assumption that production is held constant. </w:t>
      </w:r>
      <w:proofErr w:type="gramStart"/>
      <w:r w:rsidR="0005640E">
        <w:t>In reality, if</w:t>
      </w:r>
      <w:proofErr w:type="gramEnd"/>
      <w:r w:rsidR="0005640E">
        <w:t xml:space="preserve"> farmers were to increase production efficiencies, they </w:t>
      </w:r>
      <w:r w:rsidR="005C6714">
        <w:t>may</w:t>
      </w:r>
      <w:r w:rsidR="00717B9E">
        <w:t xml:space="preserve"> </w:t>
      </w:r>
      <w:r w:rsidR="003913C0" w:rsidRPr="003913C0">
        <w:t>thereafter</w:t>
      </w:r>
      <w:r w:rsidR="003913C0" w:rsidRPr="003913C0" w:rsidDel="003913C0">
        <w:t xml:space="preserve"> </w:t>
      </w:r>
      <w:r w:rsidR="0005640E">
        <w:t xml:space="preserve">increase stocking </w:t>
      </w:r>
      <w:r w:rsidR="00780034">
        <w:t>rates</w:t>
      </w:r>
      <w:r w:rsidR="00717B9E">
        <w:t>,</w:t>
      </w:r>
      <w:r w:rsidR="00780034">
        <w:t xml:space="preserve"> which would in turn affect</w:t>
      </w:r>
      <w:r w:rsidR="00A06452">
        <w:t xml:space="preserve"> net emissions as well as</w:t>
      </w:r>
      <w:r w:rsidR="00780034">
        <w:t xml:space="preserve"> the </w:t>
      </w:r>
      <w:r w:rsidR="00144DCB">
        <w:t>cost of implementing these measures</w:t>
      </w:r>
      <w:r w:rsidR="0005640E">
        <w:t xml:space="preserve">. </w:t>
      </w:r>
      <w:r>
        <w:rPr>
          <w:rFonts w:cstheme="minorHAnsi"/>
        </w:rPr>
        <w:t>Measures such as increasing legumes in grass mixtures have been found to have larger mitigation effect</w:t>
      </w:r>
      <w:r w:rsidR="001671DC">
        <w:rPr>
          <w:rFonts w:cstheme="minorHAnsi"/>
        </w:rPr>
        <w:t>s</w:t>
      </w:r>
      <w:r>
        <w:rPr>
          <w:rFonts w:cstheme="minorHAnsi"/>
        </w:rPr>
        <w:t xml:space="preserve"> in previous studies </w:t>
      </w:r>
      <w:r w:rsidR="00C3617D">
        <w:rPr>
          <w:rFonts w:cstheme="minorHAnsi"/>
        </w:rPr>
        <w:fldChar w:fldCharType="begin"/>
      </w:r>
      <w:r w:rsidR="000F4100">
        <w:rPr>
          <w:rFonts w:cstheme="minorHAnsi"/>
        </w:rPr>
        <w:instrText xml:space="preserve"> ADDIN ZOTERO_ITEM CSL_CITATION {"citationID":"CYzYUCiu","properties":{"formattedCitation":"(Fuchs et al., 2018; Jensen et al., 2012; Klumpp et al., 2011; Li et al., 2011; Schmeer et al., 2014)","plainCitation":"(Fuchs et al., 2018; Jensen et al., 2012; Klumpp et al., 2011; Li et al., 2011; Schmeer et al., 2014)","noteIndex":0},"citationItems":[{"id":1260,"uris":["http://zotero.org/users/6500992/items/2MSX9XDS"],"itemData":{"id":1260,"type":"article-journal","abstract":"&lt;p&gt;&lt;strong class=\"journal-contentHeaderColor\"&gt;Abstract.&lt;/strong&gt; Replacing fertiliser nitrogen with biologically fixed nitrogen (BFN) through legumes has been suggested as a strategy for nitrous oxide (&lt;span class=\"inline-formula\"&gt;N&lt;sub&gt;2&lt;/sub&gt;O&lt;/span&gt;) mitigation from intensively managed grasslands. While current literature provides evidence for an &lt;span class=\"inline-formula\"&gt;N&lt;sub&gt;2&lt;/sub&gt;O&lt;/span&gt; emission reduction effect due to reduced fertiliser input, little is known about the effect of increased legume proportions potentially offsetting these reductions, i.e. by increased &lt;span class=\"inline-formula\"&gt;N&lt;sub&gt;2&lt;/sub&gt;O&lt;/span&gt; emissions from plant residues and root exudates. In order to assess the overall effect of this mitigation strategy on permanent grassland, we performed an in situ experiment and quantified net &lt;span class=\"inline-formula\"&gt;N&lt;sub&gt;2&lt;/sub&gt;O&lt;/span&gt; fluxes and biomass yields in two differently managed grass–clover mixtures. We measured &lt;span class=\"inline-formula\"&gt;N&lt;sub&gt;2&lt;/sub&gt;O&lt;/span&gt; fluxes in an unfertilised parcel with high clover proportions vs. an organically fertilised control parcel with low clover proportions using the eddy covariance (EC) technique over 2 years. Furthermore, we related the measured &lt;span class=\"inline-formula\"&gt;N&lt;sub&gt;2&lt;/sub&gt;O&lt;/span&gt; fluxes to management and environmental drivers. To assess the effect of the mitigation strategy, we measured biomass yields and quantified biologically fixed nitrogen using the &lt;span class=\"inline-formula\"&gt;&lt;sup&gt;15&lt;/sup&gt;&lt;/span&gt;N natural abundance method.&lt;/p&gt; &lt;p&gt;The amount of BFN was similar in both parcels in 2015 (control: &lt;span class=\"inline-formula\"&gt;55±5&lt;/span&gt;&amp;thinsp;kg&amp;thinsp;N&amp;thinsp;ha&lt;span class=\"inline-formula\"&gt;&lt;sup&gt;−1&lt;/sup&gt;&lt;/span&gt;&amp;thinsp;yr&lt;span class=\"inline-formula\"&gt;&lt;sup&gt;−1&lt;/sup&gt;&lt;/span&gt;; clover parcel: &lt;span class=\"inline-formula\"&gt;72±5&lt;/span&gt;&amp;thinsp;kg&amp;thinsp;N&amp;thinsp;ha&lt;span class=\"inline-formula\"&gt;&lt;sup&gt;−1&lt;/sup&gt;&lt;/span&gt;&amp;thinsp;yr&lt;span class=\"inline-formula\"&gt;&lt;sup&gt;−1&lt;/sup&gt;&lt;/span&gt;) due to similar clover proportions (control: 15&amp;thinsp;% and clover parcel: 21&amp;thinsp;%), whereas in 2016 BFN was substantially higher in the clover parcel compared to the much lower control (control: &lt;span class=\"inline-formula\"&gt;14±2&lt;/span&gt;&amp;thinsp;kg&amp;thinsp;N&amp;thinsp;ha&lt;span class=\"inline-formula\"&gt;&lt;sup&gt;−1&lt;/sup&gt;&lt;/span&gt;&amp;thinsp;yr&lt;span class=\"inline-formula\"&gt;&lt;sup&gt;−1&lt;/sup&gt;&lt;/span&gt; with 4&amp;thinsp;% clover in DM; clover parcel: &lt;span class=\"inline-formula\"&gt;130±8&lt;/span&gt;&amp;thinsp;kg&amp;thinsp;N&amp;thinsp;ha&lt;span class=\"inline-formula\"&gt;&lt;sup&gt;−1&lt;/sup&gt;&lt;/span&gt;&amp;thinsp;yr&lt;span class=\"inline-formula\"&gt;&lt;sup&gt;−1&lt;/sup&gt;&lt;/span&gt; and 44&amp;thinsp;% clover). The mitigation management effectively reduced &lt;span class=\"inline-formula\"&gt;N&lt;sub&gt;2&lt;/sub&gt;O&lt;/span&gt; emissions by 54&amp;thinsp;% and 39&amp;thinsp;% in 2015 and 2016, respectively, corresponding to 1.0 and 1.6&amp;thinsp;t&amp;thinsp;ha&lt;span class=\"inline-formula\"&gt;&lt;sup&gt;−1&lt;/sup&gt;&lt;/span&gt;&amp;thinsp;yr&lt;span class=\"inline-formula\"&gt;&lt;sup&gt;−1&lt;/sup&gt;&lt;/span&gt;&amp;thinsp;&lt;span class=\"inline-formula\"&gt;CO&lt;sub&gt;2&lt;/sub&gt;&lt;/span&gt; equivalents. These reductions in &lt;span class=\"inline-formula\"&gt;N&lt;sub&gt;2&lt;/sub&gt;O&lt;/span&gt; emissions can be attributed to the absence of fertilisation on the clover parcel. Differences in clover proportions during periods with no recent management showed no measurable effect on &lt;span class=\"inline-formula\"&gt;N&lt;sub&gt;2&lt;/sub&gt;O&lt;/span&gt; emissions, indicating that the decomposition of plant residues and rhizodeposition did not compensate for the effect of fertiliser reduction on &lt;span class=\"inline-formula\"&gt;N&lt;sub&gt;2&lt;/sub&gt;O&lt;/span&gt; emissions. Annual biomass yields were similar under mitigation management, resulting in a reduction of &lt;span class=\"inline-formula\"&gt;N&lt;sub&gt;2&lt;/sub&gt;O&lt;/span&gt; emission intensities from 0.42&amp;thinsp;g&amp;thinsp;&lt;span class=\"inline-formula\"&gt;N&lt;sub&gt;2&lt;/sub&gt;O&lt;/span&gt;-N&amp;thinsp;kg&lt;span class=\"inline-formula\"&gt;&lt;sup&gt;−1&lt;/sup&gt;&lt;/span&gt;&amp;thinsp;DM (control) to 0.28&amp;thinsp;g&amp;thinsp;&lt;span class=\"inline-formula\"&gt;N&lt;sub&gt;2&lt;/sub&gt;O&lt;/span&gt;-N&amp;thinsp;kg&lt;span class=\"inline-formula\"&gt;&lt;sup&gt;−1&lt;/sup&gt;&lt;/span&gt;&amp;thinsp;DM (clover parcel) over the 2-year observation period. We conclude that &lt;span class=\"inline-formula\"&gt;N&lt;sub&gt;2&lt;/sub&gt;O&lt;/span&gt; emissions from fertilised grasslands can be effectively reduced without losses in yield by increasing the clover proportion and reducing fertilisation.&lt;/p&gt;","container-title":"Biogeosciences","DOI":"10.5194/bg-15-5519-2018","ISSN":"1726-4170","issue":"18","language":"English","note":"publisher: Copernicus GmbH","page":"5519-5543","source":"bg.copernicus.org","title":"Management matters: testing a mitigation strategy for nitrous oxide emissions using legumes on intensively managed grassland","title-short":"Management matters","volume":"15","author":[{"family":"Fuchs","given":"Kathrin"},{"family":"Hörtnagl","given":"Lukas"},{"family":"Buchmann","given":"Nina"},{"family":"Eugster","given":"Werner"},{"family":"Snow","given":"Val"},{"family":"Merbold","given":"Lutz"}],"issued":{"date-parts":[["2018",9,18]]}}},{"id":774,"uris":["http://zotero.org/users/6500992/items/VVZ2TSZA"],"itemData":{"id":774,"type":"article-journal","abstract":"Humans are currently confronted by many global challenges. These include achieving food security for a rapidly expanding population, lowering the risk of climate change by reducing the net release of greenhouse gases into the atmosphere due to human activity, and meeting the increasing demand for energy in the face of dwindling reserves of fossil energy and uncertainties about future reliability of supply. Legumes deliver several important services to societies. They provide important sources of oil, fiber, and protein-rich food and feed while supplying nitrogen (N) to agro-ecosystems via their unique ability to fix atmospheric N2 in symbiosis with the soil bacteria rhizobia, increasing soil carbon content, and stimulating the productivity of the crops that follow. However, the role of legumes has rarely been considered in the context of their potential to contribute to the mitigation of climate change by reducing fossil fuel use or by providing feedstock for the emerging biobased economies where fossil sources of energy and industrial raw materials are replaced in part by sustainable and renewable biomass resources. The aim of this review was to collate the current knowledge regarding the capacity of legumes to (1) lower the emissions of the key greenhouse gases carbon dioxide (CO2) and nitrous oxide (N2O) compared to N-fertilized systems, (2) reduce the fossil energy used in the production of food and forage, (3) contribute to the sequestration of carbon (C) in soils, and (4) provide a viable source of biomass for the generation of biofuels and other materials in future biorefinery concepts. We estimated that globally between 350 and 500 Tg CO2 could be emitted as a result of the 33 to 46 Tg N that is biologically fixed by agricultural legumes each year. This compares to around 300 Tg CO2 released annually from the manufacture of 100 Tg fertilizer N. The main difference is that the CO2 respired from the nodulated roots of N2-fixing legumes originated from photosynthesis and will not represent a net contribution to atmospheric concentrations of CO2, whereas the CO2 generated during the synthesis of N fertilizer was derived from fossil fuels. Experimental measures of total N2O fluxes from legumes and N-fertilized systems were found to vary enormously (0.03–7.09 and 0.09–18.16 kg N2O–N ha−1, respectively). This reflected the data being collated from a diverse range of studies using different rates of N inputs, as well as the large number of climatic, soil, and management variables known to influence denitrification and the portion of the total N lost as N2O. Averages across 71 site-years of data, soils under legumes emitted a total of 1.29 kg N2O–N ha−1 during a growing season. This compared to a mean of 3.22 kg N2O–N ha−1 from 67 site-years of N-fertilized crops and pastures, and 1.20 kg N2O–N ha−1 from 33 site-years of data collected from unplanted soils or unfertilized non-legumes. It was concluded that there was little evidence that biological N2 fixation substantially contributed to total N2O emissions, and that losses of N2O from legume soil were generally lower than N-fertilized systems, especially when commercial rates of N fertilizer were applied. Elevated rates of N2O losses can occur following the termination of legume-based pastures, or where legumes had been green- or brown-manured and there was a rapid build-up of high concentrations of nitrate in soil. Legume crops and legume-based pastures use 35% to 60% less fossil energy than N-fertilized cereals or grasslands, and the inclusion of legumes in cropping sequences reduced the average annual energy usage over a rotation by 12% to 34%. The reduced energy use was primarily due to the removal of the need to apply N fertilizer and the subsequently lower N fertilizer requirements for crops grown following legumes. Life cycle energy balances of legume-based rotations were also assisted by a lower use of agrichemicals for crop protection as diversification of cropping sequences reduce the incidence of cereal pathogens and pests and assisted weed control, although it was noted that differences in fossil energy use between legumes and N-fertilized systems were greatly diminished if energy use was expressed per unit of biomass or grain produced. For a change in land use to result in a net increase C sequestration in soil, the inputs of C remaining in plant residues need to exceed the CO2 respired by soil microbes during the decomposition of plant residues or soil organic C, and the C lost through wind or water erosion. The net N-balance of the system was a key driver of changes in soil C stocks in many environments, and data collected from pasture, cropping, and agroforestry systems all indicated that legumes played a pivotal role in providing the additional organic N required to encourage the accumulation of soil C at rates greater than can be achieved by cereals or grasses even when they were supplied with N fertilizer. Legumes contain a range of compounds, which could be refined to produce raw industrial materials currently manufactured from petroleum-based sources, pharmaceuticals, surfactants, or food additives as valuable by-products if legume biomass was to be used to generate biodiesel, bioethanol, biojet A1 fuel, or biogas. The attraction of using leguminous material feedstock is that they do not need the inputs of N fertilizer that would otherwise be necessary to support the production of high grain yields or large amounts of plant biomass since it is the high fossil energy use in the synthesis, transport, and application of N fertilizers that often negates much of the net C benefits of many other bioenergy sources. The use of legume biomass for biorefineries needs careful thought as there will be significant trade-offs with the current role of legumes in contributing to the organic fertility of soils. Agricultural systems will require novel management and plant breeding solutions to provide the range of options that will be required to mitigate climate change. Given their array of ecosystem services and their ability to reduce greenhouse gas emissions, lower the use of fossil energy, accelerate rates of C sequestration in soil, and provide a valuable source of feedstock for biorefineries, legumes should be considered as important components in the development of future agroecosystems.","container-title":"Agronomy for Sustainable Development","DOI":"10.1007/s13593-011-0056-7","ISSN":"1773-0155","issue":"2","journalAbbreviation":"Agron. Sustain. Dev.","language":"en","page":"329-364","source":"Springer Link","title":"Legumes for mitigation of climate change and the provision of feedstock for biofuels and biorefineries. A review","volume":"32","author":[{"family":"Jensen","given":"Erik Steen"},{"family":"Peoples","given":"Mark B."},{"family":"Boddey","given":"Robert M."},{"family":"Gresshoff","given":"Peter M."},{"family":"Hauggaard-Nielsen","given":"Henrik"},{"family":"J.R. Alves","given":"Bruno"},{"family":"Morrison","given":"Malcolm J."}],"issued":{"date-parts":[["2012",4,1]]}}},{"id":1263,"uris":["http://zotero.org/users/6500992/items/DMSJR4DX"],"itemData":{"id":1263,"type":"article-journal","abstract":"Legumes have the potential to alter nitrous oxide (N2O) emissions in grass-legume mixtures via changes in soil N availability, but the influence of legume abundance on N2O fluxes in grazed multi-species grasslands has faced little attention to date. In this paper, a combination of 15N-labelled fertilizer application and automatic chamber measurements was used to investigate N2O fluxes and soil-plant N transfers for high- and low-density clover patches in an intensively-managed, upland pasture (Auvergne, France) over the course of one growing season. During the six-month study period, N2O fluxes were highly variable. Maximum daily N2O emission was 52 g N2O-N ha−1, and was associated with fertilizer application early in the growing season. Smaller peaks of N2O emission occured in response to cutting events and fertilizer application later in the growing season. Nitrous oxide fluxes derived from 15N-labelled fertilizer peaked at 40% shortly after fertilizer application, but the dominant source of N2O fluxes was the soil N pool. Contrary to expectations, clover density had no significant effects on N content or patterns of 15N recovery in plant or soil mineral N pools. Nevertheless, we found a tendency for increased N2O-N losses from the low clover treatment. Furthermore, 15N recovery in N2O was higher in the low- compared to the high-density clover treatment during favorable growing conditions, suggesting transient shifts in plant/soil competition for N depending on legume abundance. Multiple regression analysis revealed that water-filled pore space (WFPS) and clover dry mass were the main factors driving cumulative N2O emissions in the high clover treatment, whereas variation in cumulated N2O emissions in the low clover treatment was best explained by WFPS and grass mass. We hypothesize that clover density had indirect effects on the sensitivity of N2O emissions to abiotic and biotic factors possibly via changes in soil pH. Overall, our results suggest that spatial heterogeneity in clover abundance may have relatively little impact on field-scale N2O emissions in fertilized grasslands.","container-title":"Plant and Soil","DOI":"10.1007/s11104-010-0526-8","ISSN":"1573-5036","issue":"1","journalAbbreviation":"Plant Soil","language":"en","page":"97-107","source":"Springer Link","title":"Effects of clover density on N2O emissions and plant-soil N transfers in a fertilised upland pasture","volume":"343","author":[{"family":"Klumpp","given":"Katja"},{"family":"Bloor","given":"Juliette M. G."},{"family":"Ambus","given":"Per"},{"family":"Soussana","given":"Jean-François"}],"issued":{"date-parts":[["2011",6,1]]}}},{"id":1267,"uris":["http://zotero.org/users/6500992/items/3IN3389F"],"itemData":{"id":1267,"type":"article-journal","abstract":"There is uncertainty about the potential reduction of soil nitrous oxide (N2O) emission when fertilizer nitrogen (FN) is partially or completely replaced by biological N fixation (BNF) in temperate grassland. The objectives of this study were to 1) investigate the changes in N2O emissions when BNF is used to replace FN in permanent grassland, and 2) evaluate the applicability of the process-based model DNDC to simulate N2O emissions from Irish grasslands. Three grazing treatments were: (i) ryegrass (Lolium perenne) grasslands receiving 226 kg FN ha−1 yr−1 (GG+FN), (ii) ryegrass/white clover (Trifolium repens) grasslands receiving 58 kg FN ha−1 yr−1 (GWC+FN) applied in spring, and (iii) ryegrass/white clover grasslands receiving no FN (GWC-FN). Two background treatments, un-grazed swards with ryegrass only (G–B) or ryegrass/white clover (WC–B), did not receive slurry or FN and the herbage was harvested by mowing. There was no significant difference in annual N2O emissions between G–B (2.38±0.12 kg N ha−1 yr−1 (mean±SE)) and WC-B (2.45±0.85 kg N ha−1 yr−1), indicating that N2O emission due to BNF itself and clover residual decomposition from permanent ryegrass/clover grassland was negligible. N2O emissions were 7.82±1.67, 6.35±1.14 and 6.54±1.70 kg N ha−1 yr−1, respectively, from GG+FN, GWC+FN and GWC-FN. N2O fluxes simulated by DNDC agreed well with the measured values with significant correlation between simulated and measured daily fluxes for the three grazing treatments, but the simulation did not agree very well for the background treatments. DNDC overestimated annual emission by 61% for GG+FN, and underestimated by 45% for GWC-FN, but simulated very well for GWC+FN. Both the measured and simulated results supported that there was a clear reduction of N2O emissions when FN was replaced by BNF.","container-title":"PLOS ONE","DOI":"10.1371/journal.pone.0026176","ISSN":"1932-6203","issue":"10","journalAbbreviation":"PLOS ONE","language":"en","note":"publisher: Public Library of Science","page":"e26176","source":"PLoS Journals","title":"Measured and Simulated Nitrous Oxide Emissions from Ryegrass- and Ryegrass/White Clover-Based Grasslands in a Moist Temperate Climate","volume":"6","author":[{"family":"Li","given":"Dejun"},{"family":"Lanigan","given":"Gary"},{"family":"Humphreys","given":"James"}],"issued":{"date-parts":[["2011",10,10]]}}},{"id":1270,"uris":["http://zotero.org/users/6500992/items/GC3KHL3D"],"itemData":{"id":1270,"type":"article-journal","abstract":"Nitrous oxide (N2O) emissions from agriculture demand attention because they are the main source of total global anthropogenic N2O-emissions. High N-fertilization and soil compaction are important factors that increase N2O-emissions. On intensively managed grassland sites both factors occur. Knowledge of the interaction of high N-fertilization and simultaneous soil compaction on N2O-emissions is therefore essential, but previous studies about this scenario are rare. In the presented study, N-fertilized grass swards (G) and unfertilized lucerne–grass mixtures (LG) were compared over a three-year period (2006–2008): N2O-emissions and dry matter yield were measured as a function of N-fertilization (0 (LG), 360kg Nha−1yr−1 (G) as CAN) and soil compaction (0 (C0), 321kPa (C321)) on a loamy stagnic Luvisol derived from glacial till in northern Germany. CO2-equivalents (CO2eq) per hectare and per unit metabolizable energy (GJ ME) were calculated. N2O-emissions were significantly influenced by the interaction N-fertilization×soil compaction; emissions increased significantly when both factors were induced simultaneously (G/C0: 8.74, LG/C0: 2.46, G/C321: 13.31 and LG/C321: 2.22kg N2O-Nha−1, respectively). Concerning the specific CO2-emissions, expressed in CO2eq (GJ ME)−1, the N-fertilized G swards emitted 67% more CO2eq than LG swards assuming that 50% of the field plots were compacted due to heavy wheel traffic, which are reliable figures from agricultural practice. Neither dry matter (DM) yield nor forage quality (MJ ME (kg DM)−1) differed significantly between fertilized G and unfertilized LG swards. Hence, legume-based instead of fertilizer-based forage production is a promising mitigation option without significant reduction of DM yields. In addition, results regarding soil compaction effects on GHG-emissions emphasize the urgent need to implement controlled traffic systems on intensively managed grassland in order to reduce the area affected by heavy wheel traffic.","container-title":"Soil and Tillage Research","DOI":"10.1016/j.still.2014.05.001","ISSN":"0167-1987","journalAbbreviation":"Soil and Tillage Research","language":"en","page":"17-25","source":"ScienceDirect","title":"Legume-based forage production systems reduce nitrous oxide emissions","volume":"143","author":[{"family":"Schmeer","given":"Maria"},{"family":"Loges","given":"Ralf"},{"family":"Dittert","given":"Klaus"},{"family":"Senbayram","given":"Mehmet"},{"family":"Horn","given":"Rainer"},{"family":"Taube","given":"Friedhelm"}],"issued":{"date-parts":[["2014",11,1]]}}}],"schema":"https://github.com/citation-style-language/schema/raw/master/csl-citation.json"} </w:instrText>
      </w:r>
      <w:r w:rsidR="00C3617D">
        <w:rPr>
          <w:rFonts w:cstheme="minorHAnsi"/>
        </w:rPr>
        <w:fldChar w:fldCharType="separate"/>
      </w:r>
      <w:r w:rsidR="00A573B5" w:rsidRPr="00A573B5">
        <w:rPr>
          <w:rFonts w:ascii="Calibri" w:hAnsi="Calibri" w:cs="Calibri"/>
        </w:rPr>
        <w:t>(Fuchs et al., 2018; Jensen et al., 2012; Klumpp et al., 2011; Li et al., 2011; Schmeer et al., 2014)</w:t>
      </w:r>
      <w:r w:rsidR="00C3617D">
        <w:rPr>
          <w:rFonts w:cstheme="minorHAnsi"/>
        </w:rPr>
        <w:fldChar w:fldCharType="end"/>
      </w:r>
      <w:r w:rsidR="00795B77">
        <w:rPr>
          <w:rFonts w:cstheme="minorHAnsi"/>
        </w:rPr>
        <w:t xml:space="preserve"> </w:t>
      </w:r>
      <w:r w:rsidR="003E1574">
        <w:rPr>
          <w:rFonts w:cstheme="minorHAnsi"/>
        </w:rPr>
        <w:t>than in our study</w:t>
      </w:r>
      <w:r w:rsidR="00503D36">
        <w:rPr>
          <w:rFonts w:cstheme="minorHAnsi"/>
        </w:rPr>
        <w:t>;</w:t>
      </w:r>
      <w:r w:rsidR="00C3617D">
        <w:rPr>
          <w:rFonts w:cstheme="minorHAnsi"/>
        </w:rPr>
        <w:t xml:space="preserve"> </w:t>
      </w:r>
      <w:r>
        <w:rPr>
          <w:rFonts w:cstheme="minorHAnsi"/>
        </w:rPr>
        <w:t xml:space="preserve">this difference is likely due to the nature of farms in this study, </w:t>
      </w:r>
      <w:r w:rsidR="00C77043">
        <w:rPr>
          <w:rFonts w:cstheme="minorHAnsi"/>
        </w:rPr>
        <w:t xml:space="preserve">having a small proportion of land suitable for introducing legumes and </w:t>
      </w:r>
      <w:r>
        <w:rPr>
          <w:rFonts w:cstheme="minorHAnsi"/>
        </w:rPr>
        <w:t xml:space="preserve">already using </w:t>
      </w:r>
      <w:r w:rsidR="00C77043">
        <w:rPr>
          <w:rFonts w:cstheme="minorHAnsi"/>
        </w:rPr>
        <w:t>low levels</w:t>
      </w:r>
      <w:r>
        <w:rPr>
          <w:rFonts w:cstheme="minorHAnsi"/>
        </w:rPr>
        <w:t xml:space="preserve"> </w:t>
      </w:r>
      <w:r w:rsidR="001671DC">
        <w:rPr>
          <w:rFonts w:cstheme="minorHAnsi"/>
        </w:rPr>
        <w:t xml:space="preserve">of </w:t>
      </w:r>
      <w:r>
        <w:rPr>
          <w:rFonts w:cstheme="minorHAnsi"/>
        </w:rPr>
        <w:t>fertiliser.</w:t>
      </w:r>
      <w:r w:rsidR="00F23F63" w:rsidRPr="00F23F63">
        <w:t xml:space="preserve"> </w:t>
      </w:r>
    </w:p>
    <w:p w14:paraId="53015602" w14:textId="77777777" w:rsidR="00C3617D" w:rsidRPr="00C3617D" w:rsidRDefault="00C3617D" w:rsidP="00BA3E62">
      <w:pPr>
        <w:pStyle w:val="NoSpacing"/>
        <w:spacing w:line="360" w:lineRule="auto"/>
        <w:jc w:val="both"/>
        <w:rPr>
          <w:rFonts w:cstheme="minorHAnsi"/>
        </w:rPr>
      </w:pPr>
    </w:p>
    <w:p w14:paraId="64042464" w14:textId="0CB3A512" w:rsidR="00D370D7" w:rsidRDefault="00503D36" w:rsidP="00BA3E62">
      <w:pPr>
        <w:pStyle w:val="NoSpacing"/>
        <w:spacing w:line="360" w:lineRule="auto"/>
        <w:jc w:val="both"/>
      </w:pPr>
      <w:r>
        <w:rPr>
          <w:rFonts w:cstheme="minorHAnsi"/>
        </w:rPr>
        <w:t>The figures obtained for e</w:t>
      </w:r>
      <w:r w:rsidR="00381D5F">
        <w:rPr>
          <w:rFonts w:cstheme="minorHAnsi"/>
        </w:rPr>
        <w:t>mission reductions in this study are</w:t>
      </w:r>
      <w:r w:rsidR="00694928" w:rsidRPr="00D50D1A">
        <w:rPr>
          <w:rFonts w:cstheme="minorHAnsi"/>
        </w:rPr>
        <w:t xml:space="preserve"> consistent with similar farm</w:t>
      </w:r>
      <w:r>
        <w:rPr>
          <w:rFonts w:cstheme="minorHAnsi"/>
        </w:rPr>
        <w:t>-</w:t>
      </w:r>
      <w:r w:rsidR="00694928" w:rsidRPr="00D50D1A">
        <w:rPr>
          <w:rFonts w:cstheme="minorHAnsi"/>
        </w:rPr>
        <w:t xml:space="preserve">level modelling </w:t>
      </w:r>
      <w:r w:rsidR="00381D5F">
        <w:rPr>
          <w:rFonts w:cstheme="minorHAnsi"/>
        </w:rPr>
        <w:t>exercises</w:t>
      </w:r>
      <w:r w:rsidR="00694928" w:rsidRPr="00D50D1A">
        <w:rPr>
          <w:rFonts w:cstheme="minorHAnsi"/>
        </w:rPr>
        <w:t xml:space="preserve"> and previous MACC modelling </w:t>
      </w:r>
      <w:r w:rsidR="00694928" w:rsidRPr="00D50D1A">
        <w:rPr>
          <w:rFonts w:cstheme="minorHAnsi"/>
        </w:rPr>
        <w:fldChar w:fldCharType="begin"/>
      </w:r>
      <w:r w:rsidR="00321CF7">
        <w:rPr>
          <w:rFonts w:cstheme="minorHAnsi"/>
        </w:rPr>
        <w:instrText xml:space="preserve"> ADDIN ZOTERO_ITEM CSL_CITATION {"citationID":"keci1zUl","properties":{"formattedCitation":"(MacLeod et al., 2010; Rees et al., 2020)","plainCitation":"(MacLeod et al., 2010; Rees et al., 2020)","dontUpdate":true,"noteIndex":0},"citationItems":[{"id":889,"uris":["http://zotero.org/users/6500992/items/PN4YFQQG"],"itemData":{"id":889,"type":"article-journal","abstract":"Emissions of greenhouse gases from agriculture are likely to come under increasing scrutiny as governments around the world develop proposals for large cuts in greenhouse gas emissions. Yet while there is a range of technically feasible measures for reducing agricultural emissions, it is not immediately apparent which options deliver the most economically efficient reductions in greenhouse gases. This paper develops a marginal abatement cost curve (MACC) for crop and soil measures applicable in UK agriculture. A range of specific abatement measures are screened for their cost-effectiveness and mitigation potential in the field. An efficient subset is identified with reference to a cost per tonne threshold of </w:instrText>
      </w:r>
      <w:r w:rsidR="00321CF7">
        <w:rPr>
          <w:rFonts w:ascii="Cambria Math" w:hAnsi="Cambria Math" w:cs="Cambria Math"/>
        </w:rPr>
        <w:instrText>⩽</w:instrText>
      </w:r>
      <w:r w:rsidR="00321CF7">
        <w:rPr>
          <w:rFonts w:cstheme="minorHAnsi"/>
        </w:rPr>
        <w:instrText xml:space="preserve">£100/tCO2e. Results indicate that the abatement potential by 2022 is likely to be between 1.628 and 10.164 MtCO2e y−1 depending on the policies implemented, with a central estimate of 5.196 MtCO2e y−1. This represents 11.5% of the 2005 UK agricultural GHG emissions.","container-title":"Agricultural Systems","DOI":"10.1016/j.agsy.2010.01.002","ISSN":"0308-521X","issue":"4","journalAbbreviation":"Agricultural Systems","language":"en","page":"198-209","source":"ScienceDirect","title":"Developing greenhouse gas marginal abatement cost curves for agricultural emissions from crops and soils in the UK","volume":"103","author":[{"family":"MacLeod","given":"Michael"},{"family":"Moran","given":"Dominic"},{"family":"Eory","given":"Vera"},{"family":"Rees","given":"R. M."},{"family":"Barnes","given":"Andrew"},{"family":"Topp","given":"Cairistiona F. E."},{"family":"Ball","given":"Bruce"},{"family":"Hoad","given":"Steve"},{"family":"Wall","given":"Eileen"},{"family":"McVittie","given":"Alistair"},{"family":"Pajot","given":"Guillaume"},{"family":"Matthews","given":"Robin"},{"family":"Smith","given":"Pete"},{"family":"Moxey","given":"Andrew"}],"issued":{"date-parts":[["2010",5,1]]}}},{"id":64,"uris":["http://zotero.org/users/6500992/items/LUT8P2LV"],"itemData":{"id":64,"type":"article-journal","abstract":"An increasing number of countries are setting targets for reducing national greenhouse gas emissions to net zero in the coming decades. Such emission reductions will require a transformation of all sectors of society, but nowhere more so than in agriculture and land use (AFOLU IPCC sector). Using the UK as a case study we outline how and to what extent changes in agricultural management could contribute to the net zero target. Agriculture in the UK is responsible for 46 Mt CO2e or 10% of UK emissions (2017). In order to reach an overall target of net zero for the UK economy by 2050 it is estimated that agricultural emissions must be reduced by over 50%. Previous estimates show that on-farm agricultural emissions can be reduced by 10-20%, by implementing a range of technologies that reduce nitrous oxide emissions (including more efficient use of fertilisers and manures, the use of urease and nitrification inhibitors, more extensive use of legumes, and improved soil management) and methane emissions from livestock (including dietary manipulation, use of improved genetics, and improved animal health). Unlike some other sectors, agricultural emissions cannot be reduced to zero, and the land use sector will play a major role in the removal of residual positive emissions. Biomass energy with carbon capture and storage offers the largest opportunity for CO2 capture, but other approaches such as increased soil carbon sequestration, the use of biochar, mineral weathering, and direct air capture are currently being explored. However, such offsetting mechanisms are also likely to be relied upon by other sectors including aviation in which it is difficult to achieve zero emissions. If offsetting is unable to remove sufficient quantities of GHGs to reach the net zero target, then additional novel measures, such as biochar application, and substantial changes in our food basket to reduce emissions from the agriculture sector will be required.","language":"en","page":"8","source":"Zotero","title":"How far can greenhouse gas mitigation take us towards net zero emissions in agriculture?","author":[{"family":"Rees","given":"Robert M"},{"family":"Eory","given":"Vera"},{"family":"Bell","given":"Julian"},{"family":"Topp","given":"Cairistiona F E"},{"family":"Sykes","given":"Alasdair"},{"family":"Misselbrook","given":"Tom"},{"family":"Cardenas","given":"Laura M"},{"family":"Chadwick","given":"David R"},{"family":"Sohi","given":"Saran"},{"family":"Manning","given":"A C"},{"family":"Smith","given":"Pete"}],"issued":{"date-parts":[["2020"]]}}}],"schema":"https://github.com/citation-style-language/schema/raw/master/csl-citation.json"} </w:instrText>
      </w:r>
      <w:r w:rsidR="00694928" w:rsidRPr="00D50D1A">
        <w:rPr>
          <w:rFonts w:cstheme="minorHAnsi"/>
        </w:rPr>
        <w:fldChar w:fldCharType="separate"/>
      </w:r>
      <w:r w:rsidR="00381D5F" w:rsidRPr="00FC2688">
        <w:rPr>
          <w:rFonts w:ascii="Calibri" w:hAnsi="Calibri" w:cs="Calibri"/>
          <w:lang w:val="fr-FR"/>
        </w:rPr>
        <w:t>(MacLeod et al., 2010)</w:t>
      </w:r>
      <w:r w:rsidR="00694928" w:rsidRPr="00D50D1A">
        <w:rPr>
          <w:rFonts w:cstheme="minorHAnsi"/>
        </w:rPr>
        <w:fldChar w:fldCharType="end"/>
      </w:r>
      <w:r w:rsidR="00694928" w:rsidRPr="00FC2688">
        <w:rPr>
          <w:rFonts w:cstheme="minorHAnsi"/>
          <w:lang w:val="fr-FR"/>
        </w:rPr>
        <w:t>.</w:t>
      </w:r>
      <w:r w:rsidR="00381D5F" w:rsidRPr="00FC2688">
        <w:rPr>
          <w:rFonts w:cstheme="minorHAnsi"/>
          <w:lang w:val="fr-FR"/>
        </w:rPr>
        <w:t xml:space="preserve"> </w:t>
      </w:r>
      <w:r w:rsidR="00381D5F">
        <w:rPr>
          <w:rFonts w:cstheme="minorHAnsi"/>
        </w:rPr>
        <w:fldChar w:fldCharType="begin"/>
      </w:r>
      <w:r w:rsidR="00321CF7">
        <w:rPr>
          <w:rFonts w:cstheme="minorHAnsi"/>
          <w:lang w:val="fr-FR"/>
        </w:rPr>
        <w:instrText xml:space="preserve"> ADDIN ZOTERO_ITEM CSL_CITATION {"citationID":"IDQ6S0Pg","properties":{"formattedCitation":"(Rees et al., 2020)","plainCitation":"(Rees et al., 2020)","dontUpdate":true,"noteIndex":0},"citationItems":[{"id":64,"uris":["http://zotero.org/users/6500992/items/LUT8P2LV"],"itemData":{"id":64,"type":"article-journal","abstract":"An increasing number of countries are setting targets for reducing national greenhouse gas emissions to net zero in the coming decades. Such emission reductions will require a transformation of all sectors of society, but nowhere more so than in agriculture and land use (AFOLU IPCC sector). Using the UK as a case study we outline how and to what extent changes in agricultural management could contribute to the net zero target. Agriculture in the UK is responsible for 46 Mt CO2e or 10% of UK emissions (2017). In order to reach an overall target of net zero for the UK economy by 2050 it is estimated that agricultural emissions must be reduced by over 50%. Previous estimates show that on-farm agricultural emissions can be reduced by 10-20%, by implementing a range of technologies that reduce nitrous oxide emissions (including more efficient use of fertilisers and manures, the use of urease and nitrification inhibitors, more extensive use of legumes, and improved soil management) and methane emissions from livestock (including dietary manipulation, use of improved genetics, and improved animal health). Unlike some other sectors, agricultural emissions cannot be reduced to zero, and the land use sector will play a major role in the removal of residual positive emissions. Biomass energy with carbon capture and storage offers the largest opportunity for CO2 capture, but other approaches such as increased soil carbon sequestration, the use of biochar, mineral weathering, and direct air capture are currently being explored. However, such offsetting mechanisms are also likely to be relied upon by other sectors including aviation in which it is difficult to achieve zero emissions. If offsetting is unable to remove sufficient quantities of GHGs to reach the net zero target, then additional novel measures, such as biochar application, and substantial changes in our food basket to reduce emissions from the agriculture sector will be required.","language":"en","page":"8","source":"Zotero","title":"How far can greenhouse gas mitigation take us towards net zero emissions in agriculture?","author":[{"family":"Rees","given":"Robert M"},{"family":"Eory","given":"Vera"},{"family":"Bell","given":"Julian"},{"family":"Topp","given":"Cairistiona F E"},{"family":"Sykes","given":"Alasdair"},{"family":"Misselbrook","given":"Tom"},{"family":"Cardenas","given":"Laura M"},{"family":"Chadwick","given":"David R"},{"family":"Sohi","given":"Saran"},{"family":"Manning","given":"A C"},{"family":"Smith","given":"Pete"}],"issued":{"date-parts":[["2020"]]}}}],"schema":"https://github.com/citation-style-language/schema/raw/master/csl-citation.json"} </w:instrText>
      </w:r>
      <w:r w:rsidR="00381D5F">
        <w:rPr>
          <w:rFonts w:cstheme="minorHAnsi"/>
        </w:rPr>
        <w:fldChar w:fldCharType="separate"/>
      </w:r>
      <w:r w:rsidR="00381D5F" w:rsidRPr="00FC2688">
        <w:rPr>
          <w:rFonts w:ascii="Calibri" w:hAnsi="Calibri" w:cs="Calibri"/>
          <w:lang w:val="fr-FR"/>
        </w:rPr>
        <w:t>Rees et al. (2020)</w:t>
      </w:r>
      <w:r w:rsidR="00381D5F">
        <w:rPr>
          <w:rFonts w:cstheme="minorHAnsi"/>
        </w:rPr>
        <w:fldChar w:fldCharType="end"/>
      </w:r>
      <w:r w:rsidR="00381D5F" w:rsidRPr="00FC2688">
        <w:rPr>
          <w:rFonts w:cstheme="minorHAnsi"/>
          <w:lang w:val="fr-FR"/>
        </w:rPr>
        <w:t xml:space="preserve"> </w:t>
      </w:r>
      <w:r w:rsidR="00381D5F" w:rsidRPr="00EE0F40">
        <w:rPr>
          <w:rFonts w:cstheme="minorHAnsi"/>
        </w:rPr>
        <w:t xml:space="preserve">modelled a zero-carbon mixed </w:t>
      </w:r>
      <w:r w:rsidR="00381D5F" w:rsidRPr="001671DC">
        <w:rPr>
          <w:rFonts w:cstheme="minorHAnsi"/>
        </w:rPr>
        <w:t>farm</w:t>
      </w:r>
      <w:r w:rsidR="00381D5F" w:rsidRPr="00EE0F40">
        <w:rPr>
          <w:rFonts w:cstheme="minorHAnsi"/>
        </w:rPr>
        <w:t xml:space="preserve"> in Scotland and </w:t>
      </w:r>
      <w:r w:rsidR="00381D5F" w:rsidRPr="001671DC">
        <w:rPr>
          <w:rFonts w:cstheme="minorHAnsi"/>
        </w:rPr>
        <w:t>similarly</w:t>
      </w:r>
      <w:r w:rsidR="00381D5F" w:rsidRPr="00EE0F40">
        <w:rPr>
          <w:rFonts w:cstheme="minorHAnsi"/>
        </w:rPr>
        <w:t xml:space="preserve"> found a </w:t>
      </w:r>
      <w:r w:rsidR="005C6714">
        <w:rPr>
          <w:rFonts w:cstheme="minorHAnsi"/>
        </w:rPr>
        <w:t>potential</w:t>
      </w:r>
      <w:r w:rsidR="00717B9E">
        <w:rPr>
          <w:rFonts w:cstheme="minorHAnsi"/>
        </w:rPr>
        <w:t xml:space="preserve"> </w:t>
      </w:r>
      <w:r w:rsidR="00381D5F" w:rsidRPr="00EE0F40">
        <w:rPr>
          <w:rFonts w:cstheme="minorHAnsi"/>
        </w:rPr>
        <w:t>30% reduction in emissions following the implementation of mitigation measures.</w:t>
      </w:r>
      <w:r w:rsidR="00381D5F" w:rsidRPr="00FC2688">
        <w:rPr>
          <w:rFonts w:cstheme="minorHAnsi"/>
          <w:lang w:val="fr-FR"/>
        </w:rPr>
        <w:t xml:space="preserve"> </w:t>
      </w:r>
      <w:r w:rsidR="0042501F">
        <w:rPr>
          <w:rFonts w:cstheme="minorHAnsi"/>
        </w:rPr>
        <w:fldChar w:fldCharType="begin"/>
      </w:r>
      <w:r w:rsidR="00321CF7">
        <w:rPr>
          <w:rFonts w:cstheme="minorHAnsi"/>
          <w:lang w:val="fr-FR"/>
        </w:rPr>
        <w:instrText xml:space="preserve"> ADDIN ZOTERO_ITEM CSL_CITATION {"citationID":"MMRQjtqV","properties":{"formattedCitation":"(Eory et al., 2015)","plainCitation":"(Eory et al., 2015)","dontUpdate":true,"noteIndex":0},"citationItems":[{"id":63,"uris":["http://zotero.org/users/6500992/items/LHDVBITP"],"itemData":{"id":63,"type":"report","genre":"Final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0042501F">
        <w:rPr>
          <w:rFonts w:cstheme="minorHAnsi"/>
        </w:rPr>
        <w:fldChar w:fldCharType="separate"/>
      </w:r>
      <w:r w:rsidR="0042501F" w:rsidRPr="0042501F">
        <w:rPr>
          <w:rFonts w:ascii="Calibri" w:hAnsi="Calibri" w:cs="Calibri"/>
        </w:rPr>
        <w:t>Eory et al.</w:t>
      </w:r>
      <w:r w:rsidR="0042501F">
        <w:rPr>
          <w:rFonts w:ascii="Calibri" w:hAnsi="Calibri" w:cs="Calibri"/>
        </w:rPr>
        <w:t xml:space="preserve"> (</w:t>
      </w:r>
      <w:r w:rsidR="0042501F" w:rsidRPr="0042501F">
        <w:rPr>
          <w:rFonts w:ascii="Calibri" w:hAnsi="Calibri" w:cs="Calibri"/>
        </w:rPr>
        <w:t>2015)</w:t>
      </w:r>
      <w:r w:rsidR="0042501F">
        <w:rPr>
          <w:rFonts w:cstheme="minorHAnsi"/>
        </w:rPr>
        <w:fldChar w:fldCharType="end"/>
      </w:r>
      <w:r w:rsidR="0042501F">
        <w:rPr>
          <w:rFonts w:cstheme="minorHAnsi"/>
        </w:rPr>
        <w:t xml:space="preserve"> suggested a lower emission reduction</w:t>
      </w:r>
      <w:r w:rsidR="00975A84">
        <w:rPr>
          <w:rFonts w:cstheme="minorHAnsi"/>
        </w:rPr>
        <w:t xml:space="preserve"> at the national scale</w:t>
      </w:r>
      <w:r w:rsidR="0042501F">
        <w:rPr>
          <w:rFonts w:cstheme="minorHAnsi"/>
        </w:rPr>
        <w:t>, estimating 15% of agricultural emissions can be abated in the UK</w:t>
      </w:r>
      <w:r w:rsidR="003C0C71">
        <w:rPr>
          <w:rFonts w:cstheme="minorHAnsi"/>
        </w:rPr>
        <w:t>.</w:t>
      </w:r>
      <w:r w:rsidR="00415086">
        <w:rPr>
          <w:b/>
          <w:bCs/>
        </w:rPr>
        <w:t xml:space="preserve"> </w:t>
      </w:r>
      <w:r w:rsidR="00381D5F">
        <w:t xml:space="preserve">At a national level, </w:t>
      </w:r>
      <w:r>
        <w:t>a</w:t>
      </w:r>
      <w:r w:rsidR="00381D5F">
        <w:t xml:space="preserve"> recent report estimated a 23% reduction in GHG emissions could be achieved in the UK across all main livestock types</w:t>
      </w:r>
      <w:r>
        <w:t xml:space="preserve"> </w:t>
      </w:r>
      <w:r w:rsidR="00C14315">
        <w:fldChar w:fldCharType="begin"/>
      </w:r>
      <w:r w:rsidR="00AD6D3A">
        <w:instrText xml:space="preserve"> ADDIN ZOTERO_ITEM CSL_CITATION {"citationID":"kx4jZ0dQ","properties":{"formattedCitation":"(CIEL, 2022)","plainCitation":"(CIEL, 2022)","noteIndex":0},"citationItems":[{"id":1182,"uris":["http://zotero.org/users/6500992/items/NA7BHMAC"],"itemData":{"id":1182,"type":"report","page":"82","title":"Net Zero Carbon &amp; UK Livestock Report: How Farmers Can Reduce Emissions","URL":"https://www.cielivestock.co.uk/wp-content/uploads/2022/02/CIEL-LR-220405.pdf","author":[{"family":"CIEL","given":""}],"accessed":{"date-parts":[["2022",4,5]]},"issued":{"date-parts":[["2022"]]}}}],"schema":"https://github.com/citation-style-language/schema/raw/master/csl-citation.json"} </w:instrText>
      </w:r>
      <w:r w:rsidR="00C14315">
        <w:fldChar w:fldCharType="separate"/>
      </w:r>
      <w:r w:rsidR="00A573B5" w:rsidRPr="00A573B5">
        <w:rPr>
          <w:rFonts w:ascii="Calibri" w:hAnsi="Calibri" w:cs="Calibri"/>
        </w:rPr>
        <w:t>(CIEL, 2022)</w:t>
      </w:r>
      <w:r w:rsidR="00C14315">
        <w:fldChar w:fldCharType="end"/>
      </w:r>
      <w:r w:rsidR="00381D5F">
        <w:t xml:space="preserve">. This report collated multiple modelling exercises for </w:t>
      </w:r>
      <w:r w:rsidR="00381D5F">
        <w:lastRenderedPageBreak/>
        <w:t>each livestock type</w:t>
      </w:r>
      <w:r>
        <w:t>,</w:t>
      </w:r>
      <w:r w:rsidR="00381D5F">
        <w:t xml:space="preserve"> estimating a </w:t>
      </w:r>
      <w:r w:rsidR="00DA1EF3">
        <w:t xml:space="preserve">potential </w:t>
      </w:r>
      <w:r w:rsidR="007D53C2">
        <w:t xml:space="preserve">37% and 34% reduction in </w:t>
      </w:r>
      <w:r w:rsidR="00DA1EF3">
        <w:t xml:space="preserve">greenhouse gas </w:t>
      </w:r>
      <w:r w:rsidR="00381D5F">
        <w:t xml:space="preserve">for beef </w:t>
      </w:r>
      <w:r w:rsidR="007D53C2">
        <w:t>and</w:t>
      </w:r>
      <w:r w:rsidR="00381D5F">
        <w:t xml:space="preserve"> sheep farms</w:t>
      </w:r>
      <w:r w:rsidR="007D53C2">
        <w:t>, respectively</w:t>
      </w:r>
      <w:r w:rsidR="00381D5F">
        <w:t>.</w:t>
      </w:r>
      <w:r w:rsidR="008749D6">
        <w:t xml:space="preserve"> Globally, </w:t>
      </w:r>
      <w:r w:rsidR="00071B65">
        <w:t xml:space="preserve">estimated </w:t>
      </w:r>
      <w:r w:rsidR="008E3C49">
        <w:t>emission reduction</w:t>
      </w:r>
      <w:r w:rsidR="0017102A">
        <w:t>s</w:t>
      </w:r>
      <w:r w:rsidR="008E3C49">
        <w:t xml:space="preserve"> </w:t>
      </w:r>
      <w:r w:rsidR="00BB168D">
        <w:t xml:space="preserve">for the agriculture sector </w:t>
      </w:r>
      <w:r w:rsidR="00071B65">
        <w:t xml:space="preserve">are </w:t>
      </w:r>
      <w:r w:rsidR="00BB168D">
        <w:t xml:space="preserve">marginally higher. For example, </w:t>
      </w:r>
      <w:r w:rsidR="00BB168D">
        <w:fldChar w:fldCharType="begin"/>
      </w:r>
      <w:r w:rsidR="00BB168D">
        <w:instrText xml:space="preserve"> ADDIN ZOTERO_ITEM CSL_CITATION {"citationID":"5jTBeWZC","properties":{"formattedCitation":"(Rosa and Gabrielli, 2023)","plainCitation":"(Rosa and Gabrielli, 2023)","noteIndex":0},"citationItems":[{"id":1836,"uris":["http://zotero.org/users/6500992/items/FIJWTAQE"],"itemData":{"id":1836,"type":"article-journal","abstract":"Agriculture accounts for 12% of global annual greenhouse gas (GHG) emissions (7.1 Gt CO2 equivalent), primarily through non-CO2 emissions, namely methane (54%), nitrous oxide (28%), and carbon dioxide (18%). Thus, agriculture contributes significantly to climate change and is significantly impacted by its consequences. Here, we present a review of technologies and innovations for reducing GHG emissions in agriculture. These include decarbonizing on-farm energy use, adopting nitrogen fertilizers management technologies, alternative rice cultivation methods, and feeding and breeding technologies for reducing enteric methane. Combined, all these measures can reduce agricultural GHG emissions by up to 45%. However, residual emissions of 3.8 Gt CO2 equivalent per year will require offsets from carbon dioxide removal technologies to make agriculture net-zero. Bioenergy with carbon capture and storage and enhanced rock weathering are particularly promising techniques, as they can be implemented within agriculture and result in permanent carbon sequestration. While net-zero technologies are technically available, they come with a price premium over the status quo and have limited adoption. Further research and development are needed to make such technologies more affordable and scalable and understand their synergies and wider socio-environmental impacts. With support and incentives, agriculture can transition from a significant emitter to a carbon sink. This study may serve as a blueprint to identify areas where further research and investments are needed to support and accelerate a transition to net-zero emissions agriculture.","container-title":"Environmental Research Letters","DOI":"10.1088/1748-9326/acd5e8","ISSN":"1748-9326","issue":"6","journalAbbreviation":"Environ. Res. Lett.","language":"en","note":"publisher: IOP Publishing","page":"063002","source":"Institute of Physics","title":"Achieving net-zero emissions in agriculture: a review","title-short":"Achieving net-zero emissions in agriculture","volume":"18","author":[{"family":"Rosa","given":"Lorenzo"},{"family":"Gabrielli","given":"Paolo"}],"issued":{"date-parts":[["2023",5]]}}}],"schema":"https://github.com/citation-style-language/schema/raw/master/csl-citation.json"} </w:instrText>
      </w:r>
      <w:r w:rsidR="00BB168D">
        <w:fldChar w:fldCharType="separate"/>
      </w:r>
      <w:r w:rsidR="00BB168D" w:rsidRPr="00BB168D">
        <w:rPr>
          <w:rFonts w:ascii="Calibri" w:hAnsi="Calibri" w:cs="Calibri"/>
        </w:rPr>
        <w:t xml:space="preserve">Rosa and Gabrielli </w:t>
      </w:r>
      <w:r w:rsidR="002819DD">
        <w:rPr>
          <w:rFonts w:ascii="Calibri" w:hAnsi="Calibri" w:cs="Calibri"/>
        </w:rPr>
        <w:t>(</w:t>
      </w:r>
      <w:r w:rsidR="00BB168D" w:rsidRPr="00BB168D">
        <w:rPr>
          <w:rFonts w:ascii="Calibri" w:hAnsi="Calibri" w:cs="Calibri"/>
        </w:rPr>
        <w:t>2023)</w:t>
      </w:r>
      <w:r w:rsidR="00BB168D">
        <w:fldChar w:fldCharType="end"/>
      </w:r>
      <w:r w:rsidR="002819DD">
        <w:t xml:space="preserve"> </w:t>
      </w:r>
      <w:r w:rsidR="00662256">
        <w:t>estimated agricultural GHG emissions could be reduced by up to 45% if all</w:t>
      </w:r>
      <w:r w:rsidR="002A445D">
        <w:t xml:space="preserve"> possible mitigation strategies </w:t>
      </w:r>
      <w:r w:rsidR="00D34783">
        <w:t>were</w:t>
      </w:r>
      <w:r w:rsidR="002A445D">
        <w:t xml:space="preserve"> implemented</w:t>
      </w:r>
      <w:r w:rsidR="001F6CA9">
        <w:t xml:space="preserve">. </w:t>
      </w:r>
      <w:r w:rsidR="00552400">
        <w:t>Moreover</w:t>
      </w:r>
      <w:r w:rsidR="00282A00">
        <w:t xml:space="preserve">, </w:t>
      </w:r>
      <w:r w:rsidR="007312AB">
        <w:fldChar w:fldCharType="begin"/>
      </w:r>
      <w:r w:rsidR="007312AB">
        <w:instrText xml:space="preserve"> ADDIN ZOTERO_ITEM CSL_CITATION {"citationID":"rVAGkbMo","properties":{"formattedCitation":"(Clark et al., 2020)","plainCitation":"(Clark et al., 2020)","noteIndex":0},"citationItems":[{"id":1838,"uris":["http://zotero.org/users/6500992/items/S4HHRZ3S"],"itemData":{"id":1838,"type":"article-journal","abstract":"Thought for food\n            \n              To have any hope of meeting the central goal of the Paris Agreement, which is to limit global warming to 2°C or less, our carbon emissions must be reduced considerably, including those coming from agriculture. Clark\n              et al.\n              show that even if fossil fuel emissions were eliminated immediately, emissions from the global food system alone would make it impossible to limit warming to 1.5°C and difficult even to realize the 2°C target. Thus, major changes in how food is produced are needed if we want to meet the goals of the Paris Agreement.\n            \n            \n              Science\n              , this issue p.\n              705\n            \n          , \n            Concerted efforts to mitigate greenhouse gas emissions from food production are necessary to limit increases in global temperature.\n          , \n            The Paris Agreement’s goal of limiting the increase in global temperature to 1.5° or 2°C above preindustrial levels requires rapid reductions in greenhouse gas emissions. Although reducing emissions from fossil fuels is essential for meeting this goal, other sources of emissions may also preclude its attainment. We show that even if fossil fuel emissions were immediately halted, current trends in global food systems would prevent the achievement of the 1.5°C target and, by the end of the century, threaten the achievement of the 2°C target. Meeting the 1.5°C target requires rapid and ambitious changes to food systems as well as to all nonfood sectors. The 2°C target could be achieved with less-ambitious changes to food systems, but only if fossil fuel and other nonfood emissions are eliminated soon.","container-title":"Science","DOI":"10.1126/science.aba7357","ISSN":"0036-8075, 1095-9203","issue":"6517","journalAbbreviation":"Science","language":"en","page":"705-708","source":"DOI.org (Crossref)","title":"Global food system emissions could preclude achieving the 1.5° and 2°C climate change targets","volume":"370","author":[{"family":"Clark","given":"Michael A."},{"family":"Domingo","given":"Nina G. G."},{"family":"Colgan","given":"Kimberly"},{"family":"Thakrar","given":"Sumil K."},{"family":"Tilman","given":"David"},{"family":"Lynch","given":"John"},{"family":"Azevedo","given":"Inês L."},{"family":"Hill","given":"Jason D."}],"issued":{"date-parts":[["2020",11,6]]}}}],"schema":"https://github.com/citation-style-language/schema/raw/master/csl-citation.json"} </w:instrText>
      </w:r>
      <w:r w:rsidR="007312AB">
        <w:fldChar w:fldCharType="separate"/>
      </w:r>
      <w:r w:rsidR="007312AB" w:rsidRPr="007312AB">
        <w:rPr>
          <w:rFonts w:ascii="Calibri" w:hAnsi="Calibri" w:cs="Calibri"/>
        </w:rPr>
        <w:t xml:space="preserve">Clark et al. </w:t>
      </w:r>
      <w:r w:rsidR="007312AB">
        <w:rPr>
          <w:rFonts w:ascii="Calibri" w:hAnsi="Calibri" w:cs="Calibri"/>
        </w:rPr>
        <w:t>(</w:t>
      </w:r>
      <w:r w:rsidR="007312AB" w:rsidRPr="007312AB">
        <w:rPr>
          <w:rFonts w:ascii="Calibri" w:hAnsi="Calibri" w:cs="Calibri"/>
        </w:rPr>
        <w:t>2020)</w:t>
      </w:r>
      <w:r w:rsidR="007312AB">
        <w:fldChar w:fldCharType="end"/>
      </w:r>
      <w:r w:rsidR="0083631C">
        <w:t xml:space="preserve"> </w:t>
      </w:r>
      <w:r w:rsidR="005C6714" w:rsidRPr="005C6714">
        <w:t xml:space="preserve"> </w:t>
      </w:r>
      <w:r w:rsidR="005C6714">
        <w:t>predicted that</w:t>
      </w:r>
      <w:r w:rsidR="003E0C9D">
        <w:t xml:space="preserve"> </w:t>
      </w:r>
      <w:r w:rsidR="007312AB">
        <w:t xml:space="preserve">100% </w:t>
      </w:r>
      <w:r w:rsidR="003F5C14">
        <w:t>adoption</w:t>
      </w:r>
      <w:r w:rsidR="007312AB">
        <w:t xml:space="preserve"> of </w:t>
      </w:r>
      <w:r w:rsidR="00442547">
        <w:t xml:space="preserve">all </w:t>
      </w:r>
      <w:r w:rsidR="00CE6CC9">
        <w:t>mitigation strategies by 2050</w:t>
      </w:r>
      <w:r w:rsidR="00544274">
        <w:t xml:space="preserve"> could result in </w:t>
      </w:r>
      <w:r w:rsidR="0091175E">
        <w:t>negative</w:t>
      </w:r>
      <w:r w:rsidR="00544274">
        <w:t xml:space="preserve"> net emissions </w:t>
      </w:r>
      <w:r w:rsidR="003F5C14">
        <w:t xml:space="preserve">from </w:t>
      </w:r>
      <w:r w:rsidR="002C137C">
        <w:t xml:space="preserve">global </w:t>
      </w:r>
      <w:r w:rsidR="003F5C14">
        <w:t>food</w:t>
      </w:r>
      <w:r w:rsidR="00A81D5B">
        <w:t xml:space="preserve"> </w:t>
      </w:r>
      <w:r w:rsidR="003E0C9D">
        <w:t>systems</w:t>
      </w:r>
      <w:r w:rsidR="003D6BFE">
        <w:t>.</w:t>
      </w:r>
    </w:p>
    <w:p w14:paraId="7418F351" w14:textId="77777777" w:rsidR="003E0C9D" w:rsidRPr="002B7D4D" w:rsidRDefault="003E0C9D" w:rsidP="00E568F2">
      <w:pPr>
        <w:pStyle w:val="NoSpacing"/>
        <w:spacing w:line="360" w:lineRule="auto"/>
      </w:pPr>
    </w:p>
    <w:p w14:paraId="6390F1A5" w14:textId="1864EA07" w:rsidR="00BF2559" w:rsidRDefault="00041494" w:rsidP="00E568F2">
      <w:pPr>
        <w:pStyle w:val="NoSpacing"/>
        <w:numPr>
          <w:ilvl w:val="2"/>
          <w:numId w:val="2"/>
        </w:numPr>
        <w:spacing w:line="360" w:lineRule="auto"/>
        <w:rPr>
          <w:b/>
          <w:bCs/>
        </w:rPr>
      </w:pPr>
      <w:r>
        <w:rPr>
          <w:b/>
          <w:bCs/>
        </w:rPr>
        <w:t>Woodland</w:t>
      </w:r>
      <w:r w:rsidR="007E55DB">
        <w:rPr>
          <w:b/>
          <w:bCs/>
        </w:rPr>
        <w:t xml:space="preserve"> needed to achieve </w:t>
      </w:r>
      <w:r w:rsidR="00AB7536">
        <w:rPr>
          <w:b/>
          <w:bCs/>
        </w:rPr>
        <w:t>Net Zero</w:t>
      </w:r>
    </w:p>
    <w:p w14:paraId="781C82B0" w14:textId="77777777" w:rsidR="00E242C6" w:rsidRPr="00E242C6" w:rsidRDefault="00E242C6" w:rsidP="00E242C6">
      <w:pPr>
        <w:pStyle w:val="NoSpacing"/>
        <w:spacing w:line="360" w:lineRule="auto"/>
        <w:rPr>
          <w:b/>
          <w:bCs/>
        </w:rPr>
      </w:pPr>
    </w:p>
    <w:p w14:paraId="6FDEB4FC" w14:textId="35316828" w:rsidR="00C1096B" w:rsidRPr="00FA08A0" w:rsidRDefault="005C6714" w:rsidP="00BA3E62">
      <w:pPr>
        <w:pStyle w:val="NoSpacing"/>
        <w:spacing w:line="360" w:lineRule="auto"/>
        <w:jc w:val="both"/>
        <w:rPr>
          <w:rFonts w:cstheme="minorHAnsi"/>
        </w:rPr>
      </w:pPr>
      <w:r>
        <w:rPr>
          <w:rFonts w:cstheme="minorHAnsi"/>
        </w:rPr>
        <w:t xml:space="preserve">Many countries in the world have ambitious afforestation plans as they aspire to meet Net Zero emissions targets; a scenario that applies to </w:t>
      </w:r>
      <w:r w:rsidR="00C636C2" w:rsidRPr="00C85F56">
        <w:t>Wales</w:t>
      </w:r>
      <w:r w:rsidR="0011599F">
        <w:t xml:space="preserve"> </w:t>
      </w:r>
      <w:r>
        <w:t>as it strives</w:t>
      </w:r>
      <w:r w:rsidR="0011599F">
        <w:t xml:space="preserve"> </w:t>
      </w:r>
      <w:r w:rsidR="00C636C2" w:rsidRPr="00C85F56">
        <w:t>to increase woodland cover on farms</w:t>
      </w:r>
      <w:r w:rsidR="0017684A">
        <w:rPr>
          <w:rFonts w:cstheme="minorHAnsi"/>
        </w:rPr>
        <w:t xml:space="preserve">. </w:t>
      </w:r>
      <w:r w:rsidR="000318ED">
        <w:rPr>
          <w:rFonts w:cstheme="minorHAnsi"/>
        </w:rPr>
        <w:t xml:space="preserve">The most recent available data showed that </w:t>
      </w:r>
      <w:r w:rsidR="00746F6A">
        <w:rPr>
          <w:rFonts w:cstheme="minorHAnsi"/>
        </w:rPr>
        <w:t>woodland accounts for 7% (</w:t>
      </w:r>
      <w:r w:rsidR="00746F6A" w:rsidRPr="00746F6A">
        <w:rPr>
          <w:rFonts w:cstheme="minorHAnsi"/>
        </w:rPr>
        <w:t>125</w:t>
      </w:r>
      <w:r w:rsidR="00746F6A">
        <w:rPr>
          <w:rFonts w:cstheme="minorHAnsi"/>
        </w:rPr>
        <w:t>,</w:t>
      </w:r>
      <w:r w:rsidR="00746F6A" w:rsidRPr="00746F6A">
        <w:rPr>
          <w:rFonts w:cstheme="minorHAnsi"/>
        </w:rPr>
        <w:t>323</w:t>
      </w:r>
      <w:r w:rsidR="00746F6A">
        <w:rPr>
          <w:rFonts w:cstheme="minorHAnsi"/>
        </w:rPr>
        <w:t xml:space="preserve"> ha) of the total area on farms</w:t>
      </w:r>
      <w:r w:rsidR="00972D24">
        <w:rPr>
          <w:rFonts w:cstheme="minorHAnsi"/>
        </w:rPr>
        <w:t xml:space="preserve"> </w:t>
      </w:r>
      <w:r w:rsidR="00972D24">
        <w:rPr>
          <w:rFonts w:cstheme="minorHAnsi"/>
        </w:rPr>
        <w:fldChar w:fldCharType="begin"/>
      </w:r>
      <w:r w:rsidR="00972D24">
        <w:rPr>
          <w:rFonts w:cstheme="minorHAnsi"/>
        </w:rPr>
        <w:instrText xml:space="preserve"> ADDIN ZOTERO_ITEM CSL_CITATION {"citationID":"uYsTb5K4","properties":{"formattedCitation":"(Welsh Government, 2023)","plainCitation":"(Welsh Government, 2023)","noteIndex":0},"citationItems":[{"id":1683,"uris":["http://zotero.org/users/6500992/items/NC2REGM9"],"itemData":{"id":1683,"type":"report","abstract":"Data for agricultural land use, livestock on farms and the number of people working on agricultural holdings in June 2023.","language":"en","page":"19","publisher":"Welsh Government","title":"Survey of agriculture and horticulture: June 2023","title-short":"Survey of agriculture and horticulture","URL":"https://www.gov.wales/survey-agriculture-and-horticulture-june-2023","author":[{"family":"Welsh Government","given":""}],"accessed":{"date-parts":[["2023",11,27]]},"issued":{"date-parts":[["2023",11,23]]}}}],"schema":"https://github.com/citation-style-language/schema/raw/master/csl-citation.json"} </w:instrText>
      </w:r>
      <w:r w:rsidR="00972D24">
        <w:rPr>
          <w:rFonts w:cstheme="minorHAnsi"/>
        </w:rPr>
        <w:fldChar w:fldCharType="separate"/>
      </w:r>
      <w:r w:rsidR="00972D24" w:rsidRPr="00972D24">
        <w:rPr>
          <w:rFonts w:ascii="Calibri" w:hAnsi="Calibri" w:cs="Calibri"/>
        </w:rPr>
        <w:t>(Welsh Government, 2023)</w:t>
      </w:r>
      <w:r w:rsidR="00972D24">
        <w:rPr>
          <w:rFonts w:cstheme="minorHAnsi"/>
        </w:rPr>
        <w:fldChar w:fldCharType="end"/>
      </w:r>
      <w:r w:rsidR="00746F6A">
        <w:rPr>
          <w:rFonts w:cstheme="minorHAnsi"/>
        </w:rPr>
        <w:t xml:space="preserve">. </w:t>
      </w:r>
      <w:r w:rsidR="00C1096B" w:rsidRPr="00C85F56">
        <w:rPr>
          <w:rFonts w:cstheme="minorHAnsi"/>
        </w:rPr>
        <w:t>In the most recent carbon budget from the Welsh Government,</w:t>
      </w:r>
      <w:r w:rsidR="00FA08A0" w:rsidRPr="00FA08A0">
        <w:t xml:space="preserve"> </w:t>
      </w:r>
      <w:r w:rsidR="00586B7E">
        <w:t>one of the ambition statements for agriculture is that 10% of agricultur</w:t>
      </w:r>
      <w:r w:rsidR="00C142CF">
        <w:t>al</w:t>
      </w:r>
      <w:r w:rsidR="00586B7E">
        <w:t xml:space="preserve"> land </w:t>
      </w:r>
      <w:r w:rsidR="00746F6A">
        <w:t xml:space="preserve">(180,00 ha) </w:t>
      </w:r>
      <w:r w:rsidR="00586B7E">
        <w:t>will be shared to support tree planting by 2050</w:t>
      </w:r>
      <w:r w:rsidR="00FD5FD9">
        <w:rPr>
          <w:rFonts w:cstheme="minorHAnsi"/>
        </w:rPr>
        <w:t xml:space="preserve"> </w:t>
      </w:r>
      <w:r w:rsidR="00EC1FB6">
        <w:rPr>
          <w:rFonts w:cstheme="minorHAnsi"/>
        </w:rPr>
        <w:fldChar w:fldCharType="begin"/>
      </w:r>
      <w:r w:rsidR="001B327D">
        <w:rPr>
          <w:rFonts w:cstheme="minorHAnsi"/>
        </w:rPr>
        <w:instrText xml:space="preserve"> ADDIN ZOTERO_ITEM CSL_CITATION {"citationID":"6osgztkI","properties":{"formattedCitation":"(Welsh Government, 2021b)","plainCitation":"(Welsh Government, 2021b)","noteIndex":0},"citationItems":[{"id":1119,"uris":["http://zotero.org/users/6500992/items/BGS5G6PZ"],"itemData":{"id":1119,"type":"book","collection-number":"WG42949","ISBN":"978-1-80391-158-8","publisher":"Welsh Government","title":"Net Zero Wales Carbon Budget 2 (2021 to 2025)","author":[{"family":"Welsh Government","given":""}],"issued":{"date-parts":[["2021"]]}}}],"schema":"https://github.com/citation-style-language/schema/raw/master/csl-citation.json"} </w:instrText>
      </w:r>
      <w:r w:rsidR="00EC1FB6">
        <w:rPr>
          <w:rFonts w:cstheme="minorHAnsi"/>
        </w:rPr>
        <w:fldChar w:fldCharType="separate"/>
      </w:r>
      <w:r w:rsidR="001B327D" w:rsidRPr="001B327D">
        <w:rPr>
          <w:rFonts w:ascii="Calibri" w:hAnsi="Calibri" w:cs="Calibri"/>
        </w:rPr>
        <w:t>(Welsh Government, 2021b)</w:t>
      </w:r>
      <w:r w:rsidR="00EC1FB6">
        <w:rPr>
          <w:rFonts w:cstheme="minorHAnsi"/>
        </w:rPr>
        <w:fldChar w:fldCharType="end"/>
      </w:r>
      <w:r w:rsidR="00C1096B" w:rsidRPr="00C85F56">
        <w:rPr>
          <w:rFonts w:cstheme="minorHAnsi"/>
        </w:rPr>
        <w:t>.</w:t>
      </w:r>
    </w:p>
    <w:p w14:paraId="4DD2170A" w14:textId="77777777" w:rsidR="00C1096B" w:rsidRPr="00DB347F" w:rsidRDefault="00C1096B" w:rsidP="00BA3E62">
      <w:pPr>
        <w:spacing w:line="360" w:lineRule="auto"/>
        <w:jc w:val="both"/>
        <w:rPr>
          <w:rFonts w:asciiTheme="minorHAnsi" w:hAnsiTheme="minorHAnsi" w:cstheme="minorHAnsi"/>
          <w:sz w:val="22"/>
          <w:szCs w:val="22"/>
        </w:rPr>
      </w:pPr>
    </w:p>
    <w:p w14:paraId="4CE3BAD7" w14:textId="1BD0CA85" w:rsidR="00555404" w:rsidRDefault="00A65F6D" w:rsidP="00BA3E62">
      <w:pPr>
        <w:pStyle w:val="NoSpacing"/>
        <w:spacing w:line="360" w:lineRule="auto"/>
        <w:jc w:val="both"/>
        <w:rPr>
          <w:rFonts w:cstheme="minorHAnsi"/>
          <w:color w:val="FF0000"/>
        </w:rPr>
      </w:pPr>
      <w:r>
        <w:rPr>
          <w:rFonts w:cstheme="minorHAnsi"/>
        </w:rPr>
        <w:t>In this study, t</w:t>
      </w:r>
      <w:r w:rsidR="00C1096B" w:rsidRPr="00DB347F">
        <w:rPr>
          <w:rFonts w:cstheme="minorHAnsi"/>
        </w:rPr>
        <w:t xml:space="preserve">he area of woodland needed to achieve </w:t>
      </w:r>
      <w:r w:rsidR="00AB7536">
        <w:rPr>
          <w:rFonts w:cstheme="minorHAnsi"/>
        </w:rPr>
        <w:t>Net Zero</w:t>
      </w:r>
      <w:r w:rsidR="00C1096B" w:rsidRPr="00DB347F">
        <w:rPr>
          <w:rFonts w:cstheme="minorHAnsi"/>
        </w:rPr>
        <w:t xml:space="preserve"> </w:t>
      </w:r>
      <w:r w:rsidR="00EB4C4F">
        <w:rPr>
          <w:rFonts w:cstheme="minorHAnsi"/>
        </w:rPr>
        <w:t xml:space="preserve">at a farm level </w:t>
      </w:r>
      <w:r w:rsidR="008A1EDD">
        <w:rPr>
          <w:rFonts w:cstheme="minorHAnsi"/>
        </w:rPr>
        <w:t xml:space="preserve">was found to be </w:t>
      </w:r>
      <w:r w:rsidR="00C1096B" w:rsidRPr="00DB347F">
        <w:rPr>
          <w:rFonts w:cstheme="minorHAnsi"/>
        </w:rPr>
        <w:t xml:space="preserve">affected by farm type. Hill and upland farms required </w:t>
      </w:r>
      <w:r w:rsidR="00DB7763">
        <w:rPr>
          <w:rFonts w:cstheme="minorHAnsi"/>
        </w:rPr>
        <w:t>on average</w:t>
      </w:r>
      <w:r w:rsidR="00C76C76">
        <w:rPr>
          <w:rFonts w:cstheme="minorHAnsi"/>
        </w:rPr>
        <w:t xml:space="preserve"> a</w:t>
      </w:r>
      <w:r w:rsidR="00DB7763">
        <w:rPr>
          <w:rFonts w:cstheme="minorHAnsi"/>
        </w:rPr>
        <w:t xml:space="preserve"> lower</w:t>
      </w:r>
      <w:r w:rsidR="00C1096B" w:rsidRPr="00DB347F">
        <w:rPr>
          <w:rFonts w:cstheme="minorHAnsi"/>
        </w:rPr>
        <w:t xml:space="preserve"> </w:t>
      </w:r>
      <w:r w:rsidR="009A5DDA">
        <w:rPr>
          <w:rFonts w:cstheme="minorHAnsi"/>
        </w:rPr>
        <w:t>proportion</w:t>
      </w:r>
      <w:r w:rsidR="00C1096B" w:rsidRPr="00DB347F">
        <w:rPr>
          <w:rFonts w:cstheme="minorHAnsi"/>
        </w:rPr>
        <w:t xml:space="preserve"> of woodland to reach </w:t>
      </w:r>
      <w:r w:rsidR="00AB7536">
        <w:rPr>
          <w:rFonts w:cstheme="minorHAnsi"/>
        </w:rPr>
        <w:t>Net Zero</w:t>
      </w:r>
      <w:r w:rsidR="005A3AF5">
        <w:rPr>
          <w:rFonts w:cstheme="minorHAnsi"/>
        </w:rPr>
        <w:t xml:space="preserve"> (Table 4)</w:t>
      </w:r>
      <w:r w:rsidR="00C1096B" w:rsidRPr="00DB347F">
        <w:rPr>
          <w:rFonts w:cstheme="minorHAnsi"/>
        </w:rPr>
        <w:t xml:space="preserve">. </w:t>
      </w:r>
      <w:r w:rsidR="00DB7763">
        <w:rPr>
          <w:rFonts w:cstheme="minorHAnsi"/>
        </w:rPr>
        <w:t xml:space="preserve">This could be due to </w:t>
      </w:r>
      <w:r w:rsidR="00DB347F">
        <w:rPr>
          <w:rFonts w:cstheme="minorHAnsi"/>
        </w:rPr>
        <w:t xml:space="preserve">the extensive nature of these </w:t>
      </w:r>
      <w:r w:rsidR="00DB7763">
        <w:rPr>
          <w:rFonts w:cstheme="minorHAnsi"/>
        </w:rPr>
        <w:t>systems</w:t>
      </w:r>
      <w:r w:rsidR="00DB347F">
        <w:rPr>
          <w:rFonts w:cstheme="minorHAnsi"/>
        </w:rPr>
        <w:t xml:space="preserve"> </w:t>
      </w:r>
      <w:r w:rsidR="00DB7763">
        <w:rPr>
          <w:rFonts w:cstheme="minorHAnsi"/>
        </w:rPr>
        <w:t xml:space="preserve">with larger size and generally lower baseline emissions </w:t>
      </w:r>
      <w:r w:rsidR="00150128">
        <w:rPr>
          <w:rFonts w:cstheme="minorHAnsi"/>
        </w:rPr>
        <w:t xml:space="preserve">(per hectare) </w:t>
      </w:r>
      <w:r w:rsidR="00DB7763">
        <w:rPr>
          <w:rFonts w:cstheme="minorHAnsi"/>
        </w:rPr>
        <w:t>due to fewer inputs</w:t>
      </w:r>
      <w:r w:rsidR="000318ED">
        <w:rPr>
          <w:rFonts w:cstheme="minorHAnsi"/>
        </w:rPr>
        <w:t xml:space="preserve"> and lower livestock numbers</w:t>
      </w:r>
      <w:r w:rsidR="00DB7763">
        <w:rPr>
          <w:rFonts w:cstheme="minorHAnsi"/>
        </w:rPr>
        <w:t xml:space="preserve">. </w:t>
      </w:r>
      <w:r w:rsidR="00C1096B" w:rsidRPr="00DB7763">
        <w:rPr>
          <w:rFonts w:cstheme="minorHAnsi"/>
        </w:rPr>
        <w:t>Lowland farms needed on</w:t>
      </w:r>
      <w:r w:rsidR="002D2C92">
        <w:rPr>
          <w:rFonts w:cstheme="minorHAnsi"/>
        </w:rPr>
        <w:t xml:space="preserve"> average</w:t>
      </w:r>
      <w:r w:rsidR="00C1096B" w:rsidRPr="00DB7763">
        <w:rPr>
          <w:rFonts w:cstheme="minorHAnsi"/>
        </w:rPr>
        <w:t xml:space="preserve"> higher </w:t>
      </w:r>
      <w:r w:rsidR="004453BF">
        <w:rPr>
          <w:rFonts w:cstheme="minorHAnsi"/>
        </w:rPr>
        <w:t>percentages of their total area</w:t>
      </w:r>
      <w:r w:rsidR="00C1096B" w:rsidRPr="00DB7763">
        <w:rPr>
          <w:rFonts w:cstheme="minorHAnsi"/>
        </w:rPr>
        <w:t xml:space="preserve"> </w:t>
      </w:r>
      <w:r w:rsidR="00CD51F2">
        <w:rPr>
          <w:rFonts w:cstheme="minorHAnsi"/>
        </w:rPr>
        <w:t xml:space="preserve">to be converted to </w:t>
      </w:r>
      <w:r w:rsidR="00C1096B" w:rsidRPr="00DB7763">
        <w:rPr>
          <w:rFonts w:cstheme="minorHAnsi"/>
        </w:rPr>
        <w:t xml:space="preserve">woodland to </w:t>
      </w:r>
      <w:r w:rsidR="002D2C92">
        <w:rPr>
          <w:rFonts w:cstheme="minorHAnsi"/>
        </w:rPr>
        <w:t xml:space="preserve">achieve </w:t>
      </w:r>
      <w:r w:rsidR="00CD51F2">
        <w:rPr>
          <w:rFonts w:cstheme="minorHAnsi"/>
        </w:rPr>
        <w:t xml:space="preserve">GHG </w:t>
      </w:r>
      <w:r w:rsidR="002D2C92">
        <w:rPr>
          <w:rFonts w:cstheme="minorHAnsi"/>
        </w:rPr>
        <w:t>neutrality</w:t>
      </w:r>
      <w:r w:rsidR="00C1096B" w:rsidRPr="00DB7763">
        <w:rPr>
          <w:rFonts w:cstheme="minorHAnsi"/>
        </w:rPr>
        <w:t xml:space="preserve">. </w:t>
      </w:r>
      <w:r w:rsidR="00DB7763">
        <w:rPr>
          <w:rFonts w:cstheme="minorHAnsi"/>
        </w:rPr>
        <w:t xml:space="preserve">Lowland farms not only had on average higher </w:t>
      </w:r>
      <w:r w:rsidR="00027ADC">
        <w:rPr>
          <w:rFonts w:cstheme="minorHAnsi"/>
        </w:rPr>
        <w:t xml:space="preserve">inputs </w:t>
      </w:r>
      <w:r w:rsidR="00027ADC" w:rsidRPr="00670351">
        <w:rPr>
          <w:rFonts w:cstheme="minorHAnsi"/>
        </w:rPr>
        <w:t xml:space="preserve">and </w:t>
      </w:r>
      <w:r w:rsidR="00DB7763" w:rsidRPr="00670351">
        <w:rPr>
          <w:rFonts w:cstheme="minorHAnsi"/>
        </w:rPr>
        <w:t xml:space="preserve">total baseline </w:t>
      </w:r>
      <w:r w:rsidR="00B3683E" w:rsidRPr="00670351">
        <w:rPr>
          <w:rFonts w:cstheme="minorHAnsi"/>
        </w:rPr>
        <w:t>emissions,</w:t>
      </w:r>
      <w:r w:rsidR="00027ADC" w:rsidRPr="00670351">
        <w:rPr>
          <w:rFonts w:cstheme="minorHAnsi"/>
        </w:rPr>
        <w:t xml:space="preserve"> </w:t>
      </w:r>
      <w:r w:rsidR="00DB7763" w:rsidRPr="00670351">
        <w:rPr>
          <w:rFonts w:cstheme="minorHAnsi"/>
        </w:rPr>
        <w:t xml:space="preserve">but </w:t>
      </w:r>
      <w:r w:rsidR="004A6F64" w:rsidRPr="00670351">
        <w:rPr>
          <w:rFonts w:cstheme="minorHAnsi"/>
        </w:rPr>
        <w:t xml:space="preserve">they </w:t>
      </w:r>
      <w:r w:rsidR="00DB7763" w:rsidRPr="00670351">
        <w:rPr>
          <w:rFonts w:cstheme="minorHAnsi"/>
        </w:rPr>
        <w:t>were also smaller in size</w:t>
      </w:r>
      <w:r w:rsidR="008A1EDD" w:rsidRPr="00670351">
        <w:rPr>
          <w:rFonts w:cstheme="minorHAnsi"/>
        </w:rPr>
        <w:t>,</w:t>
      </w:r>
      <w:r w:rsidR="00DB7763" w:rsidRPr="00670351">
        <w:rPr>
          <w:rFonts w:cstheme="minorHAnsi"/>
        </w:rPr>
        <w:t xml:space="preserve"> making the proportion of </w:t>
      </w:r>
      <w:r w:rsidR="000318ED">
        <w:rPr>
          <w:rFonts w:cstheme="minorHAnsi"/>
        </w:rPr>
        <w:t xml:space="preserve">land required for </w:t>
      </w:r>
      <w:r w:rsidR="00DB7763" w:rsidRPr="00670351">
        <w:rPr>
          <w:rFonts w:cstheme="minorHAnsi"/>
        </w:rPr>
        <w:t xml:space="preserve">woodland </w:t>
      </w:r>
      <w:r w:rsidR="00A84847" w:rsidRPr="00670351">
        <w:rPr>
          <w:rFonts w:cstheme="minorHAnsi"/>
        </w:rPr>
        <w:t xml:space="preserve">planting for Net Zero </w:t>
      </w:r>
      <w:r w:rsidR="000318ED">
        <w:rPr>
          <w:rFonts w:cstheme="minorHAnsi"/>
        </w:rPr>
        <w:t xml:space="preserve">to </w:t>
      </w:r>
      <w:r w:rsidR="004453BF" w:rsidRPr="00670351">
        <w:rPr>
          <w:rFonts w:cstheme="minorHAnsi"/>
        </w:rPr>
        <w:t xml:space="preserve">appear </w:t>
      </w:r>
      <w:r w:rsidR="00A84847" w:rsidRPr="001C4923">
        <w:rPr>
          <w:rFonts w:cstheme="minorHAnsi"/>
        </w:rPr>
        <w:t>particularly high</w:t>
      </w:r>
      <w:r w:rsidR="00DB7763" w:rsidRPr="001C4923">
        <w:rPr>
          <w:rFonts w:cstheme="minorHAnsi"/>
        </w:rPr>
        <w:t>.</w:t>
      </w:r>
      <w:r w:rsidR="004453BF" w:rsidRPr="001C4923">
        <w:rPr>
          <w:rFonts w:cstheme="minorHAnsi"/>
        </w:rPr>
        <w:t xml:space="preserve"> </w:t>
      </w:r>
      <w:r w:rsidR="00260B4F" w:rsidRPr="001C4923">
        <w:rPr>
          <w:rFonts w:cstheme="minorHAnsi"/>
        </w:rPr>
        <w:t xml:space="preserve">When converted </w:t>
      </w:r>
      <w:r w:rsidR="00526427" w:rsidRPr="001C4923">
        <w:rPr>
          <w:rFonts w:cstheme="minorHAnsi"/>
        </w:rPr>
        <w:t xml:space="preserve">from percentages, the area of woodland needed to achieve Net Zero </w:t>
      </w:r>
      <w:r w:rsidR="00133D40" w:rsidRPr="001C4923">
        <w:rPr>
          <w:rFonts w:cstheme="minorHAnsi"/>
        </w:rPr>
        <w:t>across</w:t>
      </w:r>
      <w:r w:rsidR="00526427" w:rsidRPr="001C4923">
        <w:rPr>
          <w:rFonts w:cstheme="minorHAnsi"/>
        </w:rPr>
        <w:t xml:space="preserve"> farms was </w:t>
      </w:r>
      <w:r w:rsidR="00217E7E" w:rsidRPr="001C4923">
        <w:rPr>
          <w:rFonts w:cstheme="minorHAnsi"/>
        </w:rPr>
        <w:t xml:space="preserve">on average </w:t>
      </w:r>
      <w:r w:rsidR="00526427" w:rsidRPr="001C4923">
        <w:rPr>
          <w:rFonts w:cstheme="minorHAnsi"/>
        </w:rPr>
        <w:t>equivalent to</w:t>
      </w:r>
      <w:r w:rsidR="001723EB" w:rsidRPr="001C4923">
        <w:rPr>
          <w:rFonts w:cstheme="minorHAnsi"/>
        </w:rPr>
        <w:t xml:space="preserve"> </w:t>
      </w:r>
      <w:r w:rsidR="00526427" w:rsidRPr="001C4923">
        <w:rPr>
          <w:rFonts w:cstheme="minorHAnsi"/>
        </w:rPr>
        <w:t>5</w:t>
      </w:r>
      <w:r w:rsidR="00670351" w:rsidRPr="001C4923">
        <w:rPr>
          <w:rFonts w:cstheme="minorHAnsi"/>
        </w:rPr>
        <w:t>8</w:t>
      </w:r>
      <w:r w:rsidR="00E01C26">
        <w:rPr>
          <w:rFonts w:cstheme="minorHAnsi"/>
        </w:rPr>
        <w:t xml:space="preserve"> </w:t>
      </w:r>
      <w:r w:rsidR="00526427" w:rsidRPr="001C4923">
        <w:rPr>
          <w:rFonts w:cstheme="minorHAnsi"/>
        </w:rPr>
        <w:t xml:space="preserve">ha, </w:t>
      </w:r>
      <w:r w:rsidR="00670351" w:rsidRPr="001C4923">
        <w:rPr>
          <w:rFonts w:cstheme="minorHAnsi"/>
        </w:rPr>
        <w:t>80</w:t>
      </w:r>
      <w:r w:rsidR="00E01C26">
        <w:rPr>
          <w:rFonts w:cstheme="minorHAnsi"/>
        </w:rPr>
        <w:t xml:space="preserve"> </w:t>
      </w:r>
      <w:r w:rsidR="00526427" w:rsidRPr="001C4923">
        <w:rPr>
          <w:rFonts w:cstheme="minorHAnsi"/>
        </w:rPr>
        <w:t>ha and 6</w:t>
      </w:r>
      <w:r w:rsidR="00670351" w:rsidRPr="001C4923">
        <w:rPr>
          <w:rFonts w:cstheme="minorHAnsi"/>
        </w:rPr>
        <w:t>8</w:t>
      </w:r>
      <w:r w:rsidR="00E01C26">
        <w:rPr>
          <w:rFonts w:cstheme="minorHAnsi"/>
        </w:rPr>
        <w:t xml:space="preserve"> </w:t>
      </w:r>
      <w:r w:rsidR="00526427" w:rsidRPr="001C4923">
        <w:rPr>
          <w:rFonts w:cstheme="minorHAnsi"/>
        </w:rPr>
        <w:t xml:space="preserve">ha for hill, </w:t>
      </w:r>
      <w:proofErr w:type="gramStart"/>
      <w:r w:rsidR="00526427" w:rsidRPr="001C4923">
        <w:rPr>
          <w:rFonts w:cstheme="minorHAnsi"/>
        </w:rPr>
        <w:t>upland</w:t>
      </w:r>
      <w:proofErr w:type="gramEnd"/>
      <w:r w:rsidR="00526427" w:rsidRPr="001C4923">
        <w:rPr>
          <w:rFonts w:cstheme="minorHAnsi"/>
        </w:rPr>
        <w:t xml:space="preserve"> and lowland</w:t>
      </w:r>
      <w:r w:rsidR="00E01C26">
        <w:rPr>
          <w:rFonts w:cstheme="minorHAnsi"/>
        </w:rPr>
        <w:t>,</w:t>
      </w:r>
      <w:r w:rsidR="00526427" w:rsidRPr="001C4923">
        <w:rPr>
          <w:rFonts w:cstheme="minorHAnsi"/>
        </w:rPr>
        <w:t xml:space="preserve"> respectively. </w:t>
      </w:r>
    </w:p>
    <w:p w14:paraId="3EB7F4B8" w14:textId="77777777" w:rsidR="00A53202" w:rsidRDefault="00A53202" w:rsidP="00BA3E62">
      <w:pPr>
        <w:pStyle w:val="NoSpacing"/>
        <w:spacing w:line="360" w:lineRule="auto"/>
        <w:jc w:val="both"/>
        <w:rPr>
          <w:rFonts w:cstheme="minorHAnsi"/>
          <w:color w:val="FF0000"/>
        </w:rPr>
      </w:pPr>
    </w:p>
    <w:p w14:paraId="5C474676" w14:textId="5ECDE196" w:rsidR="00A53202" w:rsidRDefault="00A74394" w:rsidP="00BA3E62">
      <w:pPr>
        <w:pStyle w:val="NoSpacing"/>
        <w:spacing w:line="360" w:lineRule="auto"/>
        <w:jc w:val="both"/>
      </w:pPr>
      <w:r>
        <w:t xml:space="preserve">As noted, </w:t>
      </w:r>
      <w:r w:rsidR="00A53202">
        <w:t>Farm N - o</w:t>
      </w:r>
      <w:r w:rsidR="00A53202" w:rsidRPr="00A10E06">
        <w:t xml:space="preserve">ne </w:t>
      </w:r>
      <w:r w:rsidR="00A53202">
        <w:t xml:space="preserve">of the </w:t>
      </w:r>
      <w:r w:rsidR="00A53202" w:rsidRPr="00A10E06">
        <w:t>lowland farm</w:t>
      </w:r>
      <w:r w:rsidR="00A53202">
        <w:t xml:space="preserve">s - </w:t>
      </w:r>
      <w:r w:rsidR="00A53202" w:rsidRPr="00A10E06">
        <w:t xml:space="preserve">had a notably high </w:t>
      </w:r>
      <w:r w:rsidR="006830E4">
        <w:t>farm</w:t>
      </w:r>
      <w:r w:rsidR="0011599F">
        <w:t>-</w:t>
      </w:r>
      <w:r w:rsidR="006830E4">
        <w:t>level GHG emissions</w:t>
      </w:r>
      <w:r w:rsidR="000318ED">
        <w:t xml:space="preserve"> </w:t>
      </w:r>
      <w:r w:rsidR="00F0268B">
        <w:t>(Table 2)</w:t>
      </w:r>
      <w:r w:rsidR="00A53202" w:rsidRPr="00A10E06">
        <w:t xml:space="preserve">. Even </w:t>
      </w:r>
      <w:r w:rsidR="00A53202">
        <w:t>following mitigation, with</w:t>
      </w:r>
      <w:r w:rsidR="00A53202" w:rsidRPr="00A10E06">
        <w:t xml:space="preserve"> </w:t>
      </w:r>
      <w:r w:rsidR="00A53202">
        <w:t>this farm having one of the highest levels of emission reductions</w:t>
      </w:r>
      <w:r w:rsidR="00A53202" w:rsidRPr="00A10E06">
        <w:t xml:space="preserve">, </w:t>
      </w:r>
      <w:r w:rsidR="00A53202">
        <w:t>it</w:t>
      </w:r>
      <w:r w:rsidR="00A53202" w:rsidRPr="00A10E06">
        <w:t xml:space="preserve"> would still require </w:t>
      </w:r>
      <w:r w:rsidR="00A53202">
        <w:t>the equivalent of 85</w:t>
      </w:r>
      <w:r w:rsidR="00A53202" w:rsidRPr="00A10E06">
        <w:t xml:space="preserve">% of its total area to be planted </w:t>
      </w:r>
      <w:r w:rsidR="00A53202">
        <w:t xml:space="preserve">to </w:t>
      </w:r>
      <w:r w:rsidR="00CC620C">
        <w:t>offset</w:t>
      </w:r>
      <w:r w:rsidR="00A53202" w:rsidRPr="00A10E06">
        <w:t xml:space="preserve"> the remaining emissions</w:t>
      </w:r>
      <w:r w:rsidR="00F0268B">
        <w:t xml:space="preserve"> (Table 4)</w:t>
      </w:r>
      <w:r w:rsidR="00A53202">
        <w:t xml:space="preserve">. Despite this, Farm N was also </w:t>
      </w:r>
      <w:r w:rsidR="00A53202" w:rsidRPr="00A10E06">
        <w:t xml:space="preserve">the most efficient </w:t>
      </w:r>
      <w:r w:rsidR="00A53202">
        <w:t xml:space="preserve">(when ranked by emissions intensity) </w:t>
      </w:r>
      <w:r w:rsidR="00A53202" w:rsidRPr="00A10E06">
        <w:t xml:space="preserve">of the </w:t>
      </w:r>
      <w:r w:rsidR="00A53202">
        <w:t>twenty participating</w:t>
      </w:r>
      <w:r w:rsidR="00A53202" w:rsidRPr="00A10E06">
        <w:t xml:space="preserve"> farms</w:t>
      </w:r>
      <w:r w:rsidR="008C7391">
        <w:t>.</w:t>
      </w:r>
      <w:r w:rsidR="00A53202" w:rsidRPr="00020D19">
        <w:t xml:space="preserve"> </w:t>
      </w:r>
      <w:r w:rsidR="008C7391">
        <w:t>I</w:t>
      </w:r>
      <w:r w:rsidR="008C7391" w:rsidRPr="00020D19">
        <w:t xml:space="preserve">f </w:t>
      </w:r>
      <w:r w:rsidR="00A53202" w:rsidRPr="00020D19">
        <w:t xml:space="preserve">all </w:t>
      </w:r>
      <w:r w:rsidR="0057548E">
        <w:t xml:space="preserve">the study </w:t>
      </w:r>
      <w:r w:rsidR="00A53202" w:rsidRPr="00020D19">
        <w:t xml:space="preserve">farms were to produce at this </w:t>
      </w:r>
      <w:r w:rsidR="00A53202">
        <w:t>level of efficiency</w:t>
      </w:r>
      <w:r w:rsidR="00A53202" w:rsidRPr="00020D19">
        <w:t>, the same level of output could be produced on 28% of the current land area</w:t>
      </w:r>
      <w:r w:rsidR="00A53202">
        <w:t>,</w:t>
      </w:r>
      <w:r w:rsidR="00A53202" w:rsidRPr="00020D19">
        <w:t xml:space="preserve"> saving 2984</w:t>
      </w:r>
      <w:r w:rsidR="00A53202">
        <w:t xml:space="preserve"> </w:t>
      </w:r>
      <w:r w:rsidR="00A53202" w:rsidRPr="00020D19">
        <w:t>ha</w:t>
      </w:r>
      <w:r w:rsidR="006830E4">
        <w:t xml:space="preserve"> across these 20 farms alone</w:t>
      </w:r>
      <w:r w:rsidR="00A53202" w:rsidRPr="00020D19">
        <w:t xml:space="preserve">. </w:t>
      </w:r>
      <w:r w:rsidR="00397FAD" w:rsidRPr="006D5BDF">
        <w:t>Although</w:t>
      </w:r>
      <w:r w:rsidR="00397FAD" w:rsidRPr="00A86F25">
        <w:t xml:space="preserve"> this </w:t>
      </w:r>
      <w:r w:rsidR="00A86F25" w:rsidRPr="00A86F25">
        <w:t>c</w:t>
      </w:r>
      <w:r w:rsidR="00397FAD" w:rsidRPr="00A86F25">
        <w:t xml:space="preserve">ould </w:t>
      </w:r>
      <w:r w:rsidR="00596658" w:rsidRPr="00A86F25">
        <w:t>result</w:t>
      </w:r>
      <w:r w:rsidR="00397FAD" w:rsidRPr="00A86F25">
        <w:t xml:space="preserve"> in higher emissions per hectare on the </w:t>
      </w:r>
      <w:r w:rsidR="00397FAD" w:rsidRPr="00A86F25">
        <w:lastRenderedPageBreak/>
        <w:t>farmed land</w:t>
      </w:r>
      <w:r w:rsidR="00E65DF3" w:rsidRPr="00A86F25">
        <w:t xml:space="preserve">, such a </w:t>
      </w:r>
      <w:r w:rsidR="00A53202" w:rsidRPr="00A86F25">
        <w:t xml:space="preserve">land </w:t>
      </w:r>
      <w:r w:rsidR="00893B37" w:rsidRPr="00A86F25">
        <w:t>‘</w:t>
      </w:r>
      <w:r w:rsidR="00A53202" w:rsidRPr="00A86F25">
        <w:t>sparing</w:t>
      </w:r>
      <w:r w:rsidR="00893B37" w:rsidRPr="00A86F25">
        <w:t>’</w:t>
      </w:r>
      <w:r w:rsidR="00A53202" w:rsidRPr="00A86F25">
        <w:t xml:space="preserve"> approach </w:t>
      </w:r>
      <w:r w:rsidR="00BE4498" w:rsidRPr="00A86F25">
        <w:t>would make large areas available for</w:t>
      </w:r>
      <w:r w:rsidR="00A53202" w:rsidRPr="00A86F25">
        <w:t xml:space="preserve"> carbon sequestration or biodiversity</w:t>
      </w:r>
      <w:r w:rsidR="00BE4498" w:rsidRPr="00A86F25">
        <w:t xml:space="preserve"> provisioning</w:t>
      </w:r>
      <w:r w:rsidR="00A53202" w:rsidRPr="00A86F25">
        <w:t xml:space="preserve">. </w:t>
      </w:r>
      <w:r w:rsidR="00893B37" w:rsidRPr="00A86F25">
        <w:t>As highlighted</w:t>
      </w:r>
      <w:r w:rsidR="00893B37">
        <w:t xml:space="preserve"> </w:t>
      </w:r>
      <w:r w:rsidR="003913C0">
        <w:t>earlier</w:t>
      </w:r>
      <w:r w:rsidR="0011599F">
        <w:t xml:space="preserve"> </w:t>
      </w:r>
      <w:r w:rsidR="00893B37">
        <w:t>for Farm N, it is important to interpret farm emissions data with caution and nuance to avoid the potential of d</w:t>
      </w:r>
      <w:r w:rsidR="00A53202">
        <w:t>isplacing production from more efficient farms to less efficient farms</w:t>
      </w:r>
      <w:r w:rsidR="00893B37">
        <w:t xml:space="preserve">, which would </w:t>
      </w:r>
      <w:r w:rsidR="00A53202">
        <w:t>likely increase overall emissions</w:t>
      </w:r>
      <w:r w:rsidR="00853088">
        <w:t xml:space="preserve"> (Bateman and Balmford, 2023)</w:t>
      </w:r>
      <w:r w:rsidR="00853088" w:rsidRPr="00A10E06">
        <w:t>.</w:t>
      </w:r>
      <w:r w:rsidR="00853088" w:rsidRPr="00A10E06" w:rsidDel="00853088">
        <w:t xml:space="preserve"> </w:t>
      </w:r>
    </w:p>
    <w:p w14:paraId="33DEED4F" w14:textId="77777777" w:rsidR="00555404" w:rsidRPr="0045796D" w:rsidRDefault="00555404" w:rsidP="00BA3E62">
      <w:pPr>
        <w:pStyle w:val="NoSpacing"/>
        <w:spacing w:line="360" w:lineRule="auto"/>
        <w:jc w:val="both"/>
        <w:rPr>
          <w:rFonts w:cstheme="minorHAnsi"/>
        </w:rPr>
      </w:pPr>
    </w:p>
    <w:p w14:paraId="0825DE6B" w14:textId="71F25933" w:rsidR="00555404" w:rsidRPr="0045796D" w:rsidRDefault="00555404" w:rsidP="00BA3E62">
      <w:pPr>
        <w:pStyle w:val="NoSpacing"/>
        <w:spacing w:line="360" w:lineRule="auto"/>
        <w:jc w:val="both"/>
        <w:rPr>
          <w:rFonts w:cstheme="minorHAnsi"/>
        </w:rPr>
      </w:pPr>
      <w:r w:rsidRPr="0045796D">
        <w:rPr>
          <w:rFonts w:cstheme="minorHAnsi"/>
        </w:rPr>
        <w:t xml:space="preserve">Although expressing the offset area as a percentage </w:t>
      </w:r>
      <w:r w:rsidR="00C00100">
        <w:rPr>
          <w:rFonts w:cstheme="minorHAnsi"/>
        </w:rPr>
        <w:t xml:space="preserve">of farms </w:t>
      </w:r>
      <w:r w:rsidRPr="0045796D">
        <w:rPr>
          <w:rFonts w:cstheme="minorHAnsi"/>
        </w:rPr>
        <w:t xml:space="preserve">is useful for individual farm analysis, </w:t>
      </w:r>
      <w:r w:rsidR="0057548E" w:rsidRPr="0045796D">
        <w:rPr>
          <w:rFonts w:cstheme="minorHAnsi"/>
        </w:rPr>
        <w:t>F</w:t>
      </w:r>
      <w:r w:rsidR="00A53202" w:rsidRPr="0045796D">
        <w:rPr>
          <w:rFonts w:cstheme="minorHAnsi"/>
        </w:rPr>
        <w:t xml:space="preserve">arm N </w:t>
      </w:r>
      <w:r w:rsidR="008A012F" w:rsidRPr="0045796D">
        <w:rPr>
          <w:rFonts w:cstheme="minorHAnsi"/>
        </w:rPr>
        <w:t xml:space="preserve">highlights that </w:t>
      </w:r>
      <w:r w:rsidRPr="0045796D">
        <w:rPr>
          <w:rFonts w:cstheme="minorHAnsi"/>
        </w:rPr>
        <w:t>farm</w:t>
      </w:r>
      <w:r w:rsidR="007D53C2" w:rsidRPr="0045796D">
        <w:rPr>
          <w:rFonts w:cstheme="minorHAnsi"/>
        </w:rPr>
        <w:t>-</w:t>
      </w:r>
      <w:r w:rsidRPr="0045796D">
        <w:rPr>
          <w:rFonts w:cstheme="minorHAnsi"/>
        </w:rPr>
        <w:t>level metrics can skew these results due to the size and intensity of the different farm types. Based on our results, using the average offset area of 17.</w:t>
      </w:r>
      <w:r w:rsidR="0045796D" w:rsidRPr="0045796D">
        <w:rPr>
          <w:rFonts w:cstheme="minorHAnsi"/>
        </w:rPr>
        <w:t>4</w:t>
      </w:r>
      <w:r w:rsidR="00DE5F76" w:rsidRPr="0045796D">
        <w:rPr>
          <w:rFonts w:cstheme="minorHAnsi"/>
        </w:rPr>
        <w:t xml:space="preserve"> m</w:t>
      </w:r>
      <w:proofErr w:type="gramStart"/>
      <w:r w:rsidR="00DE5F76" w:rsidRPr="0045796D">
        <w:rPr>
          <w:rFonts w:cstheme="minorHAnsi"/>
        </w:rPr>
        <w:t>².yr</w:t>
      </w:r>
      <w:proofErr w:type="gramEnd"/>
      <w:r w:rsidR="00DE5F76" w:rsidRPr="0045796D">
        <w:rPr>
          <w:rFonts w:cstheme="minorHAnsi"/>
        </w:rPr>
        <w:t xml:space="preserve"> kg</w:t>
      </w:r>
      <w:r w:rsidR="00DE5F76" w:rsidRPr="0045796D">
        <w:rPr>
          <w:rFonts w:cstheme="minorHAnsi"/>
          <w:vertAlign w:val="superscript"/>
        </w:rPr>
        <w:t>-1</w:t>
      </w:r>
      <w:r w:rsidR="00DE5F76" w:rsidRPr="0045796D">
        <w:rPr>
          <w:rFonts w:cstheme="minorHAnsi"/>
        </w:rPr>
        <w:t xml:space="preserve"> </w:t>
      </w:r>
      <w:r w:rsidR="001A6ECA">
        <w:rPr>
          <w:rFonts w:cstheme="minorHAnsi"/>
        </w:rPr>
        <w:t>dwt</w:t>
      </w:r>
      <w:r w:rsidRPr="0045796D">
        <w:rPr>
          <w:rFonts w:cstheme="minorHAnsi"/>
        </w:rPr>
        <w:t>, Wales would need to plant an additional 154,621 ha of woodland to offset annual beef and lamb production (DEFRA, 2022). This figure is in line with national tree planting target of 180,000 ha by 2050 to meet the ‘balanced pathway’ set out of the UK Climate Change Commission</w:t>
      </w:r>
      <w:r w:rsidR="00783534">
        <w:rPr>
          <w:rFonts w:cstheme="minorHAnsi"/>
        </w:rPr>
        <w:t xml:space="preserve"> </w:t>
      </w:r>
      <w:r w:rsidR="00783534">
        <w:rPr>
          <w:rFonts w:cstheme="minorHAnsi"/>
        </w:rPr>
        <w:fldChar w:fldCharType="begin"/>
      </w:r>
      <w:r w:rsidR="00783534">
        <w:rPr>
          <w:rFonts w:cstheme="minorHAnsi"/>
        </w:rPr>
        <w:instrText xml:space="preserve"> ADDIN ZOTERO_ITEM CSL_CITATION {"citationID":"C8m6Q735","properties":{"formattedCitation":"(Welsh Government, 2021b)","plainCitation":"(Welsh Government, 2021b)","noteIndex":0},"citationItems":[{"id":1119,"uris":["http://zotero.org/users/6500992/items/BGS5G6PZ"],"itemData":{"id":1119,"type":"book","collection-number":"WG42949","ISBN":"978-1-80391-158-8","publisher":"Welsh Government","title":"Net Zero Wales Carbon Budget 2 (2021 to 2025)","author":[{"family":"Welsh Government","given":""}],"issued":{"date-parts":[["2021"]]}}}],"schema":"https://github.com/citation-style-language/schema/raw/master/csl-citation.json"} </w:instrText>
      </w:r>
      <w:r w:rsidR="00783534">
        <w:rPr>
          <w:rFonts w:cstheme="minorHAnsi"/>
        </w:rPr>
        <w:fldChar w:fldCharType="separate"/>
      </w:r>
      <w:r w:rsidR="00783534" w:rsidRPr="00783534">
        <w:rPr>
          <w:rFonts w:ascii="Calibri" w:hAnsi="Calibri" w:cs="Calibri"/>
        </w:rPr>
        <w:t>(Welsh Government, 2021b)</w:t>
      </w:r>
      <w:r w:rsidR="00783534">
        <w:rPr>
          <w:rFonts w:cstheme="minorHAnsi"/>
        </w:rPr>
        <w:fldChar w:fldCharType="end"/>
      </w:r>
      <w:r w:rsidRPr="0045796D">
        <w:rPr>
          <w:rFonts w:cstheme="minorHAnsi"/>
        </w:rPr>
        <w:t xml:space="preserve">. Delivering this additional woodland would require land use change equivalent to around 10% of agricultural land in Wales </w:t>
      </w:r>
      <w:r w:rsidR="00B551CF">
        <w:rPr>
          <w:rFonts w:cstheme="minorHAnsi"/>
        </w:rPr>
        <w:fldChar w:fldCharType="begin"/>
      </w:r>
      <w:r w:rsidR="00B551CF">
        <w:rPr>
          <w:rFonts w:cstheme="minorHAnsi"/>
        </w:rPr>
        <w:instrText xml:space="preserve"> ADDIN ZOTERO_ITEM CSL_CITATION {"citationID":"aF8SUcVw","properties":{"formattedCitation":"(Welsh Government, 2021b)","plainCitation":"(Welsh Government, 2021b)","noteIndex":0},"citationItems":[{"id":1119,"uris":["http://zotero.org/users/6500992/items/BGS5G6PZ"],"itemData":{"id":1119,"type":"book","collection-number":"WG42949","ISBN":"978-1-80391-158-8","publisher":"Welsh Government","title":"Net Zero Wales Carbon Budget 2 (2021 to 2025)","author":[{"family":"Welsh Government","given":""}],"issued":{"date-parts":[["2021"]]}}}],"schema":"https://github.com/citation-style-language/schema/raw/master/csl-citation.json"} </w:instrText>
      </w:r>
      <w:r w:rsidR="00B551CF">
        <w:rPr>
          <w:rFonts w:cstheme="minorHAnsi"/>
        </w:rPr>
        <w:fldChar w:fldCharType="separate"/>
      </w:r>
      <w:r w:rsidR="00B551CF" w:rsidRPr="00B551CF">
        <w:rPr>
          <w:rFonts w:ascii="Calibri" w:hAnsi="Calibri" w:cs="Calibri"/>
        </w:rPr>
        <w:t>(Welsh Government, 2021b)</w:t>
      </w:r>
      <w:r w:rsidR="00B551CF">
        <w:rPr>
          <w:rFonts w:cstheme="minorHAnsi"/>
        </w:rPr>
        <w:fldChar w:fldCharType="end"/>
      </w:r>
      <w:r w:rsidRPr="0045796D">
        <w:rPr>
          <w:rFonts w:cstheme="minorHAnsi"/>
        </w:rPr>
        <w:t xml:space="preserve">. This land use change would be </w:t>
      </w:r>
      <w:proofErr w:type="gramStart"/>
      <w:r w:rsidRPr="0045796D">
        <w:rPr>
          <w:rFonts w:cstheme="minorHAnsi"/>
        </w:rPr>
        <w:t>similar to</w:t>
      </w:r>
      <w:proofErr w:type="gramEnd"/>
      <w:r w:rsidRPr="0045796D">
        <w:rPr>
          <w:rFonts w:cstheme="minorHAnsi"/>
        </w:rPr>
        <w:t xml:space="preserve"> that of our calculated offset area which equates to 8% of Welsh agricultural land, however, it is yet to be determined where this area of additional woodland </w:t>
      </w:r>
      <w:r w:rsidR="007011C8" w:rsidRPr="0045796D">
        <w:rPr>
          <w:rFonts w:cstheme="minorHAnsi"/>
        </w:rPr>
        <w:t>would be best situated</w:t>
      </w:r>
      <w:r w:rsidRPr="0045796D">
        <w:rPr>
          <w:rFonts w:cstheme="minorHAnsi"/>
        </w:rPr>
        <w:t>. It is important to note that the Welsh Government’s tree planting target is to offset all emissions in Wales</w:t>
      </w:r>
      <w:r w:rsidR="00893B37" w:rsidRPr="0045796D">
        <w:rPr>
          <w:rFonts w:cstheme="minorHAnsi"/>
        </w:rPr>
        <w:t>,</w:t>
      </w:r>
      <w:r w:rsidRPr="0045796D">
        <w:rPr>
          <w:rFonts w:cstheme="minorHAnsi"/>
        </w:rPr>
        <w:t xml:space="preserve"> whereas our woodland area is to solely offset beef and sheep production. In Wales, a notable proportion of land is classified as </w:t>
      </w:r>
      <w:r w:rsidR="008B174C" w:rsidRPr="0045796D">
        <w:rPr>
          <w:rFonts w:cstheme="minorHAnsi"/>
        </w:rPr>
        <w:t>S</w:t>
      </w:r>
      <w:r w:rsidRPr="0045796D">
        <w:rPr>
          <w:rFonts w:cstheme="minorHAnsi"/>
        </w:rPr>
        <w:t xml:space="preserve">everely </w:t>
      </w:r>
      <w:r w:rsidR="008B174C" w:rsidRPr="0045796D">
        <w:rPr>
          <w:rFonts w:cstheme="minorHAnsi"/>
        </w:rPr>
        <w:t>D</w:t>
      </w:r>
      <w:r w:rsidRPr="0045796D">
        <w:rPr>
          <w:rFonts w:cstheme="minorHAnsi"/>
        </w:rPr>
        <w:t xml:space="preserve">isadvantaged </w:t>
      </w:r>
      <w:r w:rsidR="008B174C" w:rsidRPr="0045796D">
        <w:rPr>
          <w:rFonts w:cstheme="minorHAnsi"/>
        </w:rPr>
        <w:t>A</w:t>
      </w:r>
      <w:r w:rsidRPr="0045796D">
        <w:rPr>
          <w:rFonts w:cstheme="minorHAnsi"/>
        </w:rPr>
        <w:t xml:space="preserve">reas (SDA) or </w:t>
      </w:r>
      <w:r w:rsidR="008B174C" w:rsidRPr="0045796D">
        <w:rPr>
          <w:rFonts w:cstheme="minorHAnsi"/>
        </w:rPr>
        <w:t>D</w:t>
      </w:r>
      <w:r w:rsidRPr="0045796D">
        <w:rPr>
          <w:rFonts w:cstheme="minorHAnsi"/>
        </w:rPr>
        <w:t xml:space="preserve">isadvantaged </w:t>
      </w:r>
      <w:r w:rsidR="008B174C" w:rsidRPr="0045796D">
        <w:rPr>
          <w:rFonts w:cstheme="minorHAnsi"/>
        </w:rPr>
        <w:t>A</w:t>
      </w:r>
      <w:r w:rsidRPr="0045796D">
        <w:rPr>
          <w:rFonts w:cstheme="minorHAnsi"/>
        </w:rPr>
        <w:t>reas (DA) – 613,000 ha and 164,000 ha</w:t>
      </w:r>
      <w:r w:rsidR="008B174C" w:rsidRPr="0045796D">
        <w:rPr>
          <w:rFonts w:cstheme="minorHAnsi"/>
        </w:rPr>
        <w:t>,</w:t>
      </w:r>
      <w:r w:rsidRPr="0045796D">
        <w:rPr>
          <w:rFonts w:cstheme="minorHAnsi"/>
        </w:rPr>
        <w:t xml:space="preserve"> respectively</w:t>
      </w:r>
      <w:r w:rsidR="00DE48A3">
        <w:rPr>
          <w:rFonts w:cstheme="minorHAnsi"/>
        </w:rPr>
        <w:t xml:space="preserve"> </w:t>
      </w:r>
      <w:r w:rsidR="00D65320">
        <w:rPr>
          <w:rFonts w:cstheme="minorHAnsi"/>
        </w:rPr>
        <w:fldChar w:fldCharType="begin"/>
      </w:r>
      <w:r w:rsidR="00906DC1">
        <w:rPr>
          <w:rFonts w:cstheme="minorHAnsi"/>
        </w:rPr>
        <w:instrText xml:space="preserve"> ADDIN ZOTERO_ITEM CSL_CITATION {"citationID":"i87oY7YF","properties":{"formattedCitation":"(Welsh Government, 2022b)","plainCitation":"(Welsh Government, 2022b)","noteIndex":0},"citationItems":[{"id":1222,"uris":["http://zotero.org/users/6500992/items/S92A2S3M"],"itemData":{"id":1222,"type":"report","abstract":"A booklet that presents information on livestock, holdings, land use, income, production and economic data.","language":"en","publisher":"Welsh Government","title":"Farming facts and figures: 2022","title-short":"Farming facts and figures","URL":"https://gov.wales/farming-facts-and-figures-2022","author":[{"family":"Welsh Government","given":""}],"accessed":{"date-parts":[["2022",10,18]]},"issued":{"date-parts":[["2022"]]}}}],"schema":"https://github.com/citation-style-language/schema/raw/master/csl-citation.json"} </w:instrText>
      </w:r>
      <w:r w:rsidR="00D65320">
        <w:rPr>
          <w:rFonts w:cstheme="minorHAnsi"/>
        </w:rPr>
        <w:fldChar w:fldCharType="separate"/>
      </w:r>
      <w:r w:rsidR="00906DC1" w:rsidRPr="00906DC1">
        <w:rPr>
          <w:rFonts w:ascii="Calibri" w:hAnsi="Calibri" w:cs="Calibri"/>
        </w:rPr>
        <w:t>(Welsh Government, 2022b)</w:t>
      </w:r>
      <w:r w:rsidR="00D65320">
        <w:rPr>
          <w:rFonts w:cstheme="minorHAnsi"/>
        </w:rPr>
        <w:fldChar w:fldCharType="end"/>
      </w:r>
      <w:r w:rsidRPr="0045796D">
        <w:rPr>
          <w:rFonts w:cstheme="minorHAnsi"/>
        </w:rPr>
        <w:t xml:space="preserve">. These areas are potentially less productive and may have higher potential for </w:t>
      </w:r>
      <w:r w:rsidR="006D5FAE" w:rsidRPr="0045796D">
        <w:rPr>
          <w:rFonts w:cstheme="minorHAnsi"/>
        </w:rPr>
        <w:t>tree planting</w:t>
      </w:r>
      <w:r w:rsidRPr="0045796D">
        <w:rPr>
          <w:rFonts w:cstheme="minorHAnsi"/>
        </w:rPr>
        <w:t xml:space="preserve">. Based on our calculations, around 20% of SDA and DA would need to be planted to offset Welsh beef and lamb production. Although </w:t>
      </w:r>
      <w:r w:rsidR="008B174C" w:rsidRPr="0045796D">
        <w:rPr>
          <w:rFonts w:cstheme="minorHAnsi"/>
        </w:rPr>
        <w:t xml:space="preserve">much </w:t>
      </w:r>
      <w:r w:rsidRPr="0045796D">
        <w:rPr>
          <w:rFonts w:cstheme="minorHAnsi"/>
        </w:rPr>
        <w:t xml:space="preserve">of Welsh beef and lamb is produced </w:t>
      </w:r>
      <w:r w:rsidR="008B174C" w:rsidRPr="0045796D">
        <w:rPr>
          <w:rFonts w:cstheme="minorHAnsi"/>
        </w:rPr>
        <w:t>i</w:t>
      </w:r>
      <w:r w:rsidRPr="0045796D">
        <w:rPr>
          <w:rFonts w:cstheme="minorHAnsi"/>
        </w:rPr>
        <w:t xml:space="preserve">n these areas, </w:t>
      </w:r>
      <w:r w:rsidR="008B174C" w:rsidRPr="0045796D">
        <w:rPr>
          <w:rFonts w:cstheme="minorHAnsi"/>
        </w:rPr>
        <w:t xml:space="preserve">a </w:t>
      </w:r>
      <w:r w:rsidRPr="0045796D">
        <w:rPr>
          <w:rFonts w:cstheme="minorHAnsi"/>
        </w:rPr>
        <w:t xml:space="preserve">combination of sustainable intensification and new </w:t>
      </w:r>
      <w:r w:rsidRPr="00A86F25">
        <w:rPr>
          <w:rFonts w:cstheme="minorHAnsi"/>
        </w:rPr>
        <w:t>technologies to reduce emissions</w:t>
      </w:r>
      <w:r w:rsidR="008B174C" w:rsidRPr="00A86F25">
        <w:rPr>
          <w:rFonts w:cstheme="minorHAnsi"/>
        </w:rPr>
        <w:t xml:space="preserve"> could enable </w:t>
      </w:r>
      <w:r w:rsidRPr="00A86F25">
        <w:rPr>
          <w:rFonts w:cstheme="minorHAnsi"/>
        </w:rPr>
        <w:t xml:space="preserve">this </w:t>
      </w:r>
      <w:r w:rsidR="006D5FAE" w:rsidRPr="00A86F25">
        <w:rPr>
          <w:rFonts w:cstheme="minorHAnsi"/>
        </w:rPr>
        <w:t xml:space="preserve">afforestation </w:t>
      </w:r>
      <w:r w:rsidRPr="00A86F25">
        <w:rPr>
          <w:rFonts w:cstheme="minorHAnsi"/>
        </w:rPr>
        <w:t xml:space="preserve">without </w:t>
      </w:r>
      <w:r w:rsidR="008B174C" w:rsidRPr="00A86F25">
        <w:rPr>
          <w:rFonts w:cstheme="minorHAnsi"/>
        </w:rPr>
        <w:t xml:space="preserve">too significant a </w:t>
      </w:r>
      <w:r w:rsidRPr="00A86F25">
        <w:rPr>
          <w:rFonts w:cstheme="minorHAnsi"/>
        </w:rPr>
        <w:t>loss of production.</w:t>
      </w:r>
      <w:r w:rsidR="00944E5B" w:rsidRPr="00A86F25">
        <w:rPr>
          <w:rFonts w:cstheme="minorHAnsi"/>
        </w:rPr>
        <w:t xml:space="preserve"> However, it is important to note </w:t>
      </w:r>
      <w:r w:rsidR="003F3F30" w:rsidRPr="00A86F25">
        <w:rPr>
          <w:rFonts w:cstheme="minorHAnsi"/>
        </w:rPr>
        <w:t xml:space="preserve">due </w:t>
      </w:r>
      <w:r w:rsidR="00422969" w:rsidRPr="00A86F25">
        <w:rPr>
          <w:rFonts w:cstheme="minorHAnsi"/>
        </w:rPr>
        <w:t>to</w:t>
      </w:r>
      <w:r w:rsidR="003F3F30" w:rsidRPr="00A86F25">
        <w:rPr>
          <w:rFonts w:cstheme="minorHAnsi"/>
        </w:rPr>
        <w:t xml:space="preserve"> harsher climates</w:t>
      </w:r>
      <w:r w:rsidR="002D70AF" w:rsidRPr="00A86F25">
        <w:rPr>
          <w:rFonts w:cstheme="minorHAnsi"/>
        </w:rPr>
        <w:t>,</w:t>
      </w:r>
      <w:r w:rsidR="003F3F30" w:rsidRPr="00A86F25">
        <w:rPr>
          <w:rFonts w:cstheme="minorHAnsi"/>
        </w:rPr>
        <w:t xml:space="preserve"> challenging terrain</w:t>
      </w:r>
      <w:r w:rsidR="002D70AF" w:rsidRPr="00A86F25">
        <w:rPr>
          <w:rFonts w:cstheme="minorHAnsi"/>
        </w:rPr>
        <w:t xml:space="preserve"> and </w:t>
      </w:r>
      <w:r w:rsidR="005A3E1C" w:rsidRPr="00A86F25">
        <w:rPr>
          <w:rFonts w:cstheme="minorHAnsi"/>
        </w:rPr>
        <w:t>prevalence of organic soils</w:t>
      </w:r>
      <w:r w:rsidR="003F3F30" w:rsidRPr="00A86F25">
        <w:rPr>
          <w:rFonts w:cstheme="minorHAnsi"/>
        </w:rPr>
        <w:t xml:space="preserve">, </w:t>
      </w:r>
      <w:r w:rsidR="00944E5B" w:rsidRPr="00A86F25">
        <w:rPr>
          <w:rFonts w:cstheme="minorHAnsi"/>
        </w:rPr>
        <w:t xml:space="preserve">more hilly </w:t>
      </w:r>
      <w:r w:rsidR="005A338E" w:rsidRPr="00A86F25">
        <w:rPr>
          <w:rFonts w:cstheme="minorHAnsi"/>
        </w:rPr>
        <w:t xml:space="preserve">areas may </w:t>
      </w:r>
      <w:r w:rsidR="009F5EB8" w:rsidRPr="00A86F25">
        <w:rPr>
          <w:rFonts w:cstheme="minorHAnsi"/>
        </w:rPr>
        <w:t xml:space="preserve">also be less </w:t>
      </w:r>
      <w:r w:rsidR="005A3E1C" w:rsidRPr="00A86F25">
        <w:rPr>
          <w:rFonts w:cstheme="minorHAnsi"/>
        </w:rPr>
        <w:t xml:space="preserve">suitable or </w:t>
      </w:r>
      <w:r w:rsidR="009F5EB8" w:rsidRPr="00A86F25">
        <w:rPr>
          <w:rFonts w:cstheme="minorHAnsi"/>
        </w:rPr>
        <w:t>productive f</w:t>
      </w:r>
      <w:r w:rsidR="005A3E1C" w:rsidRPr="00A86F25">
        <w:rPr>
          <w:rFonts w:cstheme="minorHAnsi"/>
        </w:rPr>
        <w:t xml:space="preserve">or </w:t>
      </w:r>
      <w:r w:rsidR="009F5EB8" w:rsidRPr="00A86F25">
        <w:rPr>
          <w:rFonts w:cstheme="minorHAnsi"/>
        </w:rPr>
        <w:t>tree</w:t>
      </w:r>
      <w:r w:rsidR="0038054E" w:rsidRPr="00A86F25">
        <w:rPr>
          <w:rFonts w:cstheme="minorHAnsi"/>
        </w:rPr>
        <w:t>s</w:t>
      </w:r>
      <w:r w:rsidR="009F5EB8" w:rsidRPr="00A86F25">
        <w:rPr>
          <w:rFonts w:cstheme="minorHAnsi"/>
        </w:rPr>
        <w:t xml:space="preserve"> </w:t>
      </w:r>
      <w:r w:rsidR="00D92646" w:rsidRPr="00A86F25">
        <w:rPr>
          <w:rFonts w:cstheme="minorHAnsi"/>
        </w:rPr>
        <w:fldChar w:fldCharType="begin"/>
      </w:r>
      <w:r w:rsidR="00D92646" w:rsidRPr="00A86F25">
        <w:rPr>
          <w:rFonts w:cstheme="minorHAnsi"/>
        </w:rPr>
        <w:instrText xml:space="preserve"> ADDIN ZOTERO_ITEM CSL_CITATION {"citationID":"hpE9WJxS","properties":{"formattedCitation":"(Coomes and Allen, 2007)","plainCitation":"(Coomes and Allen, 2007)","noteIndex":0},"citationItems":[{"id":1408,"uris":["http://zotero.org/users/6500992/items/96CSG3XV"],"itemData":{"id":1408,"type":"article-journal","abstract":"1 Understanding the factors influencing tree growth is central to forest ecology because of the significance of growth to forest structure and biomass. One of the simplest, yet most controversial growth models, proposed by Enquist and colleagues, predicts that stem-diameter growth scales as the one-third power of stem diameter. Recent analyses of large-scale data sets have challenged the generality of this theory and highlighted the influence of resource competition on the scaling of growth with size. 2 Here we explore the factors regulating the diameter growth of 3334 trees of mountain beech (Nothofagus solandri var. cliffortioides) growing in natural single-species forests in New Zealand. Maximum-likelihood modelling was used to quantify the influences of tree size, altitude, the basal area of taller neighbours (BL) and the basal area of all neighbours (BT) on growth. Our interpretation of the models assumed that taller neighbours compete for light whereas all neighbours compete for nutrients. 3 The regression analyses indicate that competition for light has a strong influence on the growth of small trees, whereas competition for nutrients affects trees of all sizes. These findings are consistent with experimental manipulation studies showing that competition for light and nutrients inhibits the growth of small mountain beech trees, and fertilizer application studies showing that nitrogen limits the growth of large trees. 4 Tree growth declined with altitude. The regression analyses suggest that the intensity of light competition also declines with altitude, when trees with similar BT and BL values were compared along the gradient. These results are consistent with observations that trees become stunted and have more open canopies at high altitudes. 5 Our study is the first to build the effects of competition and environment into Enquist's model of tree growth. We show that competitive interactions alter the scaling of mean growth rate with size, whereas altitude does not influence the scaling of potential growth rate with size.","container-title":"Journal of Ecology","DOI":"10.1111/j.1365-2745.2007.01280.x","ISSN":"1365-2745","issue":"5","language":"en","note":"_eprint: https://onlinelibrary.wiley.com/doi/pdf/10.1111/j.1365-2745.2007.01280.x","page":"1084-1097","source":"Wiley Online Library","title":"Effects of size, competition and altitude on tree growth","volume":"95","author":[{"family":"Coomes","given":"David A."},{"family":"Allen","given":"Robert B."}],"issued":{"date-parts":[["2007"]]}}}],"schema":"https://github.com/citation-style-language/schema/raw/master/csl-citation.json"} </w:instrText>
      </w:r>
      <w:r w:rsidR="00D92646" w:rsidRPr="00A86F25">
        <w:rPr>
          <w:rFonts w:cstheme="minorHAnsi"/>
        </w:rPr>
        <w:fldChar w:fldCharType="separate"/>
      </w:r>
      <w:r w:rsidR="00A573B5" w:rsidRPr="00A573B5">
        <w:rPr>
          <w:rFonts w:ascii="Calibri" w:hAnsi="Calibri" w:cs="Calibri"/>
        </w:rPr>
        <w:t>(Coomes and Allen, 2007)</w:t>
      </w:r>
      <w:r w:rsidR="00D92646" w:rsidRPr="00A86F25">
        <w:rPr>
          <w:rFonts w:cstheme="minorHAnsi"/>
        </w:rPr>
        <w:fldChar w:fldCharType="end"/>
      </w:r>
      <w:r w:rsidR="009F5EB8" w:rsidRPr="00A86F25">
        <w:rPr>
          <w:rFonts w:cstheme="minorHAnsi"/>
        </w:rPr>
        <w:t>.</w:t>
      </w:r>
    </w:p>
    <w:p w14:paraId="639AD150" w14:textId="455CC866" w:rsidR="00C1096B" w:rsidRPr="00ED677E" w:rsidRDefault="00C1096B" w:rsidP="00BA3E62">
      <w:pPr>
        <w:pStyle w:val="NoSpacing"/>
        <w:spacing w:line="360" w:lineRule="auto"/>
        <w:jc w:val="both"/>
        <w:rPr>
          <w:b/>
          <w:bCs/>
          <w:color w:val="FF0000"/>
        </w:rPr>
      </w:pPr>
    </w:p>
    <w:p w14:paraId="54D85F07" w14:textId="3B785AD8" w:rsidR="00A65FA7" w:rsidRDefault="0057548E" w:rsidP="00BA3E62">
      <w:pPr>
        <w:pStyle w:val="NoSpacing"/>
        <w:spacing w:line="360" w:lineRule="auto"/>
        <w:jc w:val="both"/>
        <w:rPr>
          <w:rFonts w:eastAsia="Times New Roman" w:cstheme="minorHAnsi"/>
          <w:lang w:eastAsia="en-GB"/>
        </w:rPr>
      </w:pPr>
      <w:r>
        <w:t>I</w:t>
      </w:r>
      <w:r w:rsidR="00A50800" w:rsidRPr="00C949F5">
        <w:t xml:space="preserve">n this modelling exercise, </w:t>
      </w:r>
      <w:r w:rsidR="00A84847">
        <w:t xml:space="preserve">only </w:t>
      </w:r>
      <w:r w:rsidR="00A50800" w:rsidRPr="00C949F5">
        <w:t>mixed broadleaf woodland was considered for sequestration</w:t>
      </w:r>
      <w:r w:rsidR="00A84847">
        <w:t xml:space="preserve"> via afforestation</w:t>
      </w:r>
      <w:r w:rsidR="00A50800" w:rsidRPr="00C949F5">
        <w:t xml:space="preserve">, </w:t>
      </w:r>
      <w:r>
        <w:t xml:space="preserve">however, </w:t>
      </w:r>
      <w:r w:rsidR="00A50800" w:rsidRPr="00C949F5">
        <w:t xml:space="preserve">many other options are available. </w:t>
      </w:r>
      <w:r w:rsidR="00C949F5" w:rsidRPr="00C949F5">
        <w:t xml:space="preserve">Trees can be introduced in </w:t>
      </w:r>
      <w:proofErr w:type="spellStart"/>
      <w:r w:rsidR="00C949F5" w:rsidRPr="00C949F5">
        <w:t>silvopasture</w:t>
      </w:r>
      <w:proofErr w:type="spellEnd"/>
      <w:r w:rsidR="00C949F5" w:rsidRPr="00C949F5">
        <w:t>, hedgerows, shelterbelts and row systems</w:t>
      </w:r>
      <w:r w:rsidR="008A1EDD">
        <w:t>,</w:t>
      </w:r>
      <w:r w:rsidR="00C949F5" w:rsidRPr="00C949F5">
        <w:t xml:space="preserve"> allowing for sequestration without affecting farm </w:t>
      </w:r>
      <w:r w:rsidR="003F4FEE">
        <w:t>production</w:t>
      </w:r>
      <w:r w:rsidR="00893B37">
        <w:t>,</w:t>
      </w:r>
      <w:r w:rsidR="00F71432">
        <w:t xml:space="preserve"> or even </w:t>
      </w:r>
      <w:r w:rsidR="005873AA">
        <w:t>positively affect</w:t>
      </w:r>
      <w:r w:rsidR="008E2D96">
        <w:t>ing</w:t>
      </w:r>
      <w:r w:rsidR="005873AA">
        <w:t xml:space="preserve"> </w:t>
      </w:r>
      <w:r w:rsidR="003F4FEE">
        <w:t>production</w:t>
      </w:r>
      <w:r w:rsidR="005915A9">
        <w:t xml:space="preserve"> </w:t>
      </w:r>
      <w:r w:rsidR="00826B28">
        <w:fldChar w:fldCharType="begin"/>
      </w:r>
      <w:r w:rsidR="00826B28">
        <w:instrText xml:space="preserve"> ADDIN ZOTERO_ITEM CSL_CITATION {"citationID":"CezUnvQN","properties":{"formattedCitation":"(Pritchard et al., 2021)","plainCitation":"(Pritchard et al., 2021)","noteIndex":0},"citationItems":[{"id":1120,"uris":["http://zotero.org/users/6500992/items/PXISIITH"],"itemData":{"id":1120,"type":"article-journal","abstract":"Effective shelter has been demonstrated to reduce neonatal lamb mortality rates during periods of inclement weather. Periods of high wind speed and rainfall have been shown to influence shelter usage; however, it is not yet known how ewe factors such as breed, age and body condition score influence shelter-seeking behaviour. This study, conducted on a working upland farm in the UK, examined impact of artificial shelter on the biological and climatic factors that influence peri-parturient ewe behaviour. Pregnant ewes (n = 147) were randomly allocated between two adjacent fields which were selected for their similarity in size, topography, pasture management, orientation to the prevailing wind and available natural shelter. In one field, three additional artificial shelters were installed to increase the available shelter for ewes, this field was designated the Test field; no additional artificial shelter was provided in the second field which was used as the Control field. Individual ewes were observed every 2 h between 0800 and 1600 for 14 continuous days to monitor their location relative to shelter. Ewe breed (Aberfield and Highlander), age (2-8 years) and body condition score were considered as explanatory variables to explain flock and individual variance in shelter-seeking behaviour and the prevalence of issues which required the intervention of the shepherd, termed 'shepherding problems'. Any ewe observed with dystocia, a dead or poor vigour lamb or who exhibited mismothering behaviour was recorded as a shepherding problem. The prevalence of these shepherding problems which necessitate human intervention represents arguably the most critical limiting factor for the successful management of commercial sheep flocks in outdoor lambing systems. Overall, ewes in the Test field with access to additional artificial shelter experienced fewer shepherding problems than those in the Control field (P &lt; 0.05). A significant breed effect was also observed, with Highlander ewes more likely to seek shelter than Aberfield ewes (P &lt; 0.001), and experiencing significantly fewer shepherding interventions (P &lt; 0.05). These findings demonstrate the substantial and significant benefits to animal welfare and productivity that can be achieved through the provision of shelter in commercial, upland, outdoor lambing systems in the UK.","container-title":"Animal: An International Journal of Animal Bioscience","DOI":"10.1016/j.animal.2021.100252","ISSN":"1751-732X","issue":"7","journalAbbreviation":"Animal","language":"eng","note":"PMID: 34090091","page":"100252","source":"PubMed","title":"Spatial behaviour of sheep during the neonatal period: Preliminary study on the influence of shelter","title-short":"Spatial behaviour of sheep during the neonatal period","volume":"15","author":[{"family":"Pritchard","given":"C. E."},{"family":"Williams","given":"A. P."},{"family":"Davies","given":"P."},{"family":"Jones","given":"D."},{"family":"Smith","given":"A. R."}],"issued":{"date-parts":[["2021",7]]}}}],"schema":"https://github.com/citation-style-language/schema/raw/master/csl-citation.json"} </w:instrText>
      </w:r>
      <w:r w:rsidR="00826B28">
        <w:fldChar w:fldCharType="separate"/>
      </w:r>
      <w:r w:rsidR="00A573B5" w:rsidRPr="00A573B5">
        <w:rPr>
          <w:rFonts w:ascii="Calibri" w:hAnsi="Calibri" w:cs="Calibri"/>
        </w:rPr>
        <w:t>(Pritchard et al., 2021)</w:t>
      </w:r>
      <w:r w:rsidR="00826B28">
        <w:fldChar w:fldCharType="end"/>
      </w:r>
      <w:r w:rsidR="00C949F5" w:rsidRPr="00C949F5">
        <w:t>. In the uplands in particular</w:t>
      </w:r>
      <w:r w:rsidR="00A84847">
        <w:t>,</w:t>
      </w:r>
      <w:r w:rsidR="00C949F5" w:rsidRPr="00C949F5">
        <w:t xml:space="preserve"> agroforestry has been proven to be the most environmentally and economically viable option </w:t>
      </w:r>
      <w:r w:rsidR="00022AAA">
        <w:t>for land use</w:t>
      </w:r>
      <w:r w:rsidR="00511829">
        <w:t xml:space="preserve"> </w:t>
      </w:r>
      <w:r w:rsidR="00511829">
        <w:rPr>
          <w:rFonts w:cstheme="minorHAnsi"/>
        </w:rPr>
        <w:fldChar w:fldCharType="begin"/>
      </w:r>
      <w:r w:rsidR="00511829">
        <w:rPr>
          <w:rFonts w:cstheme="minorHAnsi"/>
        </w:rPr>
        <w:instrText xml:space="preserve"> ADDIN ZOTERO_ITEM CSL_CITATION {"citationID":"UADMZsOl","properties":{"formattedCitation":"(Hardaker et al., 2020)","plainCitation":"(Hardaker et al., 2020)","noteIndex":0},"citationItems":[{"id":235,"uris":["http://zotero.org/users/6500992/items/HVFBDPCH"],"itemData":{"id":235,"type":"article-journal","abstract":"Upland land use in Wales has high potential value in relation to the delivery of ecosystem services which is currently uncaptured. In this study we assessed the ecosystem services and dis-services generated by the two dominant land uses (forestry and agricultural) in the uplands of Wales in qualitative and monetary units. We also mapped the distribution of ecosystem services and dis-services across the two dominant land uses. Our results provide an initial baseline estimate of the supply and economic value of ecosystem services and dis-services from upland forestry and agricultural land use in Wales. The qualitative assessment showed the highest levels of ecosystem service supply were derived from forestry land use and the highest levels of ecosystem dis-services were derived from agricultural land use. The economic value of ecosystem service benefits from upland land use in Wales is £1,472.25 million year−1 and the total costs of ecosystem dis-services are £101.54 million year−1 using 2018 values. When an economic weighting is applied the per hectare economic value of ecosystem service benefits from agriculture at £1,434.02 ha−1 year−1 is higher than that of forestry at £1,261.09 ha−1 year−1 and the per hectare costs of ecosystem dis-services from agriculture at £96.10 ha−1 year−1 was marginally lower than that of forestry at £98.58 ha−1 year−1. Overall our results highlight an imbalance in the current delivery of ecosystem services from upland land use in Wales with the majority of benefits coming in the form of private benefits through provisioning services. By using systematic qualitative and economic assessment tools this study has highlighted critical data gaps and provides a basis for rebalancing ecosystem service delivery and increasing levels of public benefits through expansion of tree cover within the Welsh uplands. Our mapping highlights where land use adaption and transformation may be approached to address the imbalance in ecosystem service supply.","container-title":"Ecosystem Services","DOI":"10.1016/j.ecoser.2020.101098","ISSN":"2212-0416","journalAbbreviation":"Ecosystem Services","language":"en","page":"101098","source":"ScienceDirect","title":"Integrated assessment, valuation and mapping of ecosystem services and dis-services from upland land use in Wales","volume":"43","author":[{"family":"Hardaker","given":"Ashley"},{"family":"Pagella","given":"Tim"},{"family":"Rayment","given":"Mark"}],"issued":{"date-parts":[["2020",6,1]]}}}],"schema":"https://github.com/citation-style-language/schema/raw/master/csl-citation.json"} </w:instrText>
      </w:r>
      <w:r w:rsidR="00511829">
        <w:rPr>
          <w:rFonts w:cstheme="minorHAnsi"/>
        </w:rPr>
        <w:fldChar w:fldCharType="separate"/>
      </w:r>
      <w:r w:rsidR="00A573B5" w:rsidRPr="00A573B5">
        <w:rPr>
          <w:rFonts w:ascii="Calibri" w:hAnsi="Calibri" w:cs="Calibri"/>
        </w:rPr>
        <w:t>(Hardaker et al., 2020)</w:t>
      </w:r>
      <w:r w:rsidR="00511829">
        <w:rPr>
          <w:rFonts w:cstheme="minorHAnsi"/>
        </w:rPr>
        <w:fldChar w:fldCharType="end"/>
      </w:r>
      <w:r w:rsidR="00C949F5" w:rsidRPr="00C949F5">
        <w:t xml:space="preserve">. </w:t>
      </w:r>
      <w:r w:rsidR="00A50800" w:rsidRPr="00C949F5">
        <w:t>However, due to the complexity of sequestration calculations</w:t>
      </w:r>
      <w:r w:rsidR="00893B37">
        <w:t>,</w:t>
      </w:r>
      <w:r w:rsidR="00A50800" w:rsidRPr="00C949F5">
        <w:t xml:space="preserve"> </w:t>
      </w:r>
      <w:r w:rsidR="00C949F5" w:rsidRPr="00C949F5">
        <w:t>particularly</w:t>
      </w:r>
      <w:r w:rsidR="00A50800" w:rsidRPr="00C949F5">
        <w:t xml:space="preserve"> </w:t>
      </w:r>
      <w:r w:rsidR="00C949F5" w:rsidRPr="00C949F5">
        <w:lastRenderedPageBreak/>
        <w:t>for</w:t>
      </w:r>
      <w:r w:rsidR="00A50800" w:rsidRPr="00C949F5">
        <w:t xml:space="preserve"> soil sequestration, </w:t>
      </w:r>
      <w:r w:rsidR="00C949F5" w:rsidRPr="00C949F5">
        <w:t>agroforestry systems are challenging to model.</w:t>
      </w:r>
      <w:r w:rsidR="00C949F5">
        <w:t xml:space="preserve"> </w:t>
      </w:r>
      <w:r w:rsidR="00C949F5" w:rsidRPr="00C949F5">
        <w:t xml:space="preserve">Management of existing woodland is also important as there is </w:t>
      </w:r>
      <w:r w:rsidR="00CD51F2">
        <w:t xml:space="preserve">a </w:t>
      </w:r>
      <w:r w:rsidR="00C949F5" w:rsidRPr="00C949F5">
        <w:t xml:space="preserve">limit on </w:t>
      </w:r>
      <w:r w:rsidR="00CD51F2">
        <w:t xml:space="preserve">duration of carbon sequestration by </w:t>
      </w:r>
      <w:r w:rsidR="00C949F5" w:rsidRPr="00C949F5">
        <w:t>trees</w:t>
      </w:r>
      <w:r w:rsidR="00CD51F2">
        <w:t>;</w:t>
      </w:r>
      <w:r w:rsidR="00C949F5" w:rsidRPr="00C949F5">
        <w:t xml:space="preserve"> </w:t>
      </w:r>
      <w:r w:rsidR="00CD51F2">
        <w:t>trees</w:t>
      </w:r>
      <w:r w:rsidR="00C949F5" w:rsidRPr="00FE50F6">
        <w:t xml:space="preserve"> </w:t>
      </w:r>
      <w:r w:rsidR="00CD51F2">
        <w:t xml:space="preserve">gradually </w:t>
      </w:r>
      <w:r w:rsidR="00C949F5" w:rsidRPr="00FE50F6">
        <w:t xml:space="preserve">sequester less over time. </w:t>
      </w:r>
      <w:r w:rsidR="0080003A" w:rsidRPr="00FE50F6">
        <w:t xml:space="preserve">Harvesting fast-growing trees and using </w:t>
      </w:r>
      <w:r w:rsidR="006353D1" w:rsidRPr="00FE50F6">
        <w:t xml:space="preserve">their </w:t>
      </w:r>
      <w:r w:rsidR="0080003A" w:rsidRPr="00FE50F6">
        <w:t>wood in</w:t>
      </w:r>
      <w:r w:rsidR="006353D1" w:rsidRPr="00FE50F6">
        <w:t xml:space="preserve"> the</w:t>
      </w:r>
      <w:r w:rsidR="0080003A" w:rsidRPr="00FE50F6">
        <w:t xml:space="preserve"> bioeconomy </w:t>
      </w:r>
      <w:r w:rsidR="00973229" w:rsidRPr="00FE50F6">
        <w:t>can</w:t>
      </w:r>
      <w:r w:rsidR="0080003A" w:rsidRPr="00FE50F6">
        <w:t xml:space="preserve"> extend the duration of CO</w:t>
      </w:r>
      <w:r w:rsidR="0080003A" w:rsidRPr="00FE50F6">
        <w:rPr>
          <w:vertAlign w:val="subscript"/>
        </w:rPr>
        <w:t>2</w:t>
      </w:r>
      <w:r w:rsidR="0080003A" w:rsidRPr="00FE50F6">
        <w:t xml:space="preserve"> removal </w:t>
      </w:r>
      <w:r w:rsidR="0080003A" w:rsidRPr="00FE50F6">
        <w:fldChar w:fldCharType="begin"/>
      </w:r>
      <w:r w:rsidR="0080003A" w:rsidRPr="00FE50F6">
        <w:instrText xml:space="preserve"> ADDIN ZOTERO_ITEM CSL_CITATION {"citationID":"h2Zn8K2m","properties":{"formattedCitation":"(Forster et al., 2021)","plainCitation":"(Forster et al., 2021)","noteIndex":0},"citationItems":[{"id":1130,"uris":["http://zotero.org/users/6500992/items/ZAQMSP3C"],"itemData":{"id":1130,"type":"article-journal","abstract":"Afforestation is an important greenhouse gas (GHG) mitigation strategy but the efficacy of commercial forestry is disputed. Here, we calculate the potential GHG mitigation of a UK national planting strategy of 30,000 ha yr−1 from 2020 to 2050, using dynamic life cycle assessment. What-if scenarios vary: conifer-broadleaf composition, harvesting, product breakouts, and decarbonisation of substituted energy and materials, to estimate 100-year GHG mitigation. Here we find forest growth rate is the most important determinant of cumulative mitigation by 2120, irrespective of whether trees are harvested. A national planting strategy of commercial forest could mitigate 1.64 Pg CO2e by 2120 (cumulative), compared with 0.54–1.72 Pg CO2e for planting only conservation forests, depending on species composition. Even after heavy discounting of future product substitution credits based on industrial decarbonisation projections, GHG mitigation from harvested stands typically surpasses unharvested stands. Commercial afforestation can deliver effective GHG mitigation that is robust to future decarbonisation pathways and wood uses.","container-title":"Nature Communications","DOI":"10.1038/s41467-021-24084-x","ISSN":"2041-1723","issue":"1","journalAbbreviation":"Nat Commun","language":"en","license":"2021 The Author(s)","note":"number: 1\npublisher: Nature Publishing Group","page":"3831","source":"www.nature.com","title":"Commercial afforestation can deliver effective climate change mitigation under multiple decarbonisation pathways","volume":"12","author":[{"family":"Forster","given":"Eilidh J."},{"family":"Healey","given":"John R."},{"family":"Dymond","given":"Caren"},{"family":"Styles","given":"David"}],"issued":{"date-parts":[["2021",6,22]]}}}],"schema":"https://github.com/citation-style-language/schema/raw/master/csl-citation.json"} </w:instrText>
      </w:r>
      <w:r w:rsidR="0080003A" w:rsidRPr="00FE50F6">
        <w:fldChar w:fldCharType="separate"/>
      </w:r>
      <w:r w:rsidR="00A573B5" w:rsidRPr="00A573B5">
        <w:rPr>
          <w:rFonts w:ascii="Calibri" w:hAnsi="Calibri" w:cs="Calibri"/>
        </w:rPr>
        <w:t>(Forster et al., 2021)</w:t>
      </w:r>
      <w:r w:rsidR="0080003A" w:rsidRPr="00FE50F6">
        <w:fldChar w:fldCharType="end"/>
      </w:r>
      <w:r w:rsidR="0080003A" w:rsidRPr="00FE50F6">
        <w:t xml:space="preserve">. </w:t>
      </w:r>
      <w:r w:rsidR="00B76ABE">
        <w:t>The IPCC now recognise afforestation</w:t>
      </w:r>
      <w:r w:rsidR="00D95D04">
        <w:t xml:space="preserve"> including timber harvesting</w:t>
      </w:r>
      <w:r w:rsidR="00DF2E2A">
        <w:t xml:space="preserve">, reforestation and agroforestry </w:t>
      </w:r>
      <w:r w:rsidR="00677958">
        <w:t>as a carbon dioxide removal</w:t>
      </w:r>
      <w:r w:rsidR="00100FCA">
        <w:t xml:space="preserve"> </w:t>
      </w:r>
      <w:r w:rsidR="00384CF9">
        <w:t>strategy</w:t>
      </w:r>
      <w:r w:rsidR="00100FCA">
        <w:t xml:space="preserve"> </w:t>
      </w:r>
      <w:r w:rsidR="00707D90">
        <w:fldChar w:fldCharType="begin"/>
      </w:r>
      <w:r w:rsidR="00707D90">
        <w:instrText xml:space="preserve"> ADDIN ZOTERO_ITEM CSL_CITATION {"citationID":"wRTA8GNi","properties":{"formattedCitation":"(IPCC, 2022)","plainCitation":"(IPCC, 2022)","noteIndex":0},"citationItems":[{"id":1830,"uris":["http://zotero.org/users/6500992/items/Y6DJB27H"],"itemData":{"id":1830,"type":"book","ISBN":"978-92-9169-160-9","note":"DOI: 10.1017/9781009157926","source":"IPCC","title":"Climate Change 2022: Impacts, Adaptation and Vulnerability. Contribution of Working Group III to the Sixth Assessment Report of the Intergovernmental Panel on Climate Change.","title-short":"Climate Change 2022","author":[{"literal":"IPCC"}],"issued":{"date-parts":[["2022"]]}}}],"schema":"https://github.com/citation-style-language/schema/raw/master/csl-citation.json"} </w:instrText>
      </w:r>
      <w:r w:rsidR="00707D90">
        <w:fldChar w:fldCharType="separate"/>
      </w:r>
      <w:r w:rsidR="00707D90" w:rsidRPr="00707D90">
        <w:rPr>
          <w:rFonts w:ascii="Calibri" w:hAnsi="Calibri" w:cs="Calibri"/>
        </w:rPr>
        <w:t>(IPCC, 2022)</w:t>
      </w:r>
      <w:r w:rsidR="00707D90">
        <w:fldChar w:fldCharType="end"/>
      </w:r>
      <w:r w:rsidR="00677958">
        <w:t xml:space="preserve">. </w:t>
      </w:r>
      <w:r w:rsidR="00FF48D2">
        <w:t xml:space="preserve">The </w:t>
      </w:r>
      <w:r w:rsidR="00145924">
        <w:t xml:space="preserve">sixth assessment report </w:t>
      </w:r>
      <w:r w:rsidR="00EC662E">
        <w:t>highlights</w:t>
      </w:r>
      <w:r w:rsidR="00145924">
        <w:t xml:space="preserve"> t</w:t>
      </w:r>
      <w:r w:rsidR="00C949F5" w:rsidRPr="00FE50F6">
        <w:t xml:space="preserve">ree planting has a high carbon capture potential </w:t>
      </w:r>
      <w:r w:rsidR="003057BE">
        <w:t>of 0.5</w:t>
      </w:r>
      <w:r w:rsidR="007D1C2C">
        <w:t xml:space="preserve"> to </w:t>
      </w:r>
      <w:r w:rsidR="003057BE">
        <w:t>1</w:t>
      </w:r>
      <w:r w:rsidR="00626B2C">
        <w:t xml:space="preserve">0 Gt </w:t>
      </w:r>
      <w:r w:rsidR="00626B2C" w:rsidRPr="00626B2C">
        <w:t>CO</w:t>
      </w:r>
      <w:r w:rsidR="00626B2C">
        <w:rPr>
          <w:vertAlign w:val="subscript"/>
        </w:rPr>
        <w:t>2</w:t>
      </w:r>
      <w:r w:rsidR="00626B2C">
        <w:t>e yr</w:t>
      </w:r>
      <w:r w:rsidR="00626B2C">
        <w:rPr>
          <w:vertAlign w:val="superscript"/>
        </w:rPr>
        <w:t>-1</w:t>
      </w:r>
      <w:r w:rsidR="00626B2C">
        <w:t xml:space="preserve"> </w:t>
      </w:r>
      <w:r w:rsidR="006B5F37">
        <w:t>at</w:t>
      </w:r>
      <w:r w:rsidR="00C949F5" w:rsidRPr="00FE50F6">
        <w:t xml:space="preserve"> a relatively low cost</w:t>
      </w:r>
      <w:r w:rsidR="00570215">
        <w:t xml:space="preserve"> </w:t>
      </w:r>
      <w:r w:rsidR="006B5F37">
        <w:t>(</w:t>
      </w:r>
      <w:r w:rsidR="00570215">
        <w:t>0</w:t>
      </w:r>
      <w:r w:rsidR="007D1C2C">
        <w:t xml:space="preserve"> to </w:t>
      </w:r>
      <w:r w:rsidR="00570215">
        <w:t>240 USD</w:t>
      </w:r>
      <w:r w:rsidR="00C808D6">
        <w:t xml:space="preserve"> t </w:t>
      </w:r>
      <w:r w:rsidR="00570215">
        <w:t>CO</w:t>
      </w:r>
      <w:r w:rsidR="00570215">
        <w:rPr>
          <w:vertAlign w:val="subscript"/>
        </w:rPr>
        <w:t>2</w:t>
      </w:r>
      <w:r w:rsidR="00213ACC">
        <w:t>e</w:t>
      </w:r>
      <w:r w:rsidR="00213ACC">
        <w:rPr>
          <w:vertAlign w:val="superscript"/>
        </w:rPr>
        <w:t>-1</w:t>
      </w:r>
      <w:r w:rsidR="006B5F37">
        <w:t>)</w:t>
      </w:r>
      <w:r w:rsidR="007F48E5">
        <w:t xml:space="preserve"> </w:t>
      </w:r>
      <w:r w:rsidR="007F48E5">
        <w:fldChar w:fldCharType="begin"/>
      </w:r>
      <w:r w:rsidR="00F11B23">
        <w:instrText xml:space="preserve"> ADDIN ZOTERO_ITEM CSL_CITATION {"citationID":"7lKutaG7","properties":{"formattedCitation":"(IPCC, 2022)","plainCitation":"(IPCC, 2022)","noteIndex":0},"citationItems":[{"id":723,"uris":["http://zotero.org/users/6500992/items/Y6DJB27H"],"itemData":{"id":723,"type":"book","ISBN":"978-92-9169-160-9","note":"DOI: 10.1017/9781009157926","source":"IPCC","title":"Climate Change 2022: Impacts, Adaptation and Vulnerability. Contribution of Working Group III to the Sixth Assessment Report of the Intergovernmental Panel on Climate Change.","title-short":"Climate Change 2022","author":[{"literal":"IPCC"}],"issued":{"date-parts":[["2022"]]}}}],"schema":"https://github.com/citation-style-language/schema/raw/master/csl-citation.json"} </w:instrText>
      </w:r>
      <w:r w:rsidR="007F48E5">
        <w:fldChar w:fldCharType="separate"/>
      </w:r>
      <w:r w:rsidR="007F48E5" w:rsidRPr="007F48E5">
        <w:rPr>
          <w:rFonts w:ascii="Calibri" w:hAnsi="Calibri" w:cs="Calibri"/>
        </w:rPr>
        <w:t>(IPCC, 2022)</w:t>
      </w:r>
      <w:r w:rsidR="007F48E5">
        <w:fldChar w:fldCharType="end"/>
      </w:r>
      <w:r w:rsidR="003932AA">
        <w:t>.</w:t>
      </w:r>
      <w:r w:rsidR="00570215">
        <w:t xml:space="preserve"> </w:t>
      </w:r>
      <w:r w:rsidR="006B5F37">
        <w:t>Afforestation</w:t>
      </w:r>
      <w:r w:rsidR="00C949F5" w:rsidRPr="00FE50F6">
        <w:t xml:space="preserve"> also has the potential to provide additional benefits in the form of </w:t>
      </w:r>
      <w:r w:rsidR="005C6714">
        <w:t>improving</w:t>
      </w:r>
      <w:r w:rsidR="0011599F">
        <w:t xml:space="preserve"> </w:t>
      </w:r>
      <w:r w:rsidR="00C949F5" w:rsidRPr="00FE50F6">
        <w:t xml:space="preserve">biodiversity, flood management and animal welfare </w:t>
      </w:r>
      <w:r w:rsidR="00C949F5" w:rsidRPr="00FE50F6">
        <w:rPr>
          <w:rFonts w:eastAsia="Times New Roman" w:cstheme="minorHAnsi"/>
          <w:lang w:eastAsia="en-GB"/>
        </w:rPr>
        <w:fldChar w:fldCharType="begin"/>
      </w:r>
      <w:r w:rsidR="008B067B">
        <w:rPr>
          <w:rFonts w:eastAsia="Times New Roman" w:cstheme="minorHAnsi"/>
          <w:lang w:eastAsia="en-GB"/>
        </w:rPr>
        <w:instrText xml:space="preserve"> ADDIN ZOTERO_ITEM CSL_CITATION {"citationID":"thKbukBX","properties":{"formattedCitation":"(Burgess, 2017)","plainCitation":"(Burgess, 2017)","noteIndex":0},"citationItems":[{"id":152,"uris":["http://zotero.org/users/6500992/items/XMXD2N6A"],"itemData":{"id":152,"type":"article-journal","abstract":"The Royal Forestry Society, the Woodland Trust and the Soil Association are hosting a one-day conference on ‘Agroforestry: Improving Productivity for Farmers and Foresters’ at Cranfield University, Bedfordshire on 22 June 2017. This will be followed by a one-day Farm Woodland Forum workshop, including a field visit to the apple and cereal agroforestry system of Stephen Briggs. To set these events in context, this article explains why UK agroforestry is important, topical, how it is being used to market food products, improve productivity, address climate-change and flood management, and how it depends on dynamic farmers and foresters.","container-title":"Quarterly Journal of Forestry","ISSN":"0033-5568","language":"en","note":"Accepted: 2017-05-31T13:38:24Z\npublisher: The Royal Forestry Society","page":"111","source":"dspace.lib.cranfield.ac.uk","title":"Agroforestry in the UK","author":[{"family":"Burgess","given":"Paul J."}],"issued":{"date-parts":[["2017",4,30]]}}}],"schema":"https://github.com/citation-style-language/schema/raw/master/csl-citation.json"} </w:instrText>
      </w:r>
      <w:r w:rsidR="00C949F5" w:rsidRPr="00FE50F6">
        <w:rPr>
          <w:rFonts w:eastAsia="Times New Roman" w:cstheme="minorHAnsi"/>
          <w:lang w:eastAsia="en-GB"/>
        </w:rPr>
        <w:fldChar w:fldCharType="separate"/>
      </w:r>
      <w:r w:rsidR="00A573B5" w:rsidRPr="00A573B5">
        <w:rPr>
          <w:rFonts w:ascii="Calibri" w:hAnsi="Calibri" w:cs="Calibri"/>
        </w:rPr>
        <w:t>(Burgess, 2017)</w:t>
      </w:r>
      <w:r w:rsidR="00C949F5" w:rsidRPr="00FE50F6">
        <w:rPr>
          <w:rFonts w:eastAsia="Times New Roman" w:cstheme="minorHAnsi"/>
          <w:lang w:eastAsia="en-GB"/>
        </w:rPr>
        <w:fldChar w:fldCharType="end"/>
      </w:r>
      <w:r w:rsidR="00C949F5" w:rsidRPr="00FE50F6">
        <w:rPr>
          <w:rFonts w:eastAsia="Times New Roman" w:cstheme="minorHAnsi"/>
          <w:lang w:eastAsia="en-GB"/>
        </w:rPr>
        <w:t>.</w:t>
      </w:r>
      <w:r w:rsidR="00341D1E">
        <w:rPr>
          <w:rFonts w:eastAsia="Times New Roman" w:cstheme="minorHAnsi"/>
          <w:lang w:eastAsia="en-GB"/>
        </w:rPr>
        <w:t xml:space="preserve"> However,</w:t>
      </w:r>
      <w:r w:rsidR="00DC4D9B">
        <w:rPr>
          <w:rFonts w:eastAsia="Times New Roman" w:cstheme="minorHAnsi"/>
          <w:lang w:eastAsia="en-GB"/>
        </w:rPr>
        <w:t xml:space="preserve"> </w:t>
      </w:r>
      <w:r w:rsidR="0016296F">
        <w:rPr>
          <w:rFonts w:eastAsia="Times New Roman" w:cstheme="minorHAnsi"/>
          <w:lang w:eastAsia="en-GB"/>
        </w:rPr>
        <w:t xml:space="preserve">afforestation must be carefully planned, implemented and monitored </w:t>
      </w:r>
      <w:r w:rsidR="004126C5">
        <w:rPr>
          <w:rFonts w:eastAsia="Times New Roman" w:cstheme="minorHAnsi"/>
          <w:lang w:eastAsia="en-GB"/>
        </w:rPr>
        <w:t>to avoid</w:t>
      </w:r>
      <w:r w:rsidR="004A5177">
        <w:rPr>
          <w:rFonts w:eastAsia="Times New Roman" w:cstheme="minorHAnsi"/>
          <w:lang w:eastAsia="en-GB"/>
        </w:rPr>
        <w:t xml:space="preserve"> any</w:t>
      </w:r>
      <w:r w:rsidR="004126C5">
        <w:rPr>
          <w:rFonts w:eastAsia="Times New Roman" w:cstheme="minorHAnsi"/>
          <w:lang w:eastAsia="en-GB"/>
        </w:rPr>
        <w:t xml:space="preserve"> unintended negative consequences </w:t>
      </w:r>
      <w:r w:rsidR="009D3002">
        <w:rPr>
          <w:rFonts w:eastAsia="Times New Roman" w:cstheme="minorHAnsi"/>
          <w:lang w:eastAsia="en-GB"/>
        </w:rPr>
        <w:fldChar w:fldCharType="begin"/>
      </w:r>
      <w:r w:rsidR="009D3002">
        <w:rPr>
          <w:rFonts w:eastAsia="Times New Roman" w:cstheme="minorHAnsi"/>
          <w:lang w:eastAsia="en-GB"/>
        </w:rPr>
        <w:instrText xml:space="preserve"> ADDIN ZOTERO_ITEM CSL_CITATION {"citationID":"HmlHyrtC","properties":{"formattedCitation":"(Brancalion and Holl, 2020)","plainCitation":"(Brancalion and Holl, 2020)","noteIndex":0},"citationItems":[{"id":1825,"uris":["http://zotero.org/users/6500992/items/8TBPBYDH"],"itemData":{"id":1825,"type":"article-journal","abstract":"Tree planting, along with other strategies to increase tree cover in appropriate locations and contexts, can make a valuable contribution to ensuring the ecological and social well-being of our plane...","container-title":"Journal of Applied Ecology","DOI":"10.1111/1365-2664.13725","ISSN":"1365-2664","issue":"12","language":"en","note":"publisher: John Wiley &amp; Sons, Ltd","page":"2349-2361","source":"besjournals.onlinelibrary.wiley.com","title":"Guidance for successful tree planting initiatives","volume":"57","author":[{"family":"Brancalion","given":"Pedro H. S."},{"family":"Holl","given":"Karen D."}],"issued":{"date-parts":[["2020",12,1]]}}}],"schema":"https://github.com/citation-style-language/schema/raw/master/csl-citation.json"} </w:instrText>
      </w:r>
      <w:r w:rsidR="009D3002">
        <w:rPr>
          <w:rFonts w:eastAsia="Times New Roman" w:cstheme="minorHAnsi"/>
          <w:lang w:eastAsia="en-GB"/>
        </w:rPr>
        <w:fldChar w:fldCharType="separate"/>
      </w:r>
      <w:r w:rsidR="009D3002" w:rsidRPr="009D3002">
        <w:rPr>
          <w:rFonts w:ascii="Calibri" w:hAnsi="Calibri" w:cs="Calibri"/>
        </w:rPr>
        <w:t>(Brancalion and Holl, 2020)</w:t>
      </w:r>
      <w:r w:rsidR="009D3002">
        <w:rPr>
          <w:rFonts w:eastAsia="Times New Roman" w:cstheme="minorHAnsi"/>
          <w:lang w:eastAsia="en-GB"/>
        </w:rPr>
        <w:fldChar w:fldCharType="end"/>
      </w:r>
      <w:r w:rsidR="00255864">
        <w:rPr>
          <w:rFonts w:eastAsia="Times New Roman" w:cstheme="minorHAnsi"/>
          <w:lang w:eastAsia="en-GB"/>
        </w:rPr>
        <w:t>.</w:t>
      </w:r>
      <w:r w:rsidR="00341D1E">
        <w:rPr>
          <w:rFonts w:eastAsia="Times New Roman" w:cstheme="minorHAnsi"/>
          <w:lang w:eastAsia="en-GB"/>
        </w:rPr>
        <w:t xml:space="preserve"> </w:t>
      </w:r>
      <w:r w:rsidR="005D431E">
        <w:rPr>
          <w:rFonts w:eastAsia="Times New Roman" w:cstheme="minorHAnsi"/>
          <w:lang w:eastAsia="en-GB"/>
        </w:rPr>
        <w:t xml:space="preserve">If </w:t>
      </w:r>
      <w:r w:rsidR="0045340A">
        <w:rPr>
          <w:rFonts w:eastAsia="Times New Roman" w:cstheme="minorHAnsi"/>
          <w:lang w:eastAsia="en-GB"/>
        </w:rPr>
        <w:t xml:space="preserve">poorly </w:t>
      </w:r>
      <w:r w:rsidR="00655A25">
        <w:rPr>
          <w:rFonts w:eastAsia="Times New Roman" w:cstheme="minorHAnsi"/>
          <w:lang w:eastAsia="en-GB"/>
        </w:rPr>
        <w:t>planned or managed</w:t>
      </w:r>
      <w:r w:rsidR="005D431E">
        <w:rPr>
          <w:rFonts w:eastAsia="Times New Roman" w:cstheme="minorHAnsi"/>
          <w:lang w:eastAsia="en-GB"/>
        </w:rPr>
        <w:t xml:space="preserve">, </w:t>
      </w:r>
      <w:r w:rsidR="005C211B">
        <w:rPr>
          <w:rFonts w:eastAsia="Times New Roman" w:cstheme="minorHAnsi"/>
          <w:lang w:eastAsia="en-GB"/>
        </w:rPr>
        <w:t xml:space="preserve">trees may not grow (and therefore sequester carbon) efficiently and </w:t>
      </w:r>
      <w:r w:rsidR="00EC662E">
        <w:rPr>
          <w:rFonts w:eastAsia="Times New Roman" w:cstheme="minorHAnsi"/>
          <w:lang w:eastAsia="en-GB"/>
        </w:rPr>
        <w:t>could</w:t>
      </w:r>
      <w:r w:rsidR="0078234B">
        <w:rPr>
          <w:rFonts w:eastAsia="Times New Roman" w:cstheme="minorHAnsi"/>
          <w:lang w:eastAsia="en-GB"/>
        </w:rPr>
        <w:t xml:space="preserve"> </w:t>
      </w:r>
      <w:r w:rsidR="00CC29F6">
        <w:rPr>
          <w:rFonts w:eastAsia="Times New Roman" w:cstheme="minorHAnsi"/>
          <w:lang w:eastAsia="en-GB"/>
        </w:rPr>
        <w:t>result in a reduction in</w:t>
      </w:r>
      <w:r w:rsidR="00023B73">
        <w:rPr>
          <w:rFonts w:eastAsia="Times New Roman" w:cstheme="minorHAnsi"/>
          <w:lang w:eastAsia="en-GB"/>
        </w:rPr>
        <w:t xml:space="preserve"> native biodiversity</w:t>
      </w:r>
      <w:r w:rsidR="00210D4F">
        <w:rPr>
          <w:rFonts w:eastAsia="Times New Roman" w:cstheme="minorHAnsi"/>
          <w:lang w:eastAsia="en-GB"/>
        </w:rPr>
        <w:t xml:space="preserve"> </w:t>
      </w:r>
      <w:r w:rsidR="008E7AB9">
        <w:rPr>
          <w:rFonts w:eastAsia="Times New Roman" w:cstheme="minorHAnsi"/>
          <w:lang w:eastAsia="en-GB"/>
        </w:rPr>
        <w:fldChar w:fldCharType="begin"/>
      </w:r>
      <w:r w:rsidR="008E7AB9">
        <w:rPr>
          <w:rFonts w:eastAsia="Times New Roman" w:cstheme="minorHAnsi"/>
          <w:lang w:eastAsia="en-GB"/>
        </w:rPr>
        <w:instrText xml:space="preserve"> ADDIN ZOTERO_ITEM CSL_CITATION {"citationID":"qrIsSvRB","properties":{"formattedCitation":"(Veldman et al., 2015)","plainCitation":"(Veldman et al., 2015)","noteIndex":0},"citationItems":[{"id":1827,"uris":["http://zotero.org/users/6500992/items/J97NDVYZ"],"itemData":{"id":1827,"type":"article-journal","abstract":"Misperceptions about the world's grassy biomes contribute to their alarming rates of loss due to conversion for agriculture and tree plantations, as well as to forest encroachment. To illustrate the causes and consequences of these misperceptions, we show that the World Resources Institute and the International Union for Conservation of Nature misidentified 9 million square kilometers of ancient grassy biomes as providing “opportunities” for forest restoration. Establishment of forests in these grasslands, savannas, and open-canopy woodlands would devastate biodiversity and ecosystem services. Such undesired outcomes are avoidable if the distinct ecologies and conservation needs of forest and grassy biomes become better integrated into science and policy. To start with, scientists should create maps that accurately depict grassy biomes at global and landscape scales. It is also crucial that international environmental agreements (e.g., the United Nations Framework Convention on Climate Change) formally recognize grassy biomes and their environmental values.","container-title":"BioScience","DOI":"10.1093/biosci/biv118","ISSN":"0006-3568","issue":"10","journalAbbreviation":"BioScience","page":"1011-1018","source":"Silverchair","title":"Where Tree Planting and Forest Expansion are Bad for Biodiversity and Ecosystem Services","volume":"65","author":[{"family":"Veldman","given":"Joseph W."},{"family":"Overbeck","given":"Gerhard E."},{"family":"Negreiros","given":"Daniel"},{"family":"Mahy","given":"Gregory"},{"family":"Le Stradic","given":"Soizig"},{"family":"Fernandes","given":"G. Wilson"},{"family":"Durigan","given":"Giselda"},{"family":"Buisson","given":"Elise"},{"family":"Putz","given":"Francis E."},{"family":"Bond","given":"William J."}],"issued":{"date-parts":[["2015",10,1]]}}}],"schema":"https://github.com/citation-style-language/schema/raw/master/csl-citation.json"} </w:instrText>
      </w:r>
      <w:r w:rsidR="008E7AB9">
        <w:rPr>
          <w:rFonts w:eastAsia="Times New Roman" w:cstheme="minorHAnsi"/>
          <w:lang w:eastAsia="en-GB"/>
        </w:rPr>
        <w:fldChar w:fldCharType="separate"/>
      </w:r>
      <w:r w:rsidR="008E7AB9" w:rsidRPr="00C30663">
        <w:rPr>
          <w:rFonts w:ascii="Calibri" w:hAnsi="Calibri" w:cs="Calibri"/>
        </w:rPr>
        <w:t>(Veldman et al., 2015)</w:t>
      </w:r>
      <w:r w:rsidR="008E7AB9">
        <w:rPr>
          <w:rFonts w:eastAsia="Times New Roman" w:cstheme="minorHAnsi"/>
          <w:lang w:eastAsia="en-GB"/>
        </w:rPr>
        <w:fldChar w:fldCharType="end"/>
      </w:r>
      <w:r w:rsidR="00D53D53">
        <w:rPr>
          <w:rFonts w:eastAsia="Times New Roman" w:cstheme="minorHAnsi"/>
          <w:lang w:eastAsia="en-GB"/>
        </w:rPr>
        <w:t>.</w:t>
      </w:r>
      <w:r w:rsidR="00A91DCA">
        <w:rPr>
          <w:rFonts w:eastAsia="Times New Roman" w:cstheme="minorHAnsi"/>
          <w:lang w:eastAsia="en-GB"/>
        </w:rPr>
        <w:t xml:space="preserve"> Moreover, </w:t>
      </w:r>
      <w:r w:rsidR="005C6714">
        <w:rPr>
          <w:rFonts w:eastAsia="Times New Roman" w:cstheme="minorHAnsi"/>
          <w:lang w:eastAsia="en-GB"/>
        </w:rPr>
        <w:t>inconsiderate</w:t>
      </w:r>
      <w:r w:rsidR="0011599F">
        <w:rPr>
          <w:rFonts w:eastAsia="Times New Roman" w:cstheme="minorHAnsi"/>
          <w:lang w:eastAsia="en-GB"/>
        </w:rPr>
        <w:t xml:space="preserve"> </w:t>
      </w:r>
      <w:r w:rsidR="00A91DCA">
        <w:rPr>
          <w:rFonts w:eastAsia="Times New Roman" w:cstheme="minorHAnsi"/>
          <w:lang w:eastAsia="en-GB"/>
        </w:rPr>
        <w:t xml:space="preserve">afforestation at a large scale </w:t>
      </w:r>
      <w:r w:rsidR="00C07B06">
        <w:rPr>
          <w:rFonts w:eastAsia="Times New Roman" w:cstheme="minorHAnsi"/>
          <w:lang w:eastAsia="en-GB"/>
        </w:rPr>
        <w:t>could</w:t>
      </w:r>
      <w:r w:rsidR="00EC662E">
        <w:rPr>
          <w:rFonts w:eastAsia="Times New Roman" w:cstheme="minorHAnsi"/>
          <w:lang w:eastAsia="en-GB"/>
        </w:rPr>
        <w:t xml:space="preserve"> increase</w:t>
      </w:r>
      <w:r w:rsidR="00E63155">
        <w:rPr>
          <w:rFonts w:eastAsia="Times New Roman" w:cstheme="minorHAnsi"/>
          <w:lang w:eastAsia="en-GB"/>
        </w:rPr>
        <w:t xml:space="preserve"> competition for land</w:t>
      </w:r>
      <w:r w:rsidR="00923947">
        <w:rPr>
          <w:rFonts w:eastAsia="Times New Roman" w:cstheme="minorHAnsi"/>
          <w:lang w:eastAsia="en-GB"/>
        </w:rPr>
        <w:t xml:space="preserve"> and</w:t>
      </w:r>
      <w:r w:rsidR="00C7562D">
        <w:rPr>
          <w:rFonts w:eastAsia="Times New Roman" w:cstheme="minorHAnsi"/>
          <w:lang w:eastAsia="en-GB"/>
        </w:rPr>
        <w:t xml:space="preserve"> </w:t>
      </w:r>
      <w:r w:rsidR="00DA4D36">
        <w:rPr>
          <w:rFonts w:eastAsia="Times New Roman" w:cstheme="minorHAnsi"/>
          <w:lang w:eastAsia="en-GB"/>
        </w:rPr>
        <w:t xml:space="preserve">negatively affect global </w:t>
      </w:r>
      <w:r w:rsidR="00C7562D">
        <w:rPr>
          <w:rFonts w:eastAsia="Times New Roman" w:cstheme="minorHAnsi"/>
          <w:lang w:eastAsia="en-GB"/>
        </w:rPr>
        <w:t xml:space="preserve">food </w:t>
      </w:r>
      <w:r w:rsidR="00DA4D36">
        <w:rPr>
          <w:rFonts w:eastAsia="Times New Roman" w:cstheme="minorHAnsi"/>
          <w:lang w:eastAsia="en-GB"/>
        </w:rPr>
        <w:t xml:space="preserve">security </w:t>
      </w:r>
      <w:r w:rsidR="00DC6C7F">
        <w:rPr>
          <w:rFonts w:eastAsia="Times New Roman" w:cstheme="minorHAnsi"/>
          <w:lang w:eastAsia="en-GB"/>
        </w:rPr>
        <w:fldChar w:fldCharType="begin"/>
      </w:r>
      <w:r w:rsidR="006244E1">
        <w:rPr>
          <w:rFonts w:eastAsia="Times New Roman" w:cstheme="minorHAnsi"/>
          <w:lang w:eastAsia="en-GB"/>
        </w:rPr>
        <w:instrText xml:space="preserve"> ADDIN ZOTERO_ITEM CSL_CITATION {"citationID":"9nysJo7j","properties":{"formattedCitation":"(Doelman et al., 2020; Hasegawa et al., 2018)","plainCitation":"(Doelman et al., 2020; Hasegawa et al., 2018)","noteIndex":0},"citationItems":[{"id":1841,"uris":["http://zotero.org/users/6500992/items/5ZA4GW2W"],"itemData":{"id":1841,"type":"article-journal","abstract":"Afforestation is considered a cost-effective and readily available climate change mitigation option. In recent studies afforestation is presented as a major solution to limit climate change. However, estimates of afforestation potential vary widely. Moreover, the risks in global mitigation policy and the negative trade-offs with food security are often not considered. Here we present a new approach to assess the economic potential of afforestation with the IMAGE 3.0 integrated assessment model framework. In addition, we discuss the role of afforestation in mitigation pathways and the effects of afforestation on the food system under increasingly ambitious climate targets. We show that afforestation has a mitigation potential of 4.9 GtCO2/year at 200 US$/tCO2 in 2050 leading to large-scale application in an SSP2 scenario aiming for 2°C (410 GtCO2 cumulative up to 2100). Afforestation reduces the overall costs of mitigation policy. However, it may lead to lower mitigation ambition and lock-in situations in other sectors. Moreover, it bears risks to implementation and permanence as the negative emissions are increasingly located in regions with high investment risks and weak governance, for example in Sub-Saharan Africa. Afforestation also requires large amounts of land (up to 1,100 Mha) leading to large reductions in agricultural land. The increased competition for land could lead to higher food prices and an increased population at risk of hunger. Our results confirm that afforestation has substantial potential for mitigation. At the same time, we highlight that major risks and trade-offs are involved. Pathways aiming to limit climate change to 2°C or even 1.5°C need to minimize these risks and trade-offs in order to achieve mitigation sustainably.","container-title":"Global Change Biology","DOI":"10.1111/gcb.14887","ISSN":"1365-2486","issue":"3","language":"en","license":"© 2019 John Wiley &amp; Sons Ltd","note":"_eprint: https://onlinelibrary.wiley.com/doi/pdf/10.1111/gcb.14887","page":"1576-1591","source":"Wiley Online Library","title":"Afforestation for climate change mitigation: Potentials, risks and trade-offs","title-short":"Afforestation for climate change mitigation","volume":"26","author":[{"family":"Doelman","given":"Jonathan C."},{"family":"Stehfest","given":"Elke"},{"family":"Vuuren","given":"Detlef P.","non-dropping-particle":"van"},{"family":"Tabeau","given":"Andrzej"},{"family":"Hof","given":"Andries F."},{"family":"Braakhekke","given":"Maarten C."},{"family":"Gernaat","given":"David E. H. J."},{"family":"Berg","given":"Maarten","non-dropping-particle":"van den"},{"family":"Zeist","given":"Willem-Jan","non-dropping-particle":"van"},{"family":"Daioglou","given":"Vassilis"},{"family":"Meijl","given":"Hans","non-dropping-particle":"van"},{"family":"Lucas","given":"Paul L."}],"issued":{"date-parts":[["2020"]]}}},{"id":1847,"uris":["http://zotero.org/users/6500992/items/GTYAQCHQ"],"itemData":{"id":1847,"type":"article-journal","abstract":"Food insecurity can be directly exacerbated by climate change due to crop-production-related impacts of warmer and drier conditions that are expected in important agricultural regions1–3. However, efforts to mitigate climate change through comprehensive, economy-wide GHG emissions reductions may also negatively affect food security, due to indirect impacts on prices and supplies of key agricultural commodities4–6. Here we conduct a multiple model assessment on the combined effects of climate change and climate mitigation efforts on agricultural commodity prices, dietary energy availability and the population at risk of hunger. A robust finding is that by 2050, stringent climate mitigation policy, if implemented evenly across all sectors and regions, would have a greater negative impact on global hunger and food consumption than the direct impacts of climate change. The negative impacts would be most prevalent in vulnerable, low-income regions such as sub-Saharan Africa and South Asia, where food security problems are already acute.","container-title":"Nature Climate Change","DOI":"10.1038/s41558-018-0230-x","ISSN":"1758-6798","issue":"8","journalAbbreviation":"Nature Clim Change","language":"en","license":"2018 The Author(s)","note":"number: 8\npublisher: Nature Publishing Group","page":"699-703","source":"www.nature.com","title":"Risk of increased food insecurity under stringent global climate change mitigation policy","volume":"8","author":[{"family":"Hasegawa","given":"Tomoko"},{"family":"Fujimori","given":"Shinichiro"},{"family":"Havlík","given":"Petr"},{"family":"Valin","given":"Hugo"},{"family":"Bodirsky","given":"Benjamin Leon"},{"family":"Doelman","given":"Jonathan C."},{"family":"Fellmann","given":"Thomas"},{"family":"Kyle","given":"Page"},{"family":"Koopman","given":"Jason F. L."},{"family":"Lotze-Campen","given":"Hermann"},{"family":"Mason-D’Croz","given":"Daniel"},{"family":"Ochi","given":"Yuki"},{"family":"Pérez Domínguez","given":"Ignacio"},{"family":"Stehfest","given":"Elke"},{"family":"Sulser","given":"Timothy B."},{"family":"Tabeau","given":"Andrzej"},{"family":"Takahashi","given":"Kiyoshi"},{"family":"Takakura","given":"Jun’ya"},{"family":"Meijl","given":"Hans","non-dropping-particle":"van"},{"family":"Zeist","given":"Willem-Jan","non-dropping-particle":"van"},{"family":"Wiebe","given":"Keith"},{"family":"Witzke","given":"Peter"}],"issued":{"date-parts":[["2018",8]]}}}],"schema":"https://github.com/citation-style-language/schema/raw/master/csl-citation.json"} </w:instrText>
      </w:r>
      <w:r w:rsidR="00DC6C7F">
        <w:rPr>
          <w:rFonts w:eastAsia="Times New Roman" w:cstheme="minorHAnsi"/>
          <w:lang w:eastAsia="en-GB"/>
        </w:rPr>
        <w:fldChar w:fldCharType="separate"/>
      </w:r>
      <w:r w:rsidR="006244E1" w:rsidRPr="006244E1">
        <w:rPr>
          <w:rFonts w:ascii="Calibri" w:hAnsi="Calibri" w:cs="Calibri"/>
        </w:rPr>
        <w:t>(Doelman et al., 2020; Hasegawa et al., 2018)</w:t>
      </w:r>
      <w:r w:rsidR="00DC6C7F">
        <w:rPr>
          <w:rFonts w:eastAsia="Times New Roman" w:cstheme="minorHAnsi"/>
          <w:lang w:eastAsia="en-GB"/>
        </w:rPr>
        <w:fldChar w:fldCharType="end"/>
      </w:r>
      <w:r w:rsidR="00C07B06">
        <w:rPr>
          <w:rFonts w:eastAsia="Times New Roman" w:cstheme="minorHAnsi"/>
          <w:lang w:eastAsia="en-GB"/>
        </w:rPr>
        <w:t>.</w:t>
      </w:r>
    </w:p>
    <w:p w14:paraId="015A73AB" w14:textId="72869E73" w:rsidR="00A65FA7" w:rsidRDefault="00A65FA7">
      <w:pPr>
        <w:spacing w:after="160" w:line="259" w:lineRule="auto"/>
        <w:rPr>
          <w:rFonts w:asciiTheme="minorHAnsi" w:hAnsiTheme="minorHAnsi" w:cstheme="minorHAnsi"/>
          <w:sz w:val="22"/>
          <w:szCs w:val="22"/>
        </w:rPr>
      </w:pPr>
    </w:p>
    <w:p w14:paraId="2B398BF2" w14:textId="631BCEF4" w:rsidR="0057548E" w:rsidRPr="00D42091" w:rsidRDefault="00F7587D" w:rsidP="0065158C">
      <w:pPr>
        <w:pStyle w:val="NoSpacing"/>
        <w:numPr>
          <w:ilvl w:val="1"/>
          <w:numId w:val="2"/>
        </w:numPr>
        <w:spacing w:line="360" w:lineRule="auto"/>
        <w:rPr>
          <w:b/>
          <w:bCs/>
        </w:rPr>
      </w:pPr>
      <w:r>
        <w:rPr>
          <w:b/>
          <w:bCs/>
        </w:rPr>
        <w:t xml:space="preserve"> </w:t>
      </w:r>
      <w:r w:rsidR="0057548E" w:rsidRPr="00D42091">
        <w:rPr>
          <w:b/>
          <w:bCs/>
        </w:rPr>
        <w:t xml:space="preserve">Alternative land use </w:t>
      </w:r>
      <w:r w:rsidR="00CC66FC" w:rsidRPr="00D42091">
        <w:rPr>
          <w:b/>
          <w:bCs/>
        </w:rPr>
        <w:t>mitigation measures</w:t>
      </w:r>
    </w:p>
    <w:p w14:paraId="20FC4B48" w14:textId="77777777" w:rsidR="0057548E" w:rsidRDefault="0057548E" w:rsidP="00E568F2">
      <w:pPr>
        <w:pStyle w:val="NoSpacing"/>
        <w:spacing w:line="360" w:lineRule="auto"/>
      </w:pPr>
    </w:p>
    <w:p w14:paraId="226DC5F8" w14:textId="38F2200A" w:rsidR="00C85F56" w:rsidRDefault="00FA2D8E" w:rsidP="00BA3E62">
      <w:pPr>
        <w:pStyle w:val="NoSpacing"/>
        <w:spacing w:line="360" w:lineRule="auto"/>
        <w:jc w:val="both"/>
      </w:pPr>
      <w:r>
        <w:t>Although not considered in this study, a</w:t>
      </w:r>
      <w:r w:rsidR="0026355E" w:rsidRPr="00FE50F6">
        <w:t xml:space="preserve"> land </w:t>
      </w:r>
      <w:r w:rsidR="0001074B">
        <w:t>‘</w:t>
      </w:r>
      <w:r w:rsidR="0026355E" w:rsidRPr="00FE50F6">
        <w:t>sharing</w:t>
      </w:r>
      <w:r w:rsidR="0001074B">
        <w:t>’</w:t>
      </w:r>
      <w:r w:rsidR="0026355E" w:rsidRPr="00FE50F6">
        <w:t xml:space="preserve"> approach </w:t>
      </w:r>
      <w:r w:rsidR="000D20D5">
        <w:t xml:space="preserve">could </w:t>
      </w:r>
      <w:r w:rsidR="0026355E" w:rsidRPr="00FE50F6">
        <w:t>be fost</w:t>
      </w:r>
      <w:r w:rsidR="0026355E" w:rsidRPr="00A86F25">
        <w:t xml:space="preserve">ered where the needs of both agriculture and </w:t>
      </w:r>
      <w:r w:rsidR="00DA3A91" w:rsidRPr="00A86F25">
        <w:t>GHG</w:t>
      </w:r>
      <w:r w:rsidR="0001074B" w:rsidRPr="00A86F25">
        <w:t xml:space="preserve"> mitigation </w:t>
      </w:r>
      <w:r w:rsidR="00CD51F2" w:rsidRPr="00A86F25">
        <w:t xml:space="preserve">could </w:t>
      </w:r>
      <w:r w:rsidR="0026355E" w:rsidRPr="00A86F25">
        <w:t>be m</w:t>
      </w:r>
      <w:r w:rsidR="00CD51F2" w:rsidRPr="00A86F25">
        <w:t>et</w:t>
      </w:r>
      <w:r w:rsidR="0026355E" w:rsidRPr="00A86F25">
        <w:t xml:space="preserve"> on the same area of land</w:t>
      </w:r>
      <w:r w:rsidR="0001074B" w:rsidRPr="00A86F25">
        <w:t>.</w:t>
      </w:r>
      <w:r w:rsidR="00921AA7" w:rsidRPr="00A86F25">
        <w:t xml:space="preserve"> </w:t>
      </w:r>
      <w:r w:rsidR="00347C9F" w:rsidRPr="00A86F25">
        <w:t xml:space="preserve">Land sharing involves </w:t>
      </w:r>
      <w:r w:rsidR="007E29D1" w:rsidRPr="00A86F25">
        <w:t xml:space="preserve">farming practices </w:t>
      </w:r>
      <w:r w:rsidR="003649BE" w:rsidRPr="00A86F25">
        <w:t xml:space="preserve">intended </w:t>
      </w:r>
      <w:r w:rsidR="004A3FE5" w:rsidRPr="00A86F25">
        <w:t xml:space="preserve">to </w:t>
      </w:r>
      <w:r w:rsidR="00046FEB" w:rsidRPr="00A86F25">
        <w:t xml:space="preserve">support </w:t>
      </w:r>
      <w:r w:rsidR="004A3FE5" w:rsidRPr="00A86F25">
        <w:t xml:space="preserve">biodiversity </w:t>
      </w:r>
      <w:r w:rsidR="00046FEB" w:rsidRPr="00A86F25">
        <w:t xml:space="preserve">and the delivery of wider ecosystem services </w:t>
      </w:r>
      <w:r w:rsidR="004A3FE5" w:rsidRPr="00A86F25">
        <w:t>on agricultural land</w:t>
      </w:r>
      <w:r w:rsidR="00AE75B8" w:rsidRPr="00A86F25">
        <w:t xml:space="preserve"> simultaneously to producing food</w:t>
      </w:r>
      <w:r w:rsidR="00046FEB" w:rsidRPr="00A86F25">
        <w:t xml:space="preserve"> </w:t>
      </w:r>
      <w:r w:rsidR="00543C46" w:rsidRPr="00A86F25">
        <w:fldChar w:fldCharType="begin"/>
      </w:r>
      <w:r w:rsidR="00543C46" w:rsidRPr="00A86F25">
        <w:instrText xml:space="preserve"> ADDIN ZOTERO_ITEM CSL_CITATION {"citationID":"vI8sCjEw","properties":{"formattedCitation":"(Green et al., 2005)","plainCitation":"(Green et al., 2005)","noteIndex":0},"citationItems":[{"id":978,"uris":["http://zotero.org/users/6500992/items/RSVBBZKC"],"itemData":{"id":978,"type":"article-journal","abstract":"World food demand is expected to more than double by 2050. Decisions about how to meet this challenge will have profound effects on wild species and habitats. We show that farming is already the greatest extinction threat to birds (the best known taxon), and its adverse impacts look set to increase, especially in developing countries. Two competing solutions have been proposed: wildlife-friendly farming (which boosts densities of wild populations on farmland but may decrease agricultural yields) and land sparing (which minimizes demand for farmland by increasing yield). We present a model that identifies how to resolve the trade-off between these approaches. This shows that the best type of farming for species persistence depends on the demand for agricultural products and on how the population densities of different species on farmland change with agricultural yield. Empirical data on such density-yield functions are sparse, but evidence from a range of taxa in developing countries suggests that high-yield farming may allow more species to persist.","container-title":"Science (New York, N.Y.)","DOI":"10.1126/science.1106049","journalAbbreviation":"Science (New York, N.Y.)","page":"550-5","source":"ResearchGate","title":"Farming and the Fate of Wild Nature","volume":"307","author":[{"family":"Green","given":"Rhys"},{"family":"Cornell","given":"Stephen"},{"family":"Scharlemann","given":"Jorn"},{"family":"Balmford","given":"Andrew"}],"issued":{"date-parts":[["2005",2,1]]}}}],"schema":"https://github.com/citation-style-language/schema/raw/master/csl-citation.json"} </w:instrText>
      </w:r>
      <w:r w:rsidR="00543C46" w:rsidRPr="00A86F25">
        <w:fldChar w:fldCharType="separate"/>
      </w:r>
      <w:r w:rsidR="00A573B5" w:rsidRPr="00A573B5">
        <w:rPr>
          <w:rFonts w:ascii="Calibri" w:hAnsi="Calibri" w:cs="Calibri"/>
        </w:rPr>
        <w:t>(Green et al., 2005)</w:t>
      </w:r>
      <w:r w:rsidR="00543C46" w:rsidRPr="00A86F25">
        <w:fldChar w:fldCharType="end"/>
      </w:r>
      <w:r w:rsidR="004A3FE5" w:rsidRPr="00A86F25">
        <w:t>.</w:t>
      </w:r>
      <w:r w:rsidR="007E29D1" w:rsidRPr="00A86F25">
        <w:t xml:space="preserve"> </w:t>
      </w:r>
      <w:r w:rsidR="0026355E" w:rsidRPr="00A86F25">
        <w:t xml:space="preserve">This may mean </w:t>
      </w:r>
      <w:r w:rsidR="005C6714">
        <w:t>making more efficient use of applied nutrient inputs</w:t>
      </w:r>
      <w:r w:rsidR="005C6714" w:rsidDel="005C6714">
        <w:t xml:space="preserve"> </w:t>
      </w:r>
      <w:r w:rsidR="0001074B" w:rsidRPr="00A86F25">
        <w:t>(e.g.,</w:t>
      </w:r>
      <w:r w:rsidR="00065E67">
        <w:t xml:space="preserve"> </w:t>
      </w:r>
      <w:r w:rsidR="0026355E" w:rsidRPr="00A86F25">
        <w:t>fertiliser</w:t>
      </w:r>
      <w:r w:rsidR="00065E67">
        <w:t xml:space="preserve"> by </w:t>
      </w:r>
      <w:r w:rsidR="00065E67" w:rsidRPr="007E0766">
        <w:t>using an N-planning tool</w:t>
      </w:r>
      <w:r w:rsidR="0001074B" w:rsidRPr="00A86F25">
        <w:t>)</w:t>
      </w:r>
      <w:r w:rsidR="0026355E" w:rsidRPr="00A86F25">
        <w:t xml:space="preserve"> </w:t>
      </w:r>
      <w:r w:rsidR="005C6714">
        <w:t xml:space="preserve">so that the amount applied can be reduced without compromising soil fertility and crop yields, </w:t>
      </w:r>
      <w:r w:rsidR="0001074B" w:rsidRPr="00A86F25">
        <w:t>and/</w:t>
      </w:r>
      <w:r w:rsidR="0026355E" w:rsidRPr="00A86F25">
        <w:t>or maintaining trees</w:t>
      </w:r>
      <w:r w:rsidR="0001074B" w:rsidRPr="00A86F25">
        <w:t xml:space="preserve"> and</w:t>
      </w:r>
      <w:r w:rsidR="0026355E" w:rsidRPr="00A86F25">
        <w:t xml:space="preserve"> hedges</w:t>
      </w:r>
      <w:r w:rsidR="00EE0F40" w:rsidRPr="00A86F25">
        <w:t xml:space="preserve"> </w:t>
      </w:r>
      <w:r w:rsidR="00EE0F40" w:rsidRPr="00A86F25">
        <w:fldChar w:fldCharType="begin"/>
      </w:r>
      <w:r w:rsidR="00EE0F40" w:rsidRPr="00A86F25">
        <w:instrText xml:space="preserve"> ADDIN ZOTERO_ITEM CSL_CITATION {"citationID":"AaBRVglt","properties":{"formattedCitation":"(Hardaker et al., 2021)","plainCitation":"(Hardaker et al., 2021)","noteIndex":0},"citationItems":[{"id":1276,"uris":["http://zotero.org/users/6500992/items/ENUYMGTL"],"itemData":{"id":1276,"type":"article-journal","abstract":"Increasing tree cover on agricultural land is recognised as a potential mechanism to enhance ecosystem services. In this case study, we assessed and mapped the impacts on ecosystem services and dis-services of different land-sparing and land-sharing strategies for tree cover expansion on grassland and arable land in the Welsh uplands. In addition, we modelled the impacts of widespread adoption of these strategies on grassland and arable land on the total basket of ecosystem services derived from the Welsh uplands. Our modelling over a 120-year period suggests land-sharing strategies (agroforestry options) could lead to the greatest potential increase in ecosystem service benefits (+£2.62 billion for the Agroforestry – in field trees option). Such land-sharing strategies deliver a basket of ecosystem services primarily focused on private provisioning benefits, with only modest increases in public regulation and maintenance benefits. In contrast, land-sparing strategies (full afforestation options) deliver the highest level of public regulation and maintenance benefits (£7.60 billion), but at the cost of provisioning benefits (−£17.13 billion). Land-sharing strategies (agroforestry options) provide the highest level of in-situ ecosystem service benefits. Land-sparing strategies (full afforestation options) primarily provide ex-situ ecosystem service benefits and are likely to require livelihood shifts for private landowners and occupants.","container-title":"Ecosystem Services","DOI":"10.1016/j.ecoser.2021.101253","ISSN":"2212-0416","journalAbbreviation":"Ecosystem Services","language":"en","page":"101253","source":"ScienceDirect","title":"Ecosystem service and dis-service impacts of increasing tree cover on agricultural land by land-sparing and land-sharing in the Welsh uplands","volume":"48","author":[{"family":"Hardaker","given":"Ashley"},{"family":"Pagella","given":"Tim"},{"family":"Rayment","given":"Mark"}],"issued":{"date-parts":[["2021",4,1]]}}}],"schema":"https://github.com/citation-style-language/schema/raw/master/csl-citation.json"} </w:instrText>
      </w:r>
      <w:r w:rsidR="00EE0F40" w:rsidRPr="00A86F25">
        <w:fldChar w:fldCharType="separate"/>
      </w:r>
      <w:r w:rsidR="00A573B5" w:rsidRPr="00A573B5">
        <w:rPr>
          <w:rFonts w:ascii="Calibri" w:hAnsi="Calibri" w:cs="Calibri"/>
        </w:rPr>
        <w:t>(Hardaker et al., 2021)</w:t>
      </w:r>
      <w:r w:rsidR="00EE0F40" w:rsidRPr="00A86F25">
        <w:fldChar w:fldCharType="end"/>
      </w:r>
      <w:r w:rsidR="0026355E" w:rsidRPr="0026355E">
        <w:t>. Alternatively, if production efficiencies are increased</w:t>
      </w:r>
      <w:r w:rsidR="006A469F">
        <w:t xml:space="preserve"> (assuming stock numbers were not increase</w:t>
      </w:r>
      <w:r w:rsidR="003913C0">
        <w:t>d</w:t>
      </w:r>
      <w:r w:rsidR="006A469F">
        <w:t>)</w:t>
      </w:r>
      <w:r w:rsidR="0026355E" w:rsidRPr="0026355E">
        <w:t>, less land will be needed for the same level of product</w:t>
      </w:r>
      <w:r w:rsidR="00CD51F2">
        <w:t>ion</w:t>
      </w:r>
      <w:r w:rsidR="0026355E" w:rsidRPr="0026355E">
        <w:t xml:space="preserve">, leaving more land available for </w:t>
      </w:r>
      <w:r w:rsidR="00AE75B8">
        <w:t xml:space="preserve">carbon </w:t>
      </w:r>
      <w:r w:rsidR="0026355E" w:rsidRPr="0026355E">
        <w:t>offsetting</w:t>
      </w:r>
      <w:r w:rsidR="00AE75B8">
        <w:t xml:space="preserve"> and delivery of wider ecosystem services.</w:t>
      </w:r>
      <w:r w:rsidR="0026355E" w:rsidRPr="0026355E">
        <w:t xml:space="preserve"> </w:t>
      </w:r>
      <w:r w:rsidR="008A1EDD">
        <w:t xml:space="preserve">Such a </w:t>
      </w:r>
      <w:r w:rsidR="0026355E" w:rsidRPr="0026355E">
        <w:t xml:space="preserve">land </w:t>
      </w:r>
      <w:r w:rsidR="008A1EDD">
        <w:t>‘</w:t>
      </w:r>
      <w:r w:rsidR="0026355E" w:rsidRPr="0026355E">
        <w:t>sparing</w:t>
      </w:r>
      <w:r w:rsidR="008A1EDD">
        <w:t>’</w:t>
      </w:r>
      <w:r w:rsidR="0026355E" w:rsidRPr="0026355E">
        <w:t xml:space="preserve"> approach requires sustainable intensification on agricultural land </w:t>
      </w:r>
      <w:r w:rsidR="00A65F6D">
        <w:t>with</w:t>
      </w:r>
      <w:r w:rsidR="0026355E" w:rsidRPr="0026355E">
        <w:t xml:space="preserve"> </w:t>
      </w:r>
      <w:r w:rsidR="0001074B">
        <w:t>‘</w:t>
      </w:r>
      <w:r w:rsidR="0026355E" w:rsidRPr="0026355E">
        <w:t>spared</w:t>
      </w:r>
      <w:r w:rsidR="0001074B">
        <w:t>’</w:t>
      </w:r>
      <w:r w:rsidR="0026355E" w:rsidRPr="0026355E">
        <w:t xml:space="preserve"> areas </w:t>
      </w:r>
      <w:r w:rsidR="00A65F6D">
        <w:t>of land</w:t>
      </w:r>
      <w:r w:rsidR="0026355E" w:rsidRPr="0026355E">
        <w:t xml:space="preserve"> restored for </w:t>
      </w:r>
      <w:r w:rsidR="0001074B">
        <w:t xml:space="preserve">climate change mitigation (as well as </w:t>
      </w:r>
      <w:r w:rsidR="0026355E" w:rsidRPr="0026355E">
        <w:t>nature</w:t>
      </w:r>
      <w:r w:rsidR="0001074B">
        <w:t>)</w:t>
      </w:r>
      <w:r w:rsidR="0026355E" w:rsidRPr="0026355E">
        <w:t xml:space="preserve"> </w:t>
      </w:r>
      <w:r w:rsidR="0026355E" w:rsidRPr="0026355E">
        <w:fldChar w:fldCharType="begin"/>
      </w:r>
      <w:r w:rsidR="008D78C3">
        <w:instrText xml:space="preserve"> ADDIN ZOTERO_ITEM CSL_CITATION {"citationID":"WpDiJeGy","properties":{"formattedCitation":"(Balmford, 2021; Lamb et al., 2016; Phalan et al., 2011)","plainCitation":"(Balmford, 2021; Lamb et al., 2016; Phalan et al., 2011)","noteIndex":0},"citationItems":[{"id":1106,"uris":["http://zotero.org/users/6500992/items/SK9TCKN3"],"itemData":{"id":1106,"type":"article-journal","abstract":"How to feed, house, clothe and power 11 billion of us without eliminating very many species and wrecking Earth's climate is perhaps this century's greatest challenge. We must obviously strive to curb growth in resource-intensive demand, but we also need to identify production systems that meet people's needs at least overall cost to nature. The land-sharing/sparing concept provides a quantitative framework for doing this, centred around the principle that generating meaningful insights requires comparing alternatives that are matched in terms of overall production. Applications of this framework to &gt;2500 individually assessed species of vertebrates, plants and insects across five continents show that most species decline under farming, and that most would fare least badly under a land-sparing approach – with high-yield production meeting demand in a relatively small, farmed area, freeing-up space for conservation of intact habitats elsewhere in the landscape. However, important questions remain around how to deliver high yields sustainably, and how to ensure high-yield farming does indeed spare natural habitat. The framework is increasingly being applied in other domains too – including urban planning, recreation, forestry and fisheries – where it has the potential to shed light on long-running debates about whether nature would prefer us to concentrate our impact or spread it more lightly but widely. The realization that conservation cannot be delivered without simultaneously considering how humanity meets its needs in these and other sectors is of particular significance as policymakers meet to establish global environmental targets through to 2030 and beyond.","container-title":"Journal of Zoology","DOI":"10.1111/jzo.12920","ISSN":"1469-7998","issue":"2","language":"en","note":"_eprint: https://onlinelibrary.wiley.com/doi/pdf/10.1111/jzo.12920","page":"79-109","source":"Wiley Online Library","title":"Concentrating vs. spreading our footprint: how to meet humanity's needs at least cost to nature","title-short":"Concentrating vs. spreading our footprint","volume":"315","author":[{"family":"Balmford","given":"A."}],"issued":{"date-parts":[["2021"]]}}},{"id":158,"uris":["http://zotero.org/users/6500992/items/QGG7RVCX"],"itemData":{"id":158,"type":"article-journal","abstract":"Reducing agricultural emissions during times of increasing food demand is a challenge. Research, using the UK as an example, now shows the technical mitigation potential of increasing agricultural yields, reducing farmed area and restoring habitats.","container-title":"Nature Climate Change","DOI":"10.1038/nclimate2910","ISSN":"1758-6798","issue":"5","language":"en","license":"2016 Nature Publishing Group","note":"number: 5\npublisher: Nature Publishing Group","page":"488-492","source":"www.nature.com","title":"The potential for land sparing to offset greenhouse gas emissions from agriculture","volume":"6","author":[{"family":"Lamb","given":"Anthony"},{"family":"Green","given":"Rhys"},{"family":"Bateman","given":"Ian"},{"family":"Broadmeadow","given":"Mark"},{"family":"Bruce","given":"Toby"},{"family":"Burney","given":"Jennifer"},{"family":"Carey","given":"Pete"},{"family":"Chadwick","given":"David"},{"family":"Crane","given":"Ellie"},{"family":"Field","given":"Rob"},{"family":"Goulding","given":"Keith"},{"family":"Griffiths","given":"Howard"},{"family":"Hastings","given":"Astley"},{"family":"Kasoar","given":"Tim"},{"family":"Kindred","given":"Daniel"},{"family":"Phalan","given":"Ben"},{"family":"Pickett","given":"John"},{"family":"Smith","given":"Pete"},{"family":"Wall","given":"Eileen"},{"family":"Ermgassen","given":"Erasmus K. H. J.","non-dropping-particle":"zu"},{"family":"Balmford","given":"Andrew"}],"issued":{"date-parts":[["2016",5]]}}},{"id":981,"uris":["http://zotero.org/users/6500992/items/V2MHBJAV"],"itemData":{"id":981,"type":"article-journal","container-title":"Science","DOI":"10.1126/science.1208742","issue":"6047","note":"publisher: American Association for the Advancement of Science","page":"1289-1291","source":"science.org (Atypon)","title":"Reconciling Food Production and Biodiversity Conservation: Land Sharing and Land Sparing Compared","title-short":"Reconciling Food Production and Biodiversity Conservation","volume":"333","author":[{"family":"Phalan","given":"Ben"},{"family":"Onial","given":"Malvika"},{"family":"Balmford","given":"Andrew"},{"family":"Green","given":"Rhys E."}],"issued":{"date-parts":[["2011",9,2]]}}}],"schema":"https://github.com/citation-style-language/schema/raw/master/csl-citation.json"} </w:instrText>
      </w:r>
      <w:r w:rsidR="0026355E" w:rsidRPr="0026355E">
        <w:fldChar w:fldCharType="separate"/>
      </w:r>
      <w:r w:rsidR="00A573B5" w:rsidRPr="00A573B5">
        <w:rPr>
          <w:rFonts w:ascii="Calibri" w:hAnsi="Calibri" w:cs="Calibri"/>
        </w:rPr>
        <w:t>(Balmford, 2021; Lamb et al., 2016; Phalan et al., 2011)</w:t>
      </w:r>
      <w:r w:rsidR="0026355E" w:rsidRPr="0026355E">
        <w:fldChar w:fldCharType="end"/>
      </w:r>
      <w:r w:rsidR="0026355E" w:rsidRPr="0026355E">
        <w:t xml:space="preserve">. </w:t>
      </w:r>
      <w:r w:rsidR="0026355E">
        <w:t xml:space="preserve">The </w:t>
      </w:r>
      <w:r w:rsidR="0026355E" w:rsidRPr="0026355E">
        <w:t xml:space="preserve">land sparing and land sharing debate is still ongoing and an optimised approach to land use has yet to be determined. </w:t>
      </w:r>
      <w:r w:rsidR="00FB17F1">
        <w:t>How to manage land use to deliver t</w:t>
      </w:r>
      <w:r w:rsidR="0026355E" w:rsidRPr="0026355E">
        <w:t xml:space="preserve">his balance of food production and </w:t>
      </w:r>
      <w:r w:rsidR="0001074B">
        <w:t>climate change mitigation, as well as how land can deliver many other ecosystem services,</w:t>
      </w:r>
      <w:r w:rsidR="0026355E" w:rsidRPr="0026355E">
        <w:t xml:space="preserve"> is an important issue in the UK and </w:t>
      </w:r>
      <w:r w:rsidR="006F7DB5">
        <w:t>globally</w:t>
      </w:r>
      <w:r w:rsidR="0026355E" w:rsidRPr="0026355E">
        <w:t xml:space="preserve">. </w:t>
      </w:r>
    </w:p>
    <w:p w14:paraId="0F342398" w14:textId="77777777" w:rsidR="0057548E" w:rsidRDefault="0057548E" w:rsidP="00BA3E62">
      <w:pPr>
        <w:pStyle w:val="NoSpacing"/>
        <w:spacing w:line="360" w:lineRule="auto"/>
        <w:jc w:val="both"/>
        <w:rPr>
          <w:color w:val="000000" w:themeColor="text1"/>
        </w:rPr>
      </w:pPr>
    </w:p>
    <w:p w14:paraId="4E01290E" w14:textId="10FEE922" w:rsidR="000A4930" w:rsidRDefault="0026355E" w:rsidP="00BA3E62">
      <w:pPr>
        <w:pStyle w:val="NoSpacing"/>
        <w:spacing w:line="360" w:lineRule="auto"/>
        <w:jc w:val="both"/>
        <w:rPr>
          <w:color w:val="000000" w:themeColor="text1"/>
        </w:rPr>
      </w:pPr>
      <w:r w:rsidRPr="0026355E">
        <w:rPr>
          <w:color w:val="000000" w:themeColor="text1"/>
        </w:rPr>
        <w:lastRenderedPageBreak/>
        <w:t>Another option for GHG removal is increasing soil carbon sequestration. This removal strategy will require areas of land to be identified where soils have been depleted by farming practices and that have potential to be restored by changes in management practices that foster carbon sequestration. However,</w:t>
      </w:r>
      <w:r w:rsidR="00FB17F1">
        <w:rPr>
          <w:color w:val="000000" w:themeColor="text1"/>
        </w:rPr>
        <w:t xml:space="preserve"> whilst conversion of arable land to grasslands has been shown to enhance soil carbon sequestration,</w:t>
      </w:r>
      <w:r w:rsidRPr="0026355E">
        <w:rPr>
          <w:color w:val="000000" w:themeColor="text1"/>
        </w:rPr>
        <w:t xml:space="preserve"> </w:t>
      </w:r>
      <w:r w:rsidR="00FB17F1">
        <w:rPr>
          <w:color w:val="000000" w:themeColor="text1"/>
        </w:rPr>
        <w:t>the capacity for further sequestration may be limited</w:t>
      </w:r>
      <w:r w:rsidR="00FB17F1" w:rsidRPr="0026355E">
        <w:rPr>
          <w:color w:val="000000" w:themeColor="text1"/>
        </w:rPr>
        <w:t xml:space="preserve"> </w:t>
      </w:r>
      <w:r w:rsidRPr="0026355E">
        <w:rPr>
          <w:color w:val="000000" w:themeColor="text1"/>
        </w:rPr>
        <w:t xml:space="preserve">in </w:t>
      </w:r>
      <w:r w:rsidR="00FB17F1">
        <w:rPr>
          <w:color w:val="000000" w:themeColor="text1"/>
        </w:rPr>
        <w:t xml:space="preserve">existing </w:t>
      </w:r>
      <w:r w:rsidRPr="0026355E">
        <w:rPr>
          <w:color w:val="000000" w:themeColor="text1"/>
        </w:rPr>
        <w:t>grasslands</w:t>
      </w:r>
      <w:r w:rsidR="00FB17F1">
        <w:rPr>
          <w:color w:val="000000" w:themeColor="text1"/>
        </w:rPr>
        <w:t xml:space="preserve"> that are likely to be near or at equilibrium</w:t>
      </w:r>
      <w:r w:rsidRPr="0026355E">
        <w:rPr>
          <w:color w:val="000000" w:themeColor="text1"/>
        </w:rPr>
        <w:t xml:space="preserve"> </w:t>
      </w:r>
      <w:r w:rsidRPr="0026355E">
        <w:rPr>
          <w:color w:val="000000" w:themeColor="text1"/>
        </w:rPr>
        <w:fldChar w:fldCharType="begin"/>
      </w:r>
      <w:r w:rsidR="00C63BDF">
        <w:rPr>
          <w:color w:val="000000" w:themeColor="text1"/>
        </w:rPr>
        <w:instrText xml:space="preserve"> ADDIN ZOTERO_ITEM CSL_CITATION {"citationID":"HHagAeBY","properties":{"formattedCitation":"(Chapman et al., 2013; Jones et al., 2017)","plainCitation":"(Chapman et al., 2013; Jones et al., 2017)","noteIndex":0},"citationItems":[{"id":990,"uris":["http://zotero.org/users/6500992/items/SHPL2JL9"],"itemData":{"id":990,"type":"article-journal","abstract":"The change in soil carbon (C) stock over a 19–31-year period (mean 25 years) has been measured at 179 sites on a 20-km grid across Scotland. Sampling was by horizon from a profile pit. Although soil bulk density determinations were absent at the first sampling time, we used bulk density values from the second sampling time calibrated against NIR spectra to predict the missing values. There was no detectable change in overall total soil C stock (mean ± standard error, to a depth of 100 cm), which was 266 ± 15 and 270 ± 15 t C ha−1 for the first and second sampling times, respectively, or generally in C stock within specific vegetation or soil types. The exception was for soils under woodland, excluding those on deep peat, which exhibited a significant (P = 0.05) gain of 1.0 t C ha−1 year−1. Soils under woodland (mainly coniferous plantation) also showed a significant (P = 0.04) increase in C content (g kg−1), a significant decrease in bulk density (P = 0.006) and an increase in the thickness of the Litter-Fermentation-Humus (LFH) layer (P = 0.06). Recalculating the C stock to a depth of 15 cm showed a significant increase in overall C stock (when deep peat sites were excluded) as well as specifically in moorland and woodland soils, suggesting that had we sampled only to 15 cm, we would have reached a different conclusion. Both improved grassland soils and those initially under arable cultivation showed a significant decrease in C content. However, the mean thickness of Ap horizons increased from 29 to 32 cm, with a concomitant decrease in C content and a slight increase in bulk density; this we ascribe to deeper ploughing between the sample periods. In the context of possible soil C losses, we can be 95% confident that the mean loss does not exceed 0.2% year−1 and 99% confident that it does not exceed 0.4% year−1.","container-title":"European Journal of Soil Science","DOI":"10.1111/ejss.12041","ISSN":"1365-2389","issue":"4","language":"en","note":"_eprint: https://onlinelibrary.wiley.com/doi/pdf/10.1111/ejss.12041","page":"455-465","source":"Wiley Online Library","title":"Comparison of soil carbon stocks in Scottish soils between 1978 and 2009","volume":"64","author":[{"family":"Chapman","given":"S. J."},{"family":"Bell","given":"J. S."},{"family":"Campbell","given":"C. D."},{"family":"Hudson","given":"G."},{"family":"Lilly","given":"A."},{"family":"Nolan","given":"A. J."},{"family":"Robertson","given":"A. H. J."},{"family":"Potts","given":"J. M."},{"family":"Towers","given":"W."}],"issued":{"date-parts":[["2013"]]}}},{"id":987,"uris":["http://zotero.org/users/6500992/items/DKX4N3SA"],"itemData":{"id":987,"type":"article-journal","abstract":"&lt;p&gt;&lt;strong class=\"journal-contentHeaderColor\"&gt;Abstract.&lt;/strong&gt; Intensively managed grazed grasslands in temperate climates are globally important environments for the exchange of the greenhouse gases (GHGs) carbon dioxide (CO&lt;sub&gt;2&lt;/sub&gt;), nitrous oxide (N&lt;sub&gt;2&lt;/sub&gt;O) and methane (CH&lt;sub&gt;4&lt;/sub&gt;). We assessed the N and C budget of a mostly grazed and occasionally cut and fertilised grassland in SE Scotland by measuring or modelling all relevant imports and exports to the field as well as changes in soil C and N stocks over time. The N budget was dominated by import from inorganic and organic fertilisers (21.9 g N m&lt;sup&gt;−2&lt;/sup&gt; a&lt;sup&gt;−1&lt;/sup&gt;) and losses from leaching (5.3 g N m&lt;sup&gt;−2&lt;/sup&gt; a&lt;sup&gt;−1&lt;/sup&gt;), N&lt;sub&gt;2&lt;/sub&gt; emissions (2.9 g N m&lt;sup&gt;−2&lt;/sup&gt; a&lt;sup&gt;−1&lt;/sup&gt;), and NO&lt;sub&gt;&lt;i&gt;x&lt;/i&gt;&lt;/sub&gt; and NH&lt;sub&gt;3&lt;/sub&gt; volatilisation (3.9 g N m&lt;sup&gt;−2&lt;/sup&gt; a&lt;sup&gt;−1&lt;/sup&gt;), while N&lt;sub&gt;2&lt;/sub&gt;O emission was only 0.6 g N m&lt;sup&gt;−2&lt;/sup&gt; a&lt;sup&gt;−1&lt;/sup&gt;. The efficiency of N use by animal products (meat and wool) averaged 9.9 % of total N input over only-grazed years (2004–2010). On average over 9 years (2002–2010), the balance of N fluxes suggested that 6.0 ± 5.9 g N m&lt;sup&gt;−2&lt;/sup&gt; a&lt;sup&gt;−1&lt;/sup&gt; (mean ± confidence interval at &lt;i&gt;p&lt;/i&gt; &amp;gt; 0.95) were stored in the soil. The largest component of the C budget was the net ecosystem exchange of CO&lt;sub&gt;2&lt;/sub&gt; (NEE), at an average uptake rate of 218 ± 155 g C m&lt;sup&gt;−2&lt;/sup&gt; a&lt;sup&gt;−1&lt;/sup&gt; over the 9 years. This sink strength was offset by carbon export from the field mainly as grass offtake for silage (48.9 g C m&lt;sup&gt;−2&lt;/sup&gt; a&lt;sup&gt;−1&lt;/sup&gt;) and leaching (16.4 g C m&lt;sup&gt;−2&lt;/sup&gt; a&lt;sup&gt;−1&lt;/sup&gt;). The other export terms, CH&lt;sub&gt;4&lt;/sub&gt; emissions from the soil, manure applications and enteric fermentation, were negligible and only contributed to 0.02–4.2 % of the total C losses. Only a small fraction of C was incorporated into the body of the grazing animals. Inclusion of these C losses in the budget resulted in a C sink strength of 163 ± 140 g C m&lt;sup&gt;−2&lt;/sup&gt; a&lt;sup&gt;−1&lt;/sup&gt;. By contrast, soil stock measurements taken in May 2004 and May 2011 indicated that the grassland sequestered N in the 0–60 cm soil layer at 4.51 ± 2.64 g N m&lt;sup&gt;−2&lt;/sup&gt; a&lt;sup&gt;−1&lt;/sup&gt; and lost C at a rate of 29.08 ± 38.19 g C m&lt;sup&gt;−2&lt;/sup&gt; a&lt;sup&gt;−1&lt;/sup&gt;. Potential reasons for the discrepancy between these estimates are probably an underestimation of C losses, especially from leaching fluxes as well as from animal respiration. The average greenhouse gas (GHG) balance of the grassland was −366 ± 601 g CO&lt;sub&gt;2&lt;/sub&gt; eq. m&lt;sup&gt;−2&lt;/sup&gt; yr&lt;sup&gt;−1&lt;/sup&gt; and was strongly affected by CH&lt;sub&gt;4&lt;/sub&gt; and N&lt;sub&gt;2&lt;/sub&gt;O emissions. The GHG sink strength of the NEE was reduced by 54 % by CH&lt;sub&gt;4&lt;/sub&gt; and N&lt;sub&gt;2&lt;/sub&gt;O emissions. Estimated enteric fermentation from ruminating sheep proved to be an important CH&lt;sub&gt;4&lt;/sub&gt; source, exceeding the contribution of N&lt;sub&gt;2&lt;/sub&gt;O to the GHG budget in some years.&lt;/p&gt;","container-title":"Biogeosciences","DOI":"10.5194/bg-14-2069-2017","ISSN":"1726-4170","issue":"8","language":"English","note":"publisher: Copernicus GmbH","page":"2069-2088","source":"bg.copernicus.org","title":"The nitrogen, carbon and greenhouse gas budget of a grazed, cut and fertilised temperate grassland","volume":"14","author":[{"family":"Jones","given":"Stephanie K."},{"family":"Helfter","given":"Carole"},{"family":"Anderson","given":"Margaret"},{"family":"Coyle","given":"Mhairi"},{"family":"Campbell","given":"Claire"},{"family":"Famulari","given":"Daniela"},{"family":"Di Marco","given":"Chiara"},{"family":"Dijk","given":"Netty","non-dropping-particle":"van"},{"family":"Tang","given":"Y. Sim"},{"family":"Topp","given":"Cairistiona F. E."},{"family":"Kiese","given":"Ralf"},{"family":"Kindler","given":"Reimo"},{"family":"Siemens","given":"Jan"},{"family":"Schrumpf","given":"Marion"},{"family":"Kaiser","given":"Klaus"},{"family":"Nemitz","given":"Eiko"},{"family":"Levy","given":"Peter E."},{"family":"Rees","given":"Robert M."},{"family":"Sutton","given":"Mark A."},{"family":"Skiba","given":"Ute M."}],"issued":{"date-parts":[["2017",4,24]]}}}],"schema":"https://github.com/citation-style-language/schema/raw/master/csl-citation.json"} </w:instrText>
      </w:r>
      <w:r w:rsidRPr="0026355E">
        <w:rPr>
          <w:color w:val="000000" w:themeColor="text1"/>
        </w:rPr>
        <w:fldChar w:fldCharType="separate"/>
      </w:r>
      <w:r w:rsidR="00A573B5" w:rsidRPr="00A573B5">
        <w:rPr>
          <w:rFonts w:ascii="Calibri" w:hAnsi="Calibri" w:cs="Calibri"/>
        </w:rPr>
        <w:t>(Chapman et al., 2013; Jones et al., 2017)</w:t>
      </w:r>
      <w:r w:rsidRPr="0026355E">
        <w:rPr>
          <w:color w:val="000000" w:themeColor="text1"/>
        </w:rPr>
        <w:fldChar w:fldCharType="end"/>
      </w:r>
      <w:r w:rsidRPr="0026355E">
        <w:rPr>
          <w:color w:val="000000" w:themeColor="text1"/>
        </w:rPr>
        <w:t>.</w:t>
      </w:r>
      <w:r w:rsidR="000A4930">
        <w:rPr>
          <w:color w:val="000000" w:themeColor="text1"/>
        </w:rPr>
        <w:t xml:space="preserve"> </w:t>
      </w:r>
      <w:r w:rsidRPr="0026355E">
        <w:rPr>
          <w:color w:val="000000" w:themeColor="text1"/>
        </w:rPr>
        <w:t xml:space="preserve">Alternative carbon </w:t>
      </w:r>
      <w:r w:rsidR="006F7DB5">
        <w:rPr>
          <w:color w:val="000000" w:themeColor="text1"/>
        </w:rPr>
        <w:t>removal</w:t>
      </w:r>
      <w:r w:rsidRPr="0026355E">
        <w:rPr>
          <w:color w:val="000000" w:themeColor="text1"/>
        </w:rPr>
        <w:t xml:space="preserve"> options are </w:t>
      </w:r>
      <w:r w:rsidR="00513DC2" w:rsidRPr="0026355E">
        <w:rPr>
          <w:color w:val="000000" w:themeColor="text1"/>
        </w:rPr>
        <w:t>available</w:t>
      </w:r>
      <w:r w:rsidR="00513DC2">
        <w:rPr>
          <w:color w:val="000000" w:themeColor="text1"/>
        </w:rPr>
        <w:t>;</w:t>
      </w:r>
      <w:r w:rsidRPr="0026355E">
        <w:rPr>
          <w:color w:val="000000" w:themeColor="text1"/>
        </w:rPr>
        <w:t xml:space="preserve"> however</w:t>
      </w:r>
      <w:r w:rsidR="008A1EDD">
        <w:rPr>
          <w:color w:val="000000" w:themeColor="text1"/>
        </w:rPr>
        <w:t>,</w:t>
      </w:r>
      <w:r w:rsidRPr="0026355E">
        <w:rPr>
          <w:color w:val="000000" w:themeColor="text1"/>
        </w:rPr>
        <w:t xml:space="preserve"> </w:t>
      </w:r>
      <w:r w:rsidR="00CC66FC">
        <w:rPr>
          <w:color w:val="000000" w:themeColor="text1"/>
        </w:rPr>
        <w:t xml:space="preserve">some of </w:t>
      </w:r>
      <w:r w:rsidRPr="0026355E">
        <w:rPr>
          <w:color w:val="000000" w:themeColor="text1"/>
        </w:rPr>
        <w:t>these are not as well researched, especially in the UK. Additional carbon can be stored in soils via the application of biochar</w:t>
      </w:r>
      <w:r w:rsidR="00D62904">
        <w:rPr>
          <w:color w:val="000000" w:themeColor="text1"/>
        </w:rPr>
        <w:t xml:space="preserve"> </w:t>
      </w:r>
      <w:r w:rsidR="000A3A28">
        <w:rPr>
          <w:color w:val="000000" w:themeColor="text1"/>
        </w:rPr>
        <w:fldChar w:fldCharType="begin"/>
      </w:r>
      <w:r w:rsidR="00F11B23">
        <w:rPr>
          <w:color w:val="000000" w:themeColor="text1"/>
        </w:rPr>
        <w:instrText xml:space="preserve"> ADDIN ZOTERO_ITEM CSL_CITATION {"citationID":"QS3MORyE","properties":{"formattedCitation":"(Gupta et al., 2020)","plainCitation":"(Gupta et al., 2020)","noteIndex":0},"citationItems":[{"id":627,"uris":["http://zotero.org/users/6500992/items/W9PBSCH9"],"itemData":{"id":627,"type":"chapter","abstract":"Global warming and associated climate change are becoming a threat to almost all the ecosystems on the earth. According to the intergovernmental panel on climate change (IPCC) special report 2019, the global mean surface (land and ocean) temperature has been increased by 0.87 °C while mean of land surface air temperature has increased by 1.53 °C since 1850–2015. Climate change is affecting food security and human life due to warming, changing precipitation patterns, and the greater frequency of some extreme events. The main cause of global warming is the continuous increase in the atmospheric concentration of greenhouse gases (GHGs) like CO2, CH4, N2O and fluorinated gases due to several anthropogenic activities. Therefore, reducing the increasing concentration of GHG is necessary to slow down global warming and climate change. Among several options of greenhouse mitigation, application of biochar into the soil is gaining popularity due to several advantages over other options. Biochar is a highly stable form of carbon derived from pyrolysis of biomass at relatively low temperatures. Application of biochar into the soil has been reported to provide multiple benefits like increase in crop yield, nutrient and water use efficiency and several environmental benefits. Recalcitrant nature, relatively higher carbon content and easily available feedstock make biochar a highly sustainable and quick option for carbon sequestration into the soil. Biochar application into the soil not only helps in carbon sequestration but also provides a better option for managing agricultural residues. The application of biochar has also reported for reducing a considerable amount of methane and nitrous oxide emission from the agricultural field due to its priming effect on the soil. Biochar yield, physical properties, and carbon content varies with the type of feedstock and pyrolysis condition. Therefore, the rate of carbon sequestration and mitigation of greenhouse gas is also highly variable, however, the biochar application ultimately leads to a positive contribution towards climate change mitigation. However, most of the reported benefits are confined to laboratory and field trial at institute level, widespread adoption of biochar on farmer’s field is still lacking. In the present chapter, all the aspects of biochar towards carbon sequestration and greenhouse mitigation have been well discussed.","container-title":"Biochar Applications in Agriculture and Environment Management","event-place":"Cham","ISBN":"978-3-030-40997-5","language":"en","note":"DOI: 10.1007/978-3-030-40997-5_7","page":"141-165","publisher":"Springer International Publishing","publisher-place":"Cham","source":"Springer Link","title":"Role of Biochar in Carbon Sequestration and Greenhouse Gas Mitigation","URL":"https://doi.org/10.1007/978-3-030-40997-5_7","author":[{"family":"Gupta","given":"Dipak Kumar"},{"family":"Gupta","given":"Chandan Kumar"},{"family":"Dubey","given":"Rachana"},{"family":"Fagodiya","given":"Ram Kishor"},{"family":"Sharma","given":"Gulshan"},{"family":"A.","given":"Keerthika"},{"family":"Noor Mohamed","given":"M. B."},{"family":"Dev","given":"Rahul"},{"family":"Shukla","given":"A. K."}],"editor":[{"family":"Singh","given":"Jay Shankar"},{"family":"Singh","given":"Chhatarpal"}],"accessed":{"date-parts":[["2022",9,13]]},"issued":{"date-parts":[["2020"]]}}}],"schema":"https://github.com/citation-style-language/schema/raw/master/csl-citation.json"} </w:instrText>
      </w:r>
      <w:r w:rsidR="000A3A28">
        <w:rPr>
          <w:color w:val="000000" w:themeColor="text1"/>
        </w:rPr>
        <w:fldChar w:fldCharType="separate"/>
      </w:r>
      <w:r w:rsidR="00A573B5" w:rsidRPr="00A573B5">
        <w:rPr>
          <w:rFonts w:ascii="Calibri" w:hAnsi="Calibri" w:cs="Calibri"/>
        </w:rPr>
        <w:t>(Gupta et al., 2020)</w:t>
      </w:r>
      <w:r w:rsidR="000A3A28">
        <w:rPr>
          <w:color w:val="000000" w:themeColor="text1"/>
        </w:rPr>
        <w:fldChar w:fldCharType="end"/>
      </w:r>
      <w:r w:rsidRPr="0026355E">
        <w:rPr>
          <w:color w:val="000000" w:themeColor="text1"/>
        </w:rPr>
        <w:t xml:space="preserve">. </w:t>
      </w:r>
      <w:r w:rsidR="009C69FD">
        <w:rPr>
          <w:color w:val="000000" w:themeColor="text1"/>
        </w:rPr>
        <w:t>B</w:t>
      </w:r>
      <w:r w:rsidRPr="0026355E">
        <w:rPr>
          <w:color w:val="000000" w:themeColor="text1"/>
        </w:rPr>
        <w:t xml:space="preserve">iochar </w:t>
      </w:r>
      <w:r w:rsidR="009C69FD">
        <w:rPr>
          <w:color w:val="000000" w:themeColor="text1"/>
        </w:rPr>
        <w:t>has a</w:t>
      </w:r>
      <w:r w:rsidR="009C69FD" w:rsidRPr="0026355E">
        <w:rPr>
          <w:color w:val="000000" w:themeColor="text1"/>
        </w:rPr>
        <w:t xml:space="preserve"> </w:t>
      </w:r>
      <w:r w:rsidRPr="0026355E">
        <w:rPr>
          <w:color w:val="000000" w:themeColor="text1"/>
        </w:rPr>
        <w:t>high</w:t>
      </w:r>
      <w:r w:rsidR="009C69FD">
        <w:rPr>
          <w:color w:val="000000" w:themeColor="text1"/>
        </w:rPr>
        <w:t xml:space="preserve"> carbon capture potential</w:t>
      </w:r>
      <w:r w:rsidRPr="0026355E">
        <w:rPr>
          <w:color w:val="000000" w:themeColor="text1"/>
        </w:rPr>
        <w:t xml:space="preserve"> </w:t>
      </w:r>
      <w:r w:rsidR="00DD7BAD">
        <w:rPr>
          <w:color w:val="000000" w:themeColor="text1"/>
        </w:rPr>
        <w:t xml:space="preserve">and has even been found to increase yields when applied to </w:t>
      </w:r>
      <w:r w:rsidR="00D73B83">
        <w:rPr>
          <w:color w:val="000000" w:themeColor="text1"/>
        </w:rPr>
        <w:t>poor soil</w:t>
      </w:r>
      <w:r w:rsidR="00076334">
        <w:rPr>
          <w:color w:val="000000" w:themeColor="text1"/>
        </w:rPr>
        <w:t xml:space="preserve"> </w:t>
      </w:r>
      <w:r w:rsidR="00076334">
        <w:rPr>
          <w:color w:val="000000" w:themeColor="text1"/>
        </w:rPr>
        <w:fldChar w:fldCharType="begin"/>
      </w:r>
      <w:r w:rsidR="00076334">
        <w:rPr>
          <w:color w:val="000000" w:themeColor="text1"/>
        </w:rPr>
        <w:instrText xml:space="preserve"> ADDIN ZOTERO_ITEM CSL_CITATION {"citationID":"Sy92uinp","properties":{"formattedCitation":"(El-Naggar et al., 2019)","plainCitation":"(El-Naggar et al., 2019)","noteIndex":0},"citationItems":[{"id":1819,"uris":["http://zotero.org/users/6500992/items/WDC5TXBR"],"itemData":{"id":1819,"type":"article-journal","abstract":"Biochar application has multiple benefits for soil fertility improvement and climate change mitigation. Biochar can act as a source of nutrients and sequester carbon (C) in the soil. The nutrient release capacity of biochar once applied to the soil varies with the composition of the biochar, which is a function of the feedstock type and pyrolysis condition used for biochar production. Biochar has a crucial influence on soil C mineralization, including its positive or negative priming of microorganisms involved in soil C cycling. However, in various cases, biochar application to the soil may cause negative effects in the soil and the wider environment. For instance, biochar may suppress soil nutrient availability and crop productivity due to the reduction in plant nutrient uptake or reduction in soil C mineralization. Biochar application may also negatively affect environmental quality and human health because of harmful compounds such as polycyclic aromatic hydrocarbons (PAHs), polychlorinated dibenzodioxins, and dibenzofurans (PCDD/DF). In this review, we discuss the linkage between biochar composition and function, evaluate the role biochar plays in soil fertility improvement and C sequestration, and discuss regulations and concerns regarding biochar's negative environmental impact. We also summarize advancements in biochar production technologies and discuss future challenges and priorities in biochar research.","container-title":"Journal of Environmental Management","DOI":"10.1016/j.jenvman.2019.02.044","ISSN":"0301-4797","journalAbbreviation":"Journal of Environmental Management","page":"458-467","source":"ScienceDirect","title":"Biochar composition-dependent impacts on soil nutrient release, carbon mineralization, and potential environmental risk: A review","title-short":"Biochar composition-dependent impacts on soil nutrient release, carbon mineralization, and potential environmental risk","volume":"241","author":[{"family":"El-Naggar","given":"Ali"},{"family":"El-Naggar","given":"Ahmed Hamdy"},{"family":"Shaheen","given":"Sabry M."},{"family":"Sarkar","given":"Binoy"},{"family":"Chang","given":"Scott X."},{"family":"Tsang","given":"Daniel C. W."},{"family":"Rinklebe","given":"Jörg"},{"family":"Ok","given":"Yong Sik"}],"issued":{"date-parts":[["2019",7,1]]}}}],"schema":"https://github.com/citation-style-language/schema/raw/master/csl-citation.json"} </w:instrText>
      </w:r>
      <w:r w:rsidR="00076334">
        <w:rPr>
          <w:color w:val="000000" w:themeColor="text1"/>
        </w:rPr>
        <w:fldChar w:fldCharType="separate"/>
      </w:r>
      <w:r w:rsidR="00076334" w:rsidRPr="00076334">
        <w:rPr>
          <w:rFonts w:ascii="Calibri" w:hAnsi="Calibri" w:cs="Calibri"/>
        </w:rPr>
        <w:t>(El-Naggar et al., 2019)</w:t>
      </w:r>
      <w:r w:rsidR="00076334">
        <w:rPr>
          <w:color w:val="000000" w:themeColor="text1"/>
        </w:rPr>
        <w:fldChar w:fldCharType="end"/>
      </w:r>
      <w:r w:rsidRPr="0026355E">
        <w:rPr>
          <w:color w:val="000000" w:themeColor="text1"/>
        </w:rPr>
        <w:t>.</w:t>
      </w:r>
      <w:r w:rsidR="00FB397F">
        <w:rPr>
          <w:color w:val="000000" w:themeColor="text1"/>
        </w:rPr>
        <w:t xml:space="preserve"> </w:t>
      </w:r>
      <w:r w:rsidR="0057526C">
        <w:rPr>
          <w:color w:val="000000" w:themeColor="text1"/>
        </w:rPr>
        <w:t xml:space="preserve">Globally, </w:t>
      </w:r>
      <w:r w:rsidR="0057526C">
        <w:fldChar w:fldCharType="begin"/>
      </w:r>
      <w:r w:rsidR="0057526C">
        <w:instrText xml:space="preserve"> ADDIN ZOTERO_ITEM CSL_CITATION {"citationID":"800iZHEN","properties":{"formattedCitation":"(Costa et al., 2022)","plainCitation":"(Costa et al., 2022)","noteIndex":0},"citationItems":[{"id":1158,"uris":["http://zotero.org/users/6500992/items/PHF5AGUF"],"itemData":{"id":1158,"type":"article-journal","abstract":"Food systems (FSs) emit ~ 20 GtCO2e/y (~ 35% of global greenhouse gas emissions). This level tends to raise given the expected increases in food demands, which may threaten global climate targets. Through a rapid assessment, evaluating 60+ scenarios based on existing low-emission and carbon sequestration practices, we estimate that intensifying FSs could reduce its emissions from 21.4 to − 2.0 GtCO2e/y and address increasing food demands without relying on carbon offsets (e.g., related to afforestation and reforestation programs). However, given historical trends and regional contexts, a more diverse portfolio of practices, including diet shifts and new-horizon technologies, will be needed to increase the feasibility of achieving net-zero FSs. One likely pathway consists of implementing practices that shift food production to the 30th-percentile of least emission-intensive FSs (~ 45% emissions reduction), sequester carbon at 50% of its potential (~ 5 GtCO2e/y) and adopt diet shifts and new-horizon technologies (~ 6 GtCO2e/y). For a successful transition to happen, the global FSs would, in the next decade (2020s), need to implement cost-effective mitigation practices and technologies, supported by improvements in countries’ governance and technical assistance, innovative financial mechanisms and research focused on making affordable technologies in the following two decades (2030–2050). This work provides options and a vision to guide global FSs to achieving net-zero by 2050.","container-title":"Scientific Reports","DOI":"10.1038/s41598-022-18601-1","ISSN":"2045-2322","issue":"1","journalAbbreviation":"Sci Rep","language":"en","license":"2022 The Author(s)","note":"number: 1\npublisher: Nature Publishing Group","page":"15064","source":"www.nature.com","title":"Roadmap for achieving net-zero emissions in global food systems by 2050","volume":"12","author":[{"family":"Costa","given":"Ciniro"},{"family":"Wollenberg","given":"Eva"},{"family":"Benitez","given":"Mauricio"},{"family":"Newman","given":"Richard"},{"family":"Gardner","given":"Nick"},{"family":"Bellone","given":"Federico"}],"issued":{"date-parts":[["2022",9,5]]}}}],"schema":"https://github.com/citation-style-language/schema/raw/master/csl-citation.json"} </w:instrText>
      </w:r>
      <w:r w:rsidR="0057526C">
        <w:fldChar w:fldCharType="separate"/>
      </w:r>
      <w:r w:rsidR="0057526C" w:rsidRPr="00017D6E">
        <w:rPr>
          <w:rFonts w:ascii="Calibri" w:hAnsi="Calibri" w:cs="Calibri"/>
        </w:rPr>
        <w:t>Costa et al. (2022)</w:t>
      </w:r>
      <w:r w:rsidR="0057526C">
        <w:fldChar w:fldCharType="end"/>
      </w:r>
      <w:r w:rsidR="0057526C">
        <w:t xml:space="preserve"> estimated that 50% of carbon sequestration potential associated with low-emission sequestration options (e.g., soil carbon and agroforestry, biochar) could reduce emissions by a further 24%. </w:t>
      </w:r>
      <w:r w:rsidR="00EB329F">
        <w:rPr>
          <w:color w:val="000000" w:themeColor="text1"/>
        </w:rPr>
        <w:t xml:space="preserve">However, it </w:t>
      </w:r>
      <w:r w:rsidR="00EB329F" w:rsidRPr="0026355E">
        <w:rPr>
          <w:color w:val="000000" w:themeColor="text1"/>
        </w:rPr>
        <w:t xml:space="preserve">is not clear if </w:t>
      </w:r>
      <w:r w:rsidR="003913C0" w:rsidRPr="003913C0">
        <w:rPr>
          <w:color w:val="000000" w:themeColor="text1"/>
        </w:rPr>
        <w:t>biochar application</w:t>
      </w:r>
      <w:r w:rsidR="003913C0" w:rsidRPr="0026355E">
        <w:rPr>
          <w:color w:val="000000" w:themeColor="text1"/>
        </w:rPr>
        <w:t xml:space="preserve"> </w:t>
      </w:r>
      <w:r w:rsidR="00EB329F" w:rsidRPr="0026355E">
        <w:rPr>
          <w:color w:val="000000" w:themeColor="text1"/>
        </w:rPr>
        <w:t xml:space="preserve">is a viable option for use in the UK without </w:t>
      </w:r>
      <w:r w:rsidR="00EB329F">
        <w:rPr>
          <w:color w:val="000000" w:themeColor="text1"/>
        </w:rPr>
        <w:t xml:space="preserve">any </w:t>
      </w:r>
      <w:r w:rsidR="00EB329F" w:rsidRPr="0026355E">
        <w:rPr>
          <w:color w:val="000000" w:themeColor="text1"/>
        </w:rPr>
        <w:t>adverse effects</w:t>
      </w:r>
      <w:r w:rsidR="00EB329F">
        <w:rPr>
          <w:color w:val="000000" w:themeColor="text1"/>
        </w:rPr>
        <w:t xml:space="preserve"> </w:t>
      </w:r>
      <w:r w:rsidR="00EB329F">
        <w:rPr>
          <w:color w:val="000000" w:themeColor="text1"/>
        </w:rPr>
        <w:fldChar w:fldCharType="begin"/>
      </w:r>
      <w:r w:rsidR="00EB329F">
        <w:rPr>
          <w:color w:val="000000" w:themeColor="text1"/>
        </w:rPr>
        <w:instrText xml:space="preserve"> ADDIN ZOTERO_ITEM CSL_CITATION {"citationID":"D8zWdwoB","properties":{"formattedCitation":"(Hilber et al., 2017; Wang et al., 2016)","plainCitation":"(Hilber et al., 2017; Wang et al., 2016)","noteIndex":0},"citationItems":[{"id":1145,"uris":["http://zotero.org/users/6500992/items/JUPCAQ8X"],"itemData":{"id":1145,"type":"article-journal","abstract":"This article reviews the different aspects of biochar as source and sink of organic and inorganic contaminants. Biochar can contain organic contaminants such as polycyclic aromatic hydrocarbons or heavy metals. As the distribution coefficients of the biochar especially for contaminants are high, the freely dissolved concentrations are low and with that also the bioavailability. The link between biochar’s inherent contaminants and toxicity to soil meso– and macro–fauna remains unclear, with data being often contradictory and influenced by feedstock and pyrolysis conditions. The biochar’s potential to remediate contaminated soils has mainly been addressed in lab studies, but rarely in the field. This far, results have been contradicting. Many studies reported successful immobilization of contaminants but some not. In summary, the ambivalent face of the biochar with regard to contaminants prevails. In future, long term field studies are needed to properly address the sustainability of biochar in this respect.","container-title":"Journal of Environmental Engineering and Landscape Management","DOI":"10.3846/16486897.2016.1254089","ISSN":"1648-6897","issue":"2","note":"publisher: Taylor &amp; Francis\n_eprint: https://doi.org/10.3846/16486897.2016.1254089","page":"86-104","source":"Taylor and Francis+NEJM","title":"The different faces of biochar: contamination risk versus remediation tool","title-short":"The different faces of biochar","volume":"25","author":[{"family":"Hilber","given":"Isabel"},{"family":"Bastos","given":"Ana Catarina"},{"family":"Loureiro","given":"Susana"},{"family":"Soja","given":"Gerhard"},{"family":"Marsz","given":"Aleksandra"},{"family":"Cornelissen","given":"Gerard"},{"family":"Bucheli","given":"Thomas D."}],"issued":{"date-parts":[["2017",4,3]]}}},{"id":1147,"uris":["http://zotero.org/users/6500992/items/J6XESQ4Q"],"itemData":{"id":1147,"type":"article-journal","abstract":"The stability and decomposition of biochar are fundamental to understand its persistence in soil, its contribution to carbon (C) sequestration, and thus its role in the global C cycle. Our current knowledge about the degradability of biochar, however, is limited. Using 128 observations of biochar-derived CO2 from 24 studies with stable (13C) and radioactive (14C) carbon isotopes, we meta-analyzed the biochar decomposition in soil and estimated its mean residence time (MRT). The decomposed amount of biochar increased logarithmically with experimental duration, and the decomposition rate decreased with time. The biochar decomposition rate varied significantly with experimental duration, feedstock, pyrolysis temperature, and soil clay content. The MRTs of labile and recalcitrant biochar C pools were estimated to be about 108 days and 556 years with pool sizes of 3% and 97%, respectively. These results show that only a small part of biochar is bioavailable and that the remaining 97% contribute directly to long-term C sequestration in soil. The second database (116 observations from 21 studies) was used to evaluate the priming effects after biochar addition. Biochar slightly retarded the mineralization of soil organic matter (SOM; overall mean: −3.8%, 95% CI = −8.1–0.8%) compared to the soil without biochar addition. Significant negative priming was common for studies with a duration shorter than half a year (−8.6%), crop-derived biochar (−20.3%), fast pyrolysis (−18.9%), the lowest pyrolysis temperature (−18.5%), and small application amounts (−11.9%). In contrast, biochar addition to sandy soils strongly stimulated SOM mineralization by 20.8%. This indicates that biochar stimulates microbial activities especially in soils with low fertility. Furthermore, abiotic and biotic processes, as well as the characteristics of biochar and soils, affecting biochar decomposition are discussed. We conclude that biochar can persist in soils on a centennial scale and that it has a positive effect on SOM dynamics and thus on C sequestration.","container-title":"GCB Bioenergy","DOI":"10.1111/gcbb.12266","ISSN":"1757-1707","issue":"3","language":"en","note":"_eprint: https://onlinelibrary.wiley.com/doi/pdf/10.1111/gcbb.12266","page":"512-523","source":"Wiley Online Library","title":"Biochar stability in soil: meta-analysis of decomposition and priming effects","title-short":"Biochar stability in soil","volume":"8","author":[{"family":"Wang","given":"Jinyang"},{"family":"Xiong","given":"Zhengqin"},{"family":"Kuzyakov","given":"Yakov"}],"issued":{"date-parts":[["2016"]]}}}],"schema":"https://github.com/citation-style-language/schema/raw/master/csl-citation.json"} </w:instrText>
      </w:r>
      <w:r w:rsidR="00EB329F">
        <w:rPr>
          <w:color w:val="000000" w:themeColor="text1"/>
        </w:rPr>
        <w:fldChar w:fldCharType="separate"/>
      </w:r>
      <w:r w:rsidR="00EB329F" w:rsidRPr="00A573B5">
        <w:rPr>
          <w:rFonts w:ascii="Calibri" w:hAnsi="Calibri" w:cs="Calibri"/>
        </w:rPr>
        <w:t>(Hilber et al., 2017; Wang et al., 2016)</w:t>
      </w:r>
      <w:r w:rsidR="00EB329F">
        <w:rPr>
          <w:color w:val="000000" w:themeColor="text1"/>
        </w:rPr>
        <w:fldChar w:fldCharType="end"/>
      </w:r>
      <w:r w:rsidR="00EB329F">
        <w:rPr>
          <w:color w:val="000000" w:themeColor="text1"/>
        </w:rPr>
        <w:t xml:space="preserve">. </w:t>
      </w:r>
      <w:r w:rsidR="00EB329F">
        <w:rPr>
          <w:color w:val="000000" w:themeColor="text1"/>
        </w:rPr>
        <w:fldChar w:fldCharType="begin"/>
      </w:r>
      <w:r w:rsidR="00EB329F">
        <w:rPr>
          <w:color w:val="000000" w:themeColor="text1"/>
        </w:rPr>
        <w:instrText xml:space="preserve"> ADDIN ZOTERO_ITEM CSL_CITATION {"citationID":"BtUpY1dW","properties":{"formattedCitation":"(Brtnicky et al., 2021)","plainCitation":"(Brtnicky et al., 2021)","noteIndex":0},"citationItems":[{"id":1823,"uris":["http://zotero.org/users/6500992/items/ZTW8RCAW"],"itemData":{"id":1823,"type":"article-journal","abstract":"Biochar has received extensive attention because of its multi-functionality for agricultural and environmental applications. Despite its many benefits, there are concerns related to the long-term safety and implications of its application, mainly because the mechanisms affecting soil and organism health are poorly quantified and understood. This work reviews 259 sources and summarises existing knowledge on biochar's adverse effects on soil from a multiangle perspective, including the physicochemical changes in soil, reduced efficiency of agrochemicals, potentially toxic substances in biochar, and effects on soil biota. Suggestions are made for mitigation measures. Mixed findings are often reported; however, the results suggest that high doses of biochar in clay soils are likely to decrease available water content, and surface application of biochar to sandy soils likely increases erosion and particulate matter emissions. Furthermore, biochar may increase the likelihood of excessive soil salinity and decreased soil fertility because of an increase in the pH of alkaline soils causing nutrient precipitation. Regarding the impact of biochar on (agro)chemicals and the role of biochar-borne toxic substances, these factors cannot be neglected because of their apparent undesirable effects on target and non-target organisms, respectively. Concerning non-target biota, adverse effects on reproduction, growth, and DNA integrity of earthworms have been reported along with effects on soil microbiome such as a shift in the fungi-to-bacteria ratio. Given the diversity of effects that biochar may induce in soil, guidelines for future biochar use should adopt a structured and holistic approach that considers all positive and negative effects of biochar.","container-title":"Science of The Total Environment","DOI":"10.1016/j.scitotenv.2021.148756","ISSN":"0048-9697","journalAbbreviation":"Science of The Total Environment","page":"148756","source":"ScienceDirect","title":"A critical review of the possible adverse effects of biochar in the soil environment","volume":"796","author":[{"family":"Brtnicky","given":"Martin"},{"family":"Datta","given":"Rahul"},{"family":"Holatko","given":"Jiri"},{"family":"Bielska","given":"Lucie"},{"family":"Gusiatin","given":"Zygmunt M."},{"family":"Kucerik","given":"Jiri"},{"family":"Hammerschmiedt","given":"Tereza"},{"family":"Danish","given":"Subhan"},{"family":"Radziemska","given":"Maja"},{"family":"Mravcova","given":"Ludmila"},{"family":"Fahad","given":"Shah"},{"family":"Kintl","given":"Antonin"},{"family":"Sudoma","given":"Marek"},{"family":"Ahmed","given":"Niaz"},{"family":"Pecina","given":"Vaclav"}],"issued":{"date-parts":[["2021",11,20]]}}}],"schema":"https://github.com/citation-style-language/schema/raw/master/csl-citation.json"} </w:instrText>
      </w:r>
      <w:r w:rsidR="00EB329F">
        <w:rPr>
          <w:color w:val="000000" w:themeColor="text1"/>
        </w:rPr>
        <w:fldChar w:fldCharType="separate"/>
      </w:r>
      <w:r w:rsidR="00C43FDA">
        <w:rPr>
          <w:rFonts w:ascii="Calibri" w:hAnsi="Calibri" w:cs="Calibri"/>
        </w:rPr>
        <w:t xml:space="preserve">A review by </w:t>
      </w:r>
      <w:r w:rsidR="00EB329F" w:rsidRPr="00EB329F">
        <w:rPr>
          <w:rFonts w:ascii="Calibri" w:hAnsi="Calibri" w:cs="Calibri"/>
        </w:rPr>
        <w:t xml:space="preserve">Brtnicky et al. </w:t>
      </w:r>
      <w:r w:rsidR="00C43FDA">
        <w:rPr>
          <w:rFonts w:ascii="Calibri" w:hAnsi="Calibri" w:cs="Calibri"/>
        </w:rPr>
        <w:t>(</w:t>
      </w:r>
      <w:r w:rsidR="00EB329F" w:rsidRPr="00EB329F">
        <w:rPr>
          <w:rFonts w:ascii="Calibri" w:hAnsi="Calibri" w:cs="Calibri"/>
        </w:rPr>
        <w:t>2021)</w:t>
      </w:r>
      <w:r w:rsidR="00EB329F">
        <w:rPr>
          <w:color w:val="000000" w:themeColor="text1"/>
        </w:rPr>
        <w:fldChar w:fldCharType="end"/>
      </w:r>
      <w:r w:rsidR="00EB329F">
        <w:rPr>
          <w:color w:val="000000" w:themeColor="text1"/>
        </w:rPr>
        <w:t xml:space="preserve"> </w:t>
      </w:r>
      <w:r w:rsidR="00C43FDA">
        <w:rPr>
          <w:color w:val="000000" w:themeColor="text1"/>
        </w:rPr>
        <w:t xml:space="preserve">revealed a range of adverse effects </w:t>
      </w:r>
      <w:r w:rsidR="000E474A">
        <w:rPr>
          <w:color w:val="000000" w:themeColor="text1"/>
        </w:rPr>
        <w:t>following biochar application</w:t>
      </w:r>
      <w:r w:rsidR="00675D60">
        <w:rPr>
          <w:color w:val="000000" w:themeColor="text1"/>
        </w:rPr>
        <w:t xml:space="preserve">, for example, </w:t>
      </w:r>
      <w:r w:rsidR="00113F85">
        <w:rPr>
          <w:color w:val="000000" w:themeColor="text1"/>
        </w:rPr>
        <w:t xml:space="preserve">the release of </w:t>
      </w:r>
      <w:r w:rsidR="00434D27">
        <w:rPr>
          <w:color w:val="000000" w:themeColor="text1"/>
        </w:rPr>
        <w:t xml:space="preserve">various </w:t>
      </w:r>
      <w:r w:rsidR="001334A9">
        <w:rPr>
          <w:color w:val="000000" w:themeColor="text1"/>
        </w:rPr>
        <w:t>organic contaminants</w:t>
      </w:r>
      <w:r w:rsidR="00434D27">
        <w:rPr>
          <w:color w:val="000000" w:themeColor="text1"/>
        </w:rPr>
        <w:t xml:space="preserve"> and potentially toxic substances which </w:t>
      </w:r>
      <w:r w:rsidR="00675D60">
        <w:rPr>
          <w:color w:val="000000" w:themeColor="text1"/>
        </w:rPr>
        <w:t>c</w:t>
      </w:r>
      <w:r w:rsidR="008F4BA2">
        <w:rPr>
          <w:color w:val="000000" w:themeColor="text1"/>
        </w:rPr>
        <w:t xml:space="preserve">an </w:t>
      </w:r>
      <w:r w:rsidR="00434D27">
        <w:rPr>
          <w:color w:val="000000" w:themeColor="text1"/>
        </w:rPr>
        <w:t xml:space="preserve">negatively impact </w:t>
      </w:r>
      <w:r w:rsidR="00775ECE">
        <w:rPr>
          <w:color w:val="000000" w:themeColor="text1"/>
        </w:rPr>
        <w:t>o</w:t>
      </w:r>
      <w:r w:rsidR="00706068">
        <w:rPr>
          <w:color w:val="000000" w:themeColor="text1"/>
        </w:rPr>
        <w:t>n soil and non-target organisms</w:t>
      </w:r>
      <w:r w:rsidR="00113F85">
        <w:rPr>
          <w:color w:val="000000" w:themeColor="text1"/>
        </w:rPr>
        <w:t xml:space="preserve">. </w:t>
      </w:r>
    </w:p>
    <w:p w14:paraId="47E17B04" w14:textId="77777777" w:rsidR="000A4930" w:rsidRDefault="000A4930" w:rsidP="00BA3E62">
      <w:pPr>
        <w:pStyle w:val="NoSpacing"/>
        <w:spacing w:line="360" w:lineRule="auto"/>
        <w:jc w:val="both"/>
        <w:rPr>
          <w:color w:val="000000" w:themeColor="text1"/>
        </w:rPr>
      </w:pPr>
    </w:p>
    <w:p w14:paraId="4507A468" w14:textId="269D7874" w:rsidR="0026355E" w:rsidRPr="001C4923" w:rsidRDefault="0026355E" w:rsidP="00BA3E62">
      <w:pPr>
        <w:pStyle w:val="NoSpacing"/>
        <w:spacing w:line="360" w:lineRule="auto"/>
        <w:jc w:val="both"/>
        <w:rPr>
          <w:color w:val="000000" w:themeColor="text1"/>
        </w:rPr>
      </w:pPr>
      <w:r w:rsidRPr="0026355E">
        <w:rPr>
          <w:color w:val="000000" w:themeColor="text1"/>
        </w:rPr>
        <w:t>Bioenergy with carbon capture and storage (BECCS) and direct air capture and carbon storage (DACCS) are other promising new technolog</w:t>
      </w:r>
      <w:r w:rsidR="007B7C0A">
        <w:rPr>
          <w:color w:val="000000" w:themeColor="text1"/>
        </w:rPr>
        <w:t>ies</w:t>
      </w:r>
      <w:r w:rsidRPr="0026355E">
        <w:rPr>
          <w:color w:val="000000" w:themeColor="text1"/>
        </w:rPr>
        <w:t xml:space="preserve"> for enhancing </w:t>
      </w:r>
      <w:r w:rsidR="006F7DB5">
        <w:rPr>
          <w:color w:val="000000" w:themeColor="text1"/>
        </w:rPr>
        <w:t>carbon removals</w:t>
      </w:r>
      <w:r w:rsidR="007B7C0A">
        <w:rPr>
          <w:color w:val="000000" w:themeColor="text1"/>
        </w:rPr>
        <w:t xml:space="preserve"> </w:t>
      </w:r>
      <w:r w:rsidR="00D66BCB">
        <w:rPr>
          <w:color w:val="000000" w:themeColor="text1"/>
        </w:rPr>
        <w:fldChar w:fldCharType="begin"/>
      </w:r>
      <w:r w:rsidR="00D66BCB">
        <w:rPr>
          <w:color w:val="000000" w:themeColor="text1"/>
        </w:rPr>
        <w:instrText xml:space="preserve"> ADDIN ZOTERO_ITEM CSL_CITATION {"citationID":"zj2J9JiN","properties":{"formattedCitation":"(Smith et al., 2016)","plainCitation":"(Smith et al., 2016)","noteIndex":0},"citationItems":[{"id":1150,"uris":["http://zotero.org/users/6500992/items/RB56KWAV"],"itemData":{"id":1150,"type":"article-journal","abstract":"Scenario analyses suggest that negative emissions technologies (NETs) are necessary to limit dangerous warming. Here the authors assess the biophysical limits to, and economic costs of, the widespread application of NETs.","container-title":"Nature Climate Change","DOI":"10.1038/nclimate2870","ISSN":"1758-6798","issue":"1","journalAbbreviation":"Nature Clim Change","language":"en","license":"2015 Nature Publishing Group, a division of Macmillan Publishers Limited. All Rights Reserved.","note":"number: 1\npublisher: Nature Publishing Group","page":"42-50","source":"www.nature.com","title":"Biophysical and economic limits to negative CO2 emissions","volume":"6","author":[{"family":"Smith","given":"Pete"},{"family":"Davis","given":"Steven J."},{"family":"Creutzig","given":"Felix"},{"family":"Fuss","given":"Sabine"},{"family":"Minx","given":"Jan"},{"family":"Gabrielle","given":"Benoit"},{"family":"Kato","given":"Etsushi"},{"family":"Jackson","given":"Robert B."},{"family":"Cowie","given":"Annette"},{"family":"Kriegler","given":"Elmar"},{"family":"Vuuren","given":"Detlef P.","non-dropping-particle":"van"},{"family":"Rogelj","given":"Joeri"},{"family":"Ciais","given":"Philippe"},{"family":"Milne","given":"Jennifer"},{"family":"Canadell","given":"Josep G."},{"family":"McCollum","given":"David"},{"family":"Peters","given":"Glen"},{"family":"Andrew","given":"Robbie"},{"family":"Krey","given":"Volker"},{"family":"Shrestha","given":"Gyami"},{"family":"Friedlingstein","given":"Pierre"},{"family":"Gasser","given":"Thomas"},{"family":"Grübler","given":"Arnulf"},{"family":"Heidug","given":"Wolfgang K."},{"family":"Jonas","given":"Matthias"},{"family":"Jones","given":"Chris D."},{"family":"Kraxner","given":"Florian"},{"family":"Littleton","given":"Emma"},{"family":"Lowe","given":"Jason"},{"family":"Moreira","given":"José Roberto"},{"family":"Nakicenovic","given":"Nebojsa"},{"family":"Obersteiner","given":"Michael"},{"family":"Patwardhan","given":"Anand"},{"family":"Rogner","given":"Mathis"},{"family":"Rubin","given":"Ed"},{"family":"Sharifi","given":"Ayyoob"},{"family":"Torvanger","given":"Asbjørn"},{"family":"Yamagata","given":"Yoshiki"},{"family":"Edmonds","given":"Jae"},{"family":"Yongsung","given":"Cho"}],"issued":{"date-parts":[["2016",1]]}}}],"schema":"https://github.com/citation-style-language/schema/raw/master/csl-citation.json"} </w:instrText>
      </w:r>
      <w:r w:rsidR="00D66BCB">
        <w:rPr>
          <w:color w:val="000000" w:themeColor="text1"/>
        </w:rPr>
        <w:fldChar w:fldCharType="separate"/>
      </w:r>
      <w:r w:rsidR="00A573B5" w:rsidRPr="00A573B5">
        <w:rPr>
          <w:rFonts w:ascii="Calibri" w:hAnsi="Calibri" w:cs="Calibri"/>
        </w:rPr>
        <w:t>(Smith et al., 2016)</w:t>
      </w:r>
      <w:r w:rsidR="00D66BCB">
        <w:rPr>
          <w:color w:val="000000" w:themeColor="text1"/>
        </w:rPr>
        <w:fldChar w:fldCharType="end"/>
      </w:r>
      <w:r w:rsidR="00FB17F1">
        <w:rPr>
          <w:color w:val="000000" w:themeColor="text1"/>
        </w:rPr>
        <w:t xml:space="preserve">; </w:t>
      </w:r>
      <w:r w:rsidRPr="0026355E">
        <w:rPr>
          <w:color w:val="000000" w:themeColor="text1"/>
        </w:rPr>
        <w:t>however</w:t>
      </w:r>
      <w:r w:rsidR="006F7DB5">
        <w:rPr>
          <w:color w:val="000000" w:themeColor="text1"/>
        </w:rPr>
        <w:t>,</w:t>
      </w:r>
      <w:r w:rsidRPr="0026355E">
        <w:rPr>
          <w:color w:val="000000" w:themeColor="text1"/>
        </w:rPr>
        <w:t xml:space="preserve"> they have not</w:t>
      </w:r>
      <w:r w:rsidR="00440CC0">
        <w:rPr>
          <w:color w:val="000000" w:themeColor="text1"/>
        </w:rPr>
        <w:t xml:space="preserve"> yet</w:t>
      </w:r>
      <w:r w:rsidRPr="0026355E">
        <w:rPr>
          <w:color w:val="000000" w:themeColor="text1"/>
        </w:rPr>
        <w:t xml:space="preserve"> been deployed at scale in the UK</w:t>
      </w:r>
      <w:r w:rsidR="005C6714">
        <w:rPr>
          <w:color w:val="000000" w:themeColor="text1"/>
        </w:rPr>
        <w:t>, especially in an economically viable way</w:t>
      </w:r>
      <w:r w:rsidR="005C6714" w:rsidRPr="0026355E">
        <w:rPr>
          <w:color w:val="000000" w:themeColor="text1"/>
        </w:rPr>
        <w:t>.</w:t>
      </w:r>
      <w:r w:rsidR="005C6714">
        <w:rPr>
          <w:color w:val="000000" w:themeColor="text1"/>
        </w:rPr>
        <w:t xml:space="preserve"> </w:t>
      </w:r>
      <w:r w:rsidR="008B1E7C">
        <w:rPr>
          <w:color w:val="000000" w:themeColor="text1"/>
        </w:rPr>
        <w:t>One issue</w:t>
      </w:r>
      <w:r w:rsidRPr="0026355E">
        <w:rPr>
          <w:color w:val="000000" w:themeColor="text1"/>
        </w:rPr>
        <w:t xml:space="preserve"> with </w:t>
      </w:r>
      <w:r w:rsidR="008B1E7C">
        <w:rPr>
          <w:color w:val="000000" w:themeColor="text1"/>
        </w:rPr>
        <w:t>BECCS is it</w:t>
      </w:r>
      <w:r w:rsidRPr="0026355E">
        <w:rPr>
          <w:color w:val="000000" w:themeColor="text1"/>
        </w:rPr>
        <w:t xml:space="preserve"> </w:t>
      </w:r>
      <w:r w:rsidR="00832E1C">
        <w:rPr>
          <w:color w:val="000000" w:themeColor="text1"/>
        </w:rPr>
        <w:t>could</w:t>
      </w:r>
      <w:r w:rsidR="00832E1C" w:rsidRPr="0026355E">
        <w:rPr>
          <w:color w:val="000000" w:themeColor="text1"/>
        </w:rPr>
        <w:t xml:space="preserve"> </w:t>
      </w:r>
      <w:r w:rsidRPr="0026355E">
        <w:rPr>
          <w:color w:val="000000" w:themeColor="text1"/>
        </w:rPr>
        <w:t xml:space="preserve">require large areas of agricultural land to be converted to biomass production, </w:t>
      </w:r>
      <w:r w:rsidR="00DA62F0">
        <w:rPr>
          <w:color w:val="000000" w:themeColor="text1"/>
        </w:rPr>
        <w:t>leading to</w:t>
      </w:r>
      <w:r w:rsidRPr="0026355E">
        <w:rPr>
          <w:color w:val="000000" w:themeColor="text1"/>
        </w:rPr>
        <w:t xml:space="preserve"> further competition for food production.</w:t>
      </w:r>
      <w:r w:rsidR="00AB7A2C">
        <w:rPr>
          <w:color w:val="000000" w:themeColor="text1"/>
        </w:rPr>
        <w:t xml:space="preserve"> </w:t>
      </w:r>
      <w:r w:rsidR="007955FA">
        <w:rPr>
          <w:color w:val="000000" w:themeColor="text1"/>
        </w:rPr>
        <w:t>However,</w:t>
      </w:r>
      <w:r w:rsidR="00B349C7">
        <w:rPr>
          <w:color w:val="000000" w:themeColor="text1"/>
        </w:rPr>
        <w:t xml:space="preserve"> </w:t>
      </w:r>
      <w:r w:rsidR="00FF4C23">
        <w:rPr>
          <w:color w:val="000000" w:themeColor="text1"/>
        </w:rPr>
        <w:t xml:space="preserve">this </w:t>
      </w:r>
      <w:r w:rsidR="00031FA8">
        <w:rPr>
          <w:color w:val="000000" w:themeColor="text1"/>
        </w:rPr>
        <w:t xml:space="preserve">could be </w:t>
      </w:r>
      <w:r w:rsidR="000F295D">
        <w:rPr>
          <w:color w:val="000000" w:themeColor="text1"/>
        </w:rPr>
        <w:t>avoided</w:t>
      </w:r>
      <w:r w:rsidR="00031FA8">
        <w:rPr>
          <w:color w:val="000000" w:themeColor="text1"/>
        </w:rPr>
        <w:t xml:space="preserve"> if </w:t>
      </w:r>
      <w:r w:rsidR="008B1E7C">
        <w:rPr>
          <w:color w:val="000000" w:themeColor="text1"/>
        </w:rPr>
        <w:t>BEC</w:t>
      </w:r>
      <w:r w:rsidR="008B1E7C" w:rsidRPr="00A86F25">
        <w:rPr>
          <w:color w:val="000000" w:themeColor="text1"/>
        </w:rPr>
        <w:t xml:space="preserve">CS </w:t>
      </w:r>
      <w:r w:rsidR="007E1761" w:rsidRPr="00A86F25">
        <w:rPr>
          <w:color w:val="000000" w:themeColor="text1"/>
        </w:rPr>
        <w:t>utilise</w:t>
      </w:r>
      <w:r w:rsidR="000F295D" w:rsidRPr="00A86F25">
        <w:rPr>
          <w:color w:val="000000" w:themeColor="text1"/>
        </w:rPr>
        <w:t>d</w:t>
      </w:r>
      <w:r w:rsidR="007E1761" w:rsidRPr="00A86F25">
        <w:rPr>
          <w:color w:val="000000" w:themeColor="text1"/>
        </w:rPr>
        <w:t xml:space="preserve"> </w:t>
      </w:r>
      <w:r w:rsidR="00031FA8" w:rsidRPr="00A86F25">
        <w:rPr>
          <w:color w:val="000000" w:themeColor="text1"/>
        </w:rPr>
        <w:t>existing forestry residue</w:t>
      </w:r>
      <w:r w:rsidR="00F37BE5" w:rsidRPr="00A86F25">
        <w:rPr>
          <w:color w:val="000000" w:themeColor="text1"/>
        </w:rPr>
        <w:t>s</w:t>
      </w:r>
      <w:r w:rsidR="00031FA8" w:rsidRPr="00A86F25">
        <w:rPr>
          <w:color w:val="000000" w:themeColor="text1"/>
        </w:rPr>
        <w:t xml:space="preserve"> </w:t>
      </w:r>
      <w:r w:rsidR="00C37A70" w:rsidRPr="00A86F25">
        <w:rPr>
          <w:color w:val="000000" w:themeColor="text1"/>
        </w:rPr>
        <w:t>(</w:t>
      </w:r>
      <w:r w:rsidR="00031FA8" w:rsidRPr="00A86F25">
        <w:rPr>
          <w:color w:val="000000" w:themeColor="text1"/>
        </w:rPr>
        <w:t>e.g.</w:t>
      </w:r>
      <w:r w:rsidR="007B53A6">
        <w:rPr>
          <w:color w:val="000000" w:themeColor="text1"/>
        </w:rPr>
        <w:t>,</w:t>
      </w:r>
      <w:r w:rsidR="00031FA8" w:rsidRPr="00A86F25">
        <w:rPr>
          <w:color w:val="000000" w:themeColor="text1"/>
        </w:rPr>
        <w:t xml:space="preserve"> low grade wood</w:t>
      </w:r>
      <w:r w:rsidR="00C37A70" w:rsidRPr="00A86F25">
        <w:rPr>
          <w:color w:val="000000" w:themeColor="text1"/>
        </w:rPr>
        <w:t>)</w:t>
      </w:r>
      <w:r w:rsidR="008B1E7C" w:rsidRPr="00A86F25">
        <w:rPr>
          <w:color w:val="000000" w:themeColor="text1"/>
        </w:rPr>
        <w:t xml:space="preserve"> or hedgerow biomass</w:t>
      </w:r>
      <w:r w:rsidR="007E1761" w:rsidRPr="00A86F25">
        <w:rPr>
          <w:color w:val="000000" w:themeColor="text1"/>
        </w:rPr>
        <w:t xml:space="preserve"> </w:t>
      </w:r>
      <w:r w:rsidR="001F45E4" w:rsidRPr="00A86F25">
        <w:rPr>
          <w:color w:val="000000" w:themeColor="text1"/>
        </w:rPr>
        <w:fldChar w:fldCharType="begin"/>
      </w:r>
      <w:r w:rsidR="001F45E4" w:rsidRPr="00A86F25">
        <w:rPr>
          <w:color w:val="000000" w:themeColor="text1"/>
        </w:rPr>
        <w:instrText xml:space="preserve"> ADDIN ZOTERO_ITEM CSL_CITATION {"citationID":"wGqyOQz2","properties":{"formattedCitation":"(Smith et al., 2016)","plainCitation":"(Smith et al., 2016)","noteIndex":0},"citationItems":[{"id":1150,"uris":["http://zotero.org/users/6500992/items/RB56KWAV"],"itemData":{"id":1150,"type":"article-journal","abstract":"Scenario analyses suggest that negative emissions technologies (NETs) are necessary to limit dangerous warming. Here the authors assess the biophysical limits to, and economic costs of, the widespread application of NETs.","container-title":"Nature Climate Change","DOI":"10.1038/nclimate2870","ISSN":"1758-6798","issue":"1","journalAbbreviation":"Nature Clim Change","language":"en","license":"2015 Nature Publishing Group, a division of Macmillan Publishers Limited. All Rights Reserved.","note":"number: 1\npublisher: Nature Publishing Group","page":"42-50","source":"www.nature.com","title":"Biophysical and economic limits to negative CO2 emissions","volume":"6","author":[{"family":"Smith","given":"Pete"},{"family":"Davis","given":"Steven J."},{"family":"Creutzig","given":"Felix"},{"family":"Fuss","given":"Sabine"},{"family":"Minx","given":"Jan"},{"family":"Gabrielle","given":"Benoit"},{"family":"Kato","given":"Etsushi"},{"family":"Jackson","given":"Robert B."},{"family":"Cowie","given":"Annette"},{"family":"Kriegler","given":"Elmar"},{"family":"Vuuren","given":"Detlef P.","non-dropping-particle":"van"},{"family":"Rogelj","given":"Joeri"},{"family":"Ciais","given":"Philippe"},{"family":"Milne","given":"Jennifer"},{"family":"Canadell","given":"Josep G."},{"family":"McCollum","given":"David"},{"family":"Peters","given":"Glen"},{"family":"Andrew","given":"Robbie"},{"family":"Krey","given":"Volker"},{"family":"Shrestha","given":"Gyami"},{"family":"Friedlingstein","given":"Pierre"},{"family":"Gasser","given":"Thomas"},{"family":"Grübler","given":"Arnulf"},{"family":"Heidug","given":"Wolfgang K."},{"family":"Jonas","given":"Matthias"},{"family":"Jones","given":"Chris D."},{"family":"Kraxner","given":"Florian"},{"family":"Littleton","given":"Emma"},{"family":"Lowe","given":"Jason"},{"family":"Moreira","given":"José Roberto"},{"family":"Nakicenovic","given":"Nebojsa"},{"family":"Obersteiner","given":"Michael"},{"family":"Patwardhan","given":"Anand"},{"family":"Rogner","given":"Mathis"},{"family":"Rubin","given":"Ed"},{"family":"Sharifi","given":"Ayyoob"},{"family":"Torvanger","given":"Asbjørn"},{"family":"Yamagata","given":"Yoshiki"},{"family":"Edmonds","given":"Jae"},{"family":"Yongsung","given":"Cho"}],"issued":{"date-parts":[["2016",1]]}}}],"schema":"https://github.com/citation-style-language/schema/raw/master/csl-citation.json"} </w:instrText>
      </w:r>
      <w:r w:rsidR="001F45E4" w:rsidRPr="00A86F25">
        <w:rPr>
          <w:color w:val="000000" w:themeColor="text1"/>
        </w:rPr>
        <w:fldChar w:fldCharType="separate"/>
      </w:r>
      <w:r w:rsidR="00A573B5" w:rsidRPr="00A573B5">
        <w:rPr>
          <w:rFonts w:ascii="Calibri" w:hAnsi="Calibri" w:cs="Calibri"/>
        </w:rPr>
        <w:t>(Smith et al., 2016)</w:t>
      </w:r>
      <w:r w:rsidR="001F45E4" w:rsidRPr="00A86F25">
        <w:rPr>
          <w:color w:val="000000" w:themeColor="text1"/>
        </w:rPr>
        <w:fldChar w:fldCharType="end"/>
      </w:r>
      <w:r w:rsidR="00031FA8" w:rsidRPr="00A86F25">
        <w:rPr>
          <w:color w:val="000000" w:themeColor="text1"/>
        </w:rPr>
        <w:t>.</w:t>
      </w:r>
      <w:r w:rsidR="00685DFB" w:rsidRPr="00A86F25">
        <w:rPr>
          <w:color w:val="000000" w:themeColor="text1"/>
        </w:rPr>
        <w:t xml:space="preserve"> Compared to other </w:t>
      </w:r>
      <w:r w:rsidR="006365F4" w:rsidRPr="00A86F25">
        <w:rPr>
          <w:color w:val="000000" w:themeColor="text1"/>
        </w:rPr>
        <w:t xml:space="preserve">feedstocks, forestry residues generally have a </w:t>
      </w:r>
      <w:r w:rsidR="007904D3" w:rsidRPr="00A86F25">
        <w:rPr>
          <w:color w:val="000000" w:themeColor="text1"/>
        </w:rPr>
        <w:t>lower environmental impact</w:t>
      </w:r>
      <w:r w:rsidR="00E7597B" w:rsidRPr="00A86F25">
        <w:rPr>
          <w:color w:val="000000" w:themeColor="text1"/>
        </w:rPr>
        <w:t>, h</w:t>
      </w:r>
      <w:r w:rsidR="007904D3" w:rsidRPr="00A86F25">
        <w:rPr>
          <w:color w:val="000000" w:themeColor="text1"/>
        </w:rPr>
        <w:t xml:space="preserve">owever, </w:t>
      </w:r>
      <w:r w:rsidR="00E7597B" w:rsidRPr="00A86F25">
        <w:rPr>
          <w:color w:val="000000" w:themeColor="text1"/>
        </w:rPr>
        <w:t xml:space="preserve">they </w:t>
      </w:r>
      <w:r w:rsidR="007904D3" w:rsidRPr="00A86F25">
        <w:rPr>
          <w:color w:val="000000" w:themeColor="text1"/>
        </w:rPr>
        <w:t xml:space="preserve">are also limited in availability and </w:t>
      </w:r>
      <w:r w:rsidR="002A4646" w:rsidRPr="00A86F25">
        <w:rPr>
          <w:color w:val="000000" w:themeColor="text1"/>
        </w:rPr>
        <w:t xml:space="preserve">more difficult </w:t>
      </w:r>
      <w:r w:rsidR="007904D3" w:rsidRPr="00A86F25">
        <w:rPr>
          <w:color w:val="000000" w:themeColor="text1"/>
        </w:rPr>
        <w:t>to collect</w:t>
      </w:r>
      <w:r w:rsidR="00840CDE" w:rsidRPr="00A86F25">
        <w:rPr>
          <w:color w:val="000000" w:themeColor="text1"/>
        </w:rPr>
        <w:t xml:space="preserve"> </w:t>
      </w:r>
      <w:r w:rsidR="00840CDE" w:rsidRPr="00A86F25">
        <w:rPr>
          <w:color w:val="000000" w:themeColor="text1"/>
        </w:rPr>
        <w:fldChar w:fldCharType="begin"/>
      </w:r>
      <w:r w:rsidR="00840CDE" w:rsidRPr="00A86F25">
        <w:rPr>
          <w:color w:val="000000" w:themeColor="text1"/>
        </w:rPr>
        <w:instrText xml:space="preserve"> ADDIN ZOTERO_ITEM CSL_CITATION {"citationID":"4ggQQ1Um","properties":{"formattedCitation":"(Brack and King, 2021)","plainCitation":"(Brack and King, 2021)","noteIndex":0},"citationItems":[{"id":1420,"uris":["http://zotero.org/users/6500992/items/ZZZ4VJ3I"],"itemData":{"id":1420,"type":"article-journal","abstract":"Decisions about when, where and how to achieve widespread carbon dioxide removal (CDR) are urgently required. Delays in developing the requisite policy and regulatory frameworks increase the risks of overshooting climate goals and will necessitate much larger negative emissions initiatives in the future. Yet the deployment of bioenergy with carbon capture and storage (BECCS) at the scales assumed under most Paris-Agreement-compliant emission-reduction pathways is unlikely. More generally, the sustainability of large-scale BECCS is questionable given its extensive land, water, and energy requirements for feedstocks and the competing necessity of these resources for the provision of ecosystem services and attainment of multiple Sustainable Development Goals. BECCS on a more limited scale, however, could have more benign impacts if feedstocks were restricted to wastes and residues. There is also widespread recognition that extensive afforestation, reforestation and forest restoration have critical roles in reducing greenhouse gas emissions to net zero. To date there has been little focus on the optimum strategies for integrating land-based CDR approaches – under which circumstances forest areas are best left undisturbed, managed for conservation, and/or managed for harvested wood products, and how these options affect the availability of residual feedstocks for BECCS. This paper reviews this debate and suggests appropriate policy measures.","container-title":"Global Policy","DOI":"10.1111/1758-5899.12827","ISSN":"1758-5899","issue":"S1","language":"en","license":"© 2020 Durham University and John Wiley &amp; Sons Ltd","note":"_eprint: https://onlinelibrary.wiley.com/doi/pdf/10.1111/1758-5899.12827","page":"45-56","source":"Wiley Online Library","title":"Managing Land-based CDR: BECCS, Forests and Carbon Sequestration","title-short":"Managing Land-based CDR","volume":"12","author":[{"family":"Brack","given":"Duncan"},{"family":"King","given":"Richard"}],"issued":{"date-parts":[["2021"]]}}}],"schema":"https://github.com/citation-style-language/schema/raw/master/csl-citation.json"} </w:instrText>
      </w:r>
      <w:r w:rsidR="00840CDE" w:rsidRPr="00A86F25">
        <w:rPr>
          <w:color w:val="000000" w:themeColor="text1"/>
        </w:rPr>
        <w:fldChar w:fldCharType="separate"/>
      </w:r>
      <w:r w:rsidR="00A573B5" w:rsidRPr="00A573B5">
        <w:rPr>
          <w:rFonts w:ascii="Calibri" w:hAnsi="Calibri" w:cs="Calibri"/>
        </w:rPr>
        <w:t>(Brack and King, 2021)</w:t>
      </w:r>
      <w:r w:rsidR="00840CDE" w:rsidRPr="00A86F25">
        <w:rPr>
          <w:color w:val="000000" w:themeColor="text1"/>
        </w:rPr>
        <w:fldChar w:fldCharType="end"/>
      </w:r>
      <w:r w:rsidR="00840CDE">
        <w:rPr>
          <w:color w:val="000000" w:themeColor="text1"/>
        </w:rPr>
        <w:t xml:space="preserve">. </w:t>
      </w:r>
      <w:r w:rsidR="007E1761">
        <w:rPr>
          <w:color w:val="000000" w:themeColor="text1"/>
        </w:rPr>
        <w:t xml:space="preserve">DACCS </w:t>
      </w:r>
      <w:r w:rsidR="00AF6602">
        <w:rPr>
          <w:color w:val="000000" w:themeColor="text1"/>
        </w:rPr>
        <w:t>has</w:t>
      </w:r>
      <w:r w:rsidR="000653A5">
        <w:rPr>
          <w:color w:val="000000" w:themeColor="text1"/>
        </w:rPr>
        <w:t xml:space="preserve"> the additional benefit of requiring </w:t>
      </w:r>
      <w:r w:rsidR="002E266B">
        <w:rPr>
          <w:color w:val="000000" w:themeColor="text1"/>
        </w:rPr>
        <w:t xml:space="preserve">little or no land </w:t>
      </w:r>
      <w:r w:rsidR="00317335">
        <w:rPr>
          <w:color w:val="000000" w:themeColor="text1"/>
        </w:rPr>
        <w:t>requirement and</w:t>
      </w:r>
      <w:r w:rsidR="000653A5">
        <w:rPr>
          <w:color w:val="000000" w:themeColor="text1"/>
        </w:rPr>
        <w:t xml:space="preserve"> </w:t>
      </w:r>
      <w:r w:rsidR="00DA62F0" w:rsidRPr="001C4923">
        <w:rPr>
          <w:color w:val="000000" w:themeColor="text1"/>
        </w:rPr>
        <w:t xml:space="preserve">could </w:t>
      </w:r>
      <w:r w:rsidR="000653A5" w:rsidRPr="001C4923">
        <w:rPr>
          <w:color w:val="000000" w:themeColor="text1"/>
        </w:rPr>
        <w:t>act as an alternative carbon sink</w:t>
      </w:r>
      <w:r w:rsidR="00C108AC" w:rsidRPr="001C4923">
        <w:rPr>
          <w:color w:val="000000" w:themeColor="text1"/>
        </w:rPr>
        <w:t xml:space="preserve"> which </w:t>
      </w:r>
      <w:r w:rsidR="00F82A46" w:rsidRPr="001C4923">
        <w:rPr>
          <w:color w:val="000000" w:themeColor="text1"/>
        </w:rPr>
        <w:t>would</w:t>
      </w:r>
      <w:r w:rsidR="00C108AC" w:rsidRPr="001C4923">
        <w:rPr>
          <w:color w:val="000000" w:themeColor="text1"/>
        </w:rPr>
        <w:t xml:space="preserve"> minimi</w:t>
      </w:r>
      <w:r w:rsidR="00FB17F1">
        <w:rPr>
          <w:color w:val="000000" w:themeColor="text1"/>
        </w:rPr>
        <w:t>s</w:t>
      </w:r>
      <w:r w:rsidR="00C108AC" w:rsidRPr="001C4923">
        <w:rPr>
          <w:color w:val="000000" w:themeColor="text1"/>
        </w:rPr>
        <w:t>e the impacts on food production.</w:t>
      </w:r>
      <w:r w:rsidR="00D82FF8">
        <w:rPr>
          <w:color w:val="000000" w:themeColor="text1"/>
        </w:rPr>
        <w:t xml:space="preserve"> </w:t>
      </w:r>
      <w:r w:rsidR="00CD1CCD">
        <w:rPr>
          <w:color w:val="000000" w:themeColor="text1"/>
        </w:rPr>
        <w:t>F</w:t>
      </w:r>
      <w:r w:rsidR="00D82FF8">
        <w:rPr>
          <w:color w:val="000000" w:themeColor="text1"/>
        </w:rPr>
        <w:t>or farms with</w:t>
      </w:r>
      <w:r w:rsidR="003A55E8">
        <w:rPr>
          <w:color w:val="000000" w:themeColor="text1"/>
        </w:rPr>
        <w:t xml:space="preserve"> </w:t>
      </w:r>
      <w:r w:rsidR="00D82FF8">
        <w:rPr>
          <w:color w:val="000000" w:themeColor="text1"/>
        </w:rPr>
        <w:t xml:space="preserve">degraded peatland, </w:t>
      </w:r>
      <w:r w:rsidR="00CD1CCD">
        <w:rPr>
          <w:color w:val="000000" w:themeColor="text1"/>
        </w:rPr>
        <w:t xml:space="preserve">re-wetting and </w:t>
      </w:r>
      <w:r w:rsidR="00D82FF8">
        <w:rPr>
          <w:color w:val="000000" w:themeColor="text1"/>
        </w:rPr>
        <w:t xml:space="preserve">restoration </w:t>
      </w:r>
      <w:r w:rsidR="00CC66FC">
        <w:rPr>
          <w:color w:val="000000" w:themeColor="text1"/>
        </w:rPr>
        <w:t xml:space="preserve">measures </w:t>
      </w:r>
      <w:r w:rsidR="00CD1CCD">
        <w:rPr>
          <w:color w:val="000000" w:themeColor="text1"/>
        </w:rPr>
        <w:t xml:space="preserve">could </w:t>
      </w:r>
      <w:r w:rsidR="00CC66FC">
        <w:rPr>
          <w:color w:val="000000" w:themeColor="text1"/>
        </w:rPr>
        <w:t xml:space="preserve">both reduce emissions and be an effective mechanism for </w:t>
      </w:r>
      <w:r w:rsidR="009C51FC">
        <w:rPr>
          <w:color w:val="000000" w:themeColor="text1"/>
        </w:rPr>
        <w:t xml:space="preserve">increasing long-term </w:t>
      </w:r>
      <w:r w:rsidR="00CC66FC">
        <w:rPr>
          <w:color w:val="000000" w:themeColor="text1"/>
        </w:rPr>
        <w:t xml:space="preserve">sequestration </w:t>
      </w:r>
      <w:r w:rsidR="00CD1CCD">
        <w:rPr>
          <w:color w:val="000000" w:themeColor="text1"/>
        </w:rPr>
        <w:fldChar w:fldCharType="begin"/>
      </w:r>
      <w:r w:rsidR="003847D5">
        <w:rPr>
          <w:color w:val="000000" w:themeColor="text1"/>
        </w:rPr>
        <w:instrText xml:space="preserve"> ADDIN ZOTERO_ITEM CSL_CITATION {"citationID":"fJ6LGCDY","properties":{"formattedCitation":"(Bonn et al., 2014; Darusman et al., 2023)","plainCitation":"(Bonn et al., 2014; Darusman et al., 2023)","noteIndex":0},"citationItems":[{"id":1415,"uris":["http://zotero.org/users/6500992/items/2CKWCVZ2"],"itemData":{"id":1415,"type":"article-journal","abstract":"To meet the challenge of proactive ecosystem-based climate mitigation and adaptation, new sources of funding are needed. Peatlands provide the most efficient global store of terrestrial carbon. Degraded peatlands, however, contribute disproportionally to global greenhouse gas (GHG) emissions, with approximately 25% of all CO2 emissions from the land use sector, while restoration can be cost-effective. Peatland restoration therefore provides a newopportunity for investing in ecosystem-based mitigation through the development of carbon markets. Set in the international policy and carbon market context, this paper demonstrates the necessary scientific evidence and policy frameworks needed to develop ecosystem service markets for peatland restoration. Using the UK and NE Germany as case studies, we outline the climate change mitigation potential of peatlands and how changes in GHG emissions after restoration may be measured. We report on market demand research in carbon market investments that provide sponsors with quantification and officially certified recognition of the climate and other co-benefits. Building on this, we develop the necessary requirements for developing regional carbon markets to fund peatland restoration. While this paper focuses on the UK and German context, it draws on international experience, and is likely to be directly applicable across peatlands in Europe and North America.","container-title":"Ecosystem Services","DOI":"10.1016/j.ecoser.2014.06.011","ISSN":"2212-0416","journalAbbreviation":"Ecosystem Services","language":"en","page":"54-65","source":"ScienceDirect","title":"Investing in nature: Developing ecosystem service markets for peatland restoration","title-short":"Investing in nature","volume":"9","author":[{"family":"Bonn","given":"Aletta"},{"family":"Reed","given":"Mark S."},{"family":"Evans","given":"Chris D."},{"family":"Joosten","given":"Hans"},{"family":"Bain","given":"Clifton"},{"family":"Farmer","given":"Jenny"},{"family":"Emmer","given":"Igino"},{"family":"Couwenberg","given":"John"},{"family":"Moxey","given":"Andrew"},{"family":"Artz","given":"Rebekka"},{"family":"Tanneberger","given":"Franziska"},{"family":"Unger","given":"Moritz","non-dropping-particle":"von"},{"family":"Smyth","given":"Mary-Ann"},{"family":"Birnie","given":"Dick"}],"issued":{"date-parts":[["2014",9,1]]}}},{"id":1418,"uris":["http://zotero.org/users/6500992/items/J9UN296Z"],"itemData":{"id":1418,"type":"article-journal","abstract":"Numerous studies claim that rewetting interventions reduce CO2 and increase CH4 fluxes. To verify the claim, we conducted a systematic review and meta-analysis of the effects of rewetting on CO2 and CH4 fluxes and dissolved organic carbon (DOC). We identified 28 primary articles eligible for meta-analysis, from which we calculated 48 effect sizes for CO2 emissions, 67 effect sizes for CH4 emissions, and 5 effect sizes for DOC. We found that rewetting significantly decreased CO2 fluxes, with temperate zones showing the highest Hedges’ g effect size (−0.798 ± 0.229), followed by tropical (−0.338 ± 0.269) and boreal (−0.209 ± 0.372) zones. Meanwhile, rewetting increased CH4 fluxes, with the highest Hedges’ g effect size shown in temperate zones (1.108 ± 0.144), followed by boreal (0.805 ± 0.183) and tropical (0.096 ± 0.284) zones. In addition, based on yearly monitoring after rewetting, the CH4 emissions effect size increased significantly over the first 4 years (r2 = 0.853). Overall, the rewetting intervention reduced CO2 emissions by −1.43 ± 0.35 Mg CO2–C ha−1 year−1, increased CH4 emissions by 0.033 ± 0.003 Mg CH4–C ha−1 year−1, and had no significant impact on DOC. To improve the precision and reduce the bias of rewetting effect size quantification, it is recommended to conduct more experimental studies with extended monitoring periods using larger sample sizes and apply the before-after control-impact study design, especially in boreal and tropical climate zones.","container-title":"Mitigation and Adaptation Strategies for Global Change","DOI":"10.1007/s11027-023-10046-9","ISSN":"1573-1596","issue":"3","journalAbbreviation":"Mitig Adapt Strateg Glob Change","language":"en","page":"10","source":"Springer Link","title":"Effect of rewetting degraded peatlands on carbon fluxes: a meta-analysis","title-short":"Effect of rewetting degraded peatlands on carbon fluxes","volume":"28","author":[{"family":"Darusman","given":"Taryono"},{"family":"Murdiyarso","given":"Daniel"},{"literal":"Impron"},{"family":"Anas","given":"Iswandi"}],"issued":{"date-parts":[["2023",2,16]]}}}],"schema":"https://github.com/citation-style-language/schema/raw/master/csl-citation.json"} </w:instrText>
      </w:r>
      <w:r w:rsidR="00CD1CCD">
        <w:rPr>
          <w:color w:val="000000" w:themeColor="text1"/>
        </w:rPr>
        <w:fldChar w:fldCharType="separate"/>
      </w:r>
      <w:r w:rsidR="00A573B5" w:rsidRPr="00A573B5">
        <w:rPr>
          <w:rFonts w:ascii="Calibri" w:hAnsi="Calibri" w:cs="Calibri"/>
        </w:rPr>
        <w:t>(Bonn et al., 2014; Darusman et al., 2023)</w:t>
      </w:r>
      <w:r w:rsidR="00CD1CCD">
        <w:rPr>
          <w:color w:val="000000" w:themeColor="text1"/>
        </w:rPr>
        <w:fldChar w:fldCharType="end"/>
      </w:r>
      <w:r w:rsidR="003847D5">
        <w:rPr>
          <w:color w:val="000000" w:themeColor="text1"/>
        </w:rPr>
        <w:t>.</w:t>
      </w:r>
      <w:r w:rsidR="00D40CCB">
        <w:rPr>
          <w:color w:val="000000" w:themeColor="text1"/>
        </w:rPr>
        <w:t xml:space="preserve"> </w:t>
      </w:r>
    </w:p>
    <w:p w14:paraId="25945548" w14:textId="77777777" w:rsidR="000653A5" w:rsidRPr="001C4923" w:rsidRDefault="000653A5" w:rsidP="00BA3E62">
      <w:pPr>
        <w:pStyle w:val="NoSpacing"/>
        <w:spacing w:line="360" w:lineRule="auto"/>
        <w:jc w:val="both"/>
        <w:rPr>
          <w:color w:val="000000" w:themeColor="text1"/>
        </w:rPr>
      </w:pPr>
    </w:p>
    <w:p w14:paraId="6D96FA8F" w14:textId="38B01A80" w:rsidR="00A10E06" w:rsidRDefault="0002605B" w:rsidP="00BA3E62">
      <w:pPr>
        <w:pStyle w:val="NoSpacing"/>
        <w:spacing w:line="360" w:lineRule="auto"/>
        <w:jc w:val="both"/>
      </w:pPr>
      <w:r w:rsidRPr="001C4923">
        <w:t>The competition for land use is highlighted in the</w:t>
      </w:r>
      <w:r w:rsidR="006F4CF6" w:rsidRPr="001C4923">
        <w:t xml:space="preserve"> difference between the</w:t>
      </w:r>
      <w:r w:rsidR="0009239D" w:rsidRPr="001C4923">
        <w:t xml:space="preserve"> baseline</w:t>
      </w:r>
      <w:r w:rsidRPr="001C4923">
        <w:t xml:space="preserve"> area footprint</w:t>
      </w:r>
      <w:r w:rsidR="0009239D" w:rsidRPr="001C4923">
        <w:t>s of farms</w:t>
      </w:r>
      <w:r w:rsidRPr="001C4923">
        <w:t xml:space="preserve"> </w:t>
      </w:r>
      <w:r w:rsidR="0009239D" w:rsidRPr="001C4923">
        <w:t>and the</w:t>
      </w:r>
      <w:r w:rsidR="006F4CF6" w:rsidRPr="001C4923">
        <w:t xml:space="preserve"> area footprint when the offset </w:t>
      </w:r>
      <w:r w:rsidR="0009239D" w:rsidRPr="001C4923">
        <w:t xml:space="preserve">needed to achieve </w:t>
      </w:r>
      <w:r w:rsidR="00AB7536" w:rsidRPr="001C4923">
        <w:t>Net Zero</w:t>
      </w:r>
      <w:r w:rsidR="0009239D" w:rsidRPr="001C4923">
        <w:t xml:space="preserve"> </w:t>
      </w:r>
      <w:r w:rsidR="006F4CF6" w:rsidRPr="001C4923">
        <w:t>is included.</w:t>
      </w:r>
      <w:r w:rsidR="0009239D" w:rsidRPr="001C4923">
        <w:t xml:space="preserve"> </w:t>
      </w:r>
      <w:r w:rsidR="00C85F56" w:rsidRPr="001C4923">
        <w:rPr>
          <w:rFonts w:cstheme="minorHAnsi"/>
        </w:rPr>
        <w:t>The area footprint notably increases from the baseline</w:t>
      </w:r>
      <w:r w:rsidR="00CD51F2" w:rsidRPr="001C4923">
        <w:rPr>
          <w:rFonts w:cstheme="minorHAnsi"/>
        </w:rPr>
        <w:t xml:space="preserve"> average of </w:t>
      </w:r>
      <w:r w:rsidR="00C85F56" w:rsidRPr="001C4923">
        <w:rPr>
          <w:rFonts w:cstheme="minorHAnsi"/>
        </w:rPr>
        <w:t>58.</w:t>
      </w:r>
      <w:r w:rsidR="00665649" w:rsidRPr="001C4923">
        <w:rPr>
          <w:rFonts w:cstheme="minorHAnsi"/>
        </w:rPr>
        <w:t>8</w:t>
      </w:r>
      <w:r w:rsidR="00CD51F2" w:rsidRPr="001C4923">
        <w:rPr>
          <w:rFonts w:ascii="Calibri" w:hAnsi="Calibri" w:cs="Calibri"/>
        </w:rPr>
        <w:t xml:space="preserve"> m</w:t>
      </w:r>
      <w:proofErr w:type="gramStart"/>
      <w:r w:rsidR="00CD51F2" w:rsidRPr="001C4923">
        <w:rPr>
          <w:rFonts w:ascii="Calibri" w:hAnsi="Calibri" w:cs="Calibri"/>
        </w:rPr>
        <w:t>².yr</w:t>
      </w:r>
      <w:proofErr w:type="gramEnd"/>
      <w:r w:rsidR="00CD51F2" w:rsidRPr="001C4923">
        <w:rPr>
          <w:rFonts w:ascii="Calibri" w:hAnsi="Calibri" w:cs="Calibri"/>
        </w:rPr>
        <w:t xml:space="preserve"> kg</w:t>
      </w:r>
      <w:r w:rsidR="00CD51F2" w:rsidRPr="001C4923">
        <w:rPr>
          <w:rFonts w:ascii="Calibri" w:hAnsi="Calibri" w:cs="Calibri"/>
          <w:vertAlign w:val="superscript"/>
        </w:rPr>
        <w:t>-1</w:t>
      </w:r>
      <w:r w:rsidR="00287F54">
        <w:rPr>
          <w:rFonts w:cstheme="minorHAnsi"/>
        </w:rPr>
        <w:t xml:space="preserve"> dwt </w:t>
      </w:r>
      <w:r w:rsidR="00C85F56" w:rsidRPr="001C4923">
        <w:rPr>
          <w:rFonts w:cstheme="minorHAnsi"/>
        </w:rPr>
        <w:t xml:space="preserve">to </w:t>
      </w:r>
      <w:r w:rsidR="00CD51F2" w:rsidRPr="001C4923">
        <w:rPr>
          <w:rFonts w:cstheme="minorHAnsi"/>
        </w:rPr>
        <w:t xml:space="preserve">an average of </w:t>
      </w:r>
      <w:r w:rsidR="00C85F56" w:rsidRPr="001C4923">
        <w:rPr>
          <w:rFonts w:cstheme="minorHAnsi"/>
        </w:rPr>
        <w:t>7</w:t>
      </w:r>
      <w:r w:rsidR="001C4923" w:rsidRPr="001C4923">
        <w:rPr>
          <w:rFonts w:cstheme="minorHAnsi"/>
        </w:rPr>
        <w:t>6.1</w:t>
      </w:r>
      <w:r w:rsidR="00C85F56" w:rsidRPr="001C4923">
        <w:rPr>
          <w:rFonts w:cstheme="minorHAnsi"/>
        </w:rPr>
        <w:t xml:space="preserve"> </w:t>
      </w:r>
      <w:r w:rsidR="003275C8" w:rsidRPr="001C4923">
        <w:rPr>
          <w:rFonts w:ascii="Calibri" w:hAnsi="Calibri" w:cs="Calibri"/>
        </w:rPr>
        <w:t>m².yr kg</w:t>
      </w:r>
      <w:r w:rsidR="003275C8" w:rsidRPr="001C4923">
        <w:rPr>
          <w:rFonts w:ascii="Calibri" w:hAnsi="Calibri" w:cs="Calibri"/>
          <w:vertAlign w:val="superscript"/>
        </w:rPr>
        <w:t>-1</w:t>
      </w:r>
      <w:r w:rsidR="00287F54">
        <w:rPr>
          <w:rFonts w:ascii="Calibri" w:hAnsi="Calibri" w:cs="Calibri"/>
          <w:vertAlign w:val="superscript"/>
        </w:rPr>
        <w:t xml:space="preserve"> </w:t>
      </w:r>
      <w:r w:rsidR="00287F54" w:rsidRPr="00AA0331">
        <w:rPr>
          <w:rFonts w:ascii="Calibri" w:hAnsi="Calibri" w:cs="Calibri"/>
        </w:rPr>
        <w:t>dwt</w:t>
      </w:r>
      <w:r w:rsidR="00287F54">
        <w:rPr>
          <w:rFonts w:ascii="Calibri" w:hAnsi="Calibri" w:cs="Calibri"/>
          <w:vertAlign w:val="superscript"/>
        </w:rPr>
        <w:t xml:space="preserve"> </w:t>
      </w:r>
      <w:r w:rsidR="0009239D" w:rsidRPr="001C4923">
        <w:rPr>
          <w:rFonts w:cstheme="minorHAnsi"/>
        </w:rPr>
        <w:t>when</w:t>
      </w:r>
      <w:r w:rsidR="00CD51F2" w:rsidRPr="001C4923">
        <w:rPr>
          <w:rFonts w:cstheme="minorHAnsi"/>
        </w:rPr>
        <w:t xml:space="preserve"> including </w:t>
      </w:r>
      <w:r w:rsidR="0009239D" w:rsidRPr="001C4923">
        <w:rPr>
          <w:rFonts w:cstheme="minorHAnsi"/>
        </w:rPr>
        <w:t>offset</w:t>
      </w:r>
      <w:r w:rsidR="00CD51F2" w:rsidRPr="001C4923">
        <w:rPr>
          <w:rFonts w:cstheme="minorHAnsi"/>
        </w:rPr>
        <w:t xml:space="preserve"> area</w:t>
      </w:r>
      <w:r w:rsidR="00A50800" w:rsidRPr="001C4923">
        <w:rPr>
          <w:rFonts w:cstheme="minorHAnsi"/>
        </w:rPr>
        <w:t>.</w:t>
      </w:r>
      <w:r w:rsidR="0009239D" w:rsidRPr="001C4923">
        <w:t xml:space="preserve"> </w:t>
      </w:r>
      <w:r w:rsidR="008C0998" w:rsidRPr="001C4923">
        <w:t xml:space="preserve">The apparent area efficiency decreased linearly when </w:t>
      </w:r>
      <w:r w:rsidR="008C0998" w:rsidRPr="001C4923">
        <w:lastRenderedPageBreak/>
        <w:t>comparing baseline area footprints with footprints from Net Zero scenarios which include the offset</w:t>
      </w:r>
      <w:r w:rsidR="008C0998">
        <w:t xml:space="preserve"> area. However, the ranking of farms was largely unaffected</w:t>
      </w:r>
      <w:r w:rsidR="00FB17F1">
        <w:t>,</w:t>
      </w:r>
      <w:r w:rsidR="008C0998">
        <w:t xml:space="preserve"> even following mitigation</w:t>
      </w:r>
      <w:r w:rsidR="00DE5277">
        <w:t xml:space="preserve"> (Figure </w:t>
      </w:r>
      <w:r w:rsidR="0098517D">
        <w:t>C.20</w:t>
      </w:r>
      <w:r w:rsidR="00DE5277">
        <w:t>)</w:t>
      </w:r>
      <w:r w:rsidR="008C0998">
        <w:t xml:space="preserve">. </w:t>
      </w:r>
      <w:r w:rsidR="00154E50">
        <w:t xml:space="preserve">Significantly more land will be needed </w:t>
      </w:r>
      <w:r w:rsidR="00923437">
        <w:t xml:space="preserve">if </w:t>
      </w:r>
      <w:r w:rsidR="0006045C">
        <w:t xml:space="preserve">the same </w:t>
      </w:r>
      <w:r w:rsidR="00923437">
        <w:t>quantity of meat is to be produced</w:t>
      </w:r>
      <w:r w:rsidR="00CB464E">
        <w:t xml:space="preserve"> in a</w:t>
      </w:r>
      <w:r w:rsidR="00923437">
        <w:t xml:space="preserve"> </w:t>
      </w:r>
      <w:r w:rsidR="008A2FA7">
        <w:t xml:space="preserve">carbon </w:t>
      </w:r>
      <w:r w:rsidR="004C2722">
        <w:t>neutral</w:t>
      </w:r>
      <w:r w:rsidR="00CB464E">
        <w:t xml:space="preserve"> manner</w:t>
      </w:r>
      <w:r w:rsidR="009E0FB1">
        <w:t>, h</w:t>
      </w:r>
      <w:r w:rsidR="0016070C">
        <w:t>owever, it is unclear where this additional land could come from. Reducing food production on UK farms for sequestration purposes would not be a sensible mitigation strategy if it results in importing food from more GHG</w:t>
      </w:r>
      <w:r w:rsidR="00CD51F2">
        <w:t>-</w:t>
      </w:r>
      <w:r w:rsidR="0016070C">
        <w:t xml:space="preserve">intensive production systems. </w:t>
      </w:r>
      <w:r w:rsidR="007F4765">
        <w:t>Moreover, t</w:t>
      </w:r>
      <w:r w:rsidR="00D86391">
        <w:t xml:space="preserve">his would have huge social, economic, and environmental implications which were also </w:t>
      </w:r>
      <w:r w:rsidR="00AD26D1">
        <w:t xml:space="preserve">not </w:t>
      </w:r>
      <w:r w:rsidR="00D86391">
        <w:t xml:space="preserve">considered in this study. </w:t>
      </w:r>
      <w:r w:rsidR="005C6714">
        <w:t xml:space="preserve">The purpose of </w:t>
      </w:r>
      <w:r w:rsidR="00DC2206">
        <w:t xml:space="preserve">this </w:t>
      </w:r>
      <w:r w:rsidR="004C745A">
        <w:t xml:space="preserve">paper </w:t>
      </w:r>
      <w:r w:rsidR="005C6714">
        <w:t xml:space="preserve">was to </w:t>
      </w:r>
      <w:r w:rsidR="004C745A">
        <w:t xml:space="preserve">focus </w:t>
      </w:r>
      <w:r w:rsidR="002C6982">
        <w:t xml:space="preserve">on </w:t>
      </w:r>
      <w:r w:rsidR="005C6714">
        <w:t>the potential for</w:t>
      </w:r>
      <w:r w:rsidR="0014644D">
        <w:t xml:space="preserve"> </w:t>
      </w:r>
      <w:r w:rsidR="006F7FC5">
        <w:t>GHG mitigation</w:t>
      </w:r>
      <w:r w:rsidR="002C6982">
        <w:t xml:space="preserve"> at a farm level</w:t>
      </w:r>
      <w:r w:rsidR="0014644D">
        <w:t xml:space="preserve">; </w:t>
      </w:r>
      <w:r w:rsidR="004C745A">
        <w:t xml:space="preserve">many </w:t>
      </w:r>
      <w:r w:rsidR="00990A67">
        <w:t xml:space="preserve">other studies </w:t>
      </w:r>
      <w:r w:rsidR="005B1267">
        <w:t xml:space="preserve">have </w:t>
      </w:r>
      <w:r w:rsidR="006064A2">
        <w:t>identified</w:t>
      </w:r>
      <w:r w:rsidR="00990A67">
        <w:t xml:space="preserve"> b</w:t>
      </w:r>
      <w:r w:rsidR="00666F4B">
        <w:t>r</w:t>
      </w:r>
      <w:r w:rsidR="00990A67">
        <w:t>oader</w:t>
      </w:r>
      <w:r w:rsidR="006064A2">
        <w:t xml:space="preserve"> </w:t>
      </w:r>
      <w:r w:rsidR="00990A67">
        <w:t xml:space="preserve">changes to </w:t>
      </w:r>
      <w:r w:rsidR="008E7BF8">
        <w:t xml:space="preserve">global </w:t>
      </w:r>
      <w:r w:rsidR="00990A67">
        <w:t>food systems</w:t>
      </w:r>
      <w:r w:rsidR="006064A2">
        <w:t xml:space="preserve"> that are needed</w:t>
      </w:r>
      <w:r w:rsidR="00990A67">
        <w:t xml:space="preserve"> </w:t>
      </w:r>
      <w:r w:rsidR="005B1267">
        <w:t>to achieve Net Zero</w:t>
      </w:r>
      <w:r w:rsidR="006064A2">
        <w:t xml:space="preserve">. These changes often relate to </w:t>
      </w:r>
      <w:r w:rsidR="00645AC3">
        <w:t>reduc</w:t>
      </w:r>
      <w:r w:rsidR="006064A2">
        <w:t>ing</w:t>
      </w:r>
      <w:r w:rsidR="005035A2">
        <w:t xml:space="preserve"> the</w:t>
      </w:r>
      <w:r w:rsidR="00645AC3">
        <w:t xml:space="preserve"> demand for </w:t>
      </w:r>
      <w:r w:rsidR="009505FB">
        <w:t>meat</w:t>
      </w:r>
      <w:r w:rsidR="00A67CEE">
        <w:t xml:space="preserve"> through </w:t>
      </w:r>
      <w:r w:rsidR="005035A2">
        <w:t>reducing</w:t>
      </w:r>
      <w:r w:rsidR="00A67CEE">
        <w:t xml:space="preserve"> food waste or dietary change</w:t>
      </w:r>
      <w:r w:rsidR="002819BD">
        <w:t xml:space="preserve"> </w:t>
      </w:r>
      <w:r w:rsidR="00D23339">
        <w:fldChar w:fldCharType="begin"/>
      </w:r>
      <w:r w:rsidR="0013098F">
        <w:instrText xml:space="preserve"> ADDIN ZOTERO_ITEM CSL_CITATION {"citationID":"5p6xCJI8","properties":{"formattedCitation":"(Costa et al., 2022; Rosa and Gabrielli, 2023)","plainCitation":"(Costa et al., 2022; Rosa and Gabrielli, 2023)","noteIndex":0},"citationItems":[{"id":1158,"uris":["http://zotero.org/users/6500992/items/PHF5AGUF"],"itemData":{"id":1158,"type":"article-journal","abstract":"Food systems (FSs) emit ~ 20 GtCO2e/y (~ 35% of global greenhouse gas emissions). This level tends to raise given the expected increases in food demands, which may threaten global climate targets. Through a rapid assessment, evaluating 60+ scenarios based on existing low-emission and carbon sequestration practices, we estimate that intensifying FSs could reduce its emissions from 21.4 to − 2.0 GtCO2e/y and address increasing food demands without relying on carbon offsets (e.g., related to afforestation and reforestation programs). However, given historical trends and regional contexts, a more diverse portfolio of practices, including diet shifts and new-horizon technologies, will be needed to increase the feasibility of achieving net-zero FSs. One likely pathway consists of implementing practices that shift food production to the 30th-percentile of least emission-intensive FSs (~ 45% emissions reduction), sequester carbon at 50% of its potential (~ 5 GtCO2e/y) and adopt diet shifts and new-horizon technologies (~ 6 GtCO2e/y). For a successful transition to happen, the global FSs would, in the next decade (2020s), need to implement cost-effective mitigation practices and technologies, supported by improvements in countries’ governance and technical assistance, innovative financial mechanisms and research focused on making affordable technologies in the following two decades (2030–2050). This work provides options and a vision to guide global FSs to achieving net-zero by 2050.","container-title":"Scientific Reports","DOI":"10.1038/s41598-022-18601-1","ISSN":"2045-2322","issue":"1","journalAbbreviation":"Sci Rep","language":"en","license":"2022 The Author(s)","note":"number: 1\npublisher: Nature Publishing Group","page":"15064","source":"www.nature.com","title":"Roadmap for achieving net-zero emissions in global food systems by 2050","volume":"12","author":[{"family":"Costa","given":"Ciniro"},{"family":"Wollenberg","given":"Eva"},{"family":"Benitez","given":"Mauricio"},{"family":"Newman","given":"Richard"},{"family":"Gardner","given":"Nick"},{"family":"Bellone","given":"Federico"}],"issued":{"date-parts":[["2022",9,5]]}}},{"id":1836,"uris":["http://zotero.org/users/6500992/items/FIJWTAQE"],"itemData":{"id":1836,"type":"article-journal","abstract":"Agriculture accounts for 12% of global annual greenhouse gas (GHG) emissions (7.1 Gt CO2 equivalent), primarily through non-CO2 emissions, namely methane (54%), nitrous oxide (28%), and carbon dioxide (18%). Thus, agriculture contributes significantly to climate change and is significantly impacted by its consequences. Here, we present a review of technologies and innovations for reducing GHG emissions in agriculture. These include decarbonizing on-farm energy use, adopting nitrogen fertilizers management technologies, alternative rice cultivation methods, and feeding and breeding technologies for reducing enteric methane. Combined, all these measures can reduce agricultural GHG emissions by up to 45%. However, residual emissions of 3.8 Gt CO2 equivalent per year will require offsets from carbon dioxide removal technologies to make agriculture net-zero. Bioenergy with carbon capture and storage and enhanced rock weathering are particularly promising techniques, as they can be implemented within agriculture and result in permanent carbon sequestration. While net-zero technologies are technically available, they come with a price premium over the status quo and have limited adoption. Further research and development are needed to make such technologies more affordable and scalable and understand their synergies and wider socio-environmental impacts. With support and incentives, agriculture can transition from a significant emitter to a carbon sink. This study may serve as a blueprint to identify areas where further research and investments are needed to support and accelerate a transition to net-zero emissions agriculture.","container-title":"Environmental Research Letters","DOI":"10.1088/1748-9326/acd5e8","ISSN":"1748-9326","issue":"6","journalAbbreviation":"Environ. Res. Lett.","language":"en","note":"publisher: IOP Publishing","page":"063002","source":"Institute of Physics","title":"Achieving net-zero emissions in agriculture: a review","title-short":"Achieving net-zero emissions in agriculture","volume":"18","author":[{"family":"Rosa","given":"Lorenzo"},{"family":"Gabrielli","given":"Paolo"}],"issued":{"date-parts":[["2023",5]]}}}],"schema":"https://github.com/citation-style-language/schema/raw/master/csl-citation.json"} </w:instrText>
      </w:r>
      <w:r w:rsidR="00D23339">
        <w:fldChar w:fldCharType="separate"/>
      </w:r>
      <w:r w:rsidR="0013098F" w:rsidRPr="0013098F">
        <w:rPr>
          <w:rFonts w:ascii="Calibri" w:hAnsi="Calibri" w:cs="Calibri"/>
        </w:rPr>
        <w:t>(Costa et al., 2022; Rosa and Gabrielli, 2023)</w:t>
      </w:r>
      <w:r w:rsidR="00D23339">
        <w:fldChar w:fldCharType="end"/>
      </w:r>
      <w:r w:rsidR="0081788F">
        <w:t>.</w:t>
      </w:r>
      <w:r w:rsidR="00DF0B8A" w:rsidRPr="00DF0B8A">
        <w:t xml:space="preserve"> </w:t>
      </w:r>
      <w:r w:rsidR="009B09DA">
        <w:t>Recently</w:t>
      </w:r>
      <w:r w:rsidR="006623A2">
        <w:t xml:space="preserve">, there </w:t>
      </w:r>
      <w:r w:rsidR="009B09DA">
        <w:t>have been</w:t>
      </w:r>
      <w:r w:rsidR="00404DE3">
        <w:t xml:space="preserve"> </w:t>
      </w:r>
      <w:r w:rsidR="006623A2">
        <w:t>calls for a complete transformation in our food</w:t>
      </w:r>
      <w:r w:rsidR="00404DE3">
        <w:t xml:space="preserve"> systems</w:t>
      </w:r>
      <w:r w:rsidR="00BC2FF7">
        <w:t>,</w:t>
      </w:r>
      <w:r w:rsidR="00284AEC">
        <w:t xml:space="preserve"> </w:t>
      </w:r>
      <w:r w:rsidR="00E16064">
        <w:t>which traditionally focus on food security</w:t>
      </w:r>
      <w:r w:rsidR="00B639CA">
        <w:t xml:space="preserve"> alone</w:t>
      </w:r>
      <w:r w:rsidR="00BC2FF7">
        <w:t>,</w:t>
      </w:r>
      <w:r w:rsidR="00E16064">
        <w:t xml:space="preserve"> </w:t>
      </w:r>
      <w:r w:rsidR="00EB51E0">
        <w:t xml:space="preserve">to a more integrated approach which ensures </w:t>
      </w:r>
      <w:r w:rsidR="008B72CA">
        <w:t>security</w:t>
      </w:r>
      <w:r w:rsidR="00BC2FF7">
        <w:t xml:space="preserve"> </w:t>
      </w:r>
      <w:r w:rsidR="00BF68BF">
        <w:t>without undermining the environment</w:t>
      </w:r>
      <w:r w:rsidR="00167E4B">
        <w:t xml:space="preserve"> </w:t>
      </w:r>
      <w:r w:rsidR="00167E4B">
        <w:fldChar w:fldCharType="begin"/>
      </w:r>
      <w:r w:rsidR="00866C90">
        <w:instrText xml:space="preserve"> ADDIN ZOTERO_ITEM CSL_CITATION {"citationID":"GnsFZ9sV","properties":{"formattedCitation":"(Bhunnoo and Poppy, 2020; FAO, 2020; Webb et al., 2020)","plainCitation":"(Bhunnoo and Poppy, 2020; FAO, 2020; Webb et al., 2020)","noteIndex":0},"citationItems":[{"id":1153,"uris":["http://zotero.org/users/6500992/items/EPD5NPEU"],"itemData":{"id":1153,"type":"article-journal","abstract":"Transformation of the food system at the national scale requires concerted action from government, business and civil society, based on sound evidence from the research community. A programme for transformation of the United Kingdom’s food system, for healthy people and a healthy environment, is described here.","container-title":"Nature Food","DOI":"10.1038/s43016-019-0019-8","ISSN":"2662-1355","issue":"1","journalAbbreviation":"Nat Food","language":"en","license":"2020 Springer Nature Limited","note":"number: 1\npublisher: Nature Publishing Group","page":"6-8","source":"www.nature.com","title":"A national approach for transformation of the UK food system","volume":"1","author":[{"family":"Bhunnoo","given":"Riaz"},{"family":"Poppy","given":"Guy M."}],"issued":{"date-parts":[["2020",1]]}}},{"id":1161,"uris":["http://zotero.org/users/6500992/items/535MMS73"],"itemData":{"id":1161,"type":"book","abstract":"Updates for many countries have made it possible to estimate hunger in the world with greater accuracy this year. In particular, newly accessible data enabled the revision of the entire series of undernourishment estimates for China back to 2000, resulting in a substantial downward shift of the series of the number of undernourished in the world. Nevertheless, the revision confirms the trend reported in past editions: the number of people affected by hunger globally has been slowly on the rise since 2014. The report also shows that the burden of malnutrition in all its forms continues to be a challenge. There has been some progress for child stunting, low birthweight and exclusive breastfeeding, but at a pace that is still too slow. Childhood overweight is not improving and adult obesity is on the rise in all regions.The report complements the usual assessment of food security and nutrition with projections of what the world may look like in 2030, if trends of the last decade continue. Projections show that the world is not on track to achieve Zero Hunger by 2030 and, despite some progress, most indicators are also not on track to meet global nutrition targets. The food security and nutritional status of the most vulnerable population groups is likely to deteriorate further due to the health and socio economic impacts of the COVID-19 pandemic.The report puts a spotlight on diet quality as a critical link between food security and nutrition. Meeting SDG 2 targets will only be possible if people have enough food to eat and if what they are eating is nutritious and affordable. The report also introduces new analysis of the cost and affordability of healthy diets around the world, by region and in different development contexts. It presents valuations of the health and climate-change costs associated with current food consumption patterns, as well as the potential cost savings if food consumption patterns were to shift towards healthy diets that include sustainability considerations. The report then concludes with a discussion of the policies and strategies to transform food systems to ensure affordable healthy diets, as part of the required efforts to end both hunger and all forms of malnutrition.","ISBN":"978-92-5-132901-6","language":"en","note":"Google-Books-ID: 09zyDwAAQBAJ","number-of-pages":"320","publisher":"Food &amp; Agriculture Org.","source":"Google Books","title":"The State of Food Security and Nutrition in the World 2020: Transforming food systems for affordable healthy diets","title-short":"The State of Food Security and Nutrition in the World 2020","author":[{"family":"FAO","given":""}],"issued":{"date-parts":[["2020",7,1]]}}},{"id":1154,"uris":["http://zotero.org/users/6500992/items/5C7USA7N"],"itemData":{"id":1154,"type":"article-journal","container-title":"Nature Food","DOI":"10.1038/s43016-020-00161-0","ISSN":"2662-1355","issue":"10","journalAbbreviation":"Nat Food","language":"en","license":"2020 Springer Nature Limited","note":"number: 10\npublisher: Nature Publishing Group","page":"584-585","source":"www.nature.com","title":"The urgency of food system transformation is now irrefutable","volume":"1","author":[{"family":"Webb","given":"Patrick"},{"family":"Benton","given":"Tim G."},{"family":"Beddington","given":"John"},{"family":"Flynn","given":"Derek"},{"family":"Kelly","given":"Niamh M."},{"family":"Thomas","given":"Sandy M."}],"issued":{"date-parts":[["2020",10]]}}}],"schema":"https://github.com/citation-style-language/schema/raw/master/csl-citation.json"} </w:instrText>
      </w:r>
      <w:r w:rsidR="00167E4B">
        <w:fldChar w:fldCharType="separate"/>
      </w:r>
      <w:r w:rsidR="00A573B5" w:rsidRPr="00A573B5">
        <w:rPr>
          <w:rFonts w:ascii="Calibri" w:hAnsi="Calibri" w:cs="Calibri"/>
        </w:rPr>
        <w:t>(Bhunnoo and Poppy, 2020; FAO, 2020; Webb et al., 2020)</w:t>
      </w:r>
      <w:r w:rsidR="00167E4B">
        <w:fldChar w:fldCharType="end"/>
      </w:r>
      <w:r w:rsidR="004A4E1E">
        <w:t>.</w:t>
      </w:r>
      <w:r w:rsidR="0059229C">
        <w:t xml:space="preserve"> </w:t>
      </w:r>
    </w:p>
    <w:p w14:paraId="50DB2AFC" w14:textId="2EA2AE0C" w:rsidR="00C20CF3" w:rsidRDefault="00C20CF3" w:rsidP="00BA3E62">
      <w:pPr>
        <w:pStyle w:val="NoSpacing"/>
        <w:spacing w:line="360" w:lineRule="auto"/>
        <w:jc w:val="both"/>
        <w:rPr>
          <w:b/>
          <w:bCs/>
          <w:color w:val="FF0000"/>
        </w:rPr>
      </w:pPr>
    </w:p>
    <w:p w14:paraId="3CDAEE15" w14:textId="535EE8EB" w:rsidR="000372AF" w:rsidRDefault="005E5A4A" w:rsidP="00BA3E62">
      <w:pPr>
        <w:pStyle w:val="NoSpacing"/>
        <w:spacing w:line="360" w:lineRule="auto"/>
        <w:jc w:val="both"/>
      </w:pPr>
      <w:r w:rsidRPr="00F66DFC" w:rsidDel="00E31530">
        <w:t>This work has demonstrated the need for large and coordinated reductions in</w:t>
      </w:r>
      <w:r w:rsidR="00E260CA" w:rsidRPr="00F66DFC" w:rsidDel="00E31530">
        <w:t xml:space="preserve"> both</w:t>
      </w:r>
      <w:r w:rsidR="00F27D3B" w:rsidRPr="00F66DFC" w:rsidDel="00E31530">
        <w:t xml:space="preserve"> total</w:t>
      </w:r>
      <w:r w:rsidRPr="00F66DFC" w:rsidDel="00E31530">
        <w:t xml:space="preserve"> </w:t>
      </w:r>
      <w:r w:rsidR="00F27D3B" w:rsidRPr="00F66DFC" w:rsidDel="00E31530">
        <w:t>emissions and emission intensities</w:t>
      </w:r>
      <w:r w:rsidR="005F3DF3" w:rsidRPr="00F66DFC" w:rsidDel="00E31530">
        <w:t>,</w:t>
      </w:r>
      <w:r w:rsidR="00F27D3B" w:rsidRPr="00F66DFC" w:rsidDel="00E31530">
        <w:t xml:space="preserve"> as well as changes in land use</w:t>
      </w:r>
      <w:r w:rsidR="00AD2BB5" w:rsidRPr="00F66DFC" w:rsidDel="00E31530">
        <w:t xml:space="preserve">. </w:t>
      </w:r>
      <w:r w:rsidR="0060149A" w:rsidRPr="00F66DFC" w:rsidDel="00E31530">
        <w:t xml:space="preserve">The </w:t>
      </w:r>
      <w:r w:rsidR="00666F4B" w:rsidDel="00E31530">
        <w:t>N</w:t>
      </w:r>
      <w:r w:rsidR="0060149A" w:rsidRPr="00F66DFC" w:rsidDel="00E31530">
        <w:t xml:space="preserve">et </w:t>
      </w:r>
      <w:r w:rsidR="00666F4B" w:rsidDel="00E31530">
        <w:t>Z</w:t>
      </w:r>
      <w:r w:rsidR="0060149A" w:rsidRPr="00F66DFC" w:rsidDel="00E31530">
        <w:t xml:space="preserve">ero policy target will not require the </w:t>
      </w:r>
      <w:r w:rsidR="00F66DFC" w:rsidRPr="00F66DFC" w:rsidDel="00E31530">
        <w:t>agriculture</w:t>
      </w:r>
      <w:r w:rsidR="0060149A" w:rsidRPr="00F66DFC" w:rsidDel="00E31530">
        <w:t xml:space="preserve"> and land use sector on its own to reach </w:t>
      </w:r>
      <w:r w:rsidR="00666F4B" w:rsidDel="00E31530">
        <w:t>N</w:t>
      </w:r>
      <w:r w:rsidR="0060149A" w:rsidRPr="00F66DFC" w:rsidDel="00E31530">
        <w:t xml:space="preserve">et </w:t>
      </w:r>
      <w:r w:rsidR="00666F4B" w:rsidDel="00E31530">
        <w:t>Z</w:t>
      </w:r>
      <w:r w:rsidR="0060149A" w:rsidRPr="00F66DFC" w:rsidDel="00E31530">
        <w:t>ero since this target is set across all sectors</w:t>
      </w:r>
      <w:r w:rsidR="006B12CB" w:rsidDel="00E31530">
        <w:t>,</w:t>
      </w:r>
      <w:r w:rsidR="0060149A" w:rsidRPr="00F66DFC" w:rsidDel="00E31530">
        <w:t xml:space="preserve"> however, we have</w:t>
      </w:r>
      <w:r w:rsidR="0094644E" w:rsidRPr="00F66DFC" w:rsidDel="00E31530">
        <w:t xml:space="preserve"> </w:t>
      </w:r>
      <w:r w:rsidR="00E260CA" w:rsidRPr="00F66DFC" w:rsidDel="00E31530">
        <w:t xml:space="preserve">highlighted the </w:t>
      </w:r>
      <w:r w:rsidR="0060149A" w:rsidRPr="00F66DFC" w:rsidDel="00E31530">
        <w:t xml:space="preserve">scale of </w:t>
      </w:r>
      <w:r w:rsidR="00F66DFC" w:rsidRPr="00F66DFC" w:rsidDel="00E31530">
        <w:t>the</w:t>
      </w:r>
      <w:r w:rsidR="00E260CA" w:rsidRPr="00F66DFC" w:rsidDel="00E31530">
        <w:t xml:space="preserve"> challenge</w:t>
      </w:r>
      <w:r w:rsidR="0094644E" w:rsidRPr="00F66DFC" w:rsidDel="00E31530">
        <w:t>s</w:t>
      </w:r>
      <w:r w:rsidR="00E260CA" w:rsidRPr="00F66DFC" w:rsidDel="00E31530">
        <w:t xml:space="preserve"> </w:t>
      </w:r>
      <w:r w:rsidR="00393E92" w:rsidRPr="00F66DFC" w:rsidDel="00E31530">
        <w:t>the sector will face if it is to achieve Net Zero</w:t>
      </w:r>
      <w:r w:rsidR="000846DC" w:rsidRPr="00F66DFC" w:rsidDel="00E31530">
        <w:t xml:space="preserve"> </w:t>
      </w:r>
      <w:r w:rsidR="00DA6D7B" w:rsidRPr="00F66DFC" w:rsidDel="00E31530">
        <w:t>on account of</w:t>
      </w:r>
      <w:r w:rsidR="000846DC" w:rsidRPr="00F66DFC" w:rsidDel="00E31530">
        <w:t xml:space="preserve"> the </w:t>
      </w:r>
      <w:r w:rsidR="0094644E" w:rsidRPr="00F66DFC" w:rsidDel="00E31530">
        <w:t>vast</w:t>
      </w:r>
      <w:r w:rsidR="000846DC" w:rsidRPr="00F66DFC" w:rsidDel="00E31530">
        <w:t xml:space="preserve"> area</w:t>
      </w:r>
      <w:r w:rsidR="0094644E" w:rsidRPr="00F66DFC" w:rsidDel="00E31530">
        <w:t>s</w:t>
      </w:r>
      <w:r w:rsidR="000846DC" w:rsidRPr="00F66DFC" w:rsidDel="00E31530">
        <w:t xml:space="preserve"> of land</w:t>
      </w:r>
      <w:r w:rsidR="00DA6D7B" w:rsidRPr="00F66DFC" w:rsidDel="00E31530">
        <w:t xml:space="preserve"> which will be</w:t>
      </w:r>
      <w:r w:rsidR="000846DC" w:rsidRPr="00F66DFC" w:rsidDel="00E31530">
        <w:t xml:space="preserve"> </w:t>
      </w:r>
      <w:r w:rsidR="005F3DF3" w:rsidRPr="00F66DFC" w:rsidDel="00E31530">
        <w:t>required</w:t>
      </w:r>
      <w:r w:rsidR="00FE758C" w:rsidRPr="00F66DFC" w:rsidDel="00E31530">
        <w:t xml:space="preserve"> </w:t>
      </w:r>
      <w:r w:rsidR="0094644E" w:rsidRPr="00F66DFC" w:rsidDel="00E31530">
        <w:t>for</w:t>
      </w:r>
      <w:r w:rsidR="00FE758C" w:rsidRPr="00F66DFC" w:rsidDel="00E31530">
        <w:t xml:space="preserve"> sequestration</w:t>
      </w:r>
      <w:r w:rsidR="00B22460" w:rsidRPr="00F66DFC" w:rsidDel="00E31530">
        <w:t>.</w:t>
      </w:r>
    </w:p>
    <w:p w14:paraId="635873CA" w14:textId="1363EC50" w:rsidR="000372AF" w:rsidRPr="000372AF" w:rsidRDefault="000372AF" w:rsidP="005C3775">
      <w:pPr>
        <w:spacing w:after="160" w:line="259" w:lineRule="auto"/>
      </w:pPr>
    </w:p>
    <w:p w14:paraId="2C562359" w14:textId="4532CFF8" w:rsidR="004775BA" w:rsidRDefault="007E55DB" w:rsidP="00CC11A7">
      <w:pPr>
        <w:pStyle w:val="NoSpacing"/>
        <w:numPr>
          <w:ilvl w:val="1"/>
          <w:numId w:val="2"/>
        </w:numPr>
        <w:spacing w:line="360" w:lineRule="auto"/>
        <w:rPr>
          <w:b/>
          <w:bCs/>
        </w:rPr>
      </w:pPr>
      <w:r w:rsidRPr="00C50989">
        <w:rPr>
          <w:b/>
          <w:bCs/>
        </w:rPr>
        <w:t xml:space="preserve"> Limitations </w:t>
      </w:r>
    </w:p>
    <w:p w14:paraId="0F8FC1E1" w14:textId="190D8BF7" w:rsidR="00C50989" w:rsidRDefault="00C50989" w:rsidP="00E568F2">
      <w:pPr>
        <w:pStyle w:val="NoSpacing"/>
        <w:spacing w:line="360" w:lineRule="auto"/>
        <w:rPr>
          <w:b/>
          <w:bCs/>
        </w:rPr>
      </w:pPr>
    </w:p>
    <w:p w14:paraId="64497FB8" w14:textId="4E919217" w:rsidR="00077603" w:rsidRPr="002C0579" w:rsidRDefault="00A758B7" w:rsidP="00BA3E62">
      <w:pPr>
        <w:pStyle w:val="NoSpacing"/>
        <w:spacing w:line="360" w:lineRule="auto"/>
        <w:jc w:val="both"/>
      </w:pPr>
      <w:r>
        <w:t xml:space="preserve">This study </w:t>
      </w:r>
      <w:r w:rsidR="002A1A4C">
        <w:t>has</w:t>
      </w:r>
      <w:r>
        <w:t xml:space="preserve"> highlight</w:t>
      </w:r>
      <w:r w:rsidR="002A1A4C">
        <w:t>ed some</w:t>
      </w:r>
      <w:r>
        <w:t xml:space="preserve"> assumptions and limitations of modelling </w:t>
      </w:r>
      <w:r w:rsidR="00666F4B">
        <w:t>farm-scale GHG emissions, carbon sequestration and the impacts of mitigation practices</w:t>
      </w:r>
      <w:r>
        <w:t xml:space="preserve">. The mitigation measures and abatement potentials were based on current understanding </w:t>
      </w:r>
      <w:r w:rsidR="00CF0D64">
        <w:t>and</w:t>
      </w:r>
      <w:r>
        <w:t xml:space="preserve"> best available modelling </w:t>
      </w:r>
      <w:proofErr w:type="gramStart"/>
      <w:r>
        <w:t>techniques</w:t>
      </w:r>
      <w:r w:rsidR="00BA21AA">
        <w:t>,</w:t>
      </w:r>
      <w:proofErr w:type="gramEnd"/>
      <w:r>
        <w:t xml:space="preserve"> however</w:t>
      </w:r>
      <w:r w:rsidR="00BA21AA">
        <w:t>,</w:t>
      </w:r>
      <w:r w:rsidR="00291BD9">
        <w:t xml:space="preserve"> m</w:t>
      </w:r>
      <w:r w:rsidR="00077603">
        <w:t xml:space="preserve">any factors </w:t>
      </w:r>
      <w:r w:rsidR="00291BD9">
        <w:t xml:space="preserve">can </w:t>
      </w:r>
      <w:r w:rsidR="00077603">
        <w:t>affect the results of these types of modelling exercises. For example, emission reductions in this study were cumulative</w:t>
      </w:r>
      <w:r w:rsidR="00BA21AA">
        <w:t>,</w:t>
      </w:r>
      <w:r w:rsidR="00077603">
        <w:t xml:space="preserve"> and therefore the sequence in which measures were implemented could </w:t>
      </w:r>
      <w:r w:rsidR="002D2C92">
        <w:t>influence</w:t>
      </w:r>
      <w:r w:rsidR="00077603">
        <w:t xml:space="preserve"> results</w:t>
      </w:r>
      <w:r w:rsidR="00666F4B">
        <w:t xml:space="preserve"> </w:t>
      </w:r>
      <w:r w:rsidR="00D2069C">
        <w:fldChar w:fldCharType="begin"/>
      </w:r>
      <w:r w:rsidR="00D2069C">
        <w:instrText xml:space="preserve"> ADDIN ZOTERO_ITEM CSL_CITATION {"citationID":"VGClM81o","properties":{"formattedCitation":"(Eory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00D2069C">
        <w:fldChar w:fldCharType="separate"/>
      </w:r>
      <w:r w:rsidR="00A573B5" w:rsidRPr="00A573B5">
        <w:rPr>
          <w:rFonts w:ascii="Calibri" w:hAnsi="Calibri" w:cs="Calibri"/>
        </w:rPr>
        <w:t>(Eory et al., 2015)</w:t>
      </w:r>
      <w:r w:rsidR="00D2069C">
        <w:fldChar w:fldCharType="end"/>
      </w:r>
      <w:r w:rsidR="00D2069C">
        <w:t>.</w:t>
      </w:r>
      <w:r w:rsidR="000F7D47">
        <w:t xml:space="preserve"> </w:t>
      </w:r>
      <w:r w:rsidR="000F7D47" w:rsidRPr="000F7D47">
        <w:t>The order legumes are introduced is likely to have the biggest impact, when legumes are implemented first the N</w:t>
      </w:r>
      <w:r w:rsidR="000F7D47" w:rsidRPr="000F7D47">
        <w:rPr>
          <w:vertAlign w:val="subscript"/>
        </w:rPr>
        <w:t>2</w:t>
      </w:r>
      <w:r w:rsidR="000F7D47" w:rsidRPr="000F7D47">
        <w:t>O emissions are lowered significantly before other measures like livestock productivity are modelled using percentage reductions in emission intensities.</w:t>
      </w:r>
      <w:r w:rsidR="000F7D47">
        <w:t xml:space="preserve"> </w:t>
      </w:r>
      <w:r w:rsidR="0099723E">
        <w:t xml:space="preserve">Although care was taken to avoid </w:t>
      </w:r>
      <w:r w:rsidR="007405CA">
        <w:t xml:space="preserve">the sequence </w:t>
      </w:r>
      <w:r w:rsidR="00053FA1">
        <w:t xml:space="preserve">of mitigation measures </w:t>
      </w:r>
      <w:r w:rsidR="00CA1C4B">
        <w:t xml:space="preserve">affecting </w:t>
      </w:r>
      <w:r w:rsidR="00A73E6A">
        <w:t>results</w:t>
      </w:r>
      <w:r w:rsidR="00CA1C4B">
        <w:t>, i</w:t>
      </w:r>
      <w:r w:rsidR="0099723E">
        <w:t xml:space="preserve">n future work, a sensitivity analysis </w:t>
      </w:r>
      <w:r w:rsidR="005C6714">
        <w:t>c</w:t>
      </w:r>
      <w:r w:rsidR="0099723E">
        <w:t xml:space="preserve">ould be carried out to </w:t>
      </w:r>
      <w:r w:rsidR="00BA575B">
        <w:t xml:space="preserve">assess the </w:t>
      </w:r>
      <w:r w:rsidR="001A04F6">
        <w:t>effect</w:t>
      </w:r>
      <w:r w:rsidR="00BA575B">
        <w:t xml:space="preserve"> of </w:t>
      </w:r>
      <w:r w:rsidR="0099723E">
        <w:t>changing assumptions</w:t>
      </w:r>
      <w:r w:rsidR="003B2F5F">
        <w:t xml:space="preserve"> on </w:t>
      </w:r>
      <w:r w:rsidR="006714C3">
        <w:t>the resulting emission reductions</w:t>
      </w:r>
      <w:r w:rsidR="0099723E">
        <w:t>.</w:t>
      </w:r>
      <w:r w:rsidR="00BA575B">
        <w:t xml:space="preserve"> </w:t>
      </w:r>
      <w:r w:rsidR="00C77043">
        <w:t>Similarly,</w:t>
      </w:r>
      <w:r w:rsidR="000F7D47">
        <w:t xml:space="preserve"> it is likely that when </w:t>
      </w:r>
      <w:r w:rsidR="000F7D47">
        <w:lastRenderedPageBreak/>
        <w:t xml:space="preserve">implementing multiple mitigation measures, there will be some interaction between these measures. </w:t>
      </w:r>
      <w:r w:rsidR="00C77043">
        <w:t>However,</w:t>
      </w:r>
      <w:r w:rsidR="000F7D47">
        <w:t xml:space="preserve"> these interactions are difficult to account for in these types of modelling exercises</w:t>
      </w:r>
      <w:r w:rsidR="007B5E43">
        <w:t>, so</w:t>
      </w:r>
      <w:r w:rsidR="000F7D47">
        <w:t xml:space="preserve"> it is possible there may be an over</w:t>
      </w:r>
      <w:r w:rsidR="006015F1">
        <w:t>-</w:t>
      </w:r>
      <w:r w:rsidR="000F7D47">
        <w:t xml:space="preserve"> </w:t>
      </w:r>
      <w:r w:rsidR="004754A6">
        <w:t>and/</w:t>
      </w:r>
      <w:r w:rsidR="000F7D47">
        <w:t>or under</w:t>
      </w:r>
      <w:r w:rsidR="006015F1">
        <w:t>-</w:t>
      </w:r>
      <w:r w:rsidR="000F7D47">
        <w:t>estimation of abatement potentials.</w:t>
      </w:r>
      <w:r w:rsidR="00131F55">
        <w:t xml:space="preserve"> </w:t>
      </w:r>
      <w:r w:rsidR="005C6714">
        <w:t xml:space="preserve">It is also worth noting that </w:t>
      </w:r>
      <w:r w:rsidR="00C635AD">
        <w:t xml:space="preserve">the mitigation measures and abatement potentials used in this study were taken from the UK’s most recent MACC </w:t>
      </w:r>
      <w:r w:rsidR="00FB5DD7">
        <w:t>which accounts for the</w:t>
      </w:r>
      <w:r w:rsidR="00C635AD">
        <w:t xml:space="preserve"> interaction</w:t>
      </w:r>
      <w:r w:rsidR="00AB3269">
        <w:t>s</w:t>
      </w:r>
      <w:r w:rsidR="00E822AE">
        <w:t xml:space="preserve"> between measures and </w:t>
      </w:r>
      <w:r w:rsidR="001674F2">
        <w:t>conducts</w:t>
      </w:r>
      <w:r w:rsidR="00E822AE">
        <w:t xml:space="preserve"> sensitivity analyses on </w:t>
      </w:r>
      <w:r w:rsidR="007D6B0A">
        <w:t xml:space="preserve">the </w:t>
      </w:r>
      <w:r w:rsidR="007D6B0A" w:rsidRPr="007D6B0A">
        <w:t>applicability, uptake, abatement</w:t>
      </w:r>
      <w:r w:rsidR="00FB5DD7">
        <w:t xml:space="preserve"> and cost </w:t>
      </w:r>
      <w:r w:rsidR="007D6B0A">
        <w:t xml:space="preserve">of each </w:t>
      </w:r>
      <w:r w:rsidR="00FB5DD7">
        <w:t>mitigation</w:t>
      </w:r>
      <w:r w:rsidR="007D6B0A">
        <w:t xml:space="preserve"> measure</w:t>
      </w:r>
      <w:r w:rsidR="00F3453F">
        <w:t xml:space="preserve"> </w:t>
      </w:r>
      <w:r w:rsidR="00F3453F">
        <w:fldChar w:fldCharType="begin"/>
      </w:r>
      <w:r w:rsidR="00F3453F">
        <w:instrText xml:space="preserve"> ADDIN ZOTERO_ITEM CSL_CITATION {"citationID":"FlaGpSAF","properties":{"formattedCitation":"(Eory et al., 2015)","plainCitation":"(Eory et al., 2015)","noteIndex":0},"citationItems":[{"id":63,"uris":["http://zotero.org/users/6500992/items/LHDVBITP"],"itemData":{"id":63,"type":"report","genre":"Final report submitted for the project contract “Provision of services to review and update the UK agriculture MACC and to assess abatement potential for the 5 th carbon budget period and to 2050”","page":"274","publisher":"SRUC","title":"Review and update the UK Agriculture Marginal Abatement Cost Curve to assess the greenhouse gas abatement potential for the 5th carbon budget period and to 2050.","URL":"https://www.theccc.org.uk/wp-content/uploads/2015/11/Scotland%E2%80%99s-Rural-Collage-SRUC-Ricardo-Energy-and-Environment-2015-Review-and-update-of-the-UK-agriculture-MACC-to-assess-abatement-potential-for-the-fifth-carbon-budget-period-and-to-2050.pdf","author":[{"family":"Eory","given":"V."},{"family":"MacLeod","given":"M."},{"family":"Topp","given":"Cairistiona F E"},{"family":"Rees","given":"R. M."},{"family":"Webb","given":""},{"family":"McVittie","given":""},{"family":"Wall","given":""},{"family":"Borthwick","given":""},{"family":"Watson","given":""},{"family":"Waterhouse","given":""},{"family":"Wiltshire","given":""}],"accessed":{"date-parts":[["2020",10,9]]},"issued":{"date-parts":[["2015"]]}}}],"schema":"https://github.com/citation-style-language/schema/raw/master/csl-citation.json"} </w:instrText>
      </w:r>
      <w:r w:rsidR="00F3453F">
        <w:fldChar w:fldCharType="separate"/>
      </w:r>
      <w:r w:rsidR="00F3453F" w:rsidRPr="00F3453F">
        <w:rPr>
          <w:rFonts w:ascii="Calibri" w:hAnsi="Calibri" w:cs="Calibri"/>
        </w:rPr>
        <w:t>(Eory et al., 2015)</w:t>
      </w:r>
      <w:r w:rsidR="00F3453F">
        <w:fldChar w:fldCharType="end"/>
      </w:r>
      <w:r w:rsidR="00F3453F">
        <w:t>.</w:t>
      </w:r>
    </w:p>
    <w:p w14:paraId="5850BCFC" w14:textId="2C6EE9E9" w:rsidR="000F7D47" w:rsidRDefault="000F7D47" w:rsidP="00BA3E62">
      <w:pPr>
        <w:pStyle w:val="NoSpacing"/>
        <w:spacing w:line="360" w:lineRule="auto"/>
        <w:jc w:val="both"/>
      </w:pPr>
    </w:p>
    <w:p w14:paraId="6E353C2D" w14:textId="08B6D4FB" w:rsidR="00F11DAD" w:rsidRDefault="000F7D47" w:rsidP="00BA3E62">
      <w:pPr>
        <w:pStyle w:val="NoSpacing"/>
        <w:spacing w:line="360" w:lineRule="auto"/>
        <w:jc w:val="both"/>
      </w:pPr>
      <w:r w:rsidRPr="000F7D47">
        <w:t xml:space="preserve">The main </w:t>
      </w:r>
      <w:r w:rsidRPr="00E31530">
        <w:t xml:space="preserve">limitation of this mitigation modelling is the exclusion of some of the effects of mitigation measures due to the uncertainty of their abatement potentials. For both reducing synthetic and organic N use, it was assumed there was no effect on yields. </w:t>
      </w:r>
      <w:r w:rsidR="00777795" w:rsidRPr="00E31530">
        <w:t xml:space="preserve">This is most likely to be valid where </w:t>
      </w:r>
      <w:r w:rsidR="001C64D0" w:rsidRPr="00E31530">
        <w:t>targeted N use allows the N is used more efficiently</w:t>
      </w:r>
      <w:r w:rsidR="001C64D0">
        <w:t xml:space="preserve"> or </w:t>
      </w:r>
      <w:r w:rsidR="001C64D0" w:rsidRPr="00E31530">
        <w:t>there are only small reductions in N application</w:t>
      </w:r>
      <w:r w:rsidR="005C6714" w:rsidRPr="005C6714">
        <w:t xml:space="preserve"> </w:t>
      </w:r>
      <w:r w:rsidR="005C6714">
        <w:t>where it is currently over-applied</w:t>
      </w:r>
      <w:r w:rsidR="00777795" w:rsidRPr="00E31530">
        <w:t xml:space="preserve">. </w:t>
      </w:r>
      <w:r w:rsidRPr="00E31530">
        <w:t>The yield effects</w:t>
      </w:r>
      <w:r w:rsidRPr="000F7D47">
        <w:t xml:space="preserve"> of reducing fertiliser use will depend on baseline N rates and will be different for each farm</w:t>
      </w:r>
      <w:r w:rsidR="00F31EF1">
        <w:t>,</w:t>
      </w:r>
      <w:r w:rsidRPr="000F7D47">
        <w:t xml:space="preserve"> but without data/soil analysis it is not possible to </w:t>
      </w:r>
      <w:r w:rsidR="005C6714">
        <w:t>predict</w:t>
      </w:r>
      <w:r w:rsidR="0014644D" w:rsidRPr="000F7D47">
        <w:t xml:space="preserve"> </w:t>
      </w:r>
      <w:r w:rsidRPr="000F7D47">
        <w:t>this for individual farms. However, most mitigation measures under this category</w:t>
      </w:r>
      <w:r w:rsidR="00850A3F">
        <w:t>,</w:t>
      </w:r>
      <w:r w:rsidRPr="000F7D47">
        <w:t xml:space="preserve"> such as</w:t>
      </w:r>
      <w:r w:rsidR="00777795">
        <w:t xml:space="preserve"> better</w:t>
      </w:r>
      <w:r w:rsidRPr="000F7D47">
        <w:t xml:space="preserve"> N planning and timing of N application</w:t>
      </w:r>
      <w:r w:rsidR="00850A3F">
        <w:t>,</w:t>
      </w:r>
      <w:r w:rsidRPr="000F7D47">
        <w:t xml:space="preserve"> are unlikely to negatively affect yield.</w:t>
      </w:r>
      <w:r w:rsidR="001816C8">
        <w:t xml:space="preserve"> </w:t>
      </w:r>
      <w:r w:rsidR="007151BA">
        <w:t>Moreover, i</w:t>
      </w:r>
      <w:r w:rsidR="00E63A0D">
        <w:t>n</w:t>
      </w:r>
      <w:r w:rsidR="001A76EC">
        <w:t xml:space="preserve"> this study we assumed production was held constant</w:t>
      </w:r>
      <w:r w:rsidR="00E63A0D">
        <w:t xml:space="preserve">. </w:t>
      </w:r>
      <w:r w:rsidR="00DF7CEF">
        <w:t>I</w:t>
      </w:r>
      <w:r w:rsidR="001A76EC">
        <w:t>n practice</w:t>
      </w:r>
      <w:r w:rsidR="005C6714">
        <w:t xml:space="preserve">, as mentioned earlier, </w:t>
      </w:r>
      <w:r w:rsidR="001A76EC">
        <w:t xml:space="preserve">if production efficiencies were increased, it is </w:t>
      </w:r>
      <w:r w:rsidR="005C6714">
        <w:t xml:space="preserve">possible that </w:t>
      </w:r>
      <w:r w:rsidR="001A76EC">
        <w:t xml:space="preserve">farmers would increase </w:t>
      </w:r>
      <w:r w:rsidR="005C6714">
        <w:t>livestock</w:t>
      </w:r>
      <w:r w:rsidR="001A76EC">
        <w:t xml:space="preserve"> numbers</w:t>
      </w:r>
      <w:r w:rsidR="00707BB8">
        <w:t>,</w:t>
      </w:r>
      <w:r w:rsidR="001A76EC">
        <w:t xml:space="preserve"> leading to an increase in net GHG emissions. </w:t>
      </w:r>
      <w:r w:rsidR="001E334C">
        <w:t>I</w:t>
      </w:r>
      <w:r w:rsidR="001816C8">
        <w:t xml:space="preserve">t is </w:t>
      </w:r>
      <w:r w:rsidR="001E334C">
        <w:t xml:space="preserve">also </w:t>
      </w:r>
      <w:r w:rsidR="001816C8">
        <w:t xml:space="preserve">possible that emissions reductions potential </w:t>
      </w:r>
      <w:r w:rsidR="001E334C">
        <w:t xml:space="preserve">we applied </w:t>
      </w:r>
      <w:r w:rsidR="001816C8">
        <w:t xml:space="preserve">from adopting </w:t>
      </w:r>
      <w:r w:rsidR="001E334C">
        <w:t xml:space="preserve">some of </w:t>
      </w:r>
      <w:r w:rsidR="001816C8">
        <w:t>the mitigation measures are conservative estimates. This will vary between farms and will depend on</w:t>
      </w:r>
      <w:r w:rsidR="00E31530">
        <w:t xml:space="preserve"> the attributes of</w:t>
      </w:r>
      <w:r w:rsidR="001816C8">
        <w:t xml:space="preserve"> their current production system. For instance, </w:t>
      </w:r>
      <w:r w:rsidR="004459FB">
        <w:fldChar w:fldCharType="begin"/>
      </w:r>
      <w:r w:rsidR="004459FB">
        <w:instrText xml:space="preserve"> ADDIN ZOTERO_ITEM CSL_CITATION {"citationID":"Kzal4JeV","properties":{"formattedCitation":"(Fox et al., 2018)","plainCitation":"(Fox et al., 2018)","noteIndex":0},"citationItems":[{"id":262,"uris":["http://zotero.org/users/6500992/items/RUSB6PGC"],"itemData":{"id":262,"type":"article-journal","abstract":"Of anthropogenic methane emissions, 40% can be attributed to agriculture, the majority of which are from enteric fermentation in livestock. With international commitments to tackle drivers of climate change, there is a need to lower global methane emissions from livestock production. Gastrointestinal helminths (parasitic worms) are globally ubiquitous and represent one of the most pervasive challenges to the health and productivity of grazing livestock. These parasites influence a number of factors affecting methane emissions including feed efficiency, nutrient use, and production traits. However, their effects on methane emissions are unknown. This is to our knowledge the first study that empirically demonstrates disease-driven increases in methane (CH4) yield in livestock (grams of CH4 per kg of dry matter intake). We do this by measuring methane emissions (in respiration chambers), dry matter intake, and production parameters for parasitised and parasite-free lambs. This study shows that parasite infections in lambs can lead to a 33% increase in methane yield (g CH4/kg DMI). This knowledge will facilitate more accurate calculations of the true environmental costs of parasitism in livestock, and reveals the potential benefits of mitigating emission through controlling parasite burdens.","container-title":"International Journal for Parasitology","DOI":"10.1016/j.ijpara.2018.06.001","ISSN":"0020-7519","issue":"13","journalAbbreviation":"International Journal for Parasitology","language":"en","page":"1017-1021","source":"ScienceDirect","title":"Ubiquitous parasites drive a 33% increase in methane yield from livestock","volume":"48","author":[{"family":"Fox","given":"N. J."},{"family":"Smith","given":"L. A."},{"family":"Houdijk","given":"J. G. M."},{"family":"Athanasiadou","given":"S."},{"family":"Hutchings","given":"M. R."}],"issued":{"date-parts":[["2018",11,1]]}}}],"schema":"https://github.com/citation-style-language/schema/raw/master/csl-citation.json"} </w:instrText>
      </w:r>
      <w:r w:rsidR="004459FB">
        <w:fldChar w:fldCharType="separate"/>
      </w:r>
      <w:r w:rsidR="004459FB" w:rsidRPr="004459FB">
        <w:rPr>
          <w:rFonts w:ascii="Calibri" w:hAnsi="Calibri" w:cs="Calibri"/>
        </w:rPr>
        <w:t>Fox et al. 2018</w:t>
      </w:r>
      <w:r w:rsidR="004459FB">
        <w:rPr>
          <w:rFonts w:ascii="Calibri" w:hAnsi="Calibri" w:cs="Calibri"/>
        </w:rPr>
        <w:t xml:space="preserve"> </w:t>
      </w:r>
      <w:r w:rsidR="004459FB">
        <w:fldChar w:fldCharType="end"/>
      </w:r>
      <w:r w:rsidR="00E31530">
        <w:t xml:space="preserve">showed that </w:t>
      </w:r>
      <w:r w:rsidR="001E334C">
        <w:t xml:space="preserve">parasitic worms can increase methane emissions from lambs by 33%. Where such disease burdens exist on farms, resolving such issues </w:t>
      </w:r>
      <w:r w:rsidR="001816C8">
        <w:t xml:space="preserve">could </w:t>
      </w:r>
      <w:r w:rsidR="001E334C">
        <w:t xml:space="preserve">therefore lead to </w:t>
      </w:r>
      <w:r w:rsidR="001816C8">
        <w:t xml:space="preserve">a much greater reduction in emissions </w:t>
      </w:r>
      <w:r w:rsidR="001E334C">
        <w:t>than the estimates used in this study (Table 1)</w:t>
      </w:r>
      <w:r w:rsidR="001816C8">
        <w:t xml:space="preserve">. </w:t>
      </w:r>
    </w:p>
    <w:p w14:paraId="49BF48FF" w14:textId="77777777" w:rsidR="00F11DAD" w:rsidRDefault="00F11DAD" w:rsidP="00BA3E62">
      <w:pPr>
        <w:pStyle w:val="NoSpacing"/>
        <w:spacing w:line="360" w:lineRule="auto"/>
        <w:jc w:val="both"/>
      </w:pPr>
    </w:p>
    <w:p w14:paraId="09418193" w14:textId="10568E7E" w:rsidR="00481920" w:rsidRDefault="002E6F53" w:rsidP="00BA3E62">
      <w:pPr>
        <w:pStyle w:val="NoSpacing"/>
        <w:spacing w:line="360" w:lineRule="auto"/>
        <w:jc w:val="both"/>
      </w:pPr>
      <w:r w:rsidRPr="00F11DAD">
        <w:t>Additionally,</w:t>
      </w:r>
      <w:r w:rsidR="00997F10" w:rsidRPr="00F11DAD">
        <w:t xml:space="preserve"> our modelling </w:t>
      </w:r>
      <w:r w:rsidR="00454493" w:rsidRPr="00F11DAD">
        <w:t xml:space="preserve">focused </w:t>
      </w:r>
      <w:r w:rsidR="002B263F" w:rsidRPr="00F11DAD">
        <w:t>purely</w:t>
      </w:r>
      <w:r w:rsidR="00454493" w:rsidRPr="00F11DAD">
        <w:t xml:space="preserve"> on reducing</w:t>
      </w:r>
      <w:r w:rsidR="00997F10" w:rsidRPr="00F11DAD">
        <w:t xml:space="preserve"> GHG emissions </w:t>
      </w:r>
      <w:r w:rsidR="00454493" w:rsidRPr="00F11DAD">
        <w:t xml:space="preserve">therefore </w:t>
      </w:r>
      <w:r w:rsidR="004A2A8C" w:rsidRPr="00F11DAD">
        <w:t>it is possible</w:t>
      </w:r>
      <w:r w:rsidR="000D2B39" w:rsidRPr="00F11DAD">
        <w:t xml:space="preserve"> that</w:t>
      </w:r>
      <w:r w:rsidR="004A2A8C" w:rsidRPr="00F11DAD">
        <w:t xml:space="preserve"> some of these mitigation measures could lead to an unintended increase in </w:t>
      </w:r>
      <w:r w:rsidR="004C3BE5" w:rsidRPr="00F11DAD">
        <w:t>other pollutants</w:t>
      </w:r>
      <w:r w:rsidR="00AF0611" w:rsidRPr="00F11DAD">
        <w:t xml:space="preserve">. For example, </w:t>
      </w:r>
      <w:r w:rsidR="00C12B3F" w:rsidRPr="00F11DAD">
        <w:t>NIs</w:t>
      </w:r>
      <w:r w:rsidR="005041E4" w:rsidRPr="00F11DAD">
        <w:t xml:space="preserve"> reduce N</w:t>
      </w:r>
      <w:r w:rsidR="005041E4" w:rsidRPr="00F11DAD">
        <w:rPr>
          <w:vertAlign w:val="subscript"/>
        </w:rPr>
        <w:t>2</w:t>
      </w:r>
      <w:r w:rsidR="005041E4" w:rsidRPr="00F11DAD">
        <w:t xml:space="preserve">O emissions </w:t>
      </w:r>
      <w:r w:rsidR="008319CE" w:rsidRPr="00F11DAD">
        <w:t>from soils, h</w:t>
      </w:r>
      <w:r w:rsidR="0019662C" w:rsidRPr="00F11DAD">
        <w:t>owever, NIs have also been shown to increase NH</w:t>
      </w:r>
      <w:r w:rsidR="002C2685" w:rsidRPr="00F11DAD">
        <w:rPr>
          <w:vertAlign w:val="subscript"/>
        </w:rPr>
        <w:t xml:space="preserve">3 </w:t>
      </w:r>
      <w:r w:rsidR="002C2685" w:rsidRPr="00F11DAD">
        <w:t xml:space="preserve">emissions </w:t>
      </w:r>
      <w:r w:rsidR="009F4DE6" w:rsidRPr="00F11DAD">
        <w:fldChar w:fldCharType="begin"/>
      </w:r>
      <w:r w:rsidR="009F4DE6" w:rsidRPr="00F11DAD">
        <w:instrText xml:space="preserve"> ADDIN ZOTERO_ITEM CSL_CITATION {"citationID":"WeC7Q2h6","properties":{"formattedCitation":"(Lam et al., 2017)","plainCitation":"(Lam et al., 2017)","noteIndex":0},"citationItems":[{"id":1426,"uris":["http://zotero.org/users/6500992/items/CBXNRBWP"],"itemData":{"id":1426,"type":"article-journal","abstract":"Nitrification inhibitors show promise in decreasing nitrous oxide (N2O) emission from agricultural systems worldwide, but they may be much less effective than previously thought when both direct and indirect emissions are taken into account. Whilst nitrification inhibitors are effective at decreasing direct N2O emission and nitrate (NO3–) leaching, limited studies suggest that they may increase ammonia (NH3) volatilization and, subsequently, indirect N2O emission. These dual effects are typically not considered when evaluating the inhibitors as a climate change mitigation tool. Here, we collate results from the literature that simultaneously examined the effects of nitrification inhibitors on N2O and NH3 emissions. We found that nitrification inhibitors decreased direct N2O emission by 0.2–4.5 kg N2O-N ha−1 (8–57%), but generally increased NH3 emission by 0.2–18.7 kg NH3-N ha−1 (3–65%). Taking into account the estimated indirect N2O emission from deposited NH3, the overall impact of nitrification inhibitors ranged from −4.5 (reduction) to +0.5 (increase) kg N2O-N ha−1. Our results suggest that the beneficial effect of nitrification inhibitors in decreasing direct N2O emission can be undermined or even outweighed by an increase in NH3 volatilization.","container-title":"Global Change Biology","DOI":"10.1111/gcb.13338","ISSN":"1365-2486","issue":"2","language":"en","license":"© 2016 John Wiley &amp; Sons Ltd","note":"_eprint: https://onlinelibrary.wiley.com/doi/pdf/10.1111/gcb.13338","page":"485-489","source":"Wiley Online Library","title":"Using nitrification inhibitors to mitigate agricultural N2O emission: a double-edged sword?","title-short":"Using nitrification inhibitors to mitigate agricultural N2O emission","volume":"23","author":[{"family":"Lam","given":"Shu Kee"},{"family":"Suter","given":"Helen"},{"family":"Mosier","given":"Arvin R."},{"family":"Chen","given":"Deli"}],"issued":{"date-parts":[["2017"]]}}}],"schema":"https://github.com/citation-style-language/schema/raw/master/csl-citation.json"} </w:instrText>
      </w:r>
      <w:r w:rsidR="009F4DE6" w:rsidRPr="00F11DAD">
        <w:fldChar w:fldCharType="separate"/>
      </w:r>
      <w:r w:rsidR="00A573B5" w:rsidRPr="00A573B5">
        <w:rPr>
          <w:rFonts w:ascii="Calibri" w:hAnsi="Calibri" w:cs="Calibri"/>
        </w:rPr>
        <w:t>(Lam et al., 2017)</w:t>
      </w:r>
      <w:r w:rsidR="009F4DE6" w:rsidRPr="00F11DAD">
        <w:fldChar w:fldCharType="end"/>
      </w:r>
      <w:r w:rsidR="00CB3833" w:rsidRPr="00F11DAD">
        <w:t xml:space="preserve">. </w:t>
      </w:r>
      <w:r w:rsidR="0045619C" w:rsidRPr="00F11DAD">
        <w:t xml:space="preserve">This </w:t>
      </w:r>
      <w:r w:rsidR="001D3A02" w:rsidRPr="00F11DAD">
        <w:t>increase in NH</w:t>
      </w:r>
      <w:r w:rsidR="001D3A02" w:rsidRPr="00F11DAD">
        <w:rPr>
          <w:vertAlign w:val="subscript"/>
        </w:rPr>
        <w:t>3</w:t>
      </w:r>
      <w:r w:rsidR="001D3A02" w:rsidRPr="00F11DAD">
        <w:t xml:space="preserve"> </w:t>
      </w:r>
      <w:r w:rsidR="00392669" w:rsidRPr="00F11DAD">
        <w:t>could result in further indirect N</w:t>
      </w:r>
      <w:r w:rsidR="00392669" w:rsidRPr="00F11DAD">
        <w:rPr>
          <w:vertAlign w:val="subscript"/>
        </w:rPr>
        <w:t>2</w:t>
      </w:r>
      <w:r w:rsidR="00392669" w:rsidRPr="00F11DAD">
        <w:t>O emissions</w:t>
      </w:r>
      <w:r w:rsidR="004E798C" w:rsidRPr="00F11DAD">
        <w:t xml:space="preserve">, reducing </w:t>
      </w:r>
      <w:r w:rsidR="00C06E27" w:rsidRPr="00F11DAD">
        <w:t>the</w:t>
      </w:r>
      <w:r w:rsidR="004E798C" w:rsidRPr="00F11DAD">
        <w:t xml:space="preserve"> </w:t>
      </w:r>
      <w:r w:rsidR="00A37C58" w:rsidRPr="00F11DAD">
        <w:t xml:space="preserve">net </w:t>
      </w:r>
      <w:r w:rsidR="004E798C" w:rsidRPr="00F11DAD">
        <w:t xml:space="preserve">effectiveness </w:t>
      </w:r>
      <w:r w:rsidR="00C06E27" w:rsidRPr="00F11DAD">
        <w:t xml:space="preserve">of NIs </w:t>
      </w:r>
      <w:r w:rsidR="004E798C" w:rsidRPr="00F11DAD">
        <w:t xml:space="preserve">as a mitigation measure </w:t>
      </w:r>
      <w:r w:rsidR="00C06E27" w:rsidRPr="00F11DAD">
        <w:fldChar w:fldCharType="begin"/>
      </w:r>
      <w:r w:rsidR="00C06E27" w:rsidRPr="00F11DAD">
        <w:instrText xml:space="preserve"> ADDIN ZOTERO_ITEM CSL_CITATION {"citationID":"H98reqft","properties":{"formattedCitation":"(Wu et al., 2021)","plainCitation":"(Wu et al., 2021)","noteIndex":0},"citationItems":[{"id":1423,"uris":["http://zotero.org/users/6500992/items/9UK85286"],"itemData":{"id":1423,"type":"article-journal","abstract":"Nitrification inhibitors (NIs) have been shown to be an effective tool to mitigate direct N2O emissions from soils. However, emerging findings suggest that NIs may increase soil ammonia (NH3) volatilization and, subsequently, indirect N2O emission. A quantitative synthesis is lacking to evaluate how NIs may affect NH3 volatilization and the overall N2O emissions under different environmental conditions. In this meta-analysis, we quantified the responses of NH3 volatilization to NI application with 234 observations from 89 individual studies and analysed the role of experimental method, soil properties, fertilizer/NI type, fertilizer application rate and land use type as explanatory factors. Furthermore, using data sets where soil NH3 emission and N2O emission were measured simultaneously, we re-evaluated the effect of NI on overall N2O emissions including indirect N2O emission from NH3 volatilization. We found that, on average, NIs increased NH3 volatilization by 35.7% (95% CI: 25.7–46.7%) and increased indirect N2O emission from NH3 emission (and subsequent N deposition) by 2.9%–15.2%. Responses of NH3 volatilization mainly varied with experimental method, soil pH, NI type and fertilizer type. The increase of NH3 volatilization following NI application showed a positive correlation with soil pH (R2 = 0.04, n = 234, P &lt; 0.05) and N fertilizer rate (R2 = 0.04, n = 187, P &lt; 0.05). When the indirect N2O emission was considered, NI’s N2O mitigation effect decreased from 48.0% to 39.7% (EF = 1%), or 28.2% (EF = 5%). The results indicate that using DMPP with ammonium-based fertilizer in low pH, high SOC soils would have a lower risk for increasing NH3 volatilization than using DCD and nitrapyrin with urea in high pH, lower SOC soil. Furthermore, reducing N application rate may help to improve NIs’ overall N2O emission mitigation efficiency and minimize their impact on NH3 volatilization.","container-title":"Environmental Pollution","DOI":"10.1016/j.envpol.2020.116365","ISSN":"0269-7491","journalAbbreviation":"Environmental Pollution","language":"en","page":"116365","source":"ScienceDirect","title":"The importance of ammonia volatilization in estimating the efficacy of nitrification inhibitors to reduce N2O emissions: A global meta-analysis","title-short":"The importance of ammonia volatilization in estimating the efficacy of nitrification inhibitors to reduce N2O emissions","volume":"271","author":[{"family":"Wu","given":"Di"},{"family":"Zhang","given":"Yuxue"},{"family":"Dong","given":"Gao"},{"family":"Du","given":"Zhangliu"},{"family":"Wu","given":"Wenliang"},{"family":"Chadwick","given":"David"},{"family":"Bol","given":"Roland"}],"issued":{"date-parts":[["2021",2,15]]}}}],"schema":"https://github.com/citation-style-language/schema/raw/master/csl-citation.json"} </w:instrText>
      </w:r>
      <w:r w:rsidR="00C06E27" w:rsidRPr="00F11DAD">
        <w:fldChar w:fldCharType="separate"/>
      </w:r>
      <w:r w:rsidR="00A573B5" w:rsidRPr="00A573B5">
        <w:rPr>
          <w:rFonts w:ascii="Calibri" w:hAnsi="Calibri" w:cs="Calibri"/>
        </w:rPr>
        <w:t>(Wu et al., 2021)</w:t>
      </w:r>
      <w:r w:rsidR="00C06E27" w:rsidRPr="00F11DAD">
        <w:fldChar w:fldCharType="end"/>
      </w:r>
      <w:r w:rsidR="00AE0EDC" w:rsidRPr="00F11DAD">
        <w:t>.</w:t>
      </w:r>
      <w:r w:rsidR="00DD4BEB">
        <w:t xml:space="preserve"> Moreover</w:t>
      </w:r>
      <w:r w:rsidR="00157DB1">
        <w:t xml:space="preserve">, </w:t>
      </w:r>
      <w:r w:rsidR="005D6C12">
        <w:t>we</w:t>
      </w:r>
      <w:r w:rsidR="00157DB1">
        <w:t xml:space="preserve"> did not </w:t>
      </w:r>
      <w:r w:rsidR="00A821A6">
        <w:t>consider</w:t>
      </w:r>
      <w:r w:rsidR="00157DB1">
        <w:t xml:space="preserve"> the </w:t>
      </w:r>
      <w:r w:rsidR="008138B5">
        <w:t xml:space="preserve">variety of socio-economic implications </w:t>
      </w:r>
      <w:r w:rsidR="00E90FF4">
        <w:t>associated with</w:t>
      </w:r>
      <w:r w:rsidR="008138B5">
        <w:t xml:space="preserve"> </w:t>
      </w:r>
      <w:r w:rsidR="00AC7ACC">
        <w:t>these mitigation scenarios.</w:t>
      </w:r>
      <w:r w:rsidR="00CA2B26">
        <w:t xml:space="preserve"> </w:t>
      </w:r>
      <w:r w:rsidR="00481920">
        <w:t xml:space="preserve">For example, increasing afforestation </w:t>
      </w:r>
      <w:r w:rsidR="00A56941">
        <w:t xml:space="preserve">on farms </w:t>
      </w:r>
      <w:r w:rsidR="00481920">
        <w:t>could</w:t>
      </w:r>
      <w:r w:rsidR="00A56941">
        <w:t xml:space="preserve"> negatively impact</w:t>
      </w:r>
      <w:r w:rsidR="0045190A">
        <w:t xml:space="preserve"> water </w:t>
      </w:r>
      <w:r w:rsidR="00991DF5">
        <w:t>yields</w:t>
      </w:r>
      <w:r w:rsidR="0045190A">
        <w:t xml:space="preserve"> </w:t>
      </w:r>
      <w:r w:rsidR="0045190A">
        <w:fldChar w:fldCharType="begin"/>
      </w:r>
      <w:r w:rsidR="0045190A">
        <w:instrText xml:space="preserve"> ADDIN ZOTERO_ITEM CSL_CITATION {"citationID":"lPvndsVS","properties":{"formattedCitation":"(Brancalion and Holl, 2020)","plainCitation":"(Brancalion and Holl, 2020)","noteIndex":0},"citationItems":[{"id":1825,"uris":["http://zotero.org/users/6500992/items/8TBPBYDH"],"itemData":{"id":1825,"type":"article-journal","abstract":"Tree planting, along with other strategies to increase tree cover in appropriate locations and contexts, can make a valuable contribution to ensuring the ecological and social well-being of our plane...","container-title":"Journal of Applied Ecology","DOI":"10.1111/1365-2664.13725","ISSN":"1365-2664","issue":"12","language":"en","note":"publisher: John Wiley &amp; Sons, Ltd","page":"2349-2361","source":"besjournals.onlinelibrary.wiley.com","title":"Guidance for successful tree planting initiatives","volume":"57","author":[{"family":"Brancalion","given":"Pedro H. S."},{"family":"Holl","given":"Karen D."}],"issued":{"date-parts":[["2020",12,1]]}}}],"schema":"https://github.com/citation-style-language/schema/raw/master/csl-citation.json"} </w:instrText>
      </w:r>
      <w:r w:rsidR="0045190A">
        <w:fldChar w:fldCharType="separate"/>
      </w:r>
      <w:r w:rsidR="0045190A" w:rsidRPr="0045190A">
        <w:rPr>
          <w:rFonts w:ascii="Calibri" w:hAnsi="Calibri" w:cs="Calibri"/>
        </w:rPr>
        <w:t>(Brancalion and Holl, 2020)</w:t>
      </w:r>
      <w:r w:rsidR="0045190A">
        <w:fldChar w:fldCharType="end"/>
      </w:r>
      <w:r w:rsidR="00991DF5">
        <w:t>,</w:t>
      </w:r>
      <w:r w:rsidR="00A56941">
        <w:t xml:space="preserve"> as well as</w:t>
      </w:r>
      <w:r w:rsidR="00481920">
        <w:t xml:space="preserve"> lead </w:t>
      </w:r>
      <w:r w:rsidR="00A56941">
        <w:t>to a reduction in</w:t>
      </w:r>
      <w:r w:rsidR="00481920">
        <w:t xml:space="preserve"> </w:t>
      </w:r>
      <w:r w:rsidR="00A56941">
        <w:t xml:space="preserve">agricultural income and </w:t>
      </w:r>
      <w:r w:rsidR="00481920">
        <w:t>rural employment</w:t>
      </w:r>
      <w:r w:rsidR="00991DF5">
        <w:t xml:space="preserve"> </w:t>
      </w:r>
      <w:r w:rsidR="00F820D6">
        <w:fldChar w:fldCharType="begin"/>
      </w:r>
      <w:r w:rsidR="00F820D6">
        <w:instrText xml:space="preserve"> ADDIN ZOTERO_ITEM CSL_CITATION {"citationID":"UUPxpnLx","properties":{"formattedCitation":"(Ryan and O\\uc0\\u8217{}Donoghue, 2016)","plainCitation":"(Ryan and O’Donoghue, 2016)","noteIndex":0},"citationItems":[{"id":1622,"uris":["http://zotero.org/users/6500992/items/MGMDLHDB"],"itemData":{"id":1622,"type":"article-journal","abstract":"The decision to convert land from agriculture to forestry has previously been considered in a number of studies which have variously assessed attitudinal and economic factors affecting the afforestation decision. However, none of these studies has fully taken into account the heterogeneity of individual farms in Ireland, particularly in terms of farm and farmer characteristics. This review paper presents a summary of recent research undertaken by the authors which delves deeper into the economic decision-making process at the individual farm level by examining the characteristics of the farms and farmers that planted land and comparing them to those farms without forests over almost 30 years, using data from the Teagasc National Farm Survey. The results show that soil type and the agricultural market income and subsidies prevailing in the year of planting all have an effect on the economic attractiveness of afforestation. The potential relative returns to both agriculture and forestry on these farms was also investigated and was found to be a significant driver of the afforestation decision. The research presented also shows that the drivers of afforestation decisions may be influenced by contemporaneous farm management decisions. The results of an additional survey undertaken in 2012 highlight the magnitude of the challenge facing policy makers in designing afforestation incentive schemes as 84% of farmers surveyed would not consider planting in the future, regardless of the financial incentives offered. This challenge is particularly important in relation to national objectives to move to carbon neutral farming in the medium term. Drawing on the behavioural economics literature, the authors present a range of policy measures that go beyond financial incentives that could potentially increase afforestation rates.","container-title":"Irish Forestry","ISSN":"0021-1192","language":"en","license":"Copyright (c) 2018 Irish Forestry","source":"journal.societyofirishforesters.ie","title":"Socio-economic drivers of farm afforestation decision-making.","URL":"https://journal.societyofirishforesters.ie/index.php/forestry/article/view/10847","author":[{"family":"Ryan","given":"Mary"},{"family":"O’Donoghue","given":"Cathal"}],"accessed":{"date-parts":[["2023",11,18]]},"issued":{"date-parts":[["2016",11,1]]}}}],"schema":"https://github.com/citation-style-language/schema/raw/master/csl-citation.json"} </w:instrText>
      </w:r>
      <w:r w:rsidR="00F820D6">
        <w:fldChar w:fldCharType="separate"/>
      </w:r>
      <w:r w:rsidR="00F820D6" w:rsidRPr="00F820D6">
        <w:rPr>
          <w:rFonts w:ascii="Calibri" w:hAnsi="Calibri" w:cs="Calibri"/>
          <w:szCs w:val="24"/>
        </w:rPr>
        <w:t xml:space="preserve">(Ryan and </w:t>
      </w:r>
      <w:r w:rsidR="00F820D6" w:rsidRPr="00F820D6">
        <w:rPr>
          <w:rFonts w:ascii="Calibri" w:hAnsi="Calibri" w:cs="Calibri"/>
          <w:szCs w:val="24"/>
        </w:rPr>
        <w:lastRenderedPageBreak/>
        <w:t>O’Donoghue, 2016)</w:t>
      </w:r>
      <w:r w:rsidR="00F820D6">
        <w:fldChar w:fldCharType="end"/>
      </w:r>
      <w:r w:rsidR="00481920">
        <w:t xml:space="preserve">. </w:t>
      </w:r>
      <w:r w:rsidR="00A56941">
        <w:t xml:space="preserve">In future, a multiple-pollutant MACC could link the abatement potential of GHG mitigation measures to the wider environmental impacts and costs </w:t>
      </w:r>
      <w:r w:rsidR="00A56941">
        <w:fldChar w:fldCharType="begin"/>
      </w:r>
      <w:r w:rsidR="00A56941">
        <w:instrText xml:space="preserve"> ADDIN ZOTERO_ITEM CSL_CITATION {"citationID":"pkzDmOB9","properties":{"formattedCitation":"(Eory et al., 2013)","plainCitation":"(Eory et al., 2013)","noteIndex":0},"citationItems":[{"id":1798,"uris":["http://zotero.org/users/6500992/items/WI5DU2JH"],"itemData":{"id":1798,"type":"article-journal","container-title":"Environmental Science &amp; Policy","DOI":"10.1016/j.envsci.2012.11.003","ISSN":"14629011","journalAbbreviation":"Environmental Science &amp; Policy","language":"en","page":"55-67","source":"DOI.org (Crossref)","title":"Multiple-pollutant cost-effectiveness of greenhouse gas mitigation measures in the UK agriculture","volume":"27","author":[{"family":"Eory","given":"Vera"},{"family":"Topp","given":"Cairistiona F.E."},{"family":"Moran","given":"Dominic"}],"issued":{"date-parts":[["2013",3]]}}}],"schema":"https://github.com/citation-style-language/schema/raw/master/csl-citation.json"} </w:instrText>
      </w:r>
      <w:r w:rsidR="00A56941">
        <w:fldChar w:fldCharType="separate"/>
      </w:r>
      <w:r w:rsidR="00A56941" w:rsidRPr="00A573B5">
        <w:rPr>
          <w:rFonts w:ascii="Calibri" w:hAnsi="Calibri" w:cs="Calibri"/>
        </w:rPr>
        <w:t>(Eory et al., 2013)</w:t>
      </w:r>
      <w:r w:rsidR="00A56941">
        <w:fldChar w:fldCharType="end"/>
      </w:r>
      <w:r w:rsidR="00A56941">
        <w:t>.</w:t>
      </w:r>
    </w:p>
    <w:p w14:paraId="03C0F54D" w14:textId="77777777" w:rsidR="00707BB8" w:rsidRPr="00F11DAD" w:rsidRDefault="00707BB8" w:rsidP="00BA3E62">
      <w:pPr>
        <w:pStyle w:val="NoSpacing"/>
        <w:spacing w:line="360" w:lineRule="auto"/>
        <w:jc w:val="both"/>
      </w:pPr>
    </w:p>
    <w:p w14:paraId="2F709A0E" w14:textId="4169A8A9" w:rsidR="001528D7" w:rsidRDefault="00C94B64" w:rsidP="00BA3E62">
      <w:pPr>
        <w:pStyle w:val="NoSpacing"/>
        <w:spacing w:line="360" w:lineRule="auto"/>
        <w:jc w:val="both"/>
        <w:sectPr w:rsidR="001528D7" w:rsidSect="00336756">
          <w:type w:val="continuous"/>
          <w:pgSz w:w="11906" w:h="16838"/>
          <w:pgMar w:top="1440" w:right="1440" w:bottom="1440" w:left="1440" w:header="708" w:footer="708" w:gutter="0"/>
          <w:lnNumType w:countBy="1" w:restart="continuous"/>
          <w:cols w:space="708"/>
          <w:titlePg/>
          <w:docGrid w:linePitch="360"/>
        </w:sectPr>
      </w:pPr>
      <w:r w:rsidRPr="00F11DAD">
        <w:t>Despite its</w:t>
      </w:r>
      <w:r>
        <w:t xml:space="preserve"> assumptions and limitations, this study points towards realistic opportunities to fundamentally shift farming systems to both substantially reduce emissions and deliver emissions offsets, as required for Net Zero.  </w:t>
      </w:r>
      <w:r w:rsidR="005C6714">
        <w:t>It</w:t>
      </w:r>
      <w:r w:rsidR="001A04F6">
        <w:t xml:space="preserve"> is the first</w:t>
      </w:r>
      <w:r w:rsidR="004A2135" w:rsidRPr="00F11DAD">
        <w:t xml:space="preserve"> </w:t>
      </w:r>
      <w:r w:rsidR="00691963" w:rsidRPr="00F11DAD">
        <w:t xml:space="preserve">of its kind </w:t>
      </w:r>
      <w:r w:rsidR="004A2135" w:rsidRPr="00F11DAD">
        <w:t xml:space="preserve">to use </w:t>
      </w:r>
      <w:r w:rsidR="00323A66" w:rsidRPr="00F11DAD">
        <w:t>detailed</w:t>
      </w:r>
      <w:r w:rsidR="004A2135" w:rsidRPr="00F11DAD">
        <w:t xml:space="preserve"> real farm data to </w:t>
      </w:r>
      <w:r w:rsidR="00F75C63" w:rsidRPr="00F11DAD">
        <w:t xml:space="preserve">present </w:t>
      </w:r>
      <w:r w:rsidR="000D1753" w:rsidRPr="00F11DAD">
        <w:t xml:space="preserve">a preliminary assessment of the opportunities for </w:t>
      </w:r>
      <w:r w:rsidR="00666F4B" w:rsidRPr="00F11DAD">
        <w:t xml:space="preserve">beef and sheep </w:t>
      </w:r>
      <w:r w:rsidR="000D1753" w:rsidRPr="00F11DAD">
        <w:t xml:space="preserve">farms to achieve </w:t>
      </w:r>
      <w:r w:rsidR="00AB7536" w:rsidRPr="00F11DAD">
        <w:t>Net Zero</w:t>
      </w:r>
      <w:r w:rsidR="00BF14DA" w:rsidRPr="00F11DAD">
        <w:t>, thus provid</w:t>
      </w:r>
      <w:r w:rsidR="003913C0">
        <w:t>es</w:t>
      </w:r>
      <w:r w:rsidR="00BF14DA" w:rsidRPr="00F11DAD">
        <w:t xml:space="preserve"> new insight</w:t>
      </w:r>
      <w:r w:rsidR="000D1753" w:rsidRPr="00F11DAD">
        <w:t xml:space="preserve">. </w:t>
      </w:r>
    </w:p>
    <w:p w14:paraId="7CFD626E" w14:textId="77777777" w:rsidR="00CC6761" w:rsidRDefault="00CC6761" w:rsidP="00E568F2">
      <w:pPr>
        <w:pStyle w:val="NoSpacing"/>
        <w:spacing w:line="360" w:lineRule="auto"/>
      </w:pPr>
    </w:p>
    <w:p w14:paraId="71F2E253" w14:textId="5855A9CF" w:rsidR="000A64B6" w:rsidRDefault="000A64B6" w:rsidP="00CC11A7">
      <w:pPr>
        <w:pStyle w:val="NoSpacing"/>
        <w:numPr>
          <w:ilvl w:val="0"/>
          <w:numId w:val="2"/>
        </w:numPr>
        <w:spacing w:line="360" w:lineRule="auto"/>
        <w:rPr>
          <w:b/>
          <w:bCs/>
        </w:rPr>
      </w:pPr>
      <w:r>
        <w:rPr>
          <w:b/>
          <w:bCs/>
        </w:rPr>
        <w:t>Conclusion</w:t>
      </w:r>
      <w:r w:rsidR="00B55AD5">
        <w:rPr>
          <w:b/>
          <w:bCs/>
        </w:rPr>
        <w:t>s</w:t>
      </w:r>
      <w:r>
        <w:rPr>
          <w:b/>
          <w:bCs/>
        </w:rPr>
        <w:t xml:space="preserve"> </w:t>
      </w:r>
    </w:p>
    <w:p w14:paraId="39CDD881" w14:textId="77777777" w:rsidR="00011386" w:rsidRDefault="00011386" w:rsidP="00E568F2">
      <w:pPr>
        <w:pStyle w:val="NoSpacing"/>
        <w:spacing w:line="360" w:lineRule="auto"/>
        <w:ind w:left="720"/>
        <w:rPr>
          <w:b/>
          <w:bCs/>
        </w:rPr>
      </w:pPr>
    </w:p>
    <w:p w14:paraId="75D9B260" w14:textId="05A4ACAC" w:rsidR="00703682" w:rsidRDefault="00703682" w:rsidP="00BA3E62">
      <w:pPr>
        <w:pStyle w:val="NoSpacing"/>
        <w:spacing w:line="360" w:lineRule="auto"/>
        <w:jc w:val="both"/>
      </w:pPr>
      <w:r>
        <w:t xml:space="preserve">This paper has </w:t>
      </w:r>
      <w:r w:rsidR="00011386">
        <w:t xml:space="preserve">used </w:t>
      </w:r>
      <w:r w:rsidR="005D6EE6">
        <w:t xml:space="preserve">a </w:t>
      </w:r>
      <w:r w:rsidR="00011386">
        <w:t xml:space="preserve">novel </w:t>
      </w:r>
      <w:r w:rsidR="004A320A">
        <w:t>far</w:t>
      </w:r>
      <w:r w:rsidR="004A320A" w:rsidRPr="00BE5F90">
        <w:t xml:space="preserve">m-level </w:t>
      </w:r>
      <w:r w:rsidR="00011386" w:rsidRPr="00BE5F90">
        <w:t xml:space="preserve">modelling approach to </w:t>
      </w:r>
      <w:r w:rsidR="00240C3A" w:rsidRPr="00BE5F90">
        <w:t>explore potential</w:t>
      </w:r>
      <w:r w:rsidR="005E301D" w:rsidRPr="00BE5F90">
        <w:t xml:space="preserve"> </w:t>
      </w:r>
      <w:r w:rsidRPr="00BE5F90">
        <w:t>pathways to</w:t>
      </w:r>
      <w:r w:rsidR="005E301D" w:rsidRPr="00BE5F90">
        <w:t>wards</w:t>
      </w:r>
      <w:r w:rsidRPr="00BE5F90">
        <w:t xml:space="preserve"> </w:t>
      </w:r>
      <w:r w:rsidR="00AB7536" w:rsidRPr="00BE5F90">
        <w:t>Net Zero</w:t>
      </w:r>
      <w:r w:rsidRPr="00BE5F90">
        <w:t xml:space="preserve"> on Welsh beef and sheep farm</w:t>
      </w:r>
      <w:r w:rsidR="005E301D" w:rsidRPr="00BE5F90">
        <w:t xml:space="preserve">s. The real farm data collected highlights the </w:t>
      </w:r>
      <w:r w:rsidR="00EC336C" w:rsidRPr="00BE5F90">
        <w:t xml:space="preserve">difference in </w:t>
      </w:r>
      <w:r w:rsidR="005E301D" w:rsidRPr="00BE5F90">
        <w:t xml:space="preserve">baseline emissions </w:t>
      </w:r>
      <w:r w:rsidR="00BE5F90" w:rsidRPr="00BE5F90">
        <w:t xml:space="preserve">and mitigation scenarios </w:t>
      </w:r>
      <w:r w:rsidR="00EC336C" w:rsidRPr="00BE5F90">
        <w:t xml:space="preserve">between ostensibly similar farms, </w:t>
      </w:r>
      <w:r w:rsidR="005E301D" w:rsidRPr="00BE5F90">
        <w:t xml:space="preserve">and </w:t>
      </w:r>
      <w:r w:rsidR="00EC336C" w:rsidRPr="00BE5F90">
        <w:t xml:space="preserve">therefore the different </w:t>
      </w:r>
      <w:r w:rsidR="005E301D" w:rsidRPr="00BE5F90">
        <w:t>challenge</w:t>
      </w:r>
      <w:r w:rsidR="00240C3A" w:rsidRPr="00BE5F90">
        <w:t>s</w:t>
      </w:r>
      <w:r w:rsidR="005E301D" w:rsidRPr="00BE5F90">
        <w:t xml:space="preserve"> </w:t>
      </w:r>
      <w:r w:rsidR="00EC336C" w:rsidRPr="00BE5F90">
        <w:t xml:space="preserve">and opportunities </w:t>
      </w:r>
      <w:r w:rsidR="005E301D" w:rsidRPr="00BE5F90">
        <w:t>the agriculture industry faces if it is to achieve this target.</w:t>
      </w:r>
      <w:r w:rsidR="00131B59" w:rsidRPr="00BE5F90">
        <w:t xml:space="preserve"> </w:t>
      </w:r>
    </w:p>
    <w:p w14:paraId="70BB8830" w14:textId="65648DB9" w:rsidR="00131B59" w:rsidRDefault="00131B59" w:rsidP="00BA3E62">
      <w:pPr>
        <w:pStyle w:val="NoSpacing"/>
        <w:spacing w:line="360" w:lineRule="auto"/>
        <w:jc w:val="both"/>
      </w:pPr>
    </w:p>
    <w:p w14:paraId="3DABC695" w14:textId="15ADA93E" w:rsidR="008B752F" w:rsidRDefault="00B53328" w:rsidP="00BA3E62">
      <w:pPr>
        <w:pStyle w:val="NoSpacing"/>
        <w:spacing w:line="360" w:lineRule="auto"/>
        <w:jc w:val="both"/>
      </w:pPr>
      <w:r>
        <w:t xml:space="preserve">This </w:t>
      </w:r>
      <w:r w:rsidRPr="00502C17">
        <w:t>assessment has highlighted what needs to be done both in terms of the modelling process and the actions needed on farms to achieve Net Zero. It has shown the realistic opportunities available to reduce emissions and enhance sequestration on Welsh farms and could form a basis for future innovation.</w:t>
      </w:r>
      <w:r w:rsidR="00942D28">
        <w:t xml:space="preserve"> Although </w:t>
      </w:r>
      <w:r w:rsidR="00A40D18">
        <w:t>here we use Wales as a case study,</w:t>
      </w:r>
      <w:r w:rsidR="00481920">
        <w:t xml:space="preserve"> it</w:t>
      </w:r>
      <w:r w:rsidR="005C6714" w:rsidRPr="005C6714">
        <w:t xml:space="preserve"> </w:t>
      </w:r>
      <w:r w:rsidR="005C6714">
        <w:t>is likely that many of the same challenges and opportunities will apply to the livestock sector in other countries across the world</w:t>
      </w:r>
      <w:r w:rsidR="005F2312">
        <w:t>. Mitigation</w:t>
      </w:r>
      <w:r w:rsidR="00DF1A6B">
        <w:t xml:space="preserve"> measure</w:t>
      </w:r>
      <w:r w:rsidR="003B2A46">
        <w:t>s may vary</w:t>
      </w:r>
      <w:r w:rsidR="003E2BBF">
        <w:t xml:space="preserve"> between countries</w:t>
      </w:r>
      <w:r w:rsidR="003B2A46">
        <w:t xml:space="preserve"> </w:t>
      </w:r>
      <w:r w:rsidR="00E137BB">
        <w:t xml:space="preserve">but ultimately all farms will have to reduce emissions </w:t>
      </w:r>
      <w:r w:rsidR="003913C0" w:rsidRPr="003913C0">
        <w:t>and increase sequestration</w:t>
      </w:r>
      <w:r w:rsidR="003913C0">
        <w:t xml:space="preserve"> </w:t>
      </w:r>
      <w:r w:rsidR="00E137BB">
        <w:t xml:space="preserve">to reach environmental targets </w:t>
      </w:r>
      <w:r w:rsidR="00527595">
        <w:t xml:space="preserve">while </w:t>
      </w:r>
      <w:r w:rsidR="003866EC">
        <w:t xml:space="preserve">sustainably </w:t>
      </w:r>
      <w:r w:rsidR="001D7B5A">
        <w:t>increas</w:t>
      </w:r>
      <w:r w:rsidR="008C74A0">
        <w:t xml:space="preserve">ing </w:t>
      </w:r>
      <w:r w:rsidR="003866EC">
        <w:t xml:space="preserve">production to </w:t>
      </w:r>
      <w:r w:rsidR="00A93059">
        <w:t>ensure</w:t>
      </w:r>
      <w:r w:rsidR="003866EC">
        <w:t xml:space="preserve"> food security</w:t>
      </w:r>
      <w:r w:rsidR="00A93059">
        <w:t>.</w:t>
      </w:r>
    </w:p>
    <w:p w14:paraId="04040855" w14:textId="77777777" w:rsidR="00B53328" w:rsidRDefault="00B53328" w:rsidP="00BA3E62">
      <w:pPr>
        <w:pStyle w:val="NoSpacing"/>
        <w:spacing w:line="360" w:lineRule="auto"/>
        <w:jc w:val="both"/>
      </w:pPr>
    </w:p>
    <w:p w14:paraId="2B1FA759" w14:textId="35099C42" w:rsidR="0045247C" w:rsidRDefault="00CF0D64" w:rsidP="00BA3E62">
      <w:pPr>
        <w:pStyle w:val="NoSpacing"/>
        <w:spacing w:line="360" w:lineRule="auto"/>
        <w:jc w:val="both"/>
      </w:pPr>
      <w:r w:rsidRPr="00CF0D64">
        <w:t>Our modelling showed that mitigation alone was not enough to achieve farm level carbon neutrality.</w:t>
      </w:r>
      <w:r w:rsidR="002B358A">
        <w:t xml:space="preserve"> </w:t>
      </w:r>
      <w:r w:rsidRPr="00CF0D64">
        <w:t xml:space="preserve">Application of a wide range of abatement measures reduced emissions by </w:t>
      </w:r>
      <w:r w:rsidR="008866DE">
        <w:t>28</w:t>
      </w:r>
      <w:r w:rsidRPr="00CF0D64">
        <w:t>% on average.</w:t>
      </w:r>
      <w:r w:rsidR="002B358A">
        <w:t xml:space="preserve"> </w:t>
      </w:r>
      <w:r w:rsidRPr="00CF0D64">
        <w:t xml:space="preserve">Therefore, measures to increase </w:t>
      </w:r>
      <w:r w:rsidR="00410D67">
        <w:t>carbon removals</w:t>
      </w:r>
      <w:r w:rsidR="00410D67" w:rsidRPr="00CF0D64">
        <w:t xml:space="preserve"> </w:t>
      </w:r>
      <w:r w:rsidRPr="00CF0D64">
        <w:t>will be essential. Afforestation areas needed to offset farm emissions averaged 3</w:t>
      </w:r>
      <w:r w:rsidR="00D13283">
        <w:t>8</w:t>
      </w:r>
      <w:r w:rsidRPr="00CF0D64">
        <w:t>% of farm area</w:t>
      </w:r>
      <w:r w:rsidR="00F05AD1">
        <w:t>s</w:t>
      </w:r>
      <w:r w:rsidRPr="00CF0D64">
        <w:t xml:space="preserve"> in this study, ranging from </w:t>
      </w:r>
      <w:r w:rsidR="008866DE">
        <w:t>8</w:t>
      </w:r>
      <w:r w:rsidRPr="00CF0D64">
        <w:t xml:space="preserve"> to </w:t>
      </w:r>
      <w:r w:rsidR="008866DE">
        <w:t>85</w:t>
      </w:r>
      <w:r w:rsidR="001A3D5D">
        <w:t>%</w:t>
      </w:r>
      <w:r w:rsidRPr="00CF0D64">
        <w:t xml:space="preserve">. </w:t>
      </w:r>
      <w:r w:rsidR="0061331B" w:rsidRPr="0061331B">
        <w:t xml:space="preserve">We </w:t>
      </w:r>
      <w:r w:rsidR="001050B3">
        <w:t xml:space="preserve">have </w:t>
      </w:r>
      <w:r w:rsidR="0061331B" w:rsidRPr="0061331B">
        <w:t>highlight</w:t>
      </w:r>
      <w:r w:rsidR="000A2F2D">
        <w:t xml:space="preserve">ed </w:t>
      </w:r>
      <w:r w:rsidR="0061331B" w:rsidRPr="0061331B">
        <w:t xml:space="preserve">the complexity of the challenge of generating ruminant products efficiently, whilst trying to meet the Net Zero target, and make a compelling case that not all farms should be required to meet Net </w:t>
      </w:r>
      <w:proofErr w:type="gramStart"/>
      <w:r w:rsidR="0061331B" w:rsidRPr="0061331B">
        <w:t>Zero, if</w:t>
      </w:r>
      <w:proofErr w:type="gramEnd"/>
      <w:r w:rsidR="0061331B" w:rsidRPr="0061331B">
        <w:t xml:space="preserve"> offsetting can be made elsewhere.</w:t>
      </w:r>
    </w:p>
    <w:p w14:paraId="73AF8FB8" w14:textId="1EE0BFEC" w:rsidR="0045247C" w:rsidRDefault="0045247C" w:rsidP="00BA3E62">
      <w:pPr>
        <w:pStyle w:val="NoSpacing"/>
        <w:spacing w:line="360" w:lineRule="auto"/>
        <w:jc w:val="both"/>
      </w:pPr>
    </w:p>
    <w:p w14:paraId="5636FA49" w14:textId="77777777" w:rsidR="005C6714" w:rsidRDefault="00CF0D64" w:rsidP="00BA3E62">
      <w:pPr>
        <w:pStyle w:val="NoSpacing"/>
        <w:spacing w:line="360" w:lineRule="auto"/>
        <w:jc w:val="both"/>
      </w:pPr>
      <w:r w:rsidRPr="00CF0D64">
        <w:lastRenderedPageBreak/>
        <w:t xml:space="preserve">Major innovation and changes to Welsh and UK farming systems are required </w:t>
      </w:r>
      <w:proofErr w:type="gramStart"/>
      <w:r w:rsidRPr="00CF0D64">
        <w:t>in order to</w:t>
      </w:r>
      <w:proofErr w:type="gramEnd"/>
      <w:r w:rsidRPr="00CF0D64">
        <w:t xml:space="preserve"> meet current policy targets. </w:t>
      </w:r>
      <w:r w:rsidR="00B53328" w:rsidRPr="00B53328">
        <w:t>However</w:t>
      </w:r>
      <w:r w:rsidR="0020491B" w:rsidRPr="00B53328">
        <w:t xml:space="preserve">, policy interventions </w:t>
      </w:r>
      <w:r w:rsidR="006D648C" w:rsidRPr="00B53328">
        <w:t>should</w:t>
      </w:r>
      <w:r w:rsidR="0020491B" w:rsidRPr="00B53328">
        <w:t xml:space="preserve"> consider the</w:t>
      </w:r>
      <w:r w:rsidR="007C213A" w:rsidRPr="00B53328">
        <w:t xml:space="preserve"> displacement</w:t>
      </w:r>
      <w:r w:rsidR="0020491B" w:rsidRPr="00B53328">
        <w:t xml:space="preserve"> effect of shifting production to less efficient systems,</w:t>
      </w:r>
      <w:r w:rsidR="0093761C" w:rsidRPr="00B53328">
        <w:t xml:space="preserve"> be they</w:t>
      </w:r>
      <w:r w:rsidR="0007132B" w:rsidRPr="00B53328">
        <w:t xml:space="preserve"> </w:t>
      </w:r>
      <w:r w:rsidR="0020491B" w:rsidRPr="00B53328">
        <w:t xml:space="preserve">at home or abroad. </w:t>
      </w:r>
      <w:r w:rsidR="00B53328" w:rsidRPr="00B53328">
        <w:t>Caution is therefore needed to ensure afforestation occurs in a strategic way as Net Zero may not be a logical aspiration at an individual level for all farms.</w:t>
      </w:r>
    </w:p>
    <w:p w14:paraId="489CA56A" w14:textId="77777777" w:rsidR="005C6714" w:rsidRDefault="005C6714" w:rsidP="00BA3E62">
      <w:pPr>
        <w:spacing w:after="160" w:line="259" w:lineRule="auto"/>
        <w:jc w:val="both"/>
        <w:rPr>
          <w:rFonts w:asciiTheme="minorHAnsi" w:eastAsiaTheme="minorHAnsi" w:hAnsiTheme="minorHAnsi" w:cstheme="minorBidi"/>
          <w:sz w:val="22"/>
          <w:szCs w:val="22"/>
          <w:lang w:eastAsia="en-US"/>
        </w:rPr>
      </w:pPr>
      <w:r>
        <w:br w:type="page"/>
      </w:r>
    </w:p>
    <w:p w14:paraId="1288716F" w14:textId="162C9D56" w:rsidR="00FA0819" w:rsidRDefault="00795834" w:rsidP="00E568F2">
      <w:pPr>
        <w:pStyle w:val="NoSpacing"/>
        <w:spacing w:line="360" w:lineRule="auto"/>
        <w:rPr>
          <w:b/>
          <w:bCs/>
        </w:rPr>
      </w:pPr>
      <w:r>
        <w:rPr>
          <w:b/>
          <w:bCs/>
        </w:rPr>
        <w:lastRenderedPageBreak/>
        <w:t xml:space="preserve">Funding </w:t>
      </w:r>
      <w:r w:rsidR="00C079FE">
        <w:rPr>
          <w:b/>
          <w:bCs/>
        </w:rPr>
        <w:t>s</w:t>
      </w:r>
      <w:r>
        <w:rPr>
          <w:b/>
          <w:bCs/>
        </w:rPr>
        <w:t>ources</w:t>
      </w:r>
    </w:p>
    <w:p w14:paraId="4EBD405D" w14:textId="77777777" w:rsidR="00024F5D" w:rsidRPr="00FA0819" w:rsidRDefault="00024F5D" w:rsidP="00BA3E62">
      <w:pPr>
        <w:pStyle w:val="NoSpacing"/>
        <w:spacing w:line="360" w:lineRule="auto"/>
        <w:jc w:val="both"/>
      </w:pPr>
    </w:p>
    <w:p w14:paraId="39503BC7" w14:textId="4831D63F" w:rsidR="001F7204" w:rsidRDefault="004209EE" w:rsidP="00BA3E62">
      <w:pPr>
        <w:spacing w:after="160" w:line="360" w:lineRule="auto"/>
        <w:jc w:val="both"/>
        <w:rPr>
          <w:rFonts w:asciiTheme="minorHAnsi" w:eastAsiaTheme="minorHAnsi" w:hAnsiTheme="minorHAnsi" w:cstheme="minorBidi"/>
          <w:sz w:val="22"/>
          <w:szCs w:val="22"/>
          <w:lang w:eastAsia="en-US"/>
        </w:rPr>
      </w:pPr>
      <w:r w:rsidRPr="004209EE">
        <w:rPr>
          <w:rFonts w:asciiTheme="minorHAnsi" w:eastAsiaTheme="minorHAnsi" w:hAnsiTheme="minorHAnsi" w:cstheme="minorBidi"/>
          <w:sz w:val="22"/>
          <w:szCs w:val="22"/>
          <w:lang w:eastAsia="en-US"/>
        </w:rPr>
        <w:t xml:space="preserve">The </w:t>
      </w:r>
      <w:r>
        <w:rPr>
          <w:rFonts w:asciiTheme="minorHAnsi" w:eastAsiaTheme="minorHAnsi" w:hAnsiTheme="minorHAnsi" w:cstheme="minorBidi"/>
          <w:sz w:val="22"/>
          <w:szCs w:val="22"/>
          <w:lang w:eastAsia="en-US"/>
        </w:rPr>
        <w:t>research</w:t>
      </w:r>
      <w:r w:rsidRPr="004209EE">
        <w:rPr>
          <w:rFonts w:asciiTheme="minorHAnsi" w:eastAsiaTheme="minorHAnsi" w:hAnsiTheme="minorHAnsi" w:cstheme="minorBidi"/>
          <w:sz w:val="22"/>
          <w:szCs w:val="22"/>
          <w:lang w:eastAsia="en-US"/>
        </w:rPr>
        <w:t xml:space="preserve"> was part of the Knowledge Economy Skills Scholarships (KESS 2)</w:t>
      </w:r>
      <w:r>
        <w:rPr>
          <w:rFonts w:asciiTheme="minorHAnsi" w:eastAsiaTheme="minorHAnsi" w:hAnsiTheme="minorHAnsi" w:cstheme="minorBidi"/>
          <w:sz w:val="22"/>
          <w:szCs w:val="22"/>
          <w:lang w:eastAsia="en-US"/>
        </w:rPr>
        <w:t xml:space="preserve"> funded</w:t>
      </w:r>
      <w:r w:rsidRPr="004209EE">
        <w:rPr>
          <w:rFonts w:asciiTheme="minorHAnsi" w:eastAsiaTheme="minorHAnsi" w:hAnsiTheme="minorHAnsi" w:cstheme="minorBidi"/>
          <w:sz w:val="22"/>
          <w:szCs w:val="22"/>
          <w:lang w:eastAsia="en-US"/>
        </w:rPr>
        <w:t xml:space="preserve"> by the Welsh Government’s European Social Fund</w:t>
      </w:r>
      <w:r>
        <w:rPr>
          <w:rFonts w:asciiTheme="minorHAnsi" w:eastAsiaTheme="minorHAnsi" w:hAnsiTheme="minorHAnsi" w:cstheme="minorBidi"/>
          <w:sz w:val="22"/>
          <w:szCs w:val="22"/>
          <w:lang w:eastAsia="en-US"/>
        </w:rPr>
        <w:t xml:space="preserve">, </w:t>
      </w:r>
      <w:r w:rsidRPr="004209EE">
        <w:rPr>
          <w:rFonts w:asciiTheme="minorHAnsi" w:eastAsiaTheme="minorHAnsi" w:hAnsiTheme="minorHAnsi" w:cstheme="minorBidi"/>
          <w:sz w:val="22"/>
          <w:szCs w:val="22"/>
          <w:lang w:eastAsia="en-US"/>
        </w:rPr>
        <w:t>part-funded by Hybu Cig Cymru – Meat Promotion Wales</w:t>
      </w:r>
      <w:r>
        <w:rPr>
          <w:rFonts w:asciiTheme="minorHAnsi" w:eastAsiaTheme="minorHAnsi" w:hAnsiTheme="minorHAnsi" w:cstheme="minorBidi"/>
          <w:sz w:val="22"/>
          <w:szCs w:val="22"/>
          <w:lang w:eastAsia="en-US"/>
        </w:rPr>
        <w:t xml:space="preserve"> </w:t>
      </w:r>
      <w:r w:rsidR="00FA0819">
        <w:rPr>
          <w:rFonts w:asciiTheme="minorHAnsi" w:eastAsiaTheme="minorHAnsi" w:hAnsiTheme="minorHAnsi" w:cstheme="minorBidi"/>
          <w:sz w:val="22"/>
          <w:szCs w:val="22"/>
          <w:lang w:eastAsia="en-US"/>
        </w:rPr>
        <w:t>and</w:t>
      </w:r>
      <w:r>
        <w:rPr>
          <w:rFonts w:asciiTheme="minorHAnsi" w:eastAsiaTheme="minorHAnsi" w:hAnsiTheme="minorHAnsi" w:cstheme="minorBidi"/>
          <w:sz w:val="22"/>
          <w:szCs w:val="22"/>
          <w:lang w:eastAsia="en-US"/>
        </w:rPr>
        <w:t xml:space="preserve"> supported by</w:t>
      </w:r>
      <w:r w:rsidR="00FA0819">
        <w:rPr>
          <w:rFonts w:asciiTheme="minorHAnsi" w:eastAsiaTheme="minorHAnsi" w:hAnsiTheme="minorHAnsi" w:cstheme="minorBidi"/>
          <w:sz w:val="22"/>
          <w:szCs w:val="22"/>
          <w:lang w:eastAsia="en-US"/>
        </w:rPr>
        <w:t xml:space="preserve"> </w:t>
      </w:r>
      <w:r w:rsidR="00175C09">
        <w:rPr>
          <w:rFonts w:asciiTheme="minorHAnsi" w:eastAsiaTheme="minorHAnsi" w:hAnsiTheme="minorHAnsi" w:cstheme="minorBidi"/>
          <w:sz w:val="22"/>
          <w:szCs w:val="22"/>
          <w:lang w:eastAsia="en-US"/>
        </w:rPr>
        <w:t>Scottish Government</w:t>
      </w:r>
      <w:r w:rsidR="00B1670C">
        <w:rPr>
          <w:rFonts w:asciiTheme="minorHAnsi" w:eastAsiaTheme="minorHAnsi" w:hAnsiTheme="minorHAnsi" w:cstheme="minorBidi"/>
          <w:sz w:val="22"/>
          <w:szCs w:val="22"/>
          <w:lang w:eastAsia="en-US"/>
        </w:rPr>
        <w:t>’</w:t>
      </w:r>
      <w:r w:rsidR="00175C09">
        <w:rPr>
          <w:rFonts w:asciiTheme="minorHAnsi" w:eastAsiaTheme="minorHAnsi" w:hAnsiTheme="minorHAnsi" w:cstheme="minorBidi"/>
          <w:sz w:val="22"/>
          <w:szCs w:val="22"/>
          <w:lang w:eastAsia="en-US"/>
        </w:rPr>
        <w:t>s Strategic Research Programme</w:t>
      </w:r>
      <w:r w:rsidR="001238DE">
        <w:rPr>
          <w:rFonts w:asciiTheme="minorHAnsi" w:eastAsiaTheme="minorHAnsi" w:hAnsiTheme="minorHAnsi" w:cstheme="minorBidi"/>
          <w:sz w:val="22"/>
          <w:szCs w:val="22"/>
          <w:lang w:eastAsia="en-US"/>
        </w:rPr>
        <w:t>.</w:t>
      </w:r>
      <w:r w:rsidR="001F7204">
        <w:rPr>
          <w:rFonts w:asciiTheme="minorHAnsi" w:eastAsiaTheme="minorHAnsi" w:hAnsiTheme="minorHAnsi" w:cstheme="minorBidi"/>
          <w:sz w:val="22"/>
          <w:szCs w:val="22"/>
          <w:lang w:eastAsia="en-US"/>
        </w:rPr>
        <w:br w:type="page"/>
      </w:r>
    </w:p>
    <w:p w14:paraId="5FC3B685" w14:textId="688CA900" w:rsidR="0099507A" w:rsidRDefault="00CC4165" w:rsidP="00336756">
      <w:pPr>
        <w:pStyle w:val="NoSpacing"/>
        <w:spacing w:line="360" w:lineRule="auto"/>
      </w:pPr>
      <w:r w:rsidRPr="0050584B">
        <w:rPr>
          <w:rFonts w:cstheme="minorHAnsi"/>
          <w:b/>
          <w:bCs/>
        </w:rPr>
        <w:lastRenderedPageBreak/>
        <w:t xml:space="preserve">References </w:t>
      </w:r>
    </w:p>
    <w:p w14:paraId="19121056" w14:textId="77777777" w:rsidR="00747EEC" w:rsidRDefault="0092322A" w:rsidP="00747EEC">
      <w:pPr>
        <w:pStyle w:val="Bibliography"/>
      </w:pPr>
      <w:r>
        <w:rPr>
          <w:rFonts w:asciiTheme="minorHAnsi" w:hAnsiTheme="minorHAnsi" w:cstheme="minorHAnsi"/>
          <w:b/>
          <w:bCs/>
          <w:sz w:val="22"/>
          <w:szCs w:val="22"/>
        </w:rPr>
        <w:fldChar w:fldCharType="begin"/>
      </w:r>
      <w:r w:rsidR="00906DC1">
        <w:rPr>
          <w:rFonts w:asciiTheme="minorHAnsi" w:hAnsiTheme="minorHAnsi" w:cstheme="minorHAnsi"/>
          <w:b/>
          <w:bCs/>
          <w:sz w:val="22"/>
          <w:szCs w:val="22"/>
        </w:rPr>
        <w:instrText xml:space="preserve"> ADDIN ZOTERO_BIBL {"uncited":[],"omitted":[],"custom":[]} CSL_BIBLIOGRAPHY </w:instrText>
      </w:r>
      <w:r>
        <w:rPr>
          <w:rFonts w:asciiTheme="minorHAnsi" w:hAnsiTheme="minorHAnsi" w:cstheme="minorHAnsi"/>
          <w:b/>
          <w:bCs/>
          <w:sz w:val="22"/>
          <w:szCs w:val="22"/>
        </w:rPr>
        <w:fldChar w:fldCharType="separate"/>
      </w:r>
      <w:r w:rsidR="00747EEC">
        <w:t>Abalos, D., Jeffery, S., Sanz-Cobena, A., Guardia, G., Vallejo, A., 2014. Meta-analysis of the effect of urease and nitrification inhibitors on crop productivity and nitrogen use efficiency. Agriculture, Ecosystems &amp; Environment 189, 136–144. https://doi.org/10.1016/j.agee.2014.03.036</w:t>
      </w:r>
    </w:p>
    <w:p w14:paraId="65096DD6" w14:textId="77777777" w:rsidR="00747EEC" w:rsidRDefault="00747EEC" w:rsidP="00747EEC">
      <w:pPr>
        <w:pStyle w:val="Bibliography"/>
      </w:pPr>
      <w:r>
        <w:t>Abdalla, M., Hastings, A., Chadwick, D.R., Jones, D.L., Evans, C.D., Jones, M.B., Rees, R.M., Smith, P., 2018. Critical review of the impacts of grazing intensity on soil organic carbon storage and other soil quality indicators in extensively managed grasslands. Agriculture, Ecosystems &amp; Environment 253, 62–81. https://doi.org/10.1016/j.agee.2017.10.023</w:t>
      </w:r>
    </w:p>
    <w:p w14:paraId="35C7863B" w14:textId="77777777" w:rsidR="00747EEC" w:rsidRDefault="00747EEC" w:rsidP="00747EEC">
      <w:pPr>
        <w:pStyle w:val="Bibliography"/>
      </w:pPr>
      <w:r>
        <w:t>ADAS UK Ltd, 2014. Study to Model the Impact of Controlling Endemic Cattle Diseases and Conditions on National Cattle Productivity, Agricultural Performance and Greenhouse Gas Emissions.</w:t>
      </w:r>
    </w:p>
    <w:p w14:paraId="427556F5" w14:textId="77777777" w:rsidR="00747EEC" w:rsidRDefault="00747EEC" w:rsidP="00747EEC">
      <w:pPr>
        <w:pStyle w:val="Bibliography"/>
      </w:pPr>
      <w:r>
        <w:t>AHDB, 2022. Nutrient Management Guide (RB209). Agriculture and Horticulture Development Board, Kenilworth, UK.</w:t>
      </w:r>
    </w:p>
    <w:p w14:paraId="2A95C075" w14:textId="77777777" w:rsidR="00747EEC" w:rsidRDefault="00747EEC" w:rsidP="00747EEC">
      <w:pPr>
        <w:pStyle w:val="Bibliography"/>
      </w:pPr>
      <w:r>
        <w:t>Arca, P., Vagnoni, E., Duce, P., Franca, A., 2021. How does soil carbon sequestration affect greenhouse gas emissions from a sheep farming system? Results of a life cycle assessment case study. Italian Journal of Agronomy 16. https://doi.org/10.4081/ija.2021.1789</w:t>
      </w:r>
    </w:p>
    <w:p w14:paraId="4E051EF8" w14:textId="77777777" w:rsidR="00747EEC" w:rsidRDefault="00747EEC" w:rsidP="00747EEC">
      <w:pPr>
        <w:pStyle w:val="Bibliography"/>
      </w:pPr>
      <w:r>
        <w:t>Axe, M.S., 2018. Hedgerow agroforestry in England and Wales: increasing width to sequester additional carbon, in: European Agroforestry Conference-Agroforestry as Sustainable Land Use, 4th. EURAF.</w:t>
      </w:r>
    </w:p>
    <w:p w14:paraId="35820176" w14:textId="77777777" w:rsidR="00747EEC" w:rsidRDefault="00747EEC" w:rsidP="00747EEC">
      <w:pPr>
        <w:pStyle w:val="Bibliography"/>
      </w:pPr>
      <w:r>
        <w:t>Axe, M.S., Grange, I.D., Conway, J.S., 2017. Carbon storage in hedge biomass—A case study of actively managed hedges in England. Agriculture, Ecosystems &amp; Environment 250, 81–88. https://doi.org/10.1016/j.agee.2017.08.008</w:t>
      </w:r>
    </w:p>
    <w:p w14:paraId="577EDEE3" w14:textId="77777777" w:rsidR="00747EEC" w:rsidRDefault="00747EEC" w:rsidP="00747EEC">
      <w:pPr>
        <w:pStyle w:val="Bibliography"/>
      </w:pPr>
      <w:r>
        <w:t>Balmford, A., 2021. Concentrating vs. spreading our footprint: how to meet humanity’s needs at least cost to nature. Journal of Zoology 315, 79–109. https://doi.org/10.1111/jzo.12920</w:t>
      </w:r>
    </w:p>
    <w:p w14:paraId="39398E32" w14:textId="77777777" w:rsidR="00747EEC" w:rsidRDefault="00747EEC" w:rsidP="00747EEC">
      <w:pPr>
        <w:pStyle w:val="Bibliography"/>
      </w:pPr>
      <w:r>
        <w:t xml:space="preserve">Bartley, D.J., Skuce, P.J., </w:t>
      </w:r>
      <w:proofErr w:type="spellStart"/>
      <w:r>
        <w:t>Zadoks</w:t>
      </w:r>
      <w:proofErr w:type="spellEnd"/>
      <w:r>
        <w:t>, R.N., MacLeod, M., 2016. Endemic sheep and cattle diseases and greenhouse gas emissions. Advances in Animal Biosciences 7, 253–255. https://doi.org/10.1017/S2040470016000327</w:t>
      </w:r>
    </w:p>
    <w:p w14:paraId="7010E4EF" w14:textId="77777777" w:rsidR="00747EEC" w:rsidRDefault="00747EEC" w:rsidP="00747EEC">
      <w:pPr>
        <w:pStyle w:val="Bibliography"/>
      </w:pPr>
      <w:r>
        <w:t>Batalla, I., Knudsen, M.T., Mogensen, L., Hierro, Ó. del, Pinto, M., Hermansen, J.E., 2015. Carbon footprint of milk from sheep farming systems in Northern Spain including soil carbon sequestration in grasslands. Journal of Cleaner Production 104, 121–129. https://doi.org/10.1016/j.jclepro.2015.05.043</w:t>
      </w:r>
    </w:p>
    <w:p w14:paraId="7F058AC0" w14:textId="77777777" w:rsidR="00747EEC" w:rsidRDefault="00747EEC" w:rsidP="00747EEC">
      <w:pPr>
        <w:pStyle w:val="Bibliography"/>
      </w:pPr>
      <w:r>
        <w:t xml:space="preserve">Beauchemin, K.A., </w:t>
      </w:r>
      <w:proofErr w:type="spellStart"/>
      <w:r>
        <w:t>Ungerfeld</w:t>
      </w:r>
      <w:proofErr w:type="spellEnd"/>
      <w:r>
        <w:t>, E.M., Eckard, R.J., Wang, M., 2020. Review: Fifty years of research on rumen methanogenesis: lessons learned and future challenges for mitigation. animal 14, s2–s16. https://doi.org/10.1017/S1751731119003100</w:t>
      </w:r>
    </w:p>
    <w:p w14:paraId="0672DD18" w14:textId="2F44D754" w:rsidR="00747EEC" w:rsidRDefault="00747EEC" w:rsidP="00747EEC">
      <w:pPr>
        <w:pStyle w:val="Bibliography"/>
      </w:pPr>
      <w:r>
        <w:t>Beef Improvement Federation, 2018. Guidelines For Uniform Beef Improvement</w:t>
      </w:r>
    </w:p>
    <w:p w14:paraId="364ED4FE" w14:textId="7F989B2F" w:rsidR="00747EEC" w:rsidRDefault="00747EEC" w:rsidP="00747EEC">
      <w:pPr>
        <w:pStyle w:val="Bibliography"/>
        <w:ind w:firstLine="0"/>
      </w:pPr>
      <w:r>
        <w:t>Programs, Ninth Edition.</w:t>
      </w:r>
    </w:p>
    <w:p w14:paraId="4B4D1BF7" w14:textId="524EDBB0" w:rsidR="00747EEC" w:rsidRDefault="00747EEC" w:rsidP="00747EEC">
      <w:pPr>
        <w:pStyle w:val="Bibliography"/>
      </w:pPr>
      <w:r>
        <w:t>BEIS, 2022. Final UK greenhouse gas emissions national statistics: 1990 to 2020. Department for Business, Energy &amp; Industrial Strategy.</w:t>
      </w:r>
    </w:p>
    <w:p w14:paraId="6836A0F4" w14:textId="77777777" w:rsidR="00747EEC" w:rsidRDefault="00747EEC" w:rsidP="00747EEC">
      <w:pPr>
        <w:pStyle w:val="Bibliography"/>
      </w:pPr>
      <w:proofErr w:type="spellStart"/>
      <w:r>
        <w:t>Bhunnoo</w:t>
      </w:r>
      <w:proofErr w:type="spellEnd"/>
      <w:r>
        <w:t>, R., Poppy, G.M., 2020. A national approach for transformation of the UK food system. Nat Food 1, 6–8. https://doi.org/10.1038/s43016-019-0019-8</w:t>
      </w:r>
    </w:p>
    <w:p w14:paraId="12C9A2C2" w14:textId="77777777" w:rsidR="00747EEC" w:rsidRDefault="00747EEC" w:rsidP="00747EEC">
      <w:pPr>
        <w:pStyle w:val="Bibliography"/>
      </w:pPr>
      <w:r>
        <w:t>Bioscience Network Limited, 2012. Developing options to deliver a substantial environmental and economic sustainability impact through breeding for feed efficiency of feed use in UK beef cattle (DEFRA No. IF0207.).</w:t>
      </w:r>
    </w:p>
    <w:p w14:paraId="5C75B874" w14:textId="77777777" w:rsidR="00747EEC" w:rsidRDefault="00747EEC" w:rsidP="00747EEC">
      <w:pPr>
        <w:pStyle w:val="Bibliography"/>
      </w:pPr>
      <w:r>
        <w:t>Blair, J., 2018. Hedgerows as form of agroforestry to sequester and store carbon in agricultural landscapes: a review, in: European Agroforestry Conference-Agroforestry as Sustainable Land Use, 4th. EURAF.</w:t>
      </w:r>
    </w:p>
    <w:p w14:paraId="2B321B06" w14:textId="77777777" w:rsidR="00747EEC" w:rsidRDefault="00747EEC" w:rsidP="00747EEC">
      <w:pPr>
        <w:pStyle w:val="Bibliography"/>
      </w:pPr>
      <w:r>
        <w:t xml:space="preserve">Bonn, A., Reed, M.S., Evans, C.D., Joosten, H., Bain, C., Farmer, J., Emmer, I., </w:t>
      </w:r>
      <w:proofErr w:type="spellStart"/>
      <w:r>
        <w:t>Couwenberg</w:t>
      </w:r>
      <w:proofErr w:type="spellEnd"/>
      <w:r>
        <w:t xml:space="preserve">, J., Moxey, A., Artz, R., </w:t>
      </w:r>
      <w:proofErr w:type="spellStart"/>
      <w:r>
        <w:t>Tanneberger</w:t>
      </w:r>
      <w:proofErr w:type="spellEnd"/>
      <w:r>
        <w:t>, F., von Unger, M., Smyth, M.-A., Birnie, D., 2014. Investing in nature: Developing ecosystem service markets for peatland restoration. Ecosystem Services 9, 54–65. https://doi.org/10.1016/j.ecoser.2014.06.011</w:t>
      </w:r>
    </w:p>
    <w:p w14:paraId="3C4389B3" w14:textId="77777777" w:rsidR="00747EEC" w:rsidRDefault="00747EEC" w:rsidP="00747EEC">
      <w:pPr>
        <w:pStyle w:val="Bibliography"/>
      </w:pPr>
      <w:r>
        <w:t>Brack, D., King, R., 2021. Managing Land-based CDR: BECCS, Forests and Carbon Sequestration. Global Policy 12, 45–56. https://doi.org/10.1111/1758-5899.12827</w:t>
      </w:r>
    </w:p>
    <w:p w14:paraId="06066DAD" w14:textId="77777777" w:rsidR="00747EEC" w:rsidRDefault="00747EEC" w:rsidP="00747EEC">
      <w:pPr>
        <w:pStyle w:val="Bibliography"/>
      </w:pPr>
      <w:proofErr w:type="spellStart"/>
      <w:r>
        <w:t>Brancalion</w:t>
      </w:r>
      <w:proofErr w:type="spellEnd"/>
      <w:r>
        <w:t>, P.H.S., Holl, K.D., 2020. Guidance for successful tree planting initiatives. Journal of Applied Ecology 57, 2349–2361. https://doi.org/10.1111/1365-2664.13725</w:t>
      </w:r>
    </w:p>
    <w:p w14:paraId="3FAA2A90" w14:textId="77777777" w:rsidR="00747EEC" w:rsidRDefault="00747EEC" w:rsidP="00747EEC">
      <w:pPr>
        <w:pStyle w:val="Bibliography"/>
      </w:pPr>
      <w:proofErr w:type="spellStart"/>
      <w:r>
        <w:t>Brtnicky</w:t>
      </w:r>
      <w:proofErr w:type="spellEnd"/>
      <w:r>
        <w:t xml:space="preserve">, M., Datta, R., </w:t>
      </w:r>
      <w:proofErr w:type="spellStart"/>
      <w:r>
        <w:t>Holatko</w:t>
      </w:r>
      <w:proofErr w:type="spellEnd"/>
      <w:r>
        <w:t xml:space="preserve">, J., Bielska, L., </w:t>
      </w:r>
      <w:proofErr w:type="spellStart"/>
      <w:r>
        <w:t>Gusiatin</w:t>
      </w:r>
      <w:proofErr w:type="spellEnd"/>
      <w:r>
        <w:t xml:space="preserve">, Z.M., </w:t>
      </w:r>
      <w:proofErr w:type="spellStart"/>
      <w:r>
        <w:t>Kucerik</w:t>
      </w:r>
      <w:proofErr w:type="spellEnd"/>
      <w:r>
        <w:t xml:space="preserve">, J., </w:t>
      </w:r>
      <w:proofErr w:type="spellStart"/>
      <w:r>
        <w:t>Hammerschmiedt</w:t>
      </w:r>
      <w:proofErr w:type="spellEnd"/>
      <w:r>
        <w:t xml:space="preserve">, T., Danish, S., </w:t>
      </w:r>
      <w:proofErr w:type="spellStart"/>
      <w:r>
        <w:t>Radziemska</w:t>
      </w:r>
      <w:proofErr w:type="spellEnd"/>
      <w:r>
        <w:t xml:space="preserve">, M., </w:t>
      </w:r>
      <w:proofErr w:type="spellStart"/>
      <w:r>
        <w:t>Mravcova</w:t>
      </w:r>
      <w:proofErr w:type="spellEnd"/>
      <w:r>
        <w:t xml:space="preserve">, L., Fahad, S., </w:t>
      </w:r>
      <w:proofErr w:type="spellStart"/>
      <w:r>
        <w:t>Kintl</w:t>
      </w:r>
      <w:proofErr w:type="spellEnd"/>
      <w:r>
        <w:t xml:space="preserve">, A., </w:t>
      </w:r>
      <w:proofErr w:type="spellStart"/>
      <w:r>
        <w:t>Sudoma</w:t>
      </w:r>
      <w:proofErr w:type="spellEnd"/>
      <w:r>
        <w:t>, M., Ahmed, N., Pecina, V., 2021. A critical review of the possible adverse effects of biochar in the soil environment. Science of The Total Environment 796, 148756. https://doi.org/10.1016/j.scitotenv.2021.148756</w:t>
      </w:r>
    </w:p>
    <w:p w14:paraId="7E2FB04C" w14:textId="77777777" w:rsidR="00747EEC" w:rsidRDefault="00747EEC" w:rsidP="00747EEC">
      <w:pPr>
        <w:pStyle w:val="Bibliography"/>
      </w:pPr>
      <w:proofErr w:type="spellStart"/>
      <w:r>
        <w:t>Bruinenberg</w:t>
      </w:r>
      <w:proofErr w:type="spellEnd"/>
      <w:r>
        <w:t xml:space="preserve">, M.H., Valk, H., </w:t>
      </w:r>
      <w:proofErr w:type="spellStart"/>
      <w:r>
        <w:t>Korevaar</w:t>
      </w:r>
      <w:proofErr w:type="spellEnd"/>
      <w:r>
        <w:t xml:space="preserve">, H., </w:t>
      </w:r>
      <w:proofErr w:type="spellStart"/>
      <w:r>
        <w:t>Struik</w:t>
      </w:r>
      <w:proofErr w:type="spellEnd"/>
      <w:r>
        <w:t>, P.C., 2002. Factors affecting digestibility of temperate forages from seminatural grasslands: a review. Grass and Forage Science 57, 292–301. https://doi.org/10.1046/j.1365-2494.2002.00327.x</w:t>
      </w:r>
    </w:p>
    <w:p w14:paraId="068B5996" w14:textId="77777777" w:rsidR="00747EEC" w:rsidRDefault="00747EEC" w:rsidP="00747EEC">
      <w:pPr>
        <w:pStyle w:val="Bibliography"/>
      </w:pPr>
      <w:r>
        <w:t>Burgess, P.J., 2017. Agroforestry in the UK. Quarterly Journal of Forestry 111.</w:t>
      </w:r>
    </w:p>
    <w:p w14:paraId="2AF87A47" w14:textId="77777777" w:rsidR="00747EEC" w:rsidRDefault="00747EEC" w:rsidP="00747EEC">
      <w:pPr>
        <w:pStyle w:val="Bibliography"/>
      </w:pPr>
      <w:r>
        <w:t xml:space="preserve">Cardenas, L.M., Bhogal, A., Chadwick, D.R., McGeough, K., </w:t>
      </w:r>
      <w:proofErr w:type="spellStart"/>
      <w:r>
        <w:t>Misselbrook</w:t>
      </w:r>
      <w:proofErr w:type="spellEnd"/>
      <w:r>
        <w:t xml:space="preserve">, T., Rees, R.M., Thorman, R.E., Watson, C.J., Williams, J.R., Smith, K.A., </w:t>
      </w:r>
      <w:proofErr w:type="spellStart"/>
      <w:r>
        <w:t>Calvet</w:t>
      </w:r>
      <w:proofErr w:type="spellEnd"/>
      <w:r>
        <w:t>, S., 2019. Nitrogen use efficiency and nitrous oxide emissions from five UK fertilised grasslands. Science of The Total Environment 661, 696–710. https://doi.org/10.1016/j.scitotenv.2019.01.082</w:t>
      </w:r>
    </w:p>
    <w:p w14:paraId="1977C4C5" w14:textId="77777777" w:rsidR="00747EEC" w:rsidRDefault="00747EEC" w:rsidP="00747EEC">
      <w:pPr>
        <w:pStyle w:val="Bibliography"/>
      </w:pPr>
      <w:r>
        <w:t>Cardenas, L.M., Thorman, R., Ashlee, N., Butler, M., Chadwick, D., Chambers, B., Cuttle, S., Donovan, N., Kingston, H., Lane, S., Dhanoa, M.S., Scholefield, D., 2010. Quantifying annual N2O emission fluxes from grazed grassland under a range of inorganic fertiliser nitrogen inputs. Agriculture, Ecosystems &amp; Environment, Estimation of nitrous oxide emission from ecosystems and its mitigation technologies 136, 218–226. https://doi.org/10.1016/j.agee.2009.12.006</w:t>
      </w:r>
    </w:p>
    <w:p w14:paraId="22C47E47" w14:textId="77777777" w:rsidR="00747EEC" w:rsidRDefault="00747EEC" w:rsidP="00747EEC">
      <w:pPr>
        <w:pStyle w:val="Bibliography"/>
      </w:pPr>
      <w:r>
        <w:t xml:space="preserve">Carswell, A.M., Gongadze, K., </w:t>
      </w:r>
      <w:proofErr w:type="spellStart"/>
      <w:r>
        <w:t>Misselbrook</w:t>
      </w:r>
      <w:proofErr w:type="spellEnd"/>
      <w:r>
        <w:t>, T.H., Wu, L., 2019. Impact of transition from permanent pasture to new swards on the nitrogen use efficiency, nitrogen and carbon budgets of beef and sheep production. Agriculture, Ecosystems &amp; Environment 283, 106572. https://doi.org/10.1016/j.agee.2019.106572</w:t>
      </w:r>
    </w:p>
    <w:p w14:paraId="672D32EC" w14:textId="77777777" w:rsidR="00747EEC" w:rsidRDefault="00747EEC" w:rsidP="00747EEC">
      <w:pPr>
        <w:pStyle w:val="Bibliography"/>
      </w:pPr>
      <w:r>
        <w:t xml:space="preserve">Chadwick, D.R., Cardenas, L.M., Dhanoa, M.S., Donovan, N., </w:t>
      </w:r>
      <w:proofErr w:type="spellStart"/>
      <w:r>
        <w:t>Misselbrook</w:t>
      </w:r>
      <w:proofErr w:type="spellEnd"/>
      <w:r>
        <w:t>, T., Williams, J.R., Thorman, R.E., McGeough, K.L., Watson, C.J., Bell, M., Anthony, S.G., Rees, R.M., 2018. The contribution of cattle urine and dung to nitrous oxide emissions: Quantification of country specific emission factors and implications for national inventories. Science of The Total Environment 635, 607–617. https://doi.org/10.1016/j.scitotenv.2018.04.152</w:t>
      </w:r>
    </w:p>
    <w:p w14:paraId="4C076C5D" w14:textId="77777777" w:rsidR="00747EEC" w:rsidRDefault="00747EEC" w:rsidP="00747EEC">
      <w:pPr>
        <w:pStyle w:val="Bibliography"/>
      </w:pPr>
      <w:r>
        <w:t>Chapman, S.J., Bell, J.S., Campbell, C.D., Hudson, G., Lilly, A., Nolan, A.J., Robertson, A.H.J., Potts, J.M., Towers, W., 2013. Comparison of soil carbon stocks in Scottish soils between 1978 and 2009. European Journal of Soil Science 64, 455–465. https://doi.org/10.1111/ejss.12041</w:t>
      </w:r>
    </w:p>
    <w:p w14:paraId="53D50373" w14:textId="77777777" w:rsidR="00747EEC" w:rsidRDefault="00747EEC" w:rsidP="00747EEC">
      <w:pPr>
        <w:pStyle w:val="Bibliography"/>
      </w:pPr>
      <w:r>
        <w:t>CIEL, 2022. Net Zero Carbon &amp; UK Livestock Report: How Farmers Can Reduce Emissions.</w:t>
      </w:r>
    </w:p>
    <w:p w14:paraId="2DF2408C" w14:textId="77777777" w:rsidR="00747EEC" w:rsidRDefault="00747EEC" w:rsidP="00747EEC">
      <w:pPr>
        <w:pStyle w:val="Bibliography"/>
      </w:pPr>
      <w:r>
        <w:t>Clark, M.A., Domingo, N.G.G., Colgan, K., Thakrar, S.K., Tilman, D., Lynch, J., Azevedo, I.L., Hill, J.D., 2020. Global food system emissions could preclude achieving the 1.5° and 2°C climate change targets. Science 370, 705–708. https://doi.org/10.1126/science.aba7357</w:t>
      </w:r>
    </w:p>
    <w:p w14:paraId="41A318AB" w14:textId="77777777" w:rsidR="00747EEC" w:rsidRDefault="00747EEC" w:rsidP="00747EEC">
      <w:pPr>
        <w:pStyle w:val="Bibliography"/>
      </w:pPr>
      <w:r>
        <w:t xml:space="preserve">Climate Change Committee, 2020a. The Sixth Carbon Budget </w:t>
      </w:r>
      <w:proofErr w:type="gramStart"/>
      <w:r>
        <w:t>The</w:t>
      </w:r>
      <w:proofErr w:type="gramEnd"/>
      <w:r>
        <w:t xml:space="preserve"> UKs path to Net Zero.</w:t>
      </w:r>
    </w:p>
    <w:p w14:paraId="28F641D9" w14:textId="77777777" w:rsidR="00747EEC" w:rsidRDefault="00747EEC" w:rsidP="00747EEC">
      <w:pPr>
        <w:pStyle w:val="Bibliography"/>
      </w:pPr>
      <w:r>
        <w:t>Climate Change Committee, 2020b. Land use: Policies for a Net Zero UK.</w:t>
      </w:r>
    </w:p>
    <w:p w14:paraId="0A48E0A0" w14:textId="77777777" w:rsidR="00747EEC" w:rsidRDefault="00747EEC" w:rsidP="00747EEC">
      <w:pPr>
        <w:pStyle w:val="Bibliography"/>
      </w:pPr>
      <w:r>
        <w:t xml:space="preserve">Coomes, D.A., Allen, R.B., 2007. Effects of size, </w:t>
      </w:r>
      <w:proofErr w:type="gramStart"/>
      <w:r>
        <w:t>competition</w:t>
      </w:r>
      <w:proofErr w:type="gramEnd"/>
      <w:r>
        <w:t xml:space="preserve"> and altitude on tree growth. Journal of Ecology 95, 1084–1097. https://doi.org/10.1111/j.1365-2745.2007.01280.x</w:t>
      </w:r>
    </w:p>
    <w:p w14:paraId="28DE15D8" w14:textId="77777777" w:rsidR="00747EEC" w:rsidRDefault="00747EEC" w:rsidP="00747EEC">
      <w:pPr>
        <w:pStyle w:val="Bibliography"/>
      </w:pPr>
      <w:r>
        <w:t>Costa, C., Wollenberg, E., Benitez, M., Newman, R., Gardner, N., Bellone, F., 2022. Roadmap for achieving net-zero emissions in global food systems by 2050. Sci Rep 12, 15064. https://doi.org/10.1038/s41598-022-18601-1</w:t>
      </w:r>
    </w:p>
    <w:p w14:paraId="6AF8D064" w14:textId="77777777" w:rsidR="00747EEC" w:rsidRDefault="00747EEC" w:rsidP="00747EEC">
      <w:pPr>
        <w:pStyle w:val="Bibliography"/>
      </w:pPr>
      <w:r>
        <w:t>Craig, K., 2020. Farm Management Handbook 2020/21. FAS.</w:t>
      </w:r>
    </w:p>
    <w:p w14:paraId="665F6CC2" w14:textId="77777777" w:rsidR="00747EEC" w:rsidRDefault="00747EEC" w:rsidP="00747EEC">
      <w:pPr>
        <w:pStyle w:val="Bibliography"/>
      </w:pPr>
      <w:proofErr w:type="spellStart"/>
      <w:r>
        <w:t>Darusman</w:t>
      </w:r>
      <w:proofErr w:type="spellEnd"/>
      <w:r>
        <w:t xml:space="preserve">, T., </w:t>
      </w:r>
      <w:proofErr w:type="spellStart"/>
      <w:r>
        <w:t>Murdiyarso</w:t>
      </w:r>
      <w:proofErr w:type="spellEnd"/>
      <w:r>
        <w:t xml:space="preserve">, D., </w:t>
      </w:r>
      <w:proofErr w:type="spellStart"/>
      <w:r>
        <w:t>Impron</w:t>
      </w:r>
      <w:proofErr w:type="spellEnd"/>
      <w:r>
        <w:t xml:space="preserve">, Anas, I., 2023. Effect of rewetting degraded peatlands on carbon fluxes: a meta-analysis. Mitig Adapt </w:t>
      </w:r>
      <w:proofErr w:type="spellStart"/>
      <w:r>
        <w:t>Strateg</w:t>
      </w:r>
      <w:proofErr w:type="spellEnd"/>
      <w:r>
        <w:t xml:space="preserve"> Glob Change 28, 10. https://doi.org/10.1007/s11027-023-10046-9</w:t>
      </w:r>
    </w:p>
    <w:p w14:paraId="75DC45FC" w14:textId="77777777" w:rsidR="00747EEC" w:rsidRDefault="00747EEC" w:rsidP="00747EEC">
      <w:pPr>
        <w:pStyle w:val="Bibliography"/>
      </w:pPr>
      <w:r>
        <w:t>DEFRA, 2022. The British survey of fertiliser practice.</w:t>
      </w:r>
    </w:p>
    <w:p w14:paraId="1E75C9E3" w14:textId="77777777" w:rsidR="00747EEC" w:rsidRDefault="00747EEC" w:rsidP="00747EEC">
      <w:pPr>
        <w:pStyle w:val="Bibliography"/>
      </w:pPr>
      <w:r>
        <w:t xml:space="preserve">DEFRA, 2021. Agriculture in the United Kingdom 2020. Department for Environment, Food and Rural Affairs Department of Agriculture, Environment and Rural Affairs (Northern Ireland) Welsh Government, Knowledge and Analytical Services </w:t>
      </w:r>
      <w:proofErr w:type="gramStart"/>
      <w:r>
        <w:t>The</w:t>
      </w:r>
      <w:proofErr w:type="gramEnd"/>
      <w:r>
        <w:t xml:space="preserve"> Scottish Government, Rural and Environment Science and Analytical Services.</w:t>
      </w:r>
    </w:p>
    <w:p w14:paraId="27CECE53" w14:textId="77777777" w:rsidR="00747EEC" w:rsidRDefault="00747EEC" w:rsidP="00747EEC">
      <w:pPr>
        <w:pStyle w:val="Bibliography"/>
      </w:pPr>
      <w:r>
        <w:t>DEFRA, 2012. Guidelines to Defra Greenhouse Gas (GHG) Conversion Factors for Company Reporting. London, UK: Department for Environment, Food and Rural Affairs.</w:t>
      </w:r>
    </w:p>
    <w:p w14:paraId="43CE1D38" w14:textId="77777777" w:rsidR="00747EEC" w:rsidRDefault="00747EEC" w:rsidP="00747EEC">
      <w:pPr>
        <w:pStyle w:val="Bibliography"/>
      </w:pPr>
      <w:proofErr w:type="spellStart"/>
      <w:r>
        <w:t>Doelman</w:t>
      </w:r>
      <w:proofErr w:type="spellEnd"/>
      <w:r>
        <w:t xml:space="preserve">, J.C., </w:t>
      </w:r>
      <w:proofErr w:type="spellStart"/>
      <w:r>
        <w:t>Stehfest</w:t>
      </w:r>
      <w:proofErr w:type="spellEnd"/>
      <w:r>
        <w:t xml:space="preserve">, E., van Vuuren, D.P., </w:t>
      </w:r>
      <w:proofErr w:type="spellStart"/>
      <w:r>
        <w:t>Tabeau</w:t>
      </w:r>
      <w:proofErr w:type="spellEnd"/>
      <w:r>
        <w:t xml:space="preserve">, A., Hof, A.F., </w:t>
      </w:r>
      <w:proofErr w:type="spellStart"/>
      <w:r>
        <w:t>Braakhekke</w:t>
      </w:r>
      <w:proofErr w:type="spellEnd"/>
      <w:r>
        <w:t xml:space="preserve">, M.C., Gernaat, D.E.H.J., van den Berg, M., van Zeist, W.-J., </w:t>
      </w:r>
      <w:proofErr w:type="spellStart"/>
      <w:r>
        <w:t>Daioglou</w:t>
      </w:r>
      <w:proofErr w:type="spellEnd"/>
      <w:r>
        <w:t xml:space="preserve">, V., van </w:t>
      </w:r>
      <w:proofErr w:type="spellStart"/>
      <w:r>
        <w:t>Meijl</w:t>
      </w:r>
      <w:proofErr w:type="spellEnd"/>
      <w:r>
        <w:t xml:space="preserve">, H., Lucas, P.L., 2020. Afforestation for climate change mitigation: Potentials, </w:t>
      </w:r>
      <w:proofErr w:type="gramStart"/>
      <w:r>
        <w:t>risks</w:t>
      </w:r>
      <w:proofErr w:type="gramEnd"/>
      <w:r>
        <w:t xml:space="preserve"> and trade-offs. Global Change Biology 26, 1576–1591. https://doi.org/10.1111/gcb.14887</w:t>
      </w:r>
    </w:p>
    <w:p w14:paraId="5543C9BB" w14:textId="77777777" w:rsidR="00747EEC" w:rsidRDefault="00747EEC" w:rsidP="00747EEC">
      <w:pPr>
        <w:pStyle w:val="Bibliography"/>
      </w:pPr>
      <w:r>
        <w:t xml:space="preserve">Duin, E.C., Wagner, T., Shima, S., Prakash, D., Cronin, B., Yáñez-Ruiz, D.R., Duval, S., </w:t>
      </w:r>
      <w:proofErr w:type="spellStart"/>
      <w:r>
        <w:t>Rümbeli</w:t>
      </w:r>
      <w:proofErr w:type="spellEnd"/>
      <w:r>
        <w:t xml:space="preserve">, R., Stemmler, R.T., Thauer, R.K., Kindermann, M., 2016. Mode of action uncovered for the specific reduction of methane emissions from ruminants by the small molecule 3-nitrooxypropanol. Proc Natl </w:t>
      </w:r>
      <w:proofErr w:type="spellStart"/>
      <w:r>
        <w:t>Acad</w:t>
      </w:r>
      <w:proofErr w:type="spellEnd"/>
      <w:r>
        <w:t xml:space="preserve"> Sci U S A 113, 6172–6177. https://doi.org/10.1073/pnas.1600298113</w:t>
      </w:r>
    </w:p>
    <w:p w14:paraId="249EE35A" w14:textId="77777777" w:rsidR="00747EEC" w:rsidRDefault="00747EEC" w:rsidP="00747EEC">
      <w:pPr>
        <w:pStyle w:val="Bibliography"/>
      </w:pPr>
      <w:r>
        <w:t xml:space="preserve">Edwards-Jones, G., Plassmann, K., Harris, I.M., 2009. Carbon </w:t>
      </w:r>
      <w:proofErr w:type="spellStart"/>
      <w:r>
        <w:t>footprinting</w:t>
      </w:r>
      <w:proofErr w:type="spellEnd"/>
      <w:r>
        <w:t xml:space="preserve"> of lamb and beef production systems: insights from an empirical analysis of farms in Wales, UK. The Journal of Agricultural Science 147, 707–719. https://doi.org/10.1017/S0021859609990165</w:t>
      </w:r>
    </w:p>
    <w:p w14:paraId="7E84B40E" w14:textId="77777777" w:rsidR="00747EEC" w:rsidRDefault="00747EEC" w:rsidP="00747EEC">
      <w:pPr>
        <w:pStyle w:val="Bibliography"/>
      </w:pPr>
      <w:r>
        <w:t xml:space="preserve">El-Naggar, A., El-Naggar, A.H., Shaheen, S.M., Sarkar, B., Chang, S.X., Tsang, D.C.W., </w:t>
      </w:r>
      <w:proofErr w:type="spellStart"/>
      <w:r>
        <w:t>Rinklebe</w:t>
      </w:r>
      <w:proofErr w:type="spellEnd"/>
      <w:r>
        <w:t>, J., Ok, Y.S., 2019. Biochar composition-dependent impacts on soil nutrient release, carbon mineralization, and potential environmental risk: A review. Journal of Environmental Management 241, 458–467. https://doi.org/10.1016/j.jenvman.2019.02.044</w:t>
      </w:r>
    </w:p>
    <w:p w14:paraId="43FC7E6A" w14:textId="77777777" w:rsidR="00747EEC" w:rsidRDefault="00747EEC" w:rsidP="00747EEC">
      <w:pPr>
        <w:pStyle w:val="Bibliography"/>
      </w:pPr>
      <w:r>
        <w:t xml:space="preserve">Emmett, B.E., Abdalla, M., Anthony, S., Astbury, S., August, T., Barrett, G., Beckmann, B., Biggs, J., Botham, M., Bradley, D., Brown, M., Burden, A., Carter, H., Chadwick, D., Cigna, F., Collier, R., Cooper, D., Cooper, J., Cosby, B.J., Creer, S., Cross, P., </w:t>
      </w:r>
      <w:proofErr w:type="spellStart"/>
      <w:r>
        <w:t>Dadam</w:t>
      </w:r>
      <w:proofErr w:type="spellEnd"/>
      <w:r>
        <w:t xml:space="preserve">, D., Edwards, F., Edwards, M., Evans, C., Ewald, N., Fitton, A., Garbutt, A., </w:t>
      </w:r>
      <w:proofErr w:type="spellStart"/>
      <w:r>
        <w:t>Giampieri</w:t>
      </w:r>
      <w:proofErr w:type="spellEnd"/>
      <w:r>
        <w:t xml:space="preserve">, C., Gooday, R., </w:t>
      </w:r>
      <w:proofErr w:type="spellStart"/>
      <w:r>
        <w:t>Grebby</w:t>
      </w:r>
      <w:proofErr w:type="spellEnd"/>
      <w:r>
        <w:t xml:space="preserve">, S., Greene, S., </w:t>
      </w:r>
      <w:proofErr w:type="spellStart"/>
      <w:r>
        <w:t>Halfpenney</w:t>
      </w:r>
      <w:proofErr w:type="spellEnd"/>
      <w:r>
        <w:t xml:space="preserve">, I., Hall, J., Harrison, S., Harrower, C., Henrys, P., Hobson, R., Hughes, P., Hughes, S., Illian, J., Isaac, N., Jackson, B., Jarvis, S., Jones, D.L., Jones, P., Keith, A., Kelly, M., Kneebone, N., </w:t>
      </w:r>
      <w:proofErr w:type="spellStart"/>
      <w:r>
        <w:t>Korenko</w:t>
      </w:r>
      <w:proofErr w:type="spellEnd"/>
      <w:r>
        <w:t xml:space="preserve">, J., </w:t>
      </w:r>
      <w:proofErr w:type="spellStart"/>
      <w:r>
        <w:t>Lallias</w:t>
      </w:r>
      <w:proofErr w:type="spellEnd"/>
      <w:r>
        <w:t xml:space="preserve">, D., Leaver, D., Robinson, I., Malcolm, H., Maskell, L., McDonald, J., Moxley, J., Norton, L., O’Hare, M., Oliver, T., Owen, A., Parkhill, K.A., Pereira, M., Peyton, J., Pogson, M., Powney, G., Pritchard, N., </w:t>
      </w:r>
      <w:proofErr w:type="spellStart"/>
      <w:r>
        <w:t>Prochorskaite</w:t>
      </w:r>
      <w:proofErr w:type="spellEnd"/>
      <w:r>
        <w:t xml:space="preserve">, A., Prosser, M., Pywell, R., Rawlins, B., Reuland, O., Richards, M., Robinson, D.A., Rorke, S., Rowland, C., Roy, D., Scarlett, P., Scholefield, P., Scott, A., Scott, L., Scott, R., Sharps, K., Siriwardena, G., Smart, S., Smith, G., Smith, P., </w:t>
      </w:r>
      <w:proofErr w:type="spellStart"/>
      <w:r>
        <w:t>Stopps</w:t>
      </w:r>
      <w:proofErr w:type="spellEnd"/>
      <w:r>
        <w:t xml:space="preserve">, J., Swetnam, R., Taft, H., Taylor, R., Tebbs, E., Thomas, A., Todd-Jones, C., Tordoff, G., Turner, G., Van Breda, J., Vincent, H., Wagner, M., Waters, E., Walker-Springett, K., Wallace, H., Watkins, J., Webb, G., White, J., Whitworth, E., Williams, B., Williams, P., Wood, C., Wright, S., 2017. </w:t>
      </w:r>
      <w:proofErr w:type="spellStart"/>
      <w:r>
        <w:t>Glastir</w:t>
      </w:r>
      <w:proofErr w:type="spellEnd"/>
      <w:r>
        <w:t xml:space="preserve"> Monitoring &amp; Evaluation Programme. Final report (Publication - Report). NERC/Centre for Ecology &amp; Hydrology, Bangor, UK.</w:t>
      </w:r>
    </w:p>
    <w:p w14:paraId="488A6FC4" w14:textId="77777777" w:rsidR="00747EEC" w:rsidRDefault="00747EEC" w:rsidP="00747EEC">
      <w:pPr>
        <w:pStyle w:val="Bibliography"/>
      </w:pPr>
      <w:proofErr w:type="spellStart"/>
      <w:r>
        <w:t>Eory</w:t>
      </w:r>
      <w:proofErr w:type="spellEnd"/>
      <w:r>
        <w:t xml:space="preserve">, V., MacLeod, M., Topp, C.F.E., Rees, R.M., Webb, McVittie, Wall, Borthwick, Watson, Waterhouse, Wiltshire, 2015. Review and update the UK Agriculture Marginal Abatement Cost Curve to assess the greenhouse gas abatement potential for the 5th carbon budget period and to 2050. (Final report submitted for the project contract “Provision of services to review and update the UK agriculture MACC and to assess abatement potential for the 5 </w:t>
      </w:r>
      <w:proofErr w:type="spellStart"/>
      <w:r>
        <w:t>th</w:t>
      </w:r>
      <w:proofErr w:type="spellEnd"/>
      <w:r>
        <w:t xml:space="preserve"> carbon budget period and to 2050”). SRUC.</w:t>
      </w:r>
    </w:p>
    <w:p w14:paraId="01EE8215" w14:textId="77777777" w:rsidR="00747EEC" w:rsidRDefault="00747EEC" w:rsidP="00747EEC">
      <w:pPr>
        <w:pStyle w:val="Bibliography"/>
      </w:pPr>
      <w:proofErr w:type="spellStart"/>
      <w:r>
        <w:t>Eory</w:t>
      </w:r>
      <w:proofErr w:type="spellEnd"/>
      <w:r>
        <w:t>, V., Topp, C.F.E., Moran, D., 2013. Multiple-pollutant cost-effectiveness of greenhouse gas mitigation measures in the UK agriculture. Environmental Science &amp; Policy 27, 55–67. https://doi.org/10.1016/j.envsci.2012.11.003</w:t>
      </w:r>
    </w:p>
    <w:p w14:paraId="360104DF" w14:textId="77777777" w:rsidR="00747EEC" w:rsidRDefault="00747EEC" w:rsidP="00747EEC">
      <w:pPr>
        <w:pStyle w:val="Bibliography"/>
      </w:pPr>
      <w:proofErr w:type="spellStart"/>
      <w:r>
        <w:t>Eory</w:t>
      </w:r>
      <w:proofErr w:type="spellEnd"/>
      <w:r>
        <w:t>, V., Topp, K., Rees, B., Leinonen, I., Maire, J., 2020. Marginal abatement cost curve for Scottish agriculture. https://doi.org/10.7488/ERA/755</w:t>
      </w:r>
    </w:p>
    <w:p w14:paraId="60249D0E" w14:textId="77777777" w:rsidR="00747EEC" w:rsidRDefault="00747EEC" w:rsidP="00747EEC">
      <w:pPr>
        <w:pStyle w:val="Bibliography"/>
      </w:pPr>
      <w:proofErr w:type="spellStart"/>
      <w:r>
        <w:t>Fangueiro</w:t>
      </w:r>
      <w:proofErr w:type="spellEnd"/>
      <w:r>
        <w:t xml:space="preserve">, D., Hjorth, M., </w:t>
      </w:r>
      <w:proofErr w:type="spellStart"/>
      <w:r>
        <w:t>Gioelli</w:t>
      </w:r>
      <w:proofErr w:type="spellEnd"/>
      <w:r>
        <w:t>, F., 2015. Acidification of animal slurry– a review. Journal of Environmental Management 149, 46–56. https://doi.org/10.1016/j.jenvman.2014.10.001</w:t>
      </w:r>
    </w:p>
    <w:p w14:paraId="77A9FBD9" w14:textId="77777777" w:rsidR="00747EEC" w:rsidRDefault="00747EEC" w:rsidP="00747EEC">
      <w:pPr>
        <w:pStyle w:val="Bibliography"/>
      </w:pPr>
      <w:r>
        <w:t>FAO, 2020. The State of Food Security and Nutrition in the World 2020: Transforming food systems for affordable healthy diets. Food &amp; Agriculture Org.</w:t>
      </w:r>
    </w:p>
    <w:p w14:paraId="4F2FA4E6" w14:textId="77777777" w:rsidR="00747EEC" w:rsidRDefault="00747EEC" w:rsidP="00747EEC">
      <w:pPr>
        <w:pStyle w:val="Bibliography"/>
      </w:pPr>
      <w:r>
        <w:t>FAO, 2013. Mitigation of greenhouse gas emissions in livestock production: a review of technical options for non-CO2 emissions, FAO animal production and health paper. Food and Agriculture Organization of the United Nations, Rome.</w:t>
      </w:r>
    </w:p>
    <w:p w14:paraId="71D5E923" w14:textId="77777777" w:rsidR="00747EEC" w:rsidRDefault="00747EEC" w:rsidP="00747EEC">
      <w:pPr>
        <w:pStyle w:val="Bibliography"/>
      </w:pPr>
      <w:r>
        <w:t>Forestry Commission, 2021. Woodland Carbon Code: Carbon Lookup Tables.</w:t>
      </w:r>
    </w:p>
    <w:p w14:paraId="365DDEE6" w14:textId="77777777" w:rsidR="00747EEC" w:rsidRDefault="00747EEC" w:rsidP="00747EEC">
      <w:pPr>
        <w:pStyle w:val="Bibliography"/>
      </w:pPr>
      <w:r>
        <w:t xml:space="preserve">Forster, E.J., Healey, J.R., Dymond, C., Styles, D., 2021. Commercial afforestation can deliver effective climate change mitigation under multiple decarbonisation pathways. Nat </w:t>
      </w:r>
      <w:proofErr w:type="spellStart"/>
      <w:r>
        <w:t>Commun</w:t>
      </w:r>
      <w:proofErr w:type="spellEnd"/>
      <w:r>
        <w:t xml:space="preserve"> 12, 3831. https://doi.org/10.1038/s41467-021-24084-x</w:t>
      </w:r>
    </w:p>
    <w:p w14:paraId="4A3CE8B5" w14:textId="77777777" w:rsidR="00747EEC" w:rsidRDefault="00747EEC" w:rsidP="00747EEC">
      <w:pPr>
        <w:pStyle w:val="Bibliography"/>
      </w:pPr>
      <w:r>
        <w:t xml:space="preserve">Fox, N.J., Smith, L.A., </w:t>
      </w:r>
      <w:proofErr w:type="spellStart"/>
      <w:r>
        <w:t>Houdijk</w:t>
      </w:r>
      <w:proofErr w:type="spellEnd"/>
      <w:r>
        <w:t>, J.G.M., Athanasiadou, S., Hutchings, M.R., 2018. Ubiquitous parasites drive a 33% increase in methane yield from livestock. International Journal for Parasitology 48, 1017–1021. https://doi.org/10.1016/j.ijpara.2018.06.001</w:t>
      </w:r>
    </w:p>
    <w:p w14:paraId="1DB848B7" w14:textId="77777777" w:rsidR="00747EEC" w:rsidRDefault="00747EEC" w:rsidP="00747EEC">
      <w:pPr>
        <w:pStyle w:val="Bibliography"/>
      </w:pPr>
      <w:r>
        <w:t xml:space="preserve">Fuchs, K., </w:t>
      </w:r>
      <w:proofErr w:type="spellStart"/>
      <w:r>
        <w:t>Hörtnagl</w:t>
      </w:r>
      <w:proofErr w:type="spellEnd"/>
      <w:r>
        <w:t xml:space="preserve">, L., Buchmann, N., Eugster, W., Snow, V., </w:t>
      </w:r>
      <w:proofErr w:type="spellStart"/>
      <w:r>
        <w:t>Merbold</w:t>
      </w:r>
      <w:proofErr w:type="spellEnd"/>
      <w:r>
        <w:t xml:space="preserve">, L., 2018. Management matters: testing a mitigation strategy for nitrous oxide emissions using legumes on intensively managed grassland. </w:t>
      </w:r>
      <w:proofErr w:type="spellStart"/>
      <w:r>
        <w:t>Biogeosciences</w:t>
      </w:r>
      <w:proofErr w:type="spellEnd"/>
      <w:r>
        <w:t xml:space="preserve"> 15, 5519–5543. https://doi.org/10.5194/bg-15-5519-2018</w:t>
      </w:r>
    </w:p>
    <w:p w14:paraId="41CA499B" w14:textId="77777777" w:rsidR="00747EEC" w:rsidRDefault="00747EEC" w:rsidP="00747EEC">
      <w:pPr>
        <w:pStyle w:val="Bibliography"/>
      </w:pPr>
      <w:r>
        <w:t xml:space="preserve">Green, R., Cornell, S., </w:t>
      </w:r>
      <w:proofErr w:type="spellStart"/>
      <w:r>
        <w:t>Scharlemann</w:t>
      </w:r>
      <w:proofErr w:type="spellEnd"/>
      <w:r>
        <w:t>, J., Balmford, A., 2005. Farming and the Fate of Wild Nature. Science (New York, N.Y.) 307, 550–5. https://doi.org/10.1126/science.1106049</w:t>
      </w:r>
    </w:p>
    <w:p w14:paraId="087690D6" w14:textId="77777777" w:rsidR="00747EEC" w:rsidRDefault="00747EEC" w:rsidP="00747EEC">
      <w:pPr>
        <w:pStyle w:val="Bibliography"/>
      </w:pPr>
      <w:r>
        <w:t xml:space="preserve">Gupta, D.K., Gupta, C.K., Dubey, R., </w:t>
      </w:r>
      <w:proofErr w:type="spellStart"/>
      <w:r>
        <w:t>Fagodiya</w:t>
      </w:r>
      <w:proofErr w:type="spellEnd"/>
      <w:r>
        <w:t>, R.K., Sharma, G., A., K., Noor Mohamed, M.B., Dev, R., Shukla, A.K., 2020. Role of Biochar in Carbon Sequestration and Greenhouse Gas Mitigation, in: Singh, J.S., Singh, C. (Eds.), Biochar Applications in Agriculture and Environment Management. Springer International Publishing, Cham, pp. 141–165. https://doi.org/10.1007/978-3-030-40997-5_7</w:t>
      </w:r>
    </w:p>
    <w:p w14:paraId="479F06D5" w14:textId="77777777" w:rsidR="00747EEC" w:rsidRDefault="00747EEC" w:rsidP="00747EEC">
      <w:pPr>
        <w:pStyle w:val="Bibliography"/>
      </w:pPr>
      <w:r>
        <w:t xml:space="preserve">Hammer, T.J., Fierer, N., Hardwick, B., </w:t>
      </w:r>
      <w:proofErr w:type="spellStart"/>
      <w:r>
        <w:t>Simojoki</w:t>
      </w:r>
      <w:proofErr w:type="spellEnd"/>
      <w:r>
        <w:t xml:space="preserve">, A., Slade, E., </w:t>
      </w:r>
      <w:proofErr w:type="spellStart"/>
      <w:r>
        <w:t>Taponen</w:t>
      </w:r>
      <w:proofErr w:type="spellEnd"/>
      <w:r>
        <w:t>, J., Viljanen, H., Roslin, T., 2016. Treating cattle with antibiotics affects greenhouse gas emissions, and microbiota in dung and dung beetles. Proceedings of the Royal Society B: Biological Sciences 283, 20160150. https://doi.org/10.1098/rspb.2016.0150</w:t>
      </w:r>
    </w:p>
    <w:p w14:paraId="3AD5EFD9" w14:textId="77777777" w:rsidR="00747EEC" w:rsidRDefault="00747EEC" w:rsidP="00747EEC">
      <w:pPr>
        <w:pStyle w:val="Bibliography"/>
      </w:pPr>
      <w:r>
        <w:t xml:space="preserve">Hardaker, A., </w:t>
      </w:r>
      <w:proofErr w:type="spellStart"/>
      <w:r>
        <w:t>Pagella</w:t>
      </w:r>
      <w:proofErr w:type="spellEnd"/>
      <w:r>
        <w:t>, T., Rayment, M., 2021. Ecosystem service and dis-service impacts of increasing tree cover on agricultural land by land-sparing and land-sharing in the Welsh uplands. Ecosystem Services 48, 101253. https://doi.org/10.1016/j.ecoser.2021.101253</w:t>
      </w:r>
    </w:p>
    <w:p w14:paraId="3C5F22D6" w14:textId="77777777" w:rsidR="00747EEC" w:rsidRDefault="00747EEC" w:rsidP="00747EEC">
      <w:pPr>
        <w:pStyle w:val="Bibliography"/>
      </w:pPr>
      <w:r>
        <w:t xml:space="preserve">Hardaker, A., </w:t>
      </w:r>
      <w:proofErr w:type="spellStart"/>
      <w:r>
        <w:t>Pagella</w:t>
      </w:r>
      <w:proofErr w:type="spellEnd"/>
      <w:r>
        <w:t>, T., Rayment, M., 2020. Integrated assessment, valuation and mapping of ecosystem services and dis-services from upland land use in Wales. Ecosystem Services 43, 101098. https://doi.org/10.1016/j.ecoser.2020.101098</w:t>
      </w:r>
    </w:p>
    <w:p w14:paraId="28C83EC4" w14:textId="77777777" w:rsidR="00747EEC" w:rsidRDefault="00747EEC" w:rsidP="00747EEC">
      <w:pPr>
        <w:pStyle w:val="Bibliography"/>
      </w:pPr>
      <w:r>
        <w:t xml:space="preserve">Hasegawa, T., Fujimori, S., Havlík, P., Valin, H., </w:t>
      </w:r>
      <w:proofErr w:type="spellStart"/>
      <w:r>
        <w:t>Bodirsky</w:t>
      </w:r>
      <w:proofErr w:type="spellEnd"/>
      <w:r>
        <w:t xml:space="preserve">, B.L., </w:t>
      </w:r>
      <w:proofErr w:type="spellStart"/>
      <w:r>
        <w:t>Doelman</w:t>
      </w:r>
      <w:proofErr w:type="spellEnd"/>
      <w:r>
        <w:t xml:space="preserve">, J.C., </w:t>
      </w:r>
      <w:proofErr w:type="spellStart"/>
      <w:r>
        <w:t>Fellmann</w:t>
      </w:r>
      <w:proofErr w:type="spellEnd"/>
      <w:r>
        <w:t>, T., Kyle, P., Koopman, J.F.L., Lotze-Campen, H., Mason-</w:t>
      </w:r>
      <w:proofErr w:type="spellStart"/>
      <w:r>
        <w:t>D’Croz</w:t>
      </w:r>
      <w:proofErr w:type="spellEnd"/>
      <w:r>
        <w:t xml:space="preserve">, D., Ochi, Y., Pérez Domínguez, I., </w:t>
      </w:r>
      <w:proofErr w:type="spellStart"/>
      <w:r>
        <w:t>Stehfest</w:t>
      </w:r>
      <w:proofErr w:type="spellEnd"/>
      <w:r>
        <w:t xml:space="preserve">, E., Sulser, T.B., </w:t>
      </w:r>
      <w:proofErr w:type="spellStart"/>
      <w:r>
        <w:t>Tabeau</w:t>
      </w:r>
      <w:proofErr w:type="spellEnd"/>
      <w:r>
        <w:t xml:space="preserve">, A., Takahashi, K., Takakura, J., van </w:t>
      </w:r>
      <w:proofErr w:type="spellStart"/>
      <w:r>
        <w:t>Meijl</w:t>
      </w:r>
      <w:proofErr w:type="spellEnd"/>
      <w:r>
        <w:t>, H., van Zeist, W.-J., Wiebe, K., Witzke, P., 2018. Risk of increased food insecurity under stringent global climate change mitigation policy. Nature Clim Change 8, 699–703. https://doi.org/10.1038/s41558-018-0230-x</w:t>
      </w:r>
    </w:p>
    <w:p w14:paraId="251CA292" w14:textId="77777777" w:rsidR="00747EEC" w:rsidRDefault="00747EEC" w:rsidP="00747EEC">
      <w:pPr>
        <w:pStyle w:val="Bibliography"/>
      </w:pPr>
      <w:r>
        <w:t xml:space="preserve">Hilber, I., Bastos, A.C., Loureiro, S., Soja, G., </w:t>
      </w:r>
      <w:proofErr w:type="spellStart"/>
      <w:r>
        <w:t>Marsz</w:t>
      </w:r>
      <w:proofErr w:type="spellEnd"/>
      <w:r>
        <w:t>, A., Cornelissen, G., Bucheli, T.D., 2017. The different faces of biochar: contamination risk versus remediation tool. Journal of Environmental Engineering and Landscape Management 25, 86–104. https://doi.org/10.3846/16486897.2016.1254089</w:t>
      </w:r>
    </w:p>
    <w:p w14:paraId="56958BD0" w14:textId="77777777" w:rsidR="00747EEC" w:rsidRDefault="00747EEC" w:rsidP="00747EEC">
      <w:pPr>
        <w:pStyle w:val="Bibliography"/>
      </w:pPr>
      <w:r>
        <w:t>Hyland, J.J., Styles, D., Jones, D.L., Williams, A.P., 2016. Improving livestock production efficiencies presents a major opportunity to reduce sectoral greenhouse gas emissions. Agricultural Systems 147, 123–131. https://doi.org/10.1016/j.agsy.2016.06.006</w:t>
      </w:r>
    </w:p>
    <w:p w14:paraId="42217D0F" w14:textId="77777777" w:rsidR="00747EEC" w:rsidRDefault="00747EEC" w:rsidP="00747EEC">
      <w:pPr>
        <w:pStyle w:val="Bibliography"/>
      </w:pPr>
      <w:r>
        <w:t>IPCC, 2022. Climate Change 2022: Impacts, Adaptation and Vulnerability. Contribution of Working Group III to the Sixth Assessment Report of the Intergovernmental Panel on Climate Change. https://doi.org/10.1017/9781009157926</w:t>
      </w:r>
    </w:p>
    <w:p w14:paraId="19C781C4" w14:textId="77777777" w:rsidR="00747EEC" w:rsidRDefault="00747EEC" w:rsidP="00747EEC">
      <w:pPr>
        <w:pStyle w:val="Bibliography"/>
      </w:pPr>
      <w:r>
        <w:t>IPCC, 2019. 2019 Refinement to the 2006 IPCC Guidelines for National Greenhouse Gas Inventories.</w:t>
      </w:r>
    </w:p>
    <w:p w14:paraId="15CA0376" w14:textId="77777777" w:rsidR="00747EEC" w:rsidRDefault="00747EEC" w:rsidP="00747EEC">
      <w:pPr>
        <w:pStyle w:val="Bibliography"/>
      </w:pPr>
      <w:r>
        <w:t>IPCC (Ed.), 2018. Annex I: Glossary, in: Global Warming of 1.5°C: IPCC Special Report on Impacts of Global Warming of 1.5°C above Pre-Industrial Levels in Context of Strengthening Response to Climate Change, Sustainable Development, and Efforts to Eradicate Poverty. Cambridge University Press, Cambridge, pp. 541–562. https://doi.org/10.1017/9781009157940.008</w:t>
      </w:r>
    </w:p>
    <w:p w14:paraId="01F395BF" w14:textId="77777777" w:rsidR="00747EEC" w:rsidRDefault="00747EEC" w:rsidP="00747EEC">
      <w:pPr>
        <w:pStyle w:val="Bibliography"/>
      </w:pPr>
      <w:r>
        <w:t>IPCC, 2006. 2006 IPCC Guidelines for National Greenhouse Gas Inventories Volume 4 Agriculture, Forestry and Other Land Use.</w:t>
      </w:r>
    </w:p>
    <w:p w14:paraId="78C4659F" w14:textId="77777777" w:rsidR="00747EEC" w:rsidRDefault="00747EEC" w:rsidP="00747EEC">
      <w:pPr>
        <w:pStyle w:val="Bibliography"/>
      </w:pPr>
      <w:r>
        <w:t>IPCC, C.C., 2007. The physical science basis. Contribution of working group I to the fourth assessment report of the Intergovernmental Panel on Climate Change. Cambridge University Press, Cambridge, United Kingdom and New York, NY, USA 996, 113–119.</w:t>
      </w:r>
    </w:p>
    <w:p w14:paraId="217B8F89" w14:textId="77777777" w:rsidR="00747EEC" w:rsidRDefault="00747EEC" w:rsidP="00747EEC">
      <w:pPr>
        <w:pStyle w:val="Bibliography"/>
      </w:pPr>
      <w:r>
        <w:t xml:space="preserve">Janssens, I.A., Freibauer, A., </w:t>
      </w:r>
      <w:proofErr w:type="spellStart"/>
      <w:r>
        <w:t>Schlamadinger</w:t>
      </w:r>
      <w:proofErr w:type="spellEnd"/>
      <w:r>
        <w:t xml:space="preserve">, B., Ceulemans, R., Ciais, P., Dolman, A.J., Heimann, M., </w:t>
      </w:r>
      <w:proofErr w:type="spellStart"/>
      <w:r>
        <w:t>Nabuurs</w:t>
      </w:r>
      <w:proofErr w:type="spellEnd"/>
      <w:r>
        <w:t xml:space="preserve">, G.-J., Smith, P., Valentini, R., Schulze, E.-D., 2005. The carbon budget of terrestrial ecosystems at country-scale – a European case study. </w:t>
      </w:r>
      <w:proofErr w:type="spellStart"/>
      <w:r>
        <w:t>Biogeosciences</w:t>
      </w:r>
      <w:proofErr w:type="spellEnd"/>
      <w:r>
        <w:t xml:space="preserve"> 2, 15–26. https://doi.org/10.5194/bg-2-15-2005</w:t>
      </w:r>
    </w:p>
    <w:p w14:paraId="1C3E2E3F" w14:textId="77777777" w:rsidR="00747EEC" w:rsidRDefault="00747EEC" w:rsidP="00747EEC">
      <w:pPr>
        <w:pStyle w:val="Bibliography"/>
      </w:pPr>
      <w:proofErr w:type="spellStart"/>
      <w:r>
        <w:t>Jayanegara</w:t>
      </w:r>
      <w:proofErr w:type="spellEnd"/>
      <w:r>
        <w:t xml:space="preserve">, A., Sarwono, K.A., Kondo, M., Matsui, H., </w:t>
      </w:r>
      <w:proofErr w:type="spellStart"/>
      <w:r>
        <w:t>Ridla</w:t>
      </w:r>
      <w:proofErr w:type="spellEnd"/>
      <w:r>
        <w:t xml:space="preserve">, M., </w:t>
      </w:r>
      <w:proofErr w:type="spellStart"/>
      <w:r>
        <w:t>Laconi</w:t>
      </w:r>
      <w:proofErr w:type="spellEnd"/>
      <w:r>
        <w:t xml:space="preserve">, E.B., </w:t>
      </w:r>
      <w:proofErr w:type="spellStart"/>
      <w:r>
        <w:t>Nahrowi</w:t>
      </w:r>
      <w:proofErr w:type="spellEnd"/>
      <w:r>
        <w:t>, 2018. Use of 3-nitrooxypropanol as feed additive for mitigating enteric methane emissions from ruminants: a meta-analysis. Italian Journal of Animal Science 17, 650–656. https://doi.org/10.1080/1828051X.2017.1404945</w:t>
      </w:r>
    </w:p>
    <w:p w14:paraId="1880F890" w14:textId="77777777" w:rsidR="00747EEC" w:rsidRDefault="00747EEC" w:rsidP="00747EEC">
      <w:pPr>
        <w:pStyle w:val="Bibliography"/>
      </w:pPr>
      <w:r>
        <w:t xml:space="preserve">Jensen, E.S., Peoples, M.B., </w:t>
      </w:r>
      <w:proofErr w:type="spellStart"/>
      <w:r>
        <w:t>Boddey</w:t>
      </w:r>
      <w:proofErr w:type="spellEnd"/>
      <w:r>
        <w:t xml:space="preserve">, R.M., </w:t>
      </w:r>
      <w:proofErr w:type="spellStart"/>
      <w:r>
        <w:t>Gresshoff</w:t>
      </w:r>
      <w:proofErr w:type="spellEnd"/>
      <w:r>
        <w:t>, P.M., Hauggaard-Nielsen, H., J.R. Alves, B., Morrison, M.J., 2012. Legumes for mitigation of climate change and the provision of feedstock for biofuels and biorefineries. A review. Agron. Sustain. Dev. 32, 329–364. https://doi.org/10.1007/s13593-011-0056-7</w:t>
      </w:r>
    </w:p>
    <w:p w14:paraId="26CC5F57" w14:textId="77777777" w:rsidR="00747EEC" w:rsidRDefault="00747EEC" w:rsidP="00747EEC">
      <w:pPr>
        <w:pStyle w:val="Bibliography"/>
      </w:pPr>
      <w:r>
        <w:t>Jones, A.K., Jones, D.L., Cross, P., 2014. The carbon footprint of lamb: Sources of variation and opportunities for mitigation. Agricultural Systems 123, 97–107. https://doi.org/10.1016/j.agsy.2013.09.006</w:t>
      </w:r>
    </w:p>
    <w:p w14:paraId="09725AD6" w14:textId="77777777" w:rsidR="00747EEC" w:rsidRDefault="00747EEC" w:rsidP="00747EEC">
      <w:pPr>
        <w:pStyle w:val="Bibliography"/>
      </w:pPr>
      <w:r>
        <w:t xml:space="preserve">Jones, S.K., </w:t>
      </w:r>
      <w:proofErr w:type="spellStart"/>
      <w:r>
        <w:t>Helfter</w:t>
      </w:r>
      <w:proofErr w:type="spellEnd"/>
      <w:r>
        <w:t xml:space="preserve">, C., Anderson, M., Coyle, M., Campbell, C., Famulari, D., Di Marco, C., van Dijk, N., Tang, Y.S., Topp, C.F.E., Kiese, R., Kindler, R., Siemens, J., Schrumpf, M., Kaiser, K., Nemitz, E., Levy, P.E., Rees, R.M., Sutton, M.A., Skiba, U.M., 2017. The nitrogen, </w:t>
      </w:r>
      <w:proofErr w:type="gramStart"/>
      <w:r>
        <w:t>carbon</w:t>
      </w:r>
      <w:proofErr w:type="gramEnd"/>
      <w:r>
        <w:t xml:space="preserve"> and greenhouse gas budget of a grazed, cut and fertilised temperate grassland. </w:t>
      </w:r>
      <w:proofErr w:type="spellStart"/>
      <w:r>
        <w:t>Biogeosciences</w:t>
      </w:r>
      <w:proofErr w:type="spellEnd"/>
      <w:r>
        <w:t xml:space="preserve"> 14, 2069–2088. https://doi.org/10.5194/bg-14-2069-2017</w:t>
      </w:r>
    </w:p>
    <w:p w14:paraId="03136923" w14:textId="77777777" w:rsidR="00747EEC" w:rsidRDefault="00747EEC" w:rsidP="00747EEC">
      <w:pPr>
        <w:pStyle w:val="Bibliography"/>
      </w:pPr>
      <w:r>
        <w:t xml:space="preserve">Jordon, M.W., Willis, K.J., Harvey, W.J., </w:t>
      </w:r>
      <w:proofErr w:type="spellStart"/>
      <w:r>
        <w:t>Petrokofsky</w:t>
      </w:r>
      <w:proofErr w:type="spellEnd"/>
      <w:r>
        <w:t xml:space="preserve">, L., </w:t>
      </w:r>
      <w:proofErr w:type="spellStart"/>
      <w:r>
        <w:t>Petrokofsky</w:t>
      </w:r>
      <w:proofErr w:type="spellEnd"/>
      <w:r>
        <w:t>, G., 2020. Implications of Temperate Agroforestry on Sheep and Cattle Productivity, Environmental Impacts and Enterprise Economics. A Systematic Evidence Map. Forests 11, 1321. https://doi.org/10.3390/f11121321</w:t>
      </w:r>
    </w:p>
    <w:p w14:paraId="1AB50955" w14:textId="77777777" w:rsidR="00747EEC" w:rsidRDefault="00747EEC" w:rsidP="00747EEC">
      <w:pPr>
        <w:pStyle w:val="Bibliography"/>
      </w:pPr>
      <w:r>
        <w:t xml:space="preserve">Klumpp, K., Bloor, J.M.G., Ambus, P., </w:t>
      </w:r>
      <w:proofErr w:type="spellStart"/>
      <w:r>
        <w:t>Soussana</w:t>
      </w:r>
      <w:proofErr w:type="spellEnd"/>
      <w:r>
        <w:t>, J.-F., 2011. Effects of clover density on N2O emissions and plant-soil N transfers in a fertilised upland pasture. Plant Soil 343, 97–107. https://doi.org/10.1007/s11104-010-0526-8</w:t>
      </w:r>
    </w:p>
    <w:p w14:paraId="2E33BC67" w14:textId="77777777" w:rsidR="00747EEC" w:rsidRDefault="00747EEC" w:rsidP="00747EEC">
      <w:pPr>
        <w:pStyle w:val="Bibliography"/>
      </w:pPr>
      <w:r>
        <w:t xml:space="preserve">Kool, A., </w:t>
      </w:r>
      <w:proofErr w:type="spellStart"/>
      <w:r>
        <w:t>Marinussen</w:t>
      </w:r>
      <w:proofErr w:type="spellEnd"/>
      <w:r>
        <w:t xml:space="preserve">, M., Blonk, H., Consultants, B., 2012. LCI data for the calculation tool </w:t>
      </w:r>
      <w:proofErr w:type="spellStart"/>
      <w:r>
        <w:t>Feedprint</w:t>
      </w:r>
      <w:proofErr w:type="spellEnd"/>
      <w:r>
        <w:t xml:space="preserve"> for greenhouse gas emissions of feed production and utilization 20.</w:t>
      </w:r>
    </w:p>
    <w:p w14:paraId="11CF8094" w14:textId="77777777" w:rsidR="00747EEC" w:rsidRDefault="00747EEC" w:rsidP="00747EEC">
      <w:pPr>
        <w:pStyle w:val="Bibliography"/>
      </w:pPr>
      <w:r>
        <w:t>Lam, S.K., Suter, H., Mosier, A.R., Chen, D., 2017. Using nitrification inhibitors to mitigate agricultural N2O emission: a double-edged sword? Global Change Biology 23, 485–489. https://doi.org/10.1111/gcb.13338</w:t>
      </w:r>
    </w:p>
    <w:p w14:paraId="60847A57" w14:textId="77777777" w:rsidR="00747EEC" w:rsidRDefault="00747EEC" w:rsidP="00747EEC">
      <w:pPr>
        <w:pStyle w:val="Bibliography"/>
      </w:pPr>
      <w:r>
        <w:t xml:space="preserve">Lamb, A., Green, R., Bateman, I., Broadmeadow, M., Bruce, T., Burney, J., Carey, P., Chadwick, D., Crane, E., Field, R., Goulding, K., Griffiths, H., Hastings, A., </w:t>
      </w:r>
      <w:proofErr w:type="spellStart"/>
      <w:r>
        <w:t>Kasoar</w:t>
      </w:r>
      <w:proofErr w:type="spellEnd"/>
      <w:r>
        <w:t xml:space="preserve">, T., Kindred, D., Phalan, B., Pickett, J., Smith, P., Wall, E., </w:t>
      </w:r>
      <w:proofErr w:type="spellStart"/>
      <w:r>
        <w:t>zu</w:t>
      </w:r>
      <w:proofErr w:type="spellEnd"/>
      <w:r>
        <w:t xml:space="preserve"> </w:t>
      </w:r>
      <w:proofErr w:type="spellStart"/>
      <w:r>
        <w:t>Ermgassen</w:t>
      </w:r>
      <w:proofErr w:type="spellEnd"/>
      <w:r>
        <w:t>, E.K.H.J., Balmford, A., 2016. The potential for land sparing to offset greenhouse gas emissions from agriculture. Nature Climate Change 6, 488–492. https://doi.org/10.1038/nclimate2910</w:t>
      </w:r>
    </w:p>
    <w:p w14:paraId="55564DDF" w14:textId="77777777" w:rsidR="00747EEC" w:rsidRDefault="00747EEC" w:rsidP="00747EEC">
      <w:pPr>
        <w:pStyle w:val="Bibliography"/>
      </w:pPr>
      <w:proofErr w:type="spellStart"/>
      <w:r>
        <w:t>Laureysens</w:t>
      </w:r>
      <w:proofErr w:type="spellEnd"/>
      <w:r>
        <w:t xml:space="preserve">, I., Deraedt, W., Indeherberge, T., Ceulemans, R., 2003. Population dynamics in a </w:t>
      </w:r>
      <w:proofErr w:type="gramStart"/>
      <w:r>
        <w:t>6-year old</w:t>
      </w:r>
      <w:proofErr w:type="gramEnd"/>
      <w:r>
        <w:t xml:space="preserve"> coppice culture of poplar. I. Clonal differences in stool mortality, shoot dynamics and shoot diameter distribution in relation to biomass production. Biomass and Bioenergy 24, 81–95. https://doi.org/10.1016/S0961-9534(02)00105-8</w:t>
      </w:r>
    </w:p>
    <w:p w14:paraId="6AF63DEC" w14:textId="77777777" w:rsidR="00747EEC" w:rsidRDefault="00747EEC" w:rsidP="00747EEC">
      <w:pPr>
        <w:pStyle w:val="Bibliography"/>
      </w:pPr>
      <w:r>
        <w:t>Li, D., Lanigan, G., Humphreys, J., 2011. Measured and Simulated Nitrous Oxide Emissions from Ryegrass- and Ryegrass/White Clover-Based Grasslands in a Moist Temperate Climate. PLOS ONE 6, e26176. https://doi.org/10.1371/journal.pone.0026176</w:t>
      </w:r>
    </w:p>
    <w:p w14:paraId="03B285BE" w14:textId="77777777" w:rsidR="00747EEC" w:rsidRDefault="00747EEC" w:rsidP="00747EEC">
      <w:pPr>
        <w:pStyle w:val="Bibliography"/>
      </w:pPr>
      <w:r>
        <w:t xml:space="preserve">MacLeod, M., Moran, D., </w:t>
      </w:r>
      <w:proofErr w:type="spellStart"/>
      <w:r>
        <w:t>Eory</w:t>
      </w:r>
      <w:proofErr w:type="spellEnd"/>
      <w:r>
        <w:t>, V., Rees, R.M., Barnes, A., Topp, C.F.E., Ball, B., Hoad, S., Wall, E., McVittie, A., Pajot, G., Matthews, R., Smith, P., Moxey, A., 2010. Developing greenhouse gas marginal abatement cost curves for agricultural emissions from crops and soils in the UK. Agricultural Systems 103, 198–209. https://doi.org/10.1016/j.agsy.2010.01.002</w:t>
      </w:r>
    </w:p>
    <w:p w14:paraId="72C17900" w14:textId="77777777" w:rsidR="00747EEC" w:rsidRDefault="00747EEC" w:rsidP="00747EEC">
      <w:pPr>
        <w:pStyle w:val="Bibliography"/>
      </w:pPr>
      <w:r>
        <w:t>Milne, R., Brown, T.A., 1997. Carbon in the Vegetation and Soils of Great Britain. Journal of Environmental Management 49, 413–433. https://doi.org/10.1006/jema.1995.0118</w:t>
      </w:r>
    </w:p>
    <w:p w14:paraId="034BF0EF" w14:textId="77777777" w:rsidR="00747EEC" w:rsidRDefault="00747EEC" w:rsidP="00747EEC">
      <w:pPr>
        <w:pStyle w:val="Bibliography"/>
      </w:pPr>
      <w:proofErr w:type="spellStart"/>
      <w:r>
        <w:t>Misselbrook</w:t>
      </w:r>
      <w:proofErr w:type="spellEnd"/>
      <w:r>
        <w:t>, T.H., Cardenas, L.M., Camp, V., Thorman, R.E., Williams, J.R., Rollett, A.J., Chambers, B.J., 2014. An assessment of nitrification inhibitors to reduce nitrous oxide emissions from UK agriculture. Environ. Res. Lett. 9, 115006. https://doi.org/10.1088/1748-9326/9/11/115006</w:t>
      </w:r>
    </w:p>
    <w:p w14:paraId="1366C516" w14:textId="77777777" w:rsidR="00747EEC" w:rsidRDefault="00747EEC" w:rsidP="00747EEC">
      <w:pPr>
        <w:pStyle w:val="Bibliography"/>
      </w:pPr>
      <w:proofErr w:type="spellStart"/>
      <w:r>
        <w:t>Mokany</w:t>
      </w:r>
      <w:proofErr w:type="spellEnd"/>
      <w:r>
        <w:t xml:space="preserve">, K., Raison, R.J., </w:t>
      </w:r>
      <w:proofErr w:type="spellStart"/>
      <w:r>
        <w:t>Prokushkin</w:t>
      </w:r>
      <w:proofErr w:type="spellEnd"/>
      <w:r>
        <w:t xml:space="preserve">, A.S., 2006. Critical analysis of </w:t>
      </w:r>
      <w:proofErr w:type="gramStart"/>
      <w:r>
        <w:t>root :</w:t>
      </w:r>
      <w:proofErr w:type="gramEnd"/>
      <w:r>
        <w:t xml:space="preserve"> shoot ratios in terrestrial biomes. Global Change Biology 12, 84–96. https://doi.org/10.1111/j.1365-2486.2005.001043.x</w:t>
      </w:r>
    </w:p>
    <w:p w14:paraId="68A3A2AD" w14:textId="77777777" w:rsidR="00747EEC" w:rsidRDefault="00747EEC" w:rsidP="00747EEC">
      <w:pPr>
        <w:pStyle w:val="Bibliography"/>
      </w:pPr>
      <w:r>
        <w:t xml:space="preserve">Pellerin, S., </w:t>
      </w:r>
      <w:proofErr w:type="spellStart"/>
      <w:r>
        <w:t>Bamière</w:t>
      </w:r>
      <w:proofErr w:type="spellEnd"/>
      <w:r>
        <w:t xml:space="preserve">, L., Angers, D., Béline, F., Benoit, M., </w:t>
      </w:r>
      <w:proofErr w:type="spellStart"/>
      <w:r>
        <w:t>Butault</w:t>
      </w:r>
      <w:proofErr w:type="spellEnd"/>
      <w:r>
        <w:t xml:space="preserve">, J.-P., </w:t>
      </w:r>
      <w:proofErr w:type="spellStart"/>
      <w:r>
        <w:t>Chenu</w:t>
      </w:r>
      <w:proofErr w:type="spellEnd"/>
      <w:r>
        <w:t xml:space="preserve">, C., </w:t>
      </w:r>
      <w:proofErr w:type="spellStart"/>
      <w:r>
        <w:t>Colnenne</w:t>
      </w:r>
      <w:proofErr w:type="spellEnd"/>
      <w:r>
        <w:t xml:space="preserve">-David, C., Cara, S. de, </w:t>
      </w:r>
      <w:proofErr w:type="spellStart"/>
      <w:r>
        <w:t>Delame</w:t>
      </w:r>
      <w:proofErr w:type="spellEnd"/>
      <w:r>
        <w:t xml:space="preserve">, N., </w:t>
      </w:r>
      <w:proofErr w:type="spellStart"/>
      <w:r>
        <w:t>Doreau</w:t>
      </w:r>
      <w:proofErr w:type="spellEnd"/>
      <w:r>
        <w:t xml:space="preserve">, M., </w:t>
      </w:r>
      <w:proofErr w:type="spellStart"/>
      <w:r>
        <w:t>Dupraz</w:t>
      </w:r>
      <w:proofErr w:type="spellEnd"/>
      <w:r>
        <w:t xml:space="preserve">, P., </w:t>
      </w:r>
      <w:proofErr w:type="spellStart"/>
      <w:r>
        <w:t>Faverdin</w:t>
      </w:r>
      <w:proofErr w:type="spellEnd"/>
      <w:r>
        <w:t xml:space="preserve">, P., Garcia-Launay, F., </w:t>
      </w:r>
      <w:proofErr w:type="spellStart"/>
      <w:r>
        <w:t>Hassouna</w:t>
      </w:r>
      <w:proofErr w:type="spellEnd"/>
      <w:r>
        <w:t xml:space="preserve">, M., </w:t>
      </w:r>
      <w:proofErr w:type="spellStart"/>
      <w:r>
        <w:t>Hénault</w:t>
      </w:r>
      <w:proofErr w:type="spellEnd"/>
      <w:r>
        <w:t xml:space="preserve">, C., </w:t>
      </w:r>
      <w:proofErr w:type="spellStart"/>
      <w:r>
        <w:t>Jeuffroy</w:t>
      </w:r>
      <w:proofErr w:type="spellEnd"/>
      <w:r>
        <w:t xml:space="preserve">, M.-H., Klumpp, K., </w:t>
      </w:r>
      <w:proofErr w:type="spellStart"/>
      <w:r>
        <w:t>Metay</w:t>
      </w:r>
      <w:proofErr w:type="spellEnd"/>
      <w:r>
        <w:t xml:space="preserve">, A., Moran, D., </w:t>
      </w:r>
      <w:proofErr w:type="spellStart"/>
      <w:r>
        <w:t>Recous</w:t>
      </w:r>
      <w:proofErr w:type="spellEnd"/>
      <w:r>
        <w:t xml:space="preserve">, S., Samson, E., Savini, I., Pardon, L., 2013. How can French agriculture contribute to reducing greenhouse gas emissions? Abatement potential and cost of ten technical measures (report). </w:t>
      </w:r>
      <w:proofErr w:type="spellStart"/>
      <w:r>
        <w:t>Inra</w:t>
      </w:r>
      <w:proofErr w:type="spellEnd"/>
      <w:r>
        <w:t xml:space="preserve"> - DEPE.</w:t>
      </w:r>
    </w:p>
    <w:p w14:paraId="68A4B4D7" w14:textId="77777777" w:rsidR="00747EEC" w:rsidRDefault="00747EEC" w:rsidP="00747EEC">
      <w:pPr>
        <w:pStyle w:val="Bibliography"/>
      </w:pPr>
      <w:r>
        <w:t xml:space="preserve">Phalan, B., </w:t>
      </w:r>
      <w:proofErr w:type="spellStart"/>
      <w:r>
        <w:t>Onial</w:t>
      </w:r>
      <w:proofErr w:type="spellEnd"/>
      <w:r>
        <w:t>, M., Balmford, A., Green, R.E., 2011. Reconciling Food Production and Biodiversity Conservation: Land Sharing and Land Sparing Compared. Science 333, 1289–1291. https://doi.org/10.1126/science.1208742</w:t>
      </w:r>
    </w:p>
    <w:p w14:paraId="11BA8ED3" w14:textId="77777777" w:rsidR="00747EEC" w:rsidRDefault="00747EEC" w:rsidP="00747EEC">
      <w:pPr>
        <w:pStyle w:val="Bibliography"/>
      </w:pPr>
      <w:r>
        <w:t xml:space="preserve">Poulton, P., Johnston, J., Macdonald, A., White, R., </w:t>
      </w:r>
      <w:proofErr w:type="spellStart"/>
      <w:r>
        <w:t>Powlson</w:t>
      </w:r>
      <w:proofErr w:type="spellEnd"/>
      <w:r>
        <w:t xml:space="preserve">, D., 2018. Major limitations to achieving “4 per 1000” increases in soil organic carbon stock in temperate regions: Evidence from long-term experiments at </w:t>
      </w:r>
      <w:proofErr w:type="spellStart"/>
      <w:r>
        <w:t>Rothamsted</w:t>
      </w:r>
      <w:proofErr w:type="spellEnd"/>
      <w:r>
        <w:t xml:space="preserve"> Research, United Kingdom. Global Change Biology 24, 2563–2584. https://doi.org/10.1111/gcb.14066</w:t>
      </w:r>
    </w:p>
    <w:p w14:paraId="3D05EBA6" w14:textId="77777777" w:rsidR="00747EEC" w:rsidRDefault="00747EEC" w:rsidP="00747EEC">
      <w:pPr>
        <w:pStyle w:val="Bibliography"/>
      </w:pPr>
      <w:r>
        <w:t>Pritchard, C.E., Williams, A.P., Davies, P., Jones, D., Smith, A.R., 2021. Spatial behaviour of sheep during the neonatal period: Preliminary study on the influence of shelter. Animal 15, 100252. https://doi.org/10.1016/j.animal.2021.100252</w:t>
      </w:r>
    </w:p>
    <w:p w14:paraId="272E2595" w14:textId="77777777" w:rsidR="00747EEC" w:rsidRDefault="00747EEC" w:rsidP="00747EEC">
      <w:pPr>
        <w:pStyle w:val="Bibliography"/>
      </w:pPr>
      <w:r>
        <w:t xml:space="preserve">Rees, R.M., </w:t>
      </w:r>
      <w:proofErr w:type="spellStart"/>
      <w:r>
        <w:t>Eory</w:t>
      </w:r>
      <w:proofErr w:type="spellEnd"/>
      <w:r>
        <w:t xml:space="preserve">, V., Bell, J., Topp, C.F.E., Sykes, A., </w:t>
      </w:r>
      <w:proofErr w:type="spellStart"/>
      <w:r>
        <w:t>Misselbrook</w:t>
      </w:r>
      <w:proofErr w:type="spellEnd"/>
      <w:r>
        <w:t>, T., Cardenas, L.M., Chadwick, D.R., Sohi, S., Manning, A.C., Smith, P., 2020. How far can greenhouse gas mitigation take us towards net zero emissions in agriculture? 8.</w:t>
      </w:r>
    </w:p>
    <w:p w14:paraId="30649CA5" w14:textId="77777777" w:rsidR="00747EEC" w:rsidRDefault="00747EEC" w:rsidP="00747EEC">
      <w:pPr>
        <w:pStyle w:val="Bibliography"/>
      </w:pPr>
      <w:r>
        <w:t>Rooke, J.A., Miller, G.A., Flockhart, J.F., McDowell, M.M., MacLeod, M., 2016. Nutritional strategies to reduce enteric methane emissions.</w:t>
      </w:r>
    </w:p>
    <w:p w14:paraId="1EDA45C7" w14:textId="77777777" w:rsidR="00747EEC" w:rsidRDefault="00747EEC" w:rsidP="00747EEC">
      <w:pPr>
        <w:pStyle w:val="Bibliography"/>
      </w:pPr>
      <w:r>
        <w:t>Rosa, L., Gabrielli, P., 2023. Achieving net-zero emissions in agriculture: a review. Environ. Res. Lett. 18, 063002. https://doi.org/10.1088/1748-9326/acd5e8</w:t>
      </w:r>
    </w:p>
    <w:p w14:paraId="36B3A2FC" w14:textId="77777777" w:rsidR="00747EEC" w:rsidRDefault="00747EEC" w:rsidP="00747EEC">
      <w:pPr>
        <w:pStyle w:val="Bibliography"/>
      </w:pPr>
      <w:r>
        <w:t>Ryan, M., O’Donoghue, C., 2016. Socio-economic drivers of farm afforestation decision-making. Irish Forestry.</w:t>
      </w:r>
    </w:p>
    <w:p w14:paraId="24806029" w14:textId="77777777" w:rsidR="00747EEC" w:rsidRDefault="00747EEC" w:rsidP="00747EEC">
      <w:pPr>
        <w:pStyle w:val="Bibliography"/>
      </w:pPr>
      <w:r>
        <w:t xml:space="preserve">Schmeer, M., Loges, R., Dittert, K., </w:t>
      </w:r>
      <w:proofErr w:type="spellStart"/>
      <w:r>
        <w:t>Senbayram</w:t>
      </w:r>
      <w:proofErr w:type="spellEnd"/>
      <w:r>
        <w:t>, M., Horn, R., Taube, F., 2014. Legume-based forage production systems reduce nitrous oxide emissions. Soil and Tillage Research 143, 17–25. https://doi.org/10.1016/j.still.2014.05.001</w:t>
      </w:r>
    </w:p>
    <w:p w14:paraId="6BF5CABA" w14:textId="77777777" w:rsidR="00747EEC" w:rsidRDefault="00747EEC" w:rsidP="00747EEC">
      <w:pPr>
        <w:pStyle w:val="Bibliography"/>
      </w:pPr>
      <w:r>
        <w:t>Scottish Government, 2022. Agri-Environment Climate Scheme [WWW Document]. URL https://www.ruralpayments.org/publicsite/futures/topics/all-schemes/agri-environment-climate-scheme/ (accessed 12.14.22).</w:t>
      </w:r>
    </w:p>
    <w:p w14:paraId="4F6F2680" w14:textId="77777777" w:rsidR="00747EEC" w:rsidRDefault="00747EEC" w:rsidP="00747EEC">
      <w:pPr>
        <w:pStyle w:val="Bibliography"/>
      </w:pPr>
      <w:r>
        <w:t>Singh, S.N., Verma, A., 2007. ENVIRONMENTAL REVIEW: The Potential of Nitrification Inhibitors to Manage the Pollution Effect of Nitrogen Fertilizers in Agricultural and Other Soils: A Review. Environmental Practice 9, 266–279. https://doi.org/10.1017/S1466046607070482</w:t>
      </w:r>
    </w:p>
    <w:p w14:paraId="7624C9C0" w14:textId="77777777" w:rsidR="00747EEC" w:rsidRDefault="00747EEC" w:rsidP="00747EEC">
      <w:pPr>
        <w:pStyle w:val="Bibliography"/>
      </w:pPr>
      <w:r>
        <w:t xml:space="preserve">Smith, K.A., Dobbie, K.E., Thorman, R., Watson, C.J., Chadwick, D.R., </w:t>
      </w:r>
      <w:proofErr w:type="spellStart"/>
      <w:r>
        <w:t>Yamulki</w:t>
      </w:r>
      <w:proofErr w:type="spellEnd"/>
      <w:r>
        <w:t xml:space="preserve">, S., Ball, B.C., 2012. The effect of N fertilizer forms on nitrous oxide emissions from UK arable land and grassland. </w:t>
      </w:r>
      <w:proofErr w:type="spellStart"/>
      <w:r>
        <w:t>Nutr</w:t>
      </w:r>
      <w:proofErr w:type="spellEnd"/>
      <w:r>
        <w:t xml:space="preserve"> </w:t>
      </w:r>
      <w:proofErr w:type="spellStart"/>
      <w:r>
        <w:t>Cycl</w:t>
      </w:r>
      <w:proofErr w:type="spellEnd"/>
      <w:r>
        <w:t xml:space="preserve"> </w:t>
      </w:r>
      <w:proofErr w:type="spellStart"/>
      <w:r>
        <w:t>Agroecosyst</w:t>
      </w:r>
      <w:proofErr w:type="spellEnd"/>
      <w:r>
        <w:t xml:space="preserve"> 93, 127–149. https://doi.org/10.1007/s10705-012-9505-1</w:t>
      </w:r>
    </w:p>
    <w:p w14:paraId="7C5CAF00" w14:textId="77777777" w:rsidR="00747EEC" w:rsidRDefault="00747EEC" w:rsidP="00747EEC">
      <w:pPr>
        <w:pStyle w:val="Bibliography"/>
      </w:pPr>
      <w:r>
        <w:t>Smith, P., 2014. Do grasslands act as a perpetual sink for carbon? Global Change Biology 20, 2708–2711. https://doi.org/10.1111/gcb.12561</w:t>
      </w:r>
    </w:p>
    <w:p w14:paraId="0AB294B4" w14:textId="77777777" w:rsidR="00747EEC" w:rsidRDefault="00747EEC" w:rsidP="00747EEC">
      <w:pPr>
        <w:pStyle w:val="Bibliography"/>
      </w:pPr>
      <w:r>
        <w:t xml:space="preserve">Smith, P., Davis, S.J., </w:t>
      </w:r>
      <w:proofErr w:type="spellStart"/>
      <w:r>
        <w:t>Creutzig</w:t>
      </w:r>
      <w:proofErr w:type="spellEnd"/>
      <w:r>
        <w:t xml:space="preserve">, F., Fuss, S., Minx, J., Gabrielle, B., Kato, E., Jackson, R.B., Cowie, A., Kriegler, E., van Vuuren, D.P., Rogelj, J., Ciais, P., Milne, J., </w:t>
      </w:r>
      <w:proofErr w:type="spellStart"/>
      <w:r>
        <w:t>Canadell</w:t>
      </w:r>
      <w:proofErr w:type="spellEnd"/>
      <w:r>
        <w:t xml:space="preserve">, J.G., McCollum, D., Peters, G., Andrew, R., Krey, V., Shrestha, G., </w:t>
      </w:r>
      <w:proofErr w:type="spellStart"/>
      <w:r>
        <w:t>Friedlingstein</w:t>
      </w:r>
      <w:proofErr w:type="spellEnd"/>
      <w:r>
        <w:t xml:space="preserve">, P., Gasser, T., </w:t>
      </w:r>
      <w:proofErr w:type="spellStart"/>
      <w:r>
        <w:t>Grübler</w:t>
      </w:r>
      <w:proofErr w:type="spellEnd"/>
      <w:r>
        <w:t xml:space="preserve">, A., </w:t>
      </w:r>
      <w:proofErr w:type="spellStart"/>
      <w:r>
        <w:t>Heidug</w:t>
      </w:r>
      <w:proofErr w:type="spellEnd"/>
      <w:r>
        <w:t xml:space="preserve">, W.K., Jonas, M., Jones, C.D., Kraxner, F., Littleton, E., Lowe, J., Moreira, J.R., </w:t>
      </w:r>
      <w:proofErr w:type="spellStart"/>
      <w:r>
        <w:t>Nakicenovic</w:t>
      </w:r>
      <w:proofErr w:type="spellEnd"/>
      <w:r>
        <w:t xml:space="preserve">, N., </w:t>
      </w:r>
      <w:proofErr w:type="spellStart"/>
      <w:r>
        <w:t>Obersteiner</w:t>
      </w:r>
      <w:proofErr w:type="spellEnd"/>
      <w:r>
        <w:t xml:space="preserve">, M., Patwardhan, A., Rogner, M., Rubin, E., Sharifi, A., </w:t>
      </w:r>
      <w:proofErr w:type="spellStart"/>
      <w:r>
        <w:t>Torvanger</w:t>
      </w:r>
      <w:proofErr w:type="spellEnd"/>
      <w:r>
        <w:t xml:space="preserve">, A., Yamagata, Y., Edmonds, J., </w:t>
      </w:r>
      <w:proofErr w:type="spellStart"/>
      <w:r>
        <w:t>Yongsung</w:t>
      </w:r>
      <w:proofErr w:type="spellEnd"/>
      <w:r>
        <w:t>, C., 2016. Biophysical and economic limits to negative CO2 emissions. Nature Clim Change 6, 42–50. https://doi.org/10.1038/nclimate2870</w:t>
      </w:r>
    </w:p>
    <w:p w14:paraId="7FFF810C" w14:textId="77777777" w:rsidR="00747EEC" w:rsidRDefault="00747EEC" w:rsidP="00747EEC">
      <w:pPr>
        <w:pStyle w:val="Bibliography"/>
      </w:pPr>
      <w:r>
        <w:t xml:space="preserve">Sokolov, V., </w:t>
      </w:r>
      <w:proofErr w:type="spellStart"/>
      <w:r>
        <w:t>Habtewold</w:t>
      </w:r>
      <w:proofErr w:type="spellEnd"/>
      <w:r>
        <w:t xml:space="preserve">, J., </w:t>
      </w:r>
      <w:proofErr w:type="spellStart"/>
      <w:r>
        <w:t>VanderZaag</w:t>
      </w:r>
      <w:proofErr w:type="spellEnd"/>
      <w:r>
        <w:t xml:space="preserve">, A., Dunfield, K., Gregorich, E., Wagner-Riddle, C., </w:t>
      </w:r>
      <w:proofErr w:type="spellStart"/>
      <w:r>
        <w:t>Venkiteswaran</w:t>
      </w:r>
      <w:proofErr w:type="spellEnd"/>
      <w:r>
        <w:t xml:space="preserve">, J.J., Gordon, R., 2021. Response Curves for Ammonia and Methane Emissions </w:t>
      </w:r>
      <w:proofErr w:type="gramStart"/>
      <w:r>
        <w:t>From</w:t>
      </w:r>
      <w:proofErr w:type="gramEnd"/>
      <w:r>
        <w:t xml:space="preserve"> Stored Liquid Manure Receiving Low Rates of Sulfuric Acid. Frontiers in Sustainable Food Systems 5.</w:t>
      </w:r>
    </w:p>
    <w:p w14:paraId="0806AA64" w14:textId="77777777" w:rsidR="00747EEC" w:rsidRDefault="00747EEC" w:rsidP="00747EEC">
      <w:pPr>
        <w:pStyle w:val="Bibliography"/>
      </w:pPr>
      <w:proofErr w:type="spellStart"/>
      <w:r>
        <w:t>Soussana</w:t>
      </w:r>
      <w:proofErr w:type="spellEnd"/>
      <w:r>
        <w:t xml:space="preserve">, J.F., Tallec, T., </w:t>
      </w:r>
      <w:proofErr w:type="spellStart"/>
      <w:r>
        <w:t>Blanfort</w:t>
      </w:r>
      <w:proofErr w:type="spellEnd"/>
      <w:r>
        <w:t>, V., 2010. Mitigating the greenhouse gas balance of ruminant production systems through carbon sequestration in grasslands. Animal 4, 334–350. https://doi.org/10.1017/S1751731109990784</w:t>
      </w:r>
    </w:p>
    <w:p w14:paraId="02C369B7" w14:textId="77777777" w:rsidR="00747EEC" w:rsidRDefault="00747EEC" w:rsidP="00747EEC">
      <w:pPr>
        <w:pStyle w:val="Bibliography"/>
      </w:pPr>
      <w:r>
        <w:t>Stark, C., Thompson, M., Andrew, T., Beasley, G., Bellamy, O., Budden, P., Cole, C., Darke, J., Davies, E., Feliciano, D., 2019. Net Zero: The UK’s contribution to stopping global warming.</w:t>
      </w:r>
    </w:p>
    <w:p w14:paraId="1DBB4B7A" w14:textId="77777777" w:rsidR="00747EEC" w:rsidRDefault="00747EEC" w:rsidP="00747EEC">
      <w:pPr>
        <w:pStyle w:val="Bibliography"/>
      </w:pPr>
      <w:r>
        <w:t>Stott, A., MacLeod, M., Moran, D., 2010. Reducing greenhouse gas emissions through better animal health Rural Policy Centre, SAC, 8.</w:t>
      </w:r>
    </w:p>
    <w:p w14:paraId="354B516D" w14:textId="77777777" w:rsidR="00747EEC" w:rsidRDefault="00747EEC" w:rsidP="00747EEC">
      <w:pPr>
        <w:pStyle w:val="Bibliography"/>
      </w:pPr>
      <w:r>
        <w:t>Sykes, A., Topp, K., Wilson, R., Reid, G., Rees, B., 2017. A comparison of farm-level greenhouse gas calculators in their application on beef production systems. Journal of Cleaner Production 164. https://doi.org/10.1016/j.jclepro.2017.06.197</w:t>
      </w:r>
    </w:p>
    <w:p w14:paraId="257FA5BB" w14:textId="77777777" w:rsidR="00747EEC" w:rsidRDefault="00747EEC" w:rsidP="00747EEC">
      <w:pPr>
        <w:pStyle w:val="Bibliography"/>
      </w:pPr>
      <w:r>
        <w:t>Taft, H., Chadwick, D., Styles, D., Kipling, R., Newbold, J., Moorby, J., 2018. A review of greenhouse gas calculators for use in the Welsh agricultural sector, A Climate Smart Agriculture (Wales) Report.</w:t>
      </w:r>
    </w:p>
    <w:p w14:paraId="2D05B653" w14:textId="77777777" w:rsidR="00747EEC" w:rsidRDefault="00747EEC" w:rsidP="00747EEC">
      <w:pPr>
        <w:pStyle w:val="Bibliography"/>
      </w:pPr>
      <w:r>
        <w:t xml:space="preserve">Thorman, R.E., Nicholson, F.A., Topp, C.F.E., Bell, M.J., Cardenas, L.M., Chadwick, D.R., Cloy, J.M., </w:t>
      </w:r>
      <w:proofErr w:type="spellStart"/>
      <w:r>
        <w:t>Misselbrook</w:t>
      </w:r>
      <w:proofErr w:type="spellEnd"/>
      <w:r>
        <w:t>, T.H., Rees, R.M., Watson, C.J., Willimas, J.R., 2020. Towards Country-Specific Nitrous Oxide Emission Factors for Manures Applied to Arable and Grassland Soils in the UK. Frontiers in Sustainable Food Systems 4, 62. https://doi.org/10.3389/fsufs.2020.00062</w:t>
      </w:r>
    </w:p>
    <w:p w14:paraId="4F305B41" w14:textId="77777777" w:rsidR="00747EEC" w:rsidRDefault="00747EEC" w:rsidP="00747EEC">
      <w:pPr>
        <w:pStyle w:val="Bibliography"/>
      </w:pPr>
      <w:r>
        <w:t>UK Government, 2021. Farming Investment Fund [WWW Document]. GOV.UK - Rural Payments Agency. URL https://www.gov.uk/guidance/farming-investment-fund (accessed 12.14.22).</w:t>
      </w:r>
    </w:p>
    <w:p w14:paraId="0D29A2EF" w14:textId="77777777" w:rsidR="00747EEC" w:rsidRDefault="00747EEC" w:rsidP="00747EEC">
      <w:pPr>
        <w:pStyle w:val="Bibliography"/>
      </w:pPr>
      <w:r>
        <w:t xml:space="preserve">Veldman, J.W., Overbeck, G.E., Negreiros, D., Mahy, G., Le </w:t>
      </w:r>
      <w:proofErr w:type="spellStart"/>
      <w:r>
        <w:t>Stradic</w:t>
      </w:r>
      <w:proofErr w:type="spellEnd"/>
      <w:r>
        <w:t xml:space="preserve">, S., Fernandes, G.W., </w:t>
      </w:r>
      <w:proofErr w:type="spellStart"/>
      <w:r>
        <w:t>Durigan</w:t>
      </w:r>
      <w:proofErr w:type="spellEnd"/>
      <w:r>
        <w:t xml:space="preserve">, G., Buisson, E., Putz, F.E., Bond, W.J., 2015. Where Tree Planting and Forest Expansion are Bad for Biodiversity and Ecosystem Services. </w:t>
      </w:r>
      <w:proofErr w:type="spellStart"/>
      <w:r>
        <w:t>BioScience</w:t>
      </w:r>
      <w:proofErr w:type="spellEnd"/>
      <w:r>
        <w:t xml:space="preserve"> 65, 1011–1018. https://doi.org/10.1093/biosci/biv118</w:t>
      </w:r>
    </w:p>
    <w:p w14:paraId="115C67E5" w14:textId="77777777" w:rsidR="00747EEC" w:rsidRDefault="00747EEC" w:rsidP="00747EEC">
      <w:pPr>
        <w:pStyle w:val="Bibliography"/>
      </w:pPr>
      <w:r>
        <w:t xml:space="preserve">Vellinga, T.V., Blonk, H., </w:t>
      </w:r>
      <w:proofErr w:type="spellStart"/>
      <w:r>
        <w:t>Marinussen</w:t>
      </w:r>
      <w:proofErr w:type="spellEnd"/>
      <w:r>
        <w:t xml:space="preserve">, M., Zeist, W.J. van, </w:t>
      </w:r>
      <w:proofErr w:type="spellStart"/>
      <w:r>
        <w:t>Starmans</w:t>
      </w:r>
      <w:proofErr w:type="spellEnd"/>
      <w:r>
        <w:t xml:space="preserve">, D. a. J., 2013. Methodology used in </w:t>
      </w:r>
      <w:proofErr w:type="spellStart"/>
      <w:r>
        <w:t>FeedPrint</w:t>
      </w:r>
      <w:proofErr w:type="spellEnd"/>
      <w:r>
        <w:t xml:space="preserve">: a tool quantifying greenhouse gas emissions of feed production and utilization (No. 674). Wageningen UR Livestock Research, </w:t>
      </w:r>
      <w:proofErr w:type="spellStart"/>
      <w:r>
        <w:t>Lelystad</w:t>
      </w:r>
      <w:proofErr w:type="spellEnd"/>
      <w:r>
        <w:t>.</w:t>
      </w:r>
    </w:p>
    <w:p w14:paraId="210A7118" w14:textId="77777777" w:rsidR="00747EEC" w:rsidRDefault="00747EEC" w:rsidP="00747EEC">
      <w:pPr>
        <w:pStyle w:val="Bibliography"/>
      </w:pPr>
      <w:r>
        <w:t xml:space="preserve">Wang, J., Xiong, Z., </w:t>
      </w:r>
      <w:proofErr w:type="spellStart"/>
      <w:r>
        <w:t>Kuzyakov</w:t>
      </w:r>
      <w:proofErr w:type="spellEnd"/>
      <w:r>
        <w:t>, Y., 2016. Biochar stability in soil: meta-analysis of decomposition and priming effects. GCB Bioenergy 8, 512–523. https://doi.org/10.1111/gcbb.12266</w:t>
      </w:r>
    </w:p>
    <w:p w14:paraId="28A16256" w14:textId="77777777" w:rsidR="00747EEC" w:rsidRDefault="00747EEC" w:rsidP="00747EEC">
      <w:pPr>
        <w:pStyle w:val="Bibliography"/>
      </w:pPr>
      <w:r>
        <w:t>Webb, P., Benton, T.G., Beddington, J., Flynn, D., Kelly, N.M., Thomas, S.M., 2020. The urgency of food system transformation is now irrefutable. Nat Food 1, 584–585. https://doi.org/10.1038/s43016-020-00161-0</w:t>
      </w:r>
    </w:p>
    <w:p w14:paraId="5246550F" w14:textId="77777777" w:rsidR="00747EEC" w:rsidRDefault="00747EEC" w:rsidP="00747EEC">
      <w:pPr>
        <w:pStyle w:val="Bibliography"/>
      </w:pPr>
      <w:r>
        <w:t>Welsh Government, 2023. Survey of agriculture and horticulture: June 2023. Welsh Government.</w:t>
      </w:r>
    </w:p>
    <w:p w14:paraId="6F39F5CA" w14:textId="77777777" w:rsidR="00747EEC" w:rsidRDefault="00747EEC" w:rsidP="00747EEC">
      <w:pPr>
        <w:pStyle w:val="Bibliography"/>
      </w:pPr>
      <w:r>
        <w:t>Welsh Government, 2022a. Small Grants – Efficiency [WWW Document]. Business Wales - Wales Rural Network. URL https://businesswales.gov.wales/walesruralnetwork/rural-programmes/schemes/farm-efficiency-and-diversification/small-grants-efficiency (accessed 12.14.22).</w:t>
      </w:r>
    </w:p>
    <w:p w14:paraId="1D974251" w14:textId="77777777" w:rsidR="00747EEC" w:rsidRDefault="00747EEC" w:rsidP="00747EEC">
      <w:pPr>
        <w:pStyle w:val="Bibliography"/>
      </w:pPr>
      <w:r>
        <w:t>Welsh Government, 2022b. Farming facts and figures: 2022. Welsh Government.</w:t>
      </w:r>
    </w:p>
    <w:p w14:paraId="4ED7E1AF" w14:textId="77777777" w:rsidR="00747EEC" w:rsidRDefault="00747EEC" w:rsidP="00747EEC">
      <w:pPr>
        <w:pStyle w:val="Bibliography"/>
      </w:pPr>
      <w:r>
        <w:t>Welsh Government, 2021a. Survey of agriculture and horticulture: June 2021. Welsh Government.</w:t>
      </w:r>
    </w:p>
    <w:p w14:paraId="4AF9E29F" w14:textId="77777777" w:rsidR="00747EEC" w:rsidRDefault="00747EEC" w:rsidP="00747EEC">
      <w:pPr>
        <w:pStyle w:val="Bibliography"/>
      </w:pPr>
      <w:r>
        <w:t>Welsh Government, 2021b. Net Zero Wales Carbon Budget 2 (2021 to 2025). Welsh Government.</w:t>
      </w:r>
    </w:p>
    <w:p w14:paraId="6F77C4C0" w14:textId="77777777" w:rsidR="00747EEC" w:rsidRDefault="00747EEC" w:rsidP="00747EEC">
      <w:pPr>
        <w:pStyle w:val="Bibliography"/>
      </w:pPr>
      <w:r>
        <w:t>Wu, D., Zhang, Y., Dong, G., Du, Z., Wu, W., Chadwick, D., Bol, R., 2021. The importance of ammonia volatilization in estimating the efficacy of nitrification inhibitors to reduce N2O emissions: A global meta-analysis. Environmental Pollution 271, 116365. https://doi.org/10.1016/j.envpol.2020.116365</w:t>
      </w:r>
    </w:p>
    <w:p w14:paraId="60C3F588" w14:textId="77777777" w:rsidR="00747EEC" w:rsidRDefault="00747EEC" w:rsidP="00747EEC">
      <w:pPr>
        <w:pStyle w:val="Bibliography"/>
      </w:pPr>
      <w:r>
        <w:t>Yu, G., Beauchemin, K.A., Dong, R., 2021. A Review of 3-Nitrooxypropanol for Enteric Methane Mitigation from Ruminant Livestock. Animals (Basel) 11, 3540. https://doi.org/10.3390/ani11123540</w:t>
      </w:r>
    </w:p>
    <w:p w14:paraId="0AA059CC" w14:textId="06CD4168" w:rsidR="00E65CD6" w:rsidRDefault="0092322A" w:rsidP="0092322A">
      <w:pPr>
        <w:pStyle w:val="NoSpacing"/>
        <w:spacing w:line="360" w:lineRule="auto"/>
        <w:rPr>
          <w:rFonts w:ascii="Times New Roman" w:hAnsi="Times New Roman" w:cstheme="minorHAnsi"/>
          <w:b/>
          <w:bCs/>
          <w:sz w:val="24"/>
          <w:szCs w:val="24"/>
        </w:rPr>
      </w:pPr>
      <w:r>
        <w:rPr>
          <w:rFonts w:ascii="Times New Roman" w:hAnsi="Times New Roman" w:cstheme="minorHAnsi"/>
          <w:b/>
          <w:bCs/>
          <w:sz w:val="24"/>
          <w:szCs w:val="24"/>
        </w:rPr>
        <w:fldChar w:fldCharType="end"/>
      </w:r>
    </w:p>
    <w:sectPr w:rsidR="00E65CD6" w:rsidSect="00336756">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0AA0" w14:textId="77777777" w:rsidR="002D6CBD" w:rsidRDefault="002D6CBD" w:rsidP="00547D4A">
      <w:r>
        <w:separator/>
      </w:r>
    </w:p>
  </w:endnote>
  <w:endnote w:type="continuationSeparator" w:id="0">
    <w:p w14:paraId="3D603D84" w14:textId="77777777" w:rsidR="002D6CBD" w:rsidRDefault="002D6CBD" w:rsidP="00547D4A">
      <w:r>
        <w:continuationSeparator/>
      </w:r>
    </w:p>
  </w:endnote>
  <w:endnote w:type="continuationNotice" w:id="1">
    <w:p w14:paraId="0DEC4647" w14:textId="77777777" w:rsidR="002D6CBD" w:rsidRDefault="002D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A8D5" w14:textId="77777777" w:rsidR="002D6CBD" w:rsidRDefault="002D6CBD" w:rsidP="00547D4A">
      <w:r>
        <w:separator/>
      </w:r>
    </w:p>
  </w:footnote>
  <w:footnote w:type="continuationSeparator" w:id="0">
    <w:p w14:paraId="6B28EC48" w14:textId="77777777" w:rsidR="002D6CBD" w:rsidRDefault="002D6CBD" w:rsidP="00547D4A">
      <w:r>
        <w:continuationSeparator/>
      </w:r>
    </w:p>
  </w:footnote>
  <w:footnote w:type="continuationNotice" w:id="1">
    <w:p w14:paraId="658EB1EF" w14:textId="77777777" w:rsidR="002D6CBD" w:rsidRDefault="002D6C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E80"/>
    <w:multiLevelType w:val="multilevel"/>
    <w:tmpl w:val="419E9472"/>
    <w:lvl w:ilvl="0">
      <w:start w:val="1"/>
      <w:numFmt w:val="decimal"/>
      <w:lvlText w:val="%1."/>
      <w:lvlJc w:val="left"/>
      <w:pPr>
        <w:ind w:left="720" w:hanging="360"/>
      </w:pPr>
      <w:rPr>
        <w:rFonts w:asciiTheme="minorHAnsi" w:hAnsiTheme="minorHAnsi" w:cstheme="minorHAnsi" w:hint="default"/>
        <w:b/>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B5150"/>
    <w:multiLevelType w:val="hybridMultilevel"/>
    <w:tmpl w:val="85D0E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346C"/>
    <w:multiLevelType w:val="hybridMultilevel"/>
    <w:tmpl w:val="C0E249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E4AB5"/>
    <w:multiLevelType w:val="hybridMultilevel"/>
    <w:tmpl w:val="24E4CA04"/>
    <w:lvl w:ilvl="0" w:tplc="4D9E392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019D5"/>
    <w:multiLevelType w:val="multilevel"/>
    <w:tmpl w:val="419E9472"/>
    <w:lvl w:ilvl="0">
      <w:start w:val="1"/>
      <w:numFmt w:val="decimal"/>
      <w:lvlText w:val="%1."/>
      <w:lvlJc w:val="left"/>
      <w:pPr>
        <w:ind w:left="720" w:hanging="360"/>
      </w:pPr>
      <w:rPr>
        <w:rFonts w:asciiTheme="minorHAnsi" w:hAnsiTheme="minorHAnsi" w:cstheme="minorHAnsi" w:hint="default"/>
        <w:b/>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731E06"/>
    <w:multiLevelType w:val="multilevel"/>
    <w:tmpl w:val="419E9472"/>
    <w:lvl w:ilvl="0">
      <w:start w:val="1"/>
      <w:numFmt w:val="decimal"/>
      <w:lvlText w:val="%1."/>
      <w:lvlJc w:val="left"/>
      <w:pPr>
        <w:ind w:left="720" w:hanging="360"/>
      </w:pPr>
      <w:rPr>
        <w:rFonts w:asciiTheme="minorHAnsi" w:hAnsiTheme="minorHAnsi" w:cstheme="minorHAnsi" w:hint="default"/>
        <w:b/>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EB2026"/>
    <w:multiLevelType w:val="hybridMultilevel"/>
    <w:tmpl w:val="0282A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506CB"/>
    <w:multiLevelType w:val="multilevel"/>
    <w:tmpl w:val="874CE9F0"/>
    <w:lvl w:ilvl="0">
      <w:start w:val="2"/>
      <w:numFmt w:val="decimal"/>
      <w:lvlText w:val="%1"/>
      <w:lvlJc w:val="left"/>
      <w:pPr>
        <w:ind w:left="612" w:hanging="612"/>
      </w:pPr>
      <w:rPr>
        <w:rFonts w:hint="default"/>
      </w:rPr>
    </w:lvl>
    <w:lvl w:ilvl="1">
      <w:start w:val="3"/>
      <w:numFmt w:val="decimal"/>
      <w:lvlText w:val="%1.%2"/>
      <w:lvlJc w:val="left"/>
      <w:pPr>
        <w:ind w:left="732" w:hanging="61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13A8462B"/>
    <w:multiLevelType w:val="hybridMultilevel"/>
    <w:tmpl w:val="7A4AE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07157"/>
    <w:multiLevelType w:val="hybridMultilevel"/>
    <w:tmpl w:val="EED0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67A6D"/>
    <w:multiLevelType w:val="hybridMultilevel"/>
    <w:tmpl w:val="085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D5E86"/>
    <w:multiLevelType w:val="hybridMultilevel"/>
    <w:tmpl w:val="20081BF0"/>
    <w:lvl w:ilvl="0" w:tplc="6A6C23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14588"/>
    <w:multiLevelType w:val="hybridMultilevel"/>
    <w:tmpl w:val="27A8DD6E"/>
    <w:lvl w:ilvl="0" w:tplc="75444624">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5550B"/>
    <w:multiLevelType w:val="hybridMultilevel"/>
    <w:tmpl w:val="89365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E6600"/>
    <w:multiLevelType w:val="hybridMultilevel"/>
    <w:tmpl w:val="B09CD0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65795"/>
    <w:multiLevelType w:val="hybridMultilevel"/>
    <w:tmpl w:val="C37CE8B4"/>
    <w:lvl w:ilvl="0" w:tplc="0CC2BB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F7851"/>
    <w:multiLevelType w:val="hybridMultilevel"/>
    <w:tmpl w:val="CADE3DC6"/>
    <w:lvl w:ilvl="0" w:tplc="B71C3C9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409CC"/>
    <w:multiLevelType w:val="hybridMultilevel"/>
    <w:tmpl w:val="D05CD6C4"/>
    <w:lvl w:ilvl="0" w:tplc="8D7EAB3C">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F14E2"/>
    <w:multiLevelType w:val="hybridMultilevel"/>
    <w:tmpl w:val="C2942A08"/>
    <w:lvl w:ilvl="0" w:tplc="75444624">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91097"/>
    <w:multiLevelType w:val="hybridMultilevel"/>
    <w:tmpl w:val="55E0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16BE1"/>
    <w:multiLevelType w:val="hybridMultilevel"/>
    <w:tmpl w:val="8398F80A"/>
    <w:lvl w:ilvl="0" w:tplc="84BC8E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D2822"/>
    <w:multiLevelType w:val="hybridMultilevel"/>
    <w:tmpl w:val="21E25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D0B5A"/>
    <w:multiLevelType w:val="hybridMultilevel"/>
    <w:tmpl w:val="91ACE7F2"/>
    <w:lvl w:ilvl="0" w:tplc="5BC2BA88">
      <w:start w:val="7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93571"/>
    <w:multiLevelType w:val="hybridMultilevel"/>
    <w:tmpl w:val="FEC42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B624E"/>
    <w:multiLevelType w:val="hybridMultilevel"/>
    <w:tmpl w:val="19DC7776"/>
    <w:lvl w:ilvl="0" w:tplc="5622BD7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9678B"/>
    <w:multiLevelType w:val="multilevel"/>
    <w:tmpl w:val="419E9472"/>
    <w:lvl w:ilvl="0">
      <w:start w:val="1"/>
      <w:numFmt w:val="decimal"/>
      <w:lvlText w:val="%1."/>
      <w:lvlJc w:val="left"/>
      <w:pPr>
        <w:ind w:left="720" w:hanging="360"/>
      </w:pPr>
      <w:rPr>
        <w:rFonts w:asciiTheme="minorHAnsi" w:hAnsiTheme="minorHAnsi" w:cstheme="minorHAnsi" w:hint="default"/>
        <w:b/>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1D1489"/>
    <w:multiLevelType w:val="multilevel"/>
    <w:tmpl w:val="1FF8D62A"/>
    <w:lvl w:ilvl="0">
      <w:start w:val="1"/>
      <w:numFmt w:val="decimal"/>
      <w:lvlText w:val="%1."/>
      <w:lvlJc w:val="left"/>
      <w:pPr>
        <w:ind w:left="504" w:hanging="504"/>
      </w:pPr>
      <w:rPr>
        <w:rFonts w:hint="default"/>
      </w:rPr>
    </w:lvl>
    <w:lvl w:ilvl="1">
      <w:start w:val="3"/>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3431B47"/>
    <w:multiLevelType w:val="hybridMultilevel"/>
    <w:tmpl w:val="40B6D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47ED1"/>
    <w:multiLevelType w:val="multilevel"/>
    <w:tmpl w:val="419E9472"/>
    <w:lvl w:ilvl="0">
      <w:start w:val="1"/>
      <w:numFmt w:val="decimal"/>
      <w:lvlText w:val="%1."/>
      <w:lvlJc w:val="left"/>
      <w:pPr>
        <w:ind w:left="720" w:hanging="360"/>
      </w:pPr>
      <w:rPr>
        <w:rFonts w:asciiTheme="minorHAnsi" w:hAnsiTheme="minorHAnsi" w:cstheme="minorHAnsi" w:hint="default"/>
        <w:b/>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8CA3673"/>
    <w:multiLevelType w:val="hybridMultilevel"/>
    <w:tmpl w:val="4E8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079741">
    <w:abstractNumId w:val="27"/>
  </w:num>
  <w:num w:numId="2" w16cid:durableId="239559565">
    <w:abstractNumId w:val="4"/>
  </w:num>
  <w:num w:numId="3" w16cid:durableId="217208516">
    <w:abstractNumId w:val="21"/>
  </w:num>
  <w:num w:numId="4" w16cid:durableId="39282690">
    <w:abstractNumId w:val="23"/>
  </w:num>
  <w:num w:numId="5" w16cid:durableId="1110009169">
    <w:abstractNumId w:val="13"/>
  </w:num>
  <w:num w:numId="6" w16cid:durableId="1122383929">
    <w:abstractNumId w:val="6"/>
  </w:num>
  <w:num w:numId="7" w16cid:durableId="240721860">
    <w:abstractNumId w:val="8"/>
  </w:num>
  <w:num w:numId="8" w16cid:durableId="942616403">
    <w:abstractNumId w:val="1"/>
  </w:num>
  <w:num w:numId="9" w16cid:durableId="1054112618">
    <w:abstractNumId w:val="10"/>
  </w:num>
  <w:num w:numId="10" w16cid:durableId="301547387">
    <w:abstractNumId w:val="14"/>
  </w:num>
  <w:num w:numId="11" w16cid:durableId="215968279">
    <w:abstractNumId w:val="11"/>
  </w:num>
  <w:num w:numId="12" w16cid:durableId="1047144025">
    <w:abstractNumId w:val="2"/>
  </w:num>
  <w:num w:numId="13" w16cid:durableId="1429623669">
    <w:abstractNumId w:val="24"/>
  </w:num>
  <w:num w:numId="14" w16cid:durableId="1774741585">
    <w:abstractNumId w:val="7"/>
  </w:num>
  <w:num w:numId="15" w16cid:durableId="1799030585">
    <w:abstractNumId w:val="28"/>
  </w:num>
  <w:num w:numId="16" w16cid:durableId="144519156">
    <w:abstractNumId w:val="22"/>
  </w:num>
  <w:num w:numId="17" w16cid:durableId="834565920">
    <w:abstractNumId w:val="20"/>
  </w:num>
  <w:num w:numId="18" w16cid:durableId="411464200">
    <w:abstractNumId w:val="16"/>
  </w:num>
  <w:num w:numId="19" w16cid:durableId="604508509">
    <w:abstractNumId w:val="3"/>
  </w:num>
  <w:num w:numId="20" w16cid:durableId="483862310">
    <w:abstractNumId w:val="17"/>
  </w:num>
  <w:num w:numId="21" w16cid:durableId="599219677">
    <w:abstractNumId w:val="12"/>
  </w:num>
  <w:num w:numId="22" w16cid:durableId="1323049261">
    <w:abstractNumId w:val="18"/>
  </w:num>
  <w:num w:numId="23" w16cid:durableId="1142499517">
    <w:abstractNumId w:val="29"/>
  </w:num>
  <w:num w:numId="24" w16cid:durableId="23332561">
    <w:abstractNumId w:val="26"/>
  </w:num>
  <w:num w:numId="25" w16cid:durableId="1300918953">
    <w:abstractNumId w:val="14"/>
  </w:num>
  <w:num w:numId="26" w16cid:durableId="160311954">
    <w:abstractNumId w:val="15"/>
  </w:num>
  <w:num w:numId="27" w16cid:durableId="1969780144">
    <w:abstractNumId w:val="9"/>
  </w:num>
  <w:num w:numId="28" w16cid:durableId="694572555">
    <w:abstractNumId w:val="0"/>
  </w:num>
  <w:num w:numId="29" w16cid:durableId="998191084">
    <w:abstractNumId w:val="25"/>
  </w:num>
  <w:num w:numId="30" w16cid:durableId="1280840190">
    <w:abstractNumId w:val="5"/>
  </w:num>
  <w:num w:numId="31" w16cid:durableId="13562284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it-IT"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bob 2012&lt;/item&gt;&lt;/Libraries&gt;&lt;/ENLibraries&gt;"/>
  </w:docVars>
  <w:rsids>
    <w:rsidRoot w:val="00731D0E"/>
    <w:rsid w:val="00000236"/>
    <w:rsid w:val="00002528"/>
    <w:rsid w:val="00002C91"/>
    <w:rsid w:val="00002DA2"/>
    <w:rsid w:val="00002FB0"/>
    <w:rsid w:val="00003503"/>
    <w:rsid w:val="00003810"/>
    <w:rsid w:val="0000385C"/>
    <w:rsid w:val="000055AE"/>
    <w:rsid w:val="00005FEF"/>
    <w:rsid w:val="00005FF4"/>
    <w:rsid w:val="0000785F"/>
    <w:rsid w:val="00007EEB"/>
    <w:rsid w:val="0001074B"/>
    <w:rsid w:val="000111FB"/>
    <w:rsid w:val="00011386"/>
    <w:rsid w:val="00011762"/>
    <w:rsid w:val="00011874"/>
    <w:rsid w:val="00011910"/>
    <w:rsid w:val="00013121"/>
    <w:rsid w:val="000139CC"/>
    <w:rsid w:val="00013D88"/>
    <w:rsid w:val="00014DCC"/>
    <w:rsid w:val="0001513B"/>
    <w:rsid w:val="00015769"/>
    <w:rsid w:val="00015A13"/>
    <w:rsid w:val="00015E4D"/>
    <w:rsid w:val="00015EB8"/>
    <w:rsid w:val="00016B8E"/>
    <w:rsid w:val="000205F4"/>
    <w:rsid w:val="000208AB"/>
    <w:rsid w:val="00020D19"/>
    <w:rsid w:val="00021322"/>
    <w:rsid w:val="00022248"/>
    <w:rsid w:val="000229AA"/>
    <w:rsid w:val="00022AAA"/>
    <w:rsid w:val="00023635"/>
    <w:rsid w:val="00023B73"/>
    <w:rsid w:val="00024677"/>
    <w:rsid w:val="00024EF0"/>
    <w:rsid w:val="00024F5D"/>
    <w:rsid w:val="00025274"/>
    <w:rsid w:val="0002605B"/>
    <w:rsid w:val="000260DD"/>
    <w:rsid w:val="000264A3"/>
    <w:rsid w:val="00027199"/>
    <w:rsid w:val="00027ADC"/>
    <w:rsid w:val="00027E34"/>
    <w:rsid w:val="00027FCF"/>
    <w:rsid w:val="0003097C"/>
    <w:rsid w:val="00030D82"/>
    <w:rsid w:val="000318ED"/>
    <w:rsid w:val="00031B7B"/>
    <w:rsid w:val="00031FA8"/>
    <w:rsid w:val="00032E57"/>
    <w:rsid w:val="00034489"/>
    <w:rsid w:val="000358A9"/>
    <w:rsid w:val="00035AF3"/>
    <w:rsid w:val="00036917"/>
    <w:rsid w:val="000372AF"/>
    <w:rsid w:val="00037C77"/>
    <w:rsid w:val="00040933"/>
    <w:rsid w:val="00040B56"/>
    <w:rsid w:val="00040EBB"/>
    <w:rsid w:val="00041104"/>
    <w:rsid w:val="00041494"/>
    <w:rsid w:val="000425DD"/>
    <w:rsid w:val="000435F4"/>
    <w:rsid w:val="000455D0"/>
    <w:rsid w:val="000460C5"/>
    <w:rsid w:val="00046FEB"/>
    <w:rsid w:val="0005042C"/>
    <w:rsid w:val="00050A16"/>
    <w:rsid w:val="000523EF"/>
    <w:rsid w:val="00052556"/>
    <w:rsid w:val="000530B9"/>
    <w:rsid w:val="000536E7"/>
    <w:rsid w:val="00053813"/>
    <w:rsid w:val="00053B22"/>
    <w:rsid w:val="00053FA1"/>
    <w:rsid w:val="0005442F"/>
    <w:rsid w:val="00054D7C"/>
    <w:rsid w:val="00054E4B"/>
    <w:rsid w:val="000556DE"/>
    <w:rsid w:val="00055B86"/>
    <w:rsid w:val="0005640E"/>
    <w:rsid w:val="00056570"/>
    <w:rsid w:val="00056771"/>
    <w:rsid w:val="00057374"/>
    <w:rsid w:val="0005751D"/>
    <w:rsid w:val="000603F2"/>
    <w:rsid w:val="0006045C"/>
    <w:rsid w:val="00060F1F"/>
    <w:rsid w:val="000625DB"/>
    <w:rsid w:val="00064062"/>
    <w:rsid w:val="000651FF"/>
    <w:rsid w:val="000652D8"/>
    <w:rsid w:val="000653A5"/>
    <w:rsid w:val="000659F8"/>
    <w:rsid w:val="00065E67"/>
    <w:rsid w:val="0006748D"/>
    <w:rsid w:val="000706D3"/>
    <w:rsid w:val="0007086E"/>
    <w:rsid w:val="000709DE"/>
    <w:rsid w:val="0007121E"/>
    <w:rsid w:val="00071280"/>
    <w:rsid w:val="0007132B"/>
    <w:rsid w:val="00071B65"/>
    <w:rsid w:val="00072EBE"/>
    <w:rsid w:val="00073188"/>
    <w:rsid w:val="000745E8"/>
    <w:rsid w:val="0007470E"/>
    <w:rsid w:val="0007484B"/>
    <w:rsid w:val="00074FD9"/>
    <w:rsid w:val="0007514C"/>
    <w:rsid w:val="0007610D"/>
    <w:rsid w:val="00076334"/>
    <w:rsid w:val="000767DD"/>
    <w:rsid w:val="00077026"/>
    <w:rsid w:val="000771C8"/>
    <w:rsid w:val="0007743B"/>
    <w:rsid w:val="00077603"/>
    <w:rsid w:val="00080415"/>
    <w:rsid w:val="00080ADE"/>
    <w:rsid w:val="00080B96"/>
    <w:rsid w:val="00081C21"/>
    <w:rsid w:val="0008216A"/>
    <w:rsid w:val="00082856"/>
    <w:rsid w:val="00082BC7"/>
    <w:rsid w:val="00083355"/>
    <w:rsid w:val="00083A64"/>
    <w:rsid w:val="00084191"/>
    <w:rsid w:val="000844D3"/>
    <w:rsid w:val="000844ED"/>
    <w:rsid w:val="000846DC"/>
    <w:rsid w:val="00084754"/>
    <w:rsid w:val="00085B4A"/>
    <w:rsid w:val="00085E66"/>
    <w:rsid w:val="0008623B"/>
    <w:rsid w:val="00086FCE"/>
    <w:rsid w:val="00087B0B"/>
    <w:rsid w:val="00087F9B"/>
    <w:rsid w:val="00090E63"/>
    <w:rsid w:val="00091231"/>
    <w:rsid w:val="0009239D"/>
    <w:rsid w:val="00095717"/>
    <w:rsid w:val="000960F4"/>
    <w:rsid w:val="000A1D21"/>
    <w:rsid w:val="000A1F4C"/>
    <w:rsid w:val="000A23E1"/>
    <w:rsid w:val="000A2C2E"/>
    <w:rsid w:val="000A2F2D"/>
    <w:rsid w:val="000A3802"/>
    <w:rsid w:val="000A3A28"/>
    <w:rsid w:val="000A3F26"/>
    <w:rsid w:val="000A4930"/>
    <w:rsid w:val="000A64B6"/>
    <w:rsid w:val="000A729B"/>
    <w:rsid w:val="000A7322"/>
    <w:rsid w:val="000A7DBB"/>
    <w:rsid w:val="000A7EED"/>
    <w:rsid w:val="000B02F8"/>
    <w:rsid w:val="000B0870"/>
    <w:rsid w:val="000B0D2B"/>
    <w:rsid w:val="000B1148"/>
    <w:rsid w:val="000B1677"/>
    <w:rsid w:val="000B288D"/>
    <w:rsid w:val="000B3502"/>
    <w:rsid w:val="000B3F73"/>
    <w:rsid w:val="000B40B7"/>
    <w:rsid w:val="000B4197"/>
    <w:rsid w:val="000B4699"/>
    <w:rsid w:val="000B4EE6"/>
    <w:rsid w:val="000B55B7"/>
    <w:rsid w:val="000B5920"/>
    <w:rsid w:val="000B5A4F"/>
    <w:rsid w:val="000B5BD8"/>
    <w:rsid w:val="000B600F"/>
    <w:rsid w:val="000B65D2"/>
    <w:rsid w:val="000B6B29"/>
    <w:rsid w:val="000B6C6A"/>
    <w:rsid w:val="000B7A5A"/>
    <w:rsid w:val="000C0DC3"/>
    <w:rsid w:val="000C0FB7"/>
    <w:rsid w:val="000C119F"/>
    <w:rsid w:val="000C142A"/>
    <w:rsid w:val="000C1C42"/>
    <w:rsid w:val="000C2067"/>
    <w:rsid w:val="000C2759"/>
    <w:rsid w:val="000C3320"/>
    <w:rsid w:val="000C38AD"/>
    <w:rsid w:val="000C477E"/>
    <w:rsid w:val="000C513B"/>
    <w:rsid w:val="000C689A"/>
    <w:rsid w:val="000C6C3B"/>
    <w:rsid w:val="000C7C50"/>
    <w:rsid w:val="000C7C6A"/>
    <w:rsid w:val="000D0100"/>
    <w:rsid w:val="000D021A"/>
    <w:rsid w:val="000D0B23"/>
    <w:rsid w:val="000D1518"/>
    <w:rsid w:val="000D1753"/>
    <w:rsid w:val="000D20D5"/>
    <w:rsid w:val="000D28A9"/>
    <w:rsid w:val="000D2B39"/>
    <w:rsid w:val="000D2B9B"/>
    <w:rsid w:val="000D330D"/>
    <w:rsid w:val="000D33DC"/>
    <w:rsid w:val="000D3B64"/>
    <w:rsid w:val="000D61D8"/>
    <w:rsid w:val="000D75BB"/>
    <w:rsid w:val="000D7EDB"/>
    <w:rsid w:val="000E006B"/>
    <w:rsid w:val="000E036F"/>
    <w:rsid w:val="000E0865"/>
    <w:rsid w:val="000E0D85"/>
    <w:rsid w:val="000E1102"/>
    <w:rsid w:val="000E2998"/>
    <w:rsid w:val="000E2FB0"/>
    <w:rsid w:val="000E474A"/>
    <w:rsid w:val="000E5084"/>
    <w:rsid w:val="000E5FE0"/>
    <w:rsid w:val="000E6D09"/>
    <w:rsid w:val="000F009A"/>
    <w:rsid w:val="000F0E4A"/>
    <w:rsid w:val="000F1678"/>
    <w:rsid w:val="000F19CE"/>
    <w:rsid w:val="000F19F0"/>
    <w:rsid w:val="000F20A1"/>
    <w:rsid w:val="000F24B1"/>
    <w:rsid w:val="000F24E2"/>
    <w:rsid w:val="000F24FF"/>
    <w:rsid w:val="000F295D"/>
    <w:rsid w:val="000F298F"/>
    <w:rsid w:val="000F2A93"/>
    <w:rsid w:val="000F2B03"/>
    <w:rsid w:val="000F3301"/>
    <w:rsid w:val="000F34A9"/>
    <w:rsid w:val="000F3994"/>
    <w:rsid w:val="000F4100"/>
    <w:rsid w:val="000F46B5"/>
    <w:rsid w:val="000F47E1"/>
    <w:rsid w:val="000F57CC"/>
    <w:rsid w:val="000F637B"/>
    <w:rsid w:val="000F66E9"/>
    <w:rsid w:val="000F6FD9"/>
    <w:rsid w:val="000F7D47"/>
    <w:rsid w:val="00100339"/>
    <w:rsid w:val="001006A9"/>
    <w:rsid w:val="00100D5E"/>
    <w:rsid w:val="00100FCA"/>
    <w:rsid w:val="0010192B"/>
    <w:rsid w:val="00101D42"/>
    <w:rsid w:val="001032E1"/>
    <w:rsid w:val="00103428"/>
    <w:rsid w:val="00103C88"/>
    <w:rsid w:val="001048A6"/>
    <w:rsid w:val="00104B72"/>
    <w:rsid w:val="00104F57"/>
    <w:rsid w:val="001050B3"/>
    <w:rsid w:val="001050D1"/>
    <w:rsid w:val="001051EB"/>
    <w:rsid w:val="00105F77"/>
    <w:rsid w:val="00107280"/>
    <w:rsid w:val="00107798"/>
    <w:rsid w:val="001079AA"/>
    <w:rsid w:val="00107A14"/>
    <w:rsid w:val="00110ABE"/>
    <w:rsid w:val="00111216"/>
    <w:rsid w:val="0011138C"/>
    <w:rsid w:val="0011166A"/>
    <w:rsid w:val="00111834"/>
    <w:rsid w:val="00111EDF"/>
    <w:rsid w:val="00112087"/>
    <w:rsid w:val="00112102"/>
    <w:rsid w:val="0011276B"/>
    <w:rsid w:val="001127CC"/>
    <w:rsid w:val="00112BB0"/>
    <w:rsid w:val="00113470"/>
    <w:rsid w:val="001134CF"/>
    <w:rsid w:val="00113A93"/>
    <w:rsid w:val="00113F85"/>
    <w:rsid w:val="001140D7"/>
    <w:rsid w:val="001142DA"/>
    <w:rsid w:val="001152F6"/>
    <w:rsid w:val="00115696"/>
    <w:rsid w:val="0011599F"/>
    <w:rsid w:val="00116271"/>
    <w:rsid w:val="0011680A"/>
    <w:rsid w:val="001168A0"/>
    <w:rsid w:val="0012104B"/>
    <w:rsid w:val="00121068"/>
    <w:rsid w:val="00121BD3"/>
    <w:rsid w:val="001238DE"/>
    <w:rsid w:val="00124600"/>
    <w:rsid w:val="0012538A"/>
    <w:rsid w:val="001253E1"/>
    <w:rsid w:val="00126239"/>
    <w:rsid w:val="00126FEA"/>
    <w:rsid w:val="001273F2"/>
    <w:rsid w:val="001276B8"/>
    <w:rsid w:val="001279B1"/>
    <w:rsid w:val="001303E3"/>
    <w:rsid w:val="0013098F"/>
    <w:rsid w:val="00130FA1"/>
    <w:rsid w:val="00131A43"/>
    <w:rsid w:val="00131B59"/>
    <w:rsid w:val="00131F55"/>
    <w:rsid w:val="00131FCA"/>
    <w:rsid w:val="00132284"/>
    <w:rsid w:val="0013313E"/>
    <w:rsid w:val="001334A9"/>
    <w:rsid w:val="00133D40"/>
    <w:rsid w:val="0013422E"/>
    <w:rsid w:val="0013476B"/>
    <w:rsid w:val="0013497B"/>
    <w:rsid w:val="00134FCC"/>
    <w:rsid w:val="001353A4"/>
    <w:rsid w:val="0013579B"/>
    <w:rsid w:val="001364DB"/>
    <w:rsid w:val="001370F0"/>
    <w:rsid w:val="0014221D"/>
    <w:rsid w:val="00142EF6"/>
    <w:rsid w:val="001431D5"/>
    <w:rsid w:val="00144C9F"/>
    <w:rsid w:val="00144DC6"/>
    <w:rsid w:val="00144DCB"/>
    <w:rsid w:val="00145924"/>
    <w:rsid w:val="0014644D"/>
    <w:rsid w:val="00147757"/>
    <w:rsid w:val="00147B48"/>
    <w:rsid w:val="00150128"/>
    <w:rsid w:val="001502B5"/>
    <w:rsid w:val="00150416"/>
    <w:rsid w:val="00150E8F"/>
    <w:rsid w:val="00151BB6"/>
    <w:rsid w:val="001528D7"/>
    <w:rsid w:val="00154360"/>
    <w:rsid w:val="00154B2A"/>
    <w:rsid w:val="00154E50"/>
    <w:rsid w:val="00154EE8"/>
    <w:rsid w:val="0015629F"/>
    <w:rsid w:val="001562E9"/>
    <w:rsid w:val="00156800"/>
    <w:rsid w:val="00156F15"/>
    <w:rsid w:val="001572FF"/>
    <w:rsid w:val="00157533"/>
    <w:rsid w:val="00157DB1"/>
    <w:rsid w:val="0016070C"/>
    <w:rsid w:val="00160A42"/>
    <w:rsid w:val="0016296F"/>
    <w:rsid w:val="00162CD4"/>
    <w:rsid w:val="00163BDF"/>
    <w:rsid w:val="00164465"/>
    <w:rsid w:val="00165298"/>
    <w:rsid w:val="001656EC"/>
    <w:rsid w:val="00165BA2"/>
    <w:rsid w:val="001671DC"/>
    <w:rsid w:val="001674F2"/>
    <w:rsid w:val="001677D3"/>
    <w:rsid w:val="00167CA4"/>
    <w:rsid w:val="00167E4B"/>
    <w:rsid w:val="001700A7"/>
    <w:rsid w:val="0017102A"/>
    <w:rsid w:val="001713C8"/>
    <w:rsid w:val="001715C7"/>
    <w:rsid w:val="00172303"/>
    <w:rsid w:val="001723D3"/>
    <w:rsid w:val="001723EB"/>
    <w:rsid w:val="00172660"/>
    <w:rsid w:val="001728EA"/>
    <w:rsid w:val="0017394E"/>
    <w:rsid w:val="001744B0"/>
    <w:rsid w:val="001748DB"/>
    <w:rsid w:val="0017567C"/>
    <w:rsid w:val="001759CC"/>
    <w:rsid w:val="00175C09"/>
    <w:rsid w:val="0017684A"/>
    <w:rsid w:val="00176F77"/>
    <w:rsid w:val="0017738A"/>
    <w:rsid w:val="0017744B"/>
    <w:rsid w:val="001775FA"/>
    <w:rsid w:val="00177735"/>
    <w:rsid w:val="00177B2C"/>
    <w:rsid w:val="00177BBF"/>
    <w:rsid w:val="001807AB"/>
    <w:rsid w:val="001816C8"/>
    <w:rsid w:val="00182B34"/>
    <w:rsid w:val="00183831"/>
    <w:rsid w:val="00184438"/>
    <w:rsid w:val="00184526"/>
    <w:rsid w:val="00184D96"/>
    <w:rsid w:val="0018502A"/>
    <w:rsid w:val="00185938"/>
    <w:rsid w:val="0018661F"/>
    <w:rsid w:val="00186676"/>
    <w:rsid w:val="00186DCA"/>
    <w:rsid w:val="0019054D"/>
    <w:rsid w:val="00190CE4"/>
    <w:rsid w:val="00191D0A"/>
    <w:rsid w:val="001932D3"/>
    <w:rsid w:val="0019361C"/>
    <w:rsid w:val="00195754"/>
    <w:rsid w:val="00195C6F"/>
    <w:rsid w:val="0019662C"/>
    <w:rsid w:val="001967DF"/>
    <w:rsid w:val="00196F74"/>
    <w:rsid w:val="00197FBA"/>
    <w:rsid w:val="001A04F6"/>
    <w:rsid w:val="001A12AF"/>
    <w:rsid w:val="001A27D4"/>
    <w:rsid w:val="001A2C45"/>
    <w:rsid w:val="001A326C"/>
    <w:rsid w:val="001A3D5D"/>
    <w:rsid w:val="001A3F98"/>
    <w:rsid w:val="001A4105"/>
    <w:rsid w:val="001A6ECA"/>
    <w:rsid w:val="001A733F"/>
    <w:rsid w:val="001A73B1"/>
    <w:rsid w:val="001A7478"/>
    <w:rsid w:val="001A76EC"/>
    <w:rsid w:val="001B0192"/>
    <w:rsid w:val="001B0F0F"/>
    <w:rsid w:val="001B14F8"/>
    <w:rsid w:val="001B158C"/>
    <w:rsid w:val="001B1FF2"/>
    <w:rsid w:val="001B2450"/>
    <w:rsid w:val="001B28BD"/>
    <w:rsid w:val="001B327D"/>
    <w:rsid w:val="001B36EC"/>
    <w:rsid w:val="001B372F"/>
    <w:rsid w:val="001B3EA8"/>
    <w:rsid w:val="001B4440"/>
    <w:rsid w:val="001B517B"/>
    <w:rsid w:val="001B6323"/>
    <w:rsid w:val="001B6C5C"/>
    <w:rsid w:val="001B73A7"/>
    <w:rsid w:val="001B73AD"/>
    <w:rsid w:val="001B741D"/>
    <w:rsid w:val="001C026F"/>
    <w:rsid w:val="001C0432"/>
    <w:rsid w:val="001C0D3F"/>
    <w:rsid w:val="001C163B"/>
    <w:rsid w:val="001C2E20"/>
    <w:rsid w:val="001C32AE"/>
    <w:rsid w:val="001C3997"/>
    <w:rsid w:val="001C3FB5"/>
    <w:rsid w:val="001C47A5"/>
    <w:rsid w:val="001C4923"/>
    <w:rsid w:val="001C4C53"/>
    <w:rsid w:val="001C5992"/>
    <w:rsid w:val="001C59D8"/>
    <w:rsid w:val="001C6265"/>
    <w:rsid w:val="001C64D0"/>
    <w:rsid w:val="001C7A90"/>
    <w:rsid w:val="001C7D48"/>
    <w:rsid w:val="001D0CED"/>
    <w:rsid w:val="001D1194"/>
    <w:rsid w:val="001D13F7"/>
    <w:rsid w:val="001D1448"/>
    <w:rsid w:val="001D1EC3"/>
    <w:rsid w:val="001D26A5"/>
    <w:rsid w:val="001D2F7A"/>
    <w:rsid w:val="001D344A"/>
    <w:rsid w:val="001D37AF"/>
    <w:rsid w:val="001D39FE"/>
    <w:rsid w:val="001D3A02"/>
    <w:rsid w:val="001D3A72"/>
    <w:rsid w:val="001D4ABC"/>
    <w:rsid w:val="001D4CE7"/>
    <w:rsid w:val="001D4F82"/>
    <w:rsid w:val="001D4FD8"/>
    <w:rsid w:val="001D53B5"/>
    <w:rsid w:val="001D6A50"/>
    <w:rsid w:val="001D7B5A"/>
    <w:rsid w:val="001E015E"/>
    <w:rsid w:val="001E05B9"/>
    <w:rsid w:val="001E07C7"/>
    <w:rsid w:val="001E1A2D"/>
    <w:rsid w:val="001E2A40"/>
    <w:rsid w:val="001E30ED"/>
    <w:rsid w:val="001E334C"/>
    <w:rsid w:val="001E3725"/>
    <w:rsid w:val="001E3830"/>
    <w:rsid w:val="001E3CE5"/>
    <w:rsid w:val="001E4A22"/>
    <w:rsid w:val="001E6517"/>
    <w:rsid w:val="001E7193"/>
    <w:rsid w:val="001E74A9"/>
    <w:rsid w:val="001E7C60"/>
    <w:rsid w:val="001F04A8"/>
    <w:rsid w:val="001F1BEF"/>
    <w:rsid w:val="001F2A11"/>
    <w:rsid w:val="001F3668"/>
    <w:rsid w:val="001F45E4"/>
    <w:rsid w:val="001F482A"/>
    <w:rsid w:val="001F48EE"/>
    <w:rsid w:val="001F4B1D"/>
    <w:rsid w:val="001F4D71"/>
    <w:rsid w:val="001F5F07"/>
    <w:rsid w:val="001F64CB"/>
    <w:rsid w:val="001F6561"/>
    <w:rsid w:val="001F6CA9"/>
    <w:rsid w:val="001F7204"/>
    <w:rsid w:val="001F783A"/>
    <w:rsid w:val="00200DFF"/>
    <w:rsid w:val="002013B8"/>
    <w:rsid w:val="00201B67"/>
    <w:rsid w:val="00202361"/>
    <w:rsid w:val="0020339C"/>
    <w:rsid w:val="002034D3"/>
    <w:rsid w:val="0020491B"/>
    <w:rsid w:val="0020519C"/>
    <w:rsid w:val="0020662D"/>
    <w:rsid w:val="00206BB8"/>
    <w:rsid w:val="002074D8"/>
    <w:rsid w:val="002107C4"/>
    <w:rsid w:val="0021092B"/>
    <w:rsid w:val="00210D4F"/>
    <w:rsid w:val="0021209C"/>
    <w:rsid w:val="0021237D"/>
    <w:rsid w:val="00213ACC"/>
    <w:rsid w:val="00213E21"/>
    <w:rsid w:val="002141EF"/>
    <w:rsid w:val="00215348"/>
    <w:rsid w:val="0021609D"/>
    <w:rsid w:val="00216138"/>
    <w:rsid w:val="0021640F"/>
    <w:rsid w:val="0021663B"/>
    <w:rsid w:val="002171DF"/>
    <w:rsid w:val="00217E7E"/>
    <w:rsid w:val="00222540"/>
    <w:rsid w:val="00222C82"/>
    <w:rsid w:val="0022309A"/>
    <w:rsid w:val="00223354"/>
    <w:rsid w:val="00223CE8"/>
    <w:rsid w:val="00224255"/>
    <w:rsid w:val="0022466B"/>
    <w:rsid w:val="00225002"/>
    <w:rsid w:val="00225465"/>
    <w:rsid w:val="002254BD"/>
    <w:rsid w:val="00225732"/>
    <w:rsid w:val="0022588F"/>
    <w:rsid w:val="00226EDB"/>
    <w:rsid w:val="00227D59"/>
    <w:rsid w:val="002311CA"/>
    <w:rsid w:val="00232734"/>
    <w:rsid w:val="00232BDA"/>
    <w:rsid w:val="00232F8D"/>
    <w:rsid w:val="002330D3"/>
    <w:rsid w:val="00233202"/>
    <w:rsid w:val="00233541"/>
    <w:rsid w:val="0023401D"/>
    <w:rsid w:val="002342C7"/>
    <w:rsid w:val="00235542"/>
    <w:rsid w:val="0023573B"/>
    <w:rsid w:val="00235BBC"/>
    <w:rsid w:val="00237028"/>
    <w:rsid w:val="00237CAE"/>
    <w:rsid w:val="002405C0"/>
    <w:rsid w:val="00240C3A"/>
    <w:rsid w:val="00240F37"/>
    <w:rsid w:val="00241376"/>
    <w:rsid w:val="00241BE6"/>
    <w:rsid w:val="002423BE"/>
    <w:rsid w:val="00243CE8"/>
    <w:rsid w:val="00244140"/>
    <w:rsid w:val="002445DF"/>
    <w:rsid w:val="002447D8"/>
    <w:rsid w:val="00245E15"/>
    <w:rsid w:val="002467EE"/>
    <w:rsid w:val="00246F6D"/>
    <w:rsid w:val="00247805"/>
    <w:rsid w:val="00247C42"/>
    <w:rsid w:val="00250D27"/>
    <w:rsid w:val="00251867"/>
    <w:rsid w:val="00251A16"/>
    <w:rsid w:val="00252EB4"/>
    <w:rsid w:val="002532B4"/>
    <w:rsid w:val="002536F9"/>
    <w:rsid w:val="002548A3"/>
    <w:rsid w:val="00255864"/>
    <w:rsid w:val="00256B73"/>
    <w:rsid w:val="00260122"/>
    <w:rsid w:val="002603F1"/>
    <w:rsid w:val="002604A6"/>
    <w:rsid w:val="002605A3"/>
    <w:rsid w:val="00260A94"/>
    <w:rsid w:val="00260B4F"/>
    <w:rsid w:val="00261199"/>
    <w:rsid w:val="00261804"/>
    <w:rsid w:val="00261833"/>
    <w:rsid w:val="00261A1D"/>
    <w:rsid w:val="00262521"/>
    <w:rsid w:val="002629E0"/>
    <w:rsid w:val="00262A4D"/>
    <w:rsid w:val="0026355E"/>
    <w:rsid w:val="002640B3"/>
    <w:rsid w:val="002648A6"/>
    <w:rsid w:val="002649E4"/>
    <w:rsid w:val="002655A7"/>
    <w:rsid w:val="002659CB"/>
    <w:rsid w:val="002662AD"/>
    <w:rsid w:val="00267407"/>
    <w:rsid w:val="00270FE6"/>
    <w:rsid w:val="00271A79"/>
    <w:rsid w:val="00271BC1"/>
    <w:rsid w:val="00273DF7"/>
    <w:rsid w:val="00273F39"/>
    <w:rsid w:val="002745B3"/>
    <w:rsid w:val="00274A49"/>
    <w:rsid w:val="00275538"/>
    <w:rsid w:val="002800D3"/>
    <w:rsid w:val="002817E1"/>
    <w:rsid w:val="002819BD"/>
    <w:rsid w:val="002819DD"/>
    <w:rsid w:val="002828E2"/>
    <w:rsid w:val="00282A00"/>
    <w:rsid w:val="00282D95"/>
    <w:rsid w:val="00283B53"/>
    <w:rsid w:val="00283FB3"/>
    <w:rsid w:val="00283FC2"/>
    <w:rsid w:val="0028402E"/>
    <w:rsid w:val="00284AEC"/>
    <w:rsid w:val="00284EBA"/>
    <w:rsid w:val="002864E2"/>
    <w:rsid w:val="00286A18"/>
    <w:rsid w:val="0028730C"/>
    <w:rsid w:val="002877C6"/>
    <w:rsid w:val="00287CE4"/>
    <w:rsid w:val="00287D9A"/>
    <w:rsid w:val="00287F54"/>
    <w:rsid w:val="002910F7"/>
    <w:rsid w:val="00291BD9"/>
    <w:rsid w:val="0029446C"/>
    <w:rsid w:val="0029553C"/>
    <w:rsid w:val="00295B32"/>
    <w:rsid w:val="00296224"/>
    <w:rsid w:val="00296B6E"/>
    <w:rsid w:val="00296EC7"/>
    <w:rsid w:val="00297E4E"/>
    <w:rsid w:val="002A0223"/>
    <w:rsid w:val="002A0683"/>
    <w:rsid w:val="002A135B"/>
    <w:rsid w:val="002A16D3"/>
    <w:rsid w:val="002A17C1"/>
    <w:rsid w:val="002A1A4C"/>
    <w:rsid w:val="002A1D29"/>
    <w:rsid w:val="002A1E35"/>
    <w:rsid w:val="002A376F"/>
    <w:rsid w:val="002A445D"/>
    <w:rsid w:val="002A4646"/>
    <w:rsid w:val="002A5066"/>
    <w:rsid w:val="002A5FFA"/>
    <w:rsid w:val="002A623E"/>
    <w:rsid w:val="002A67BA"/>
    <w:rsid w:val="002A67F1"/>
    <w:rsid w:val="002A6857"/>
    <w:rsid w:val="002A7790"/>
    <w:rsid w:val="002B072E"/>
    <w:rsid w:val="002B0A8C"/>
    <w:rsid w:val="002B107C"/>
    <w:rsid w:val="002B12FB"/>
    <w:rsid w:val="002B20DB"/>
    <w:rsid w:val="002B263F"/>
    <w:rsid w:val="002B2964"/>
    <w:rsid w:val="002B3415"/>
    <w:rsid w:val="002B358A"/>
    <w:rsid w:val="002B3642"/>
    <w:rsid w:val="002B48A4"/>
    <w:rsid w:val="002B56C6"/>
    <w:rsid w:val="002B65D9"/>
    <w:rsid w:val="002B6F2E"/>
    <w:rsid w:val="002B70B8"/>
    <w:rsid w:val="002B7D4D"/>
    <w:rsid w:val="002C0579"/>
    <w:rsid w:val="002C137C"/>
    <w:rsid w:val="002C1C1A"/>
    <w:rsid w:val="002C1DED"/>
    <w:rsid w:val="002C2685"/>
    <w:rsid w:val="002C2A25"/>
    <w:rsid w:val="002C2F6E"/>
    <w:rsid w:val="002C4DB2"/>
    <w:rsid w:val="002C4FA4"/>
    <w:rsid w:val="002C6982"/>
    <w:rsid w:val="002C6B2D"/>
    <w:rsid w:val="002C6D4E"/>
    <w:rsid w:val="002D2455"/>
    <w:rsid w:val="002D24B0"/>
    <w:rsid w:val="002D2C92"/>
    <w:rsid w:val="002D38CE"/>
    <w:rsid w:val="002D394B"/>
    <w:rsid w:val="002D3A06"/>
    <w:rsid w:val="002D3E8A"/>
    <w:rsid w:val="002D53F5"/>
    <w:rsid w:val="002D581C"/>
    <w:rsid w:val="002D6996"/>
    <w:rsid w:val="002D6CBD"/>
    <w:rsid w:val="002D70AF"/>
    <w:rsid w:val="002D73F6"/>
    <w:rsid w:val="002D7510"/>
    <w:rsid w:val="002E01F0"/>
    <w:rsid w:val="002E0332"/>
    <w:rsid w:val="002E0F46"/>
    <w:rsid w:val="002E1E67"/>
    <w:rsid w:val="002E266B"/>
    <w:rsid w:val="002E381A"/>
    <w:rsid w:val="002E4090"/>
    <w:rsid w:val="002E6156"/>
    <w:rsid w:val="002E6E2E"/>
    <w:rsid w:val="002E6E4B"/>
    <w:rsid w:val="002E6F53"/>
    <w:rsid w:val="002E71E5"/>
    <w:rsid w:val="002E7A72"/>
    <w:rsid w:val="002F0241"/>
    <w:rsid w:val="002F0E25"/>
    <w:rsid w:val="002F0EBD"/>
    <w:rsid w:val="002F15BD"/>
    <w:rsid w:val="002F1C8C"/>
    <w:rsid w:val="002F1DBC"/>
    <w:rsid w:val="002F3401"/>
    <w:rsid w:val="002F410B"/>
    <w:rsid w:val="002F4E75"/>
    <w:rsid w:val="002F590F"/>
    <w:rsid w:val="002F5EFF"/>
    <w:rsid w:val="002F63B9"/>
    <w:rsid w:val="002F76EB"/>
    <w:rsid w:val="002F7EAC"/>
    <w:rsid w:val="00301609"/>
    <w:rsid w:val="00301F2C"/>
    <w:rsid w:val="00302F32"/>
    <w:rsid w:val="00303439"/>
    <w:rsid w:val="00303561"/>
    <w:rsid w:val="00303F3F"/>
    <w:rsid w:val="003044A8"/>
    <w:rsid w:val="00304666"/>
    <w:rsid w:val="00304ECE"/>
    <w:rsid w:val="003057BE"/>
    <w:rsid w:val="003061A0"/>
    <w:rsid w:val="00307315"/>
    <w:rsid w:val="00307A02"/>
    <w:rsid w:val="00307B90"/>
    <w:rsid w:val="00307EE4"/>
    <w:rsid w:val="00312773"/>
    <w:rsid w:val="003135A5"/>
    <w:rsid w:val="00313642"/>
    <w:rsid w:val="00313C4C"/>
    <w:rsid w:val="00314271"/>
    <w:rsid w:val="003151E5"/>
    <w:rsid w:val="00315423"/>
    <w:rsid w:val="00315F61"/>
    <w:rsid w:val="00315F7E"/>
    <w:rsid w:val="0031634B"/>
    <w:rsid w:val="00316364"/>
    <w:rsid w:val="00316A29"/>
    <w:rsid w:val="00316C95"/>
    <w:rsid w:val="003171CE"/>
    <w:rsid w:val="0031725D"/>
    <w:rsid w:val="00317335"/>
    <w:rsid w:val="00317E2C"/>
    <w:rsid w:val="00321171"/>
    <w:rsid w:val="00321387"/>
    <w:rsid w:val="00321990"/>
    <w:rsid w:val="00321CF7"/>
    <w:rsid w:val="003228BD"/>
    <w:rsid w:val="00322DD8"/>
    <w:rsid w:val="00323A66"/>
    <w:rsid w:val="00323F2B"/>
    <w:rsid w:val="00324031"/>
    <w:rsid w:val="003246CE"/>
    <w:rsid w:val="00324889"/>
    <w:rsid w:val="003251DC"/>
    <w:rsid w:val="00326C91"/>
    <w:rsid w:val="003272E6"/>
    <w:rsid w:val="003275C8"/>
    <w:rsid w:val="00327799"/>
    <w:rsid w:val="00327D51"/>
    <w:rsid w:val="00330123"/>
    <w:rsid w:val="00330562"/>
    <w:rsid w:val="0033064E"/>
    <w:rsid w:val="00330BDA"/>
    <w:rsid w:val="0033163B"/>
    <w:rsid w:val="00331C49"/>
    <w:rsid w:val="00331CBD"/>
    <w:rsid w:val="00333F9D"/>
    <w:rsid w:val="00334A62"/>
    <w:rsid w:val="0033629E"/>
    <w:rsid w:val="00336756"/>
    <w:rsid w:val="0033779A"/>
    <w:rsid w:val="0034012D"/>
    <w:rsid w:val="003401A4"/>
    <w:rsid w:val="003404AD"/>
    <w:rsid w:val="003411AF"/>
    <w:rsid w:val="003411BF"/>
    <w:rsid w:val="00341D1E"/>
    <w:rsid w:val="003430A7"/>
    <w:rsid w:val="003434C1"/>
    <w:rsid w:val="00343DD1"/>
    <w:rsid w:val="00343DFB"/>
    <w:rsid w:val="003457D8"/>
    <w:rsid w:val="00345BC6"/>
    <w:rsid w:val="00345D63"/>
    <w:rsid w:val="003475BA"/>
    <w:rsid w:val="00347C9F"/>
    <w:rsid w:val="00350580"/>
    <w:rsid w:val="003512CA"/>
    <w:rsid w:val="0035149F"/>
    <w:rsid w:val="00351A62"/>
    <w:rsid w:val="00352535"/>
    <w:rsid w:val="00353368"/>
    <w:rsid w:val="0035351F"/>
    <w:rsid w:val="003536EC"/>
    <w:rsid w:val="00354C5D"/>
    <w:rsid w:val="00354DB5"/>
    <w:rsid w:val="0035563F"/>
    <w:rsid w:val="00355AF8"/>
    <w:rsid w:val="003565BB"/>
    <w:rsid w:val="00357694"/>
    <w:rsid w:val="00357F72"/>
    <w:rsid w:val="003609EC"/>
    <w:rsid w:val="00361742"/>
    <w:rsid w:val="00362FD7"/>
    <w:rsid w:val="0036367D"/>
    <w:rsid w:val="003639A9"/>
    <w:rsid w:val="00363C65"/>
    <w:rsid w:val="003649BE"/>
    <w:rsid w:val="00364DB0"/>
    <w:rsid w:val="003651A2"/>
    <w:rsid w:val="00365212"/>
    <w:rsid w:val="00365565"/>
    <w:rsid w:val="00365665"/>
    <w:rsid w:val="00365E41"/>
    <w:rsid w:val="00366315"/>
    <w:rsid w:val="0036647B"/>
    <w:rsid w:val="003664BE"/>
    <w:rsid w:val="00367480"/>
    <w:rsid w:val="00367580"/>
    <w:rsid w:val="003678C0"/>
    <w:rsid w:val="003705F9"/>
    <w:rsid w:val="00370EA4"/>
    <w:rsid w:val="00371E1D"/>
    <w:rsid w:val="003741DC"/>
    <w:rsid w:val="00374C56"/>
    <w:rsid w:val="0037508E"/>
    <w:rsid w:val="00375196"/>
    <w:rsid w:val="0037587E"/>
    <w:rsid w:val="00376448"/>
    <w:rsid w:val="00376BCD"/>
    <w:rsid w:val="00376E7D"/>
    <w:rsid w:val="0037756D"/>
    <w:rsid w:val="00377F6B"/>
    <w:rsid w:val="0038054E"/>
    <w:rsid w:val="003808B8"/>
    <w:rsid w:val="00381044"/>
    <w:rsid w:val="0038108C"/>
    <w:rsid w:val="003811BD"/>
    <w:rsid w:val="00381D5F"/>
    <w:rsid w:val="003823D4"/>
    <w:rsid w:val="003838B7"/>
    <w:rsid w:val="003842E5"/>
    <w:rsid w:val="003847D5"/>
    <w:rsid w:val="00384CF9"/>
    <w:rsid w:val="00385546"/>
    <w:rsid w:val="003866EC"/>
    <w:rsid w:val="0039131E"/>
    <w:rsid w:val="003913C0"/>
    <w:rsid w:val="003913EF"/>
    <w:rsid w:val="0039238E"/>
    <w:rsid w:val="00392669"/>
    <w:rsid w:val="003928D0"/>
    <w:rsid w:val="00392AB8"/>
    <w:rsid w:val="003932AA"/>
    <w:rsid w:val="00393341"/>
    <w:rsid w:val="00393754"/>
    <w:rsid w:val="00393E92"/>
    <w:rsid w:val="003943B0"/>
    <w:rsid w:val="00394B86"/>
    <w:rsid w:val="003950FC"/>
    <w:rsid w:val="00395846"/>
    <w:rsid w:val="00395AE1"/>
    <w:rsid w:val="00395B56"/>
    <w:rsid w:val="0039684A"/>
    <w:rsid w:val="00396A92"/>
    <w:rsid w:val="00396D34"/>
    <w:rsid w:val="00397E3F"/>
    <w:rsid w:val="00397FAD"/>
    <w:rsid w:val="003A0BE3"/>
    <w:rsid w:val="003A31FE"/>
    <w:rsid w:val="003A34E4"/>
    <w:rsid w:val="003A3D2D"/>
    <w:rsid w:val="003A42F9"/>
    <w:rsid w:val="003A55E8"/>
    <w:rsid w:val="003A58B1"/>
    <w:rsid w:val="003A5B1F"/>
    <w:rsid w:val="003A5B3E"/>
    <w:rsid w:val="003A5CE0"/>
    <w:rsid w:val="003A5F56"/>
    <w:rsid w:val="003A648B"/>
    <w:rsid w:val="003A65AE"/>
    <w:rsid w:val="003A6891"/>
    <w:rsid w:val="003A7F85"/>
    <w:rsid w:val="003A7FED"/>
    <w:rsid w:val="003B0ABC"/>
    <w:rsid w:val="003B0D07"/>
    <w:rsid w:val="003B1446"/>
    <w:rsid w:val="003B1B8C"/>
    <w:rsid w:val="003B29AA"/>
    <w:rsid w:val="003B2A46"/>
    <w:rsid w:val="003B2F5F"/>
    <w:rsid w:val="003B32AA"/>
    <w:rsid w:val="003B4C3C"/>
    <w:rsid w:val="003B57EE"/>
    <w:rsid w:val="003B670F"/>
    <w:rsid w:val="003C0C71"/>
    <w:rsid w:val="003C10CA"/>
    <w:rsid w:val="003C2B2B"/>
    <w:rsid w:val="003C3404"/>
    <w:rsid w:val="003C535C"/>
    <w:rsid w:val="003C5562"/>
    <w:rsid w:val="003C6247"/>
    <w:rsid w:val="003C6697"/>
    <w:rsid w:val="003C6A1F"/>
    <w:rsid w:val="003C6B86"/>
    <w:rsid w:val="003C6EFA"/>
    <w:rsid w:val="003C7F52"/>
    <w:rsid w:val="003D155E"/>
    <w:rsid w:val="003D232A"/>
    <w:rsid w:val="003D310E"/>
    <w:rsid w:val="003D388E"/>
    <w:rsid w:val="003D3CC6"/>
    <w:rsid w:val="003D3F5B"/>
    <w:rsid w:val="003D4736"/>
    <w:rsid w:val="003D48DD"/>
    <w:rsid w:val="003D5551"/>
    <w:rsid w:val="003D5F51"/>
    <w:rsid w:val="003D6BFE"/>
    <w:rsid w:val="003D6CAC"/>
    <w:rsid w:val="003D733D"/>
    <w:rsid w:val="003E0C9D"/>
    <w:rsid w:val="003E13C1"/>
    <w:rsid w:val="003E1574"/>
    <w:rsid w:val="003E2341"/>
    <w:rsid w:val="003E292D"/>
    <w:rsid w:val="003E2BBF"/>
    <w:rsid w:val="003E3C51"/>
    <w:rsid w:val="003E4A78"/>
    <w:rsid w:val="003E6E78"/>
    <w:rsid w:val="003E78F0"/>
    <w:rsid w:val="003E7D16"/>
    <w:rsid w:val="003F119F"/>
    <w:rsid w:val="003F1B53"/>
    <w:rsid w:val="003F1E2B"/>
    <w:rsid w:val="003F2FAF"/>
    <w:rsid w:val="003F3061"/>
    <w:rsid w:val="003F30F1"/>
    <w:rsid w:val="003F3F30"/>
    <w:rsid w:val="003F49FE"/>
    <w:rsid w:val="003F4FEE"/>
    <w:rsid w:val="003F5C14"/>
    <w:rsid w:val="003F5F87"/>
    <w:rsid w:val="003F6E47"/>
    <w:rsid w:val="003F77FB"/>
    <w:rsid w:val="00400DAB"/>
    <w:rsid w:val="00401093"/>
    <w:rsid w:val="00401BB7"/>
    <w:rsid w:val="004033B2"/>
    <w:rsid w:val="0040346B"/>
    <w:rsid w:val="00404CD7"/>
    <w:rsid w:val="00404DE3"/>
    <w:rsid w:val="00405023"/>
    <w:rsid w:val="00405C03"/>
    <w:rsid w:val="00407022"/>
    <w:rsid w:val="004070C9"/>
    <w:rsid w:val="00407416"/>
    <w:rsid w:val="004074C7"/>
    <w:rsid w:val="00407DAA"/>
    <w:rsid w:val="00410704"/>
    <w:rsid w:val="00410D67"/>
    <w:rsid w:val="00410E00"/>
    <w:rsid w:val="0041115B"/>
    <w:rsid w:val="00411814"/>
    <w:rsid w:val="00411B02"/>
    <w:rsid w:val="00411E44"/>
    <w:rsid w:val="0041225D"/>
    <w:rsid w:val="004126C5"/>
    <w:rsid w:val="00413790"/>
    <w:rsid w:val="00413C1E"/>
    <w:rsid w:val="00413D5B"/>
    <w:rsid w:val="00414286"/>
    <w:rsid w:val="00414787"/>
    <w:rsid w:val="00415086"/>
    <w:rsid w:val="004157CC"/>
    <w:rsid w:val="004160DF"/>
    <w:rsid w:val="00416C2B"/>
    <w:rsid w:val="00416D06"/>
    <w:rsid w:val="004208E9"/>
    <w:rsid w:val="004209EE"/>
    <w:rsid w:val="00420A85"/>
    <w:rsid w:val="004211BB"/>
    <w:rsid w:val="004213D7"/>
    <w:rsid w:val="00422969"/>
    <w:rsid w:val="00423513"/>
    <w:rsid w:val="0042501F"/>
    <w:rsid w:val="004254DE"/>
    <w:rsid w:val="0042717F"/>
    <w:rsid w:val="004300D1"/>
    <w:rsid w:val="00430DB6"/>
    <w:rsid w:val="00430EF3"/>
    <w:rsid w:val="00431952"/>
    <w:rsid w:val="00431FDD"/>
    <w:rsid w:val="00433347"/>
    <w:rsid w:val="004333C0"/>
    <w:rsid w:val="00433CD0"/>
    <w:rsid w:val="004345FA"/>
    <w:rsid w:val="00434B68"/>
    <w:rsid w:val="00434D27"/>
    <w:rsid w:val="004351B9"/>
    <w:rsid w:val="004356F5"/>
    <w:rsid w:val="00435FA0"/>
    <w:rsid w:val="004365CA"/>
    <w:rsid w:val="00436FA4"/>
    <w:rsid w:val="004370E4"/>
    <w:rsid w:val="00437A89"/>
    <w:rsid w:val="00437D2F"/>
    <w:rsid w:val="00437DF0"/>
    <w:rsid w:val="00440270"/>
    <w:rsid w:val="00440512"/>
    <w:rsid w:val="00440C5A"/>
    <w:rsid w:val="00440CC0"/>
    <w:rsid w:val="00441E9B"/>
    <w:rsid w:val="0044232C"/>
    <w:rsid w:val="00442547"/>
    <w:rsid w:val="00443095"/>
    <w:rsid w:val="004430EE"/>
    <w:rsid w:val="00443459"/>
    <w:rsid w:val="00443502"/>
    <w:rsid w:val="00443E51"/>
    <w:rsid w:val="00444C36"/>
    <w:rsid w:val="00444C85"/>
    <w:rsid w:val="004453BF"/>
    <w:rsid w:val="00445459"/>
    <w:rsid w:val="00445494"/>
    <w:rsid w:val="0044596A"/>
    <w:rsid w:val="004459FB"/>
    <w:rsid w:val="004468AE"/>
    <w:rsid w:val="0044756B"/>
    <w:rsid w:val="00447590"/>
    <w:rsid w:val="00450A19"/>
    <w:rsid w:val="0045177E"/>
    <w:rsid w:val="0045190A"/>
    <w:rsid w:val="00452236"/>
    <w:rsid w:val="0045247C"/>
    <w:rsid w:val="0045328B"/>
    <w:rsid w:val="0045340A"/>
    <w:rsid w:val="00454477"/>
    <w:rsid w:val="00454493"/>
    <w:rsid w:val="0045607D"/>
    <w:rsid w:val="0045619C"/>
    <w:rsid w:val="004569D1"/>
    <w:rsid w:val="004571B9"/>
    <w:rsid w:val="0045796D"/>
    <w:rsid w:val="00457BE7"/>
    <w:rsid w:val="00457E33"/>
    <w:rsid w:val="00457E96"/>
    <w:rsid w:val="004602F2"/>
    <w:rsid w:val="00460680"/>
    <w:rsid w:val="00460701"/>
    <w:rsid w:val="00460D5F"/>
    <w:rsid w:val="0046190C"/>
    <w:rsid w:val="00461B8E"/>
    <w:rsid w:val="00462009"/>
    <w:rsid w:val="0046222D"/>
    <w:rsid w:val="004622A9"/>
    <w:rsid w:val="00462560"/>
    <w:rsid w:val="004627FC"/>
    <w:rsid w:val="00462980"/>
    <w:rsid w:val="004630F2"/>
    <w:rsid w:val="00464461"/>
    <w:rsid w:val="00464821"/>
    <w:rsid w:val="00464C83"/>
    <w:rsid w:val="0046524A"/>
    <w:rsid w:val="0046525E"/>
    <w:rsid w:val="00465E3B"/>
    <w:rsid w:val="00465F1A"/>
    <w:rsid w:val="00465FFE"/>
    <w:rsid w:val="0046632B"/>
    <w:rsid w:val="00467B59"/>
    <w:rsid w:val="00467E16"/>
    <w:rsid w:val="00470562"/>
    <w:rsid w:val="00470DF3"/>
    <w:rsid w:val="00471426"/>
    <w:rsid w:val="004719CB"/>
    <w:rsid w:val="00471FF0"/>
    <w:rsid w:val="00472A13"/>
    <w:rsid w:val="00474EE3"/>
    <w:rsid w:val="004754A6"/>
    <w:rsid w:val="00475E28"/>
    <w:rsid w:val="004770BB"/>
    <w:rsid w:val="004775BA"/>
    <w:rsid w:val="004775C3"/>
    <w:rsid w:val="00477896"/>
    <w:rsid w:val="004779CF"/>
    <w:rsid w:val="00480E3F"/>
    <w:rsid w:val="00480E7B"/>
    <w:rsid w:val="00481920"/>
    <w:rsid w:val="00481B47"/>
    <w:rsid w:val="00481C7C"/>
    <w:rsid w:val="00482AA2"/>
    <w:rsid w:val="00482BBE"/>
    <w:rsid w:val="00484853"/>
    <w:rsid w:val="00484B96"/>
    <w:rsid w:val="00485797"/>
    <w:rsid w:val="00486A81"/>
    <w:rsid w:val="00486B92"/>
    <w:rsid w:val="00487220"/>
    <w:rsid w:val="004901B7"/>
    <w:rsid w:val="004925D9"/>
    <w:rsid w:val="00492C30"/>
    <w:rsid w:val="00493B26"/>
    <w:rsid w:val="00494521"/>
    <w:rsid w:val="0049578E"/>
    <w:rsid w:val="004960DA"/>
    <w:rsid w:val="004963E7"/>
    <w:rsid w:val="00496D8B"/>
    <w:rsid w:val="00497867"/>
    <w:rsid w:val="004A0B9A"/>
    <w:rsid w:val="004A1AE6"/>
    <w:rsid w:val="004A2135"/>
    <w:rsid w:val="004A2567"/>
    <w:rsid w:val="004A2668"/>
    <w:rsid w:val="004A2A8C"/>
    <w:rsid w:val="004A2D2B"/>
    <w:rsid w:val="004A31AE"/>
    <w:rsid w:val="004A320A"/>
    <w:rsid w:val="004A3F40"/>
    <w:rsid w:val="004A3FE5"/>
    <w:rsid w:val="004A4E1E"/>
    <w:rsid w:val="004A5177"/>
    <w:rsid w:val="004A62F2"/>
    <w:rsid w:val="004A67C7"/>
    <w:rsid w:val="004A6F64"/>
    <w:rsid w:val="004A7359"/>
    <w:rsid w:val="004A7692"/>
    <w:rsid w:val="004A7A9D"/>
    <w:rsid w:val="004B09B0"/>
    <w:rsid w:val="004B1379"/>
    <w:rsid w:val="004B1D89"/>
    <w:rsid w:val="004B2470"/>
    <w:rsid w:val="004B28A9"/>
    <w:rsid w:val="004B2EA0"/>
    <w:rsid w:val="004B4AD0"/>
    <w:rsid w:val="004B7219"/>
    <w:rsid w:val="004B7303"/>
    <w:rsid w:val="004B7506"/>
    <w:rsid w:val="004B7B4C"/>
    <w:rsid w:val="004B7BC0"/>
    <w:rsid w:val="004B7D16"/>
    <w:rsid w:val="004C0398"/>
    <w:rsid w:val="004C076E"/>
    <w:rsid w:val="004C12DA"/>
    <w:rsid w:val="004C1B2E"/>
    <w:rsid w:val="004C2722"/>
    <w:rsid w:val="004C2829"/>
    <w:rsid w:val="004C354F"/>
    <w:rsid w:val="004C3BE5"/>
    <w:rsid w:val="004C3D13"/>
    <w:rsid w:val="004C3FC8"/>
    <w:rsid w:val="004C4AF6"/>
    <w:rsid w:val="004C58FF"/>
    <w:rsid w:val="004C745A"/>
    <w:rsid w:val="004D0787"/>
    <w:rsid w:val="004D1386"/>
    <w:rsid w:val="004D191A"/>
    <w:rsid w:val="004D2F48"/>
    <w:rsid w:val="004D4405"/>
    <w:rsid w:val="004D485C"/>
    <w:rsid w:val="004D4E23"/>
    <w:rsid w:val="004D64E4"/>
    <w:rsid w:val="004D7470"/>
    <w:rsid w:val="004D7B90"/>
    <w:rsid w:val="004E0240"/>
    <w:rsid w:val="004E03E5"/>
    <w:rsid w:val="004E06F2"/>
    <w:rsid w:val="004E1BE1"/>
    <w:rsid w:val="004E2014"/>
    <w:rsid w:val="004E210A"/>
    <w:rsid w:val="004E26EF"/>
    <w:rsid w:val="004E2AD5"/>
    <w:rsid w:val="004E2DB1"/>
    <w:rsid w:val="004E31F9"/>
    <w:rsid w:val="004E322A"/>
    <w:rsid w:val="004E3617"/>
    <w:rsid w:val="004E43DD"/>
    <w:rsid w:val="004E45C8"/>
    <w:rsid w:val="004E47B6"/>
    <w:rsid w:val="004E51A2"/>
    <w:rsid w:val="004E53C0"/>
    <w:rsid w:val="004E5F31"/>
    <w:rsid w:val="004E62EB"/>
    <w:rsid w:val="004E6DB7"/>
    <w:rsid w:val="004E6DF3"/>
    <w:rsid w:val="004E798C"/>
    <w:rsid w:val="004F059C"/>
    <w:rsid w:val="004F05D5"/>
    <w:rsid w:val="004F1136"/>
    <w:rsid w:val="004F1CE2"/>
    <w:rsid w:val="004F2427"/>
    <w:rsid w:val="004F26D9"/>
    <w:rsid w:val="004F37C9"/>
    <w:rsid w:val="004F3E69"/>
    <w:rsid w:val="004F4DA6"/>
    <w:rsid w:val="004F5470"/>
    <w:rsid w:val="004F54BC"/>
    <w:rsid w:val="004F551E"/>
    <w:rsid w:val="004F72CB"/>
    <w:rsid w:val="004F7D20"/>
    <w:rsid w:val="005006F2"/>
    <w:rsid w:val="00500C4B"/>
    <w:rsid w:val="005012D4"/>
    <w:rsid w:val="005020BC"/>
    <w:rsid w:val="0050211A"/>
    <w:rsid w:val="005027DC"/>
    <w:rsid w:val="00502C17"/>
    <w:rsid w:val="00502CC9"/>
    <w:rsid w:val="005035A2"/>
    <w:rsid w:val="00503711"/>
    <w:rsid w:val="00503923"/>
    <w:rsid w:val="00503D36"/>
    <w:rsid w:val="00503F85"/>
    <w:rsid w:val="005041E4"/>
    <w:rsid w:val="00504820"/>
    <w:rsid w:val="00504852"/>
    <w:rsid w:val="00504AB0"/>
    <w:rsid w:val="005053F6"/>
    <w:rsid w:val="0050584B"/>
    <w:rsid w:val="00505851"/>
    <w:rsid w:val="00506746"/>
    <w:rsid w:val="00507747"/>
    <w:rsid w:val="00507F24"/>
    <w:rsid w:val="005105C3"/>
    <w:rsid w:val="0051069E"/>
    <w:rsid w:val="00511829"/>
    <w:rsid w:val="005121BD"/>
    <w:rsid w:val="00512732"/>
    <w:rsid w:val="00513419"/>
    <w:rsid w:val="00513483"/>
    <w:rsid w:val="00513648"/>
    <w:rsid w:val="00513BE4"/>
    <w:rsid w:val="00513DC2"/>
    <w:rsid w:val="0051537A"/>
    <w:rsid w:val="00515C05"/>
    <w:rsid w:val="005202BD"/>
    <w:rsid w:val="00521467"/>
    <w:rsid w:val="00521624"/>
    <w:rsid w:val="0052173A"/>
    <w:rsid w:val="005217D1"/>
    <w:rsid w:val="0052182B"/>
    <w:rsid w:val="005218FF"/>
    <w:rsid w:val="00521DCC"/>
    <w:rsid w:val="00521E69"/>
    <w:rsid w:val="0052279C"/>
    <w:rsid w:val="00523023"/>
    <w:rsid w:val="00523151"/>
    <w:rsid w:val="0052322B"/>
    <w:rsid w:val="00523441"/>
    <w:rsid w:val="005236E8"/>
    <w:rsid w:val="00523827"/>
    <w:rsid w:val="005238FE"/>
    <w:rsid w:val="00523C93"/>
    <w:rsid w:val="00523D31"/>
    <w:rsid w:val="00524A76"/>
    <w:rsid w:val="00524D77"/>
    <w:rsid w:val="00525533"/>
    <w:rsid w:val="005257BD"/>
    <w:rsid w:val="00525E86"/>
    <w:rsid w:val="00526427"/>
    <w:rsid w:val="00526A0F"/>
    <w:rsid w:val="005273FF"/>
    <w:rsid w:val="00527595"/>
    <w:rsid w:val="00531698"/>
    <w:rsid w:val="0053227E"/>
    <w:rsid w:val="00532CF7"/>
    <w:rsid w:val="005330A1"/>
    <w:rsid w:val="0053398B"/>
    <w:rsid w:val="00533AC4"/>
    <w:rsid w:val="0053459E"/>
    <w:rsid w:val="00534B78"/>
    <w:rsid w:val="00534DF1"/>
    <w:rsid w:val="005353B5"/>
    <w:rsid w:val="005407F5"/>
    <w:rsid w:val="00540D15"/>
    <w:rsid w:val="005414B2"/>
    <w:rsid w:val="0054168E"/>
    <w:rsid w:val="00542B1C"/>
    <w:rsid w:val="00542BAA"/>
    <w:rsid w:val="00543881"/>
    <w:rsid w:val="00543C46"/>
    <w:rsid w:val="0054408D"/>
    <w:rsid w:val="00544274"/>
    <w:rsid w:val="00544E15"/>
    <w:rsid w:val="0054529B"/>
    <w:rsid w:val="00545ADB"/>
    <w:rsid w:val="00546191"/>
    <w:rsid w:val="00546B04"/>
    <w:rsid w:val="00546F47"/>
    <w:rsid w:val="00547D4A"/>
    <w:rsid w:val="00550218"/>
    <w:rsid w:val="0055023B"/>
    <w:rsid w:val="005507D9"/>
    <w:rsid w:val="00550D43"/>
    <w:rsid w:val="00550FBE"/>
    <w:rsid w:val="005514CE"/>
    <w:rsid w:val="005517C5"/>
    <w:rsid w:val="00551869"/>
    <w:rsid w:val="00551B2D"/>
    <w:rsid w:val="00552065"/>
    <w:rsid w:val="00552400"/>
    <w:rsid w:val="00552442"/>
    <w:rsid w:val="005527BA"/>
    <w:rsid w:val="00552892"/>
    <w:rsid w:val="00553789"/>
    <w:rsid w:val="0055427B"/>
    <w:rsid w:val="00554703"/>
    <w:rsid w:val="00555052"/>
    <w:rsid w:val="005551D4"/>
    <w:rsid w:val="00555404"/>
    <w:rsid w:val="005556A1"/>
    <w:rsid w:val="005566AB"/>
    <w:rsid w:val="0056079C"/>
    <w:rsid w:val="00560DC4"/>
    <w:rsid w:val="00560DD3"/>
    <w:rsid w:val="0056169E"/>
    <w:rsid w:val="00561A26"/>
    <w:rsid w:val="005621FE"/>
    <w:rsid w:val="0056233B"/>
    <w:rsid w:val="00563348"/>
    <w:rsid w:val="00563436"/>
    <w:rsid w:val="00563ABF"/>
    <w:rsid w:val="00564DA6"/>
    <w:rsid w:val="0056545A"/>
    <w:rsid w:val="00565803"/>
    <w:rsid w:val="00565F50"/>
    <w:rsid w:val="00565FC3"/>
    <w:rsid w:val="005669E4"/>
    <w:rsid w:val="0056747E"/>
    <w:rsid w:val="00567C6F"/>
    <w:rsid w:val="00567EAB"/>
    <w:rsid w:val="00567F15"/>
    <w:rsid w:val="00570215"/>
    <w:rsid w:val="00571B5D"/>
    <w:rsid w:val="00573FDF"/>
    <w:rsid w:val="005749EE"/>
    <w:rsid w:val="0057526C"/>
    <w:rsid w:val="0057548E"/>
    <w:rsid w:val="00575CD7"/>
    <w:rsid w:val="00576D3A"/>
    <w:rsid w:val="00576E09"/>
    <w:rsid w:val="005803CA"/>
    <w:rsid w:val="00581730"/>
    <w:rsid w:val="00581F72"/>
    <w:rsid w:val="005824EB"/>
    <w:rsid w:val="00582E75"/>
    <w:rsid w:val="00583103"/>
    <w:rsid w:val="00583B37"/>
    <w:rsid w:val="00583BF8"/>
    <w:rsid w:val="00584B68"/>
    <w:rsid w:val="00584EF0"/>
    <w:rsid w:val="00585035"/>
    <w:rsid w:val="00585050"/>
    <w:rsid w:val="005851B2"/>
    <w:rsid w:val="0058532E"/>
    <w:rsid w:val="00585AD2"/>
    <w:rsid w:val="00585C61"/>
    <w:rsid w:val="00585FD4"/>
    <w:rsid w:val="0058625F"/>
    <w:rsid w:val="005864A1"/>
    <w:rsid w:val="005867D0"/>
    <w:rsid w:val="00586B7E"/>
    <w:rsid w:val="005873AA"/>
    <w:rsid w:val="005900C0"/>
    <w:rsid w:val="005907B4"/>
    <w:rsid w:val="005915A9"/>
    <w:rsid w:val="0059229C"/>
    <w:rsid w:val="00593657"/>
    <w:rsid w:val="00593C20"/>
    <w:rsid w:val="00593F95"/>
    <w:rsid w:val="0059550E"/>
    <w:rsid w:val="00595752"/>
    <w:rsid w:val="00596658"/>
    <w:rsid w:val="00596837"/>
    <w:rsid w:val="00597836"/>
    <w:rsid w:val="00597E99"/>
    <w:rsid w:val="005A1DA4"/>
    <w:rsid w:val="005A338E"/>
    <w:rsid w:val="005A3617"/>
    <w:rsid w:val="005A3AF5"/>
    <w:rsid w:val="005A3C25"/>
    <w:rsid w:val="005A3E1C"/>
    <w:rsid w:val="005A431F"/>
    <w:rsid w:val="005A439E"/>
    <w:rsid w:val="005A6B1A"/>
    <w:rsid w:val="005A6C67"/>
    <w:rsid w:val="005A7112"/>
    <w:rsid w:val="005A7349"/>
    <w:rsid w:val="005A7F85"/>
    <w:rsid w:val="005B03C3"/>
    <w:rsid w:val="005B0C24"/>
    <w:rsid w:val="005B0F94"/>
    <w:rsid w:val="005B1267"/>
    <w:rsid w:val="005B15E8"/>
    <w:rsid w:val="005B1AD9"/>
    <w:rsid w:val="005B2609"/>
    <w:rsid w:val="005B2D9C"/>
    <w:rsid w:val="005B4255"/>
    <w:rsid w:val="005B4B09"/>
    <w:rsid w:val="005B4E76"/>
    <w:rsid w:val="005B51B5"/>
    <w:rsid w:val="005B5632"/>
    <w:rsid w:val="005B671F"/>
    <w:rsid w:val="005B7708"/>
    <w:rsid w:val="005C0092"/>
    <w:rsid w:val="005C06BF"/>
    <w:rsid w:val="005C0E6F"/>
    <w:rsid w:val="005C211B"/>
    <w:rsid w:val="005C26CC"/>
    <w:rsid w:val="005C2702"/>
    <w:rsid w:val="005C2821"/>
    <w:rsid w:val="005C291F"/>
    <w:rsid w:val="005C2FBC"/>
    <w:rsid w:val="005C2FFA"/>
    <w:rsid w:val="005C3775"/>
    <w:rsid w:val="005C3B0B"/>
    <w:rsid w:val="005C4885"/>
    <w:rsid w:val="005C4FB9"/>
    <w:rsid w:val="005C5F2F"/>
    <w:rsid w:val="005C6714"/>
    <w:rsid w:val="005C6C8B"/>
    <w:rsid w:val="005C790A"/>
    <w:rsid w:val="005C7DC1"/>
    <w:rsid w:val="005C7EF4"/>
    <w:rsid w:val="005D0160"/>
    <w:rsid w:val="005D0CB8"/>
    <w:rsid w:val="005D0CC8"/>
    <w:rsid w:val="005D0DAA"/>
    <w:rsid w:val="005D10DB"/>
    <w:rsid w:val="005D2A5B"/>
    <w:rsid w:val="005D33EF"/>
    <w:rsid w:val="005D40BE"/>
    <w:rsid w:val="005D41A9"/>
    <w:rsid w:val="005D431E"/>
    <w:rsid w:val="005D435B"/>
    <w:rsid w:val="005D4448"/>
    <w:rsid w:val="005D5342"/>
    <w:rsid w:val="005D5837"/>
    <w:rsid w:val="005D6951"/>
    <w:rsid w:val="005D6AA5"/>
    <w:rsid w:val="005D6C12"/>
    <w:rsid w:val="005D6EE6"/>
    <w:rsid w:val="005D6F9D"/>
    <w:rsid w:val="005D734D"/>
    <w:rsid w:val="005D7409"/>
    <w:rsid w:val="005D763C"/>
    <w:rsid w:val="005D7842"/>
    <w:rsid w:val="005E04AD"/>
    <w:rsid w:val="005E08C1"/>
    <w:rsid w:val="005E1053"/>
    <w:rsid w:val="005E2ABC"/>
    <w:rsid w:val="005E2DC8"/>
    <w:rsid w:val="005E301D"/>
    <w:rsid w:val="005E352D"/>
    <w:rsid w:val="005E39D9"/>
    <w:rsid w:val="005E4736"/>
    <w:rsid w:val="005E49FC"/>
    <w:rsid w:val="005E4C7B"/>
    <w:rsid w:val="005E526C"/>
    <w:rsid w:val="005E5A4A"/>
    <w:rsid w:val="005E5F5A"/>
    <w:rsid w:val="005E6490"/>
    <w:rsid w:val="005E7485"/>
    <w:rsid w:val="005E7DE1"/>
    <w:rsid w:val="005E7EF0"/>
    <w:rsid w:val="005F02CE"/>
    <w:rsid w:val="005F094D"/>
    <w:rsid w:val="005F09F0"/>
    <w:rsid w:val="005F0CF1"/>
    <w:rsid w:val="005F0DAD"/>
    <w:rsid w:val="005F0DB7"/>
    <w:rsid w:val="005F2312"/>
    <w:rsid w:val="005F23CF"/>
    <w:rsid w:val="005F3ABD"/>
    <w:rsid w:val="005F3CDF"/>
    <w:rsid w:val="005F3DF3"/>
    <w:rsid w:val="005F5293"/>
    <w:rsid w:val="005F62D5"/>
    <w:rsid w:val="005F66FF"/>
    <w:rsid w:val="005F67AC"/>
    <w:rsid w:val="005F761D"/>
    <w:rsid w:val="005F7E59"/>
    <w:rsid w:val="00600AC0"/>
    <w:rsid w:val="00600D48"/>
    <w:rsid w:val="00600FB2"/>
    <w:rsid w:val="006012A0"/>
    <w:rsid w:val="0060149A"/>
    <w:rsid w:val="006015F1"/>
    <w:rsid w:val="00601D40"/>
    <w:rsid w:val="00603388"/>
    <w:rsid w:val="00603D8D"/>
    <w:rsid w:val="006046F7"/>
    <w:rsid w:val="00605B19"/>
    <w:rsid w:val="006064A2"/>
    <w:rsid w:val="00607D29"/>
    <w:rsid w:val="006102AE"/>
    <w:rsid w:val="00611041"/>
    <w:rsid w:val="0061131C"/>
    <w:rsid w:val="00611365"/>
    <w:rsid w:val="00611425"/>
    <w:rsid w:val="00611469"/>
    <w:rsid w:val="0061152D"/>
    <w:rsid w:val="006117CF"/>
    <w:rsid w:val="0061331B"/>
    <w:rsid w:val="00613981"/>
    <w:rsid w:val="006140F1"/>
    <w:rsid w:val="0061600C"/>
    <w:rsid w:val="00616285"/>
    <w:rsid w:val="00617F68"/>
    <w:rsid w:val="006202BC"/>
    <w:rsid w:val="00621F11"/>
    <w:rsid w:val="0062277F"/>
    <w:rsid w:val="00622C91"/>
    <w:rsid w:val="00622E50"/>
    <w:rsid w:val="0062303F"/>
    <w:rsid w:val="0062341F"/>
    <w:rsid w:val="0062416F"/>
    <w:rsid w:val="006244E1"/>
    <w:rsid w:val="00625495"/>
    <w:rsid w:val="00626807"/>
    <w:rsid w:val="00626B2C"/>
    <w:rsid w:val="00626C36"/>
    <w:rsid w:val="00627290"/>
    <w:rsid w:val="00627646"/>
    <w:rsid w:val="0063136A"/>
    <w:rsid w:val="00632BCA"/>
    <w:rsid w:val="00632F6A"/>
    <w:rsid w:val="006353D1"/>
    <w:rsid w:val="0063594F"/>
    <w:rsid w:val="00635D9B"/>
    <w:rsid w:val="00635F88"/>
    <w:rsid w:val="0063618D"/>
    <w:rsid w:val="006365F4"/>
    <w:rsid w:val="0063683D"/>
    <w:rsid w:val="00636CC3"/>
    <w:rsid w:val="00637241"/>
    <w:rsid w:val="0064047F"/>
    <w:rsid w:val="00640A01"/>
    <w:rsid w:val="006417D2"/>
    <w:rsid w:val="006420D9"/>
    <w:rsid w:val="0064243B"/>
    <w:rsid w:val="006427F0"/>
    <w:rsid w:val="006429E4"/>
    <w:rsid w:val="00642CA2"/>
    <w:rsid w:val="00642FDF"/>
    <w:rsid w:val="006432B9"/>
    <w:rsid w:val="006432D8"/>
    <w:rsid w:val="00643323"/>
    <w:rsid w:val="006433B6"/>
    <w:rsid w:val="00643518"/>
    <w:rsid w:val="00643E22"/>
    <w:rsid w:val="006442AE"/>
    <w:rsid w:val="00645AC3"/>
    <w:rsid w:val="00646DA3"/>
    <w:rsid w:val="00647A15"/>
    <w:rsid w:val="00650C4B"/>
    <w:rsid w:val="00651267"/>
    <w:rsid w:val="0065158C"/>
    <w:rsid w:val="00651B87"/>
    <w:rsid w:val="00653E7B"/>
    <w:rsid w:val="0065463C"/>
    <w:rsid w:val="00654E1B"/>
    <w:rsid w:val="00655708"/>
    <w:rsid w:val="00655A25"/>
    <w:rsid w:val="00655A4B"/>
    <w:rsid w:val="0065700C"/>
    <w:rsid w:val="00657E09"/>
    <w:rsid w:val="006604C1"/>
    <w:rsid w:val="006607F6"/>
    <w:rsid w:val="00660A34"/>
    <w:rsid w:val="00661844"/>
    <w:rsid w:val="00661A2C"/>
    <w:rsid w:val="00661C8C"/>
    <w:rsid w:val="00661D41"/>
    <w:rsid w:val="00662256"/>
    <w:rsid w:val="006623A2"/>
    <w:rsid w:val="0066270C"/>
    <w:rsid w:val="0066281A"/>
    <w:rsid w:val="00662924"/>
    <w:rsid w:val="00662A72"/>
    <w:rsid w:val="0066338B"/>
    <w:rsid w:val="0066367F"/>
    <w:rsid w:val="00663EE8"/>
    <w:rsid w:val="00664B3A"/>
    <w:rsid w:val="00665649"/>
    <w:rsid w:val="00666F4B"/>
    <w:rsid w:val="00667263"/>
    <w:rsid w:val="006677A9"/>
    <w:rsid w:val="00667FC0"/>
    <w:rsid w:val="00670351"/>
    <w:rsid w:val="0067045C"/>
    <w:rsid w:val="006705CB"/>
    <w:rsid w:val="00670F8C"/>
    <w:rsid w:val="0067103A"/>
    <w:rsid w:val="006714C3"/>
    <w:rsid w:val="00672010"/>
    <w:rsid w:val="006726FA"/>
    <w:rsid w:val="006740C3"/>
    <w:rsid w:val="0067453A"/>
    <w:rsid w:val="00674CC7"/>
    <w:rsid w:val="00675412"/>
    <w:rsid w:val="00675759"/>
    <w:rsid w:val="00675CF3"/>
    <w:rsid w:val="00675D60"/>
    <w:rsid w:val="0067784C"/>
    <w:rsid w:val="00677898"/>
    <w:rsid w:val="00677958"/>
    <w:rsid w:val="0068005E"/>
    <w:rsid w:val="00680061"/>
    <w:rsid w:val="0068060A"/>
    <w:rsid w:val="006807AD"/>
    <w:rsid w:val="006809BB"/>
    <w:rsid w:val="00682634"/>
    <w:rsid w:val="00682649"/>
    <w:rsid w:val="00682ECC"/>
    <w:rsid w:val="006830E4"/>
    <w:rsid w:val="00683CE0"/>
    <w:rsid w:val="00684642"/>
    <w:rsid w:val="006847BA"/>
    <w:rsid w:val="00685DFB"/>
    <w:rsid w:val="00686E85"/>
    <w:rsid w:val="00686FCE"/>
    <w:rsid w:val="006907A1"/>
    <w:rsid w:val="00691963"/>
    <w:rsid w:val="00691AF0"/>
    <w:rsid w:val="00692A1B"/>
    <w:rsid w:val="00694928"/>
    <w:rsid w:val="00694BBF"/>
    <w:rsid w:val="00695068"/>
    <w:rsid w:val="00695622"/>
    <w:rsid w:val="006956AB"/>
    <w:rsid w:val="00695744"/>
    <w:rsid w:val="00695C33"/>
    <w:rsid w:val="00696C11"/>
    <w:rsid w:val="00697499"/>
    <w:rsid w:val="006975B5"/>
    <w:rsid w:val="00697718"/>
    <w:rsid w:val="00697930"/>
    <w:rsid w:val="006A0932"/>
    <w:rsid w:val="006A0A15"/>
    <w:rsid w:val="006A10FA"/>
    <w:rsid w:val="006A469F"/>
    <w:rsid w:val="006A4994"/>
    <w:rsid w:val="006A4E9B"/>
    <w:rsid w:val="006A50BD"/>
    <w:rsid w:val="006A5A2E"/>
    <w:rsid w:val="006A60F4"/>
    <w:rsid w:val="006A66D5"/>
    <w:rsid w:val="006A7F89"/>
    <w:rsid w:val="006B00BE"/>
    <w:rsid w:val="006B09AE"/>
    <w:rsid w:val="006B10AE"/>
    <w:rsid w:val="006B12CB"/>
    <w:rsid w:val="006B341C"/>
    <w:rsid w:val="006B5674"/>
    <w:rsid w:val="006B5F37"/>
    <w:rsid w:val="006B68F8"/>
    <w:rsid w:val="006B7656"/>
    <w:rsid w:val="006B7CF5"/>
    <w:rsid w:val="006C0C87"/>
    <w:rsid w:val="006C1356"/>
    <w:rsid w:val="006C287A"/>
    <w:rsid w:val="006C37DE"/>
    <w:rsid w:val="006C4037"/>
    <w:rsid w:val="006C6962"/>
    <w:rsid w:val="006C7049"/>
    <w:rsid w:val="006C7265"/>
    <w:rsid w:val="006D00E1"/>
    <w:rsid w:val="006D0928"/>
    <w:rsid w:val="006D1B08"/>
    <w:rsid w:val="006D256D"/>
    <w:rsid w:val="006D2D59"/>
    <w:rsid w:val="006D39FD"/>
    <w:rsid w:val="006D3E50"/>
    <w:rsid w:val="006D4ADA"/>
    <w:rsid w:val="006D4CEC"/>
    <w:rsid w:val="006D55B3"/>
    <w:rsid w:val="006D587E"/>
    <w:rsid w:val="006D5BDF"/>
    <w:rsid w:val="006D5D52"/>
    <w:rsid w:val="006D5FAE"/>
    <w:rsid w:val="006D61E7"/>
    <w:rsid w:val="006D648C"/>
    <w:rsid w:val="006D6A73"/>
    <w:rsid w:val="006E03B1"/>
    <w:rsid w:val="006E04C6"/>
    <w:rsid w:val="006E1B78"/>
    <w:rsid w:val="006E1BFF"/>
    <w:rsid w:val="006E23EC"/>
    <w:rsid w:val="006E4279"/>
    <w:rsid w:val="006E51BF"/>
    <w:rsid w:val="006E570C"/>
    <w:rsid w:val="006E6013"/>
    <w:rsid w:val="006E631D"/>
    <w:rsid w:val="006E6803"/>
    <w:rsid w:val="006E68D1"/>
    <w:rsid w:val="006E6A97"/>
    <w:rsid w:val="006E7198"/>
    <w:rsid w:val="006E73E0"/>
    <w:rsid w:val="006E7D52"/>
    <w:rsid w:val="006E7E27"/>
    <w:rsid w:val="006F0C6C"/>
    <w:rsid w:val="006F1D0C"/>
    <w:rsid w:val="006F2957"/>
    <w:rsid w:val="006F345E"/>
    <w:rsid w:val="006F36DE"/>
    <w:rsid w:val="006F43E6"/>
    <w:rsid w:val="006F4497"/>
    <w:rsid w:val="006F4514"/>
    <w:rsid w:val="006F4C1A"/>
    <w:rsid w:val="006F4CF6"/>
    <w:rsid w:val="006F4D3A"/>
    <w:rsid w:val="006F4D68"/>
    <w:rsid w:val="006F4E08"/>
    <w:rsid w:val="006F5395"/>
    <w:rsid w:val="006F6D28"/>
    <w:rsid w:val="006F73EF"/>
    <w:rsid w:val="006F7AB5"/>
    <w:rsid w:val="006F7DB5"/>
    <w:rsid w:val="006F7EDA"/>
    <w:rsid w:val="006F7F3D"/>
    <w:rsid w:val="006F7FC5"/>
    <w:rsid w:val="00700BC8"/>
    <w:rsid w:val="007011C8"/>
    <w:rsid w:val="007021C8"/>
    <w:rsid w:val="00702451"/>
    <w:rsid w:val="007028E5"/>
    <w:rsid w:val="007028F3"/>
    <w:rsid w:val="007029FD"/>
    <w:rsid w:val="00703014"/>
    <w:rsid w:val="00703682"/>
    <w:rsid w:val="00703746"/>
    <w:rsid w:val="00703C23"/>
    <w:rsid w:val="00704293"/>
    <w:rsid w:val="00705350"/>
    <w:rsid w:val="00705692"/>
    <w:rsid w:val="00705A37"/>
    <w:rsid w:val="00705E14"/>
    <w:rsid w:val="00706068"/>
    <w:rsid w:val="0070628C"/>
    <w:rsid w:val="00706CD5"/>
    <w:rsid w:val="00707BB8"/>
    <w:rsid w:val="00707D90"/>
    <w:rsid w:val="0071032E"/>
    <w:rsid w:val="007103C5"/>
    <w:rsid w:val="00711078"/>
    <w:rsid w:val="00711F19"/>
    <w:rsid w:val="007134A2"/>
    <w:rsid w:val="00714338"/>
    <w:rsid w:val="00714AEF"/>
    <w:rsid w:val="007151BA"/>
    <w:rsid w:val="007154D0"/>
    <w:rsid w:val="00715D90"/>
    <w:rsid w:val="007168CF"/>
    <w:rsid w:val="007179CF"/>
    <w:rsid w:val="00717AA2"/>
    <w:rsid w:val="00717B9E"/>
    <w:rsid w:val="0072034D"/>
    <w:rsid w:val="007204E0"/>
    <w:rsid w:val="00720F0C"/>
    <w:rsid w:val="00721A2E"/>
    <w:rsid w:val="007225A4"/>
    <w:rsid w:val="00722BFE"/>
    <w:rsid w:val="007248BB"/>
    <w:rsid w:val="00726DED"/>
    <w:rsid w:val="00727696"/>
    <w:rsid w:val="00730492"/>
    <w:rsid w:val="0073083B"/>
    <w:rsid w:val="007310C0"/>
    <w:rsid w:val="007312AB"/>
    <w:rsid w:val="00731401"/>
    <w:rsid w:val="00731D0E"/>
    <w:rsid w:val="00732DB1"/>
    <w:rsid w:val="007337CA"/>
    <w:rsid w:val="00733A57"/>
    <w:rsid w:val="00733BDC"/>
    <w:rsid w:val="00733DC4"/>
    <w:rsid w:val="00734081"/>
    <w:rsid w:val="00734C54"/>
    <w:rsid w:val="0073519E"/>
    <w:rsid w:val="00735838"/>
    <w:rsid w:val="007376F7"/>
    <w:rsid w:val="00737F43"/>
    <w:rsid w:val="0074030C"/>
    <w:rsid w:val="007405CA"/>
    <w:rsid w:val="007410A5"/>
    <w:rsid w:val="00741921"/>
    <w:rsid w:val="00742721"/>
    <w:rsid w:val="007431E3"/>
    <w:rsid w:val="007433AF"/>
    <w:rsid w:val="00744063"/>
    <w:rsid w:val="007444F6"/>
    <w:rsid w:val="00744D67"/>
    <w:rsid w:val="00745C6A"/>
    <w:rsid w:val="00745D41"/>
    <w:rsid w:val="0074681B"/>
    <w:rsid w:val="00746F6A"/>
    <w:rsid w:val="0074705D"/>
    <w:rsid w:val="00747E3D"/>
    <w:rsid w:val="00747EEC"/>
    <w:rsid w:val="007509DB"/>
    <w:rsid w:val="00750A40"/>
    <w:rsid w:val="0075346C"/>
    <w:rsid w:val="0075395B"/>
    <w:rsid w:val="007546D5"/>
    <w:rsid w:val="00754BE0"/>
    <w:rsid w:val="0075647C"/>
    <w:rsid w:val="007601C7"/>
    <w:rsid w:val="00760750"/>
    <w:rsid w:val="00760DEC"/>
    <w:rsid w:val="007611A6"/>
    <w:rsid w:val="00762016"/>
    <w:rsid w:val="007636A7"/>
    <w:rsid w:val="0076436B"/>
    <w:rsid w:val="00764448"/>
    <w:rsid w:val="0076453C"/>
    <w:rsid w:val="00764CBC"/>
    <w:rsid w:val="007662BA"/>
    <w:rsid w:val="007662DF"/>
    <w:rsid w:val="00766703"/>
    <w:rsid w:val="007679D7"/>
    <w:rsid w:val="00767E81"/>
    <w:rsid w:val="007719C5"/>
    <w:rsid w:val="00771DA1"/>
    <w:rsid w:val="007723A5"/>
    <w:rsid w:val="007729CD"/>
    <w:rsid w:val="00773516"/>
    <w:rsid w:val="00773DB9"/>
    <w:rsid w:val="0077525A"/>
    <w:rsid w:val="00775C18"/>
    <w:rsid w:val="00775ECE"/>
    <w:rsid w:val="007775D7"/>
    <w:rsid w:val="00777795"/>
    <w:rsid w:val="00780034"/>
    <w:rsid w:val="00780138"/>
    <w:rsid w:val="0078072B"/>
    <w:rsid w:val="00780B59"/>
    <w:rsid w:val="00781010"/>
    <w:rsid w:val="0078104A"/>
    <w:rsid w:val="0078234B"/>
    <w:rsid w:val="00782945"/>
    <w:rsid w:val="00782C94"/>
    <w:rsid w:val="00783534"/>
    <w:rsid w:val="00783A4D"/>
    <w:rsid w:val="00784446"/>
    <w:rsid w:val="00784A87"/>
    <w:rsid w:val="00785372"/>
    <w:rsid w:val="00785C65"/>
    <w:rsid w:val="00785CEB"/>
    <w:rsid w:val="00786E2B"/>
    <w:rsid w:val="00787BD5"/>
    <w:rsid w:val="0079044B"/>
    <w:rsid w:val="007904D3"/>
    <w:rsid w:val="0079054B"/>
    <w:rsid w:val="00790A8D"/>
    <w:rsid w:val="007913F1"/>
    <w:rsid w:val="0079243C"/>
    <w:rsid w:val="0079279B"/>
    <w:rsid w:val="007928D0"/>
    <w:rsid w:val="007928E8"/>
    <w:rsid w:val="00792AF6"/>
    <w:rsid w:val="00792D6E"/>
    <w:rsid w:val="007931B1"/>
    <w:rsid w:val="00793FC3"/>
    <w:rsid w:val="007943F7"/>
    <w:rsid w:val="007952F7"/>
    <w:rsid w:val="007955FA"/>
    <w:rsid w:val="00795834"/>
    <w:rsid w:val="00795895"/>
    <w:rsid w:val="00795B77"/>
    <w:rsid w:val="00796F23"/>
    <w:rsid w:val="00797C69"/>
    <w:rsid w:val="00797EFA"/>
    <w:rsid w:val="007A13CC"/>
    <w:rsid w:val="007A1478"/>
    <w:rsid w:val="007A27D7"/>
    <w:rsid w:val="007A3025"/>
    <w:rsid w:val="007A36CE"/>
    <w:rsid w:val="007A486F"/>
    <w:rsid w:val="007A4CDB"/>
    <w:rsid w:val="007A6443"/>
    <w:rsid w:val="007A7E5C"/>
    <w:rsid w:val="007A7FB6"/>
    <w:rsid w:val="007B0861"/>
    <w:rsid w:val="007B1880"/>
    <w:rsid w:val="007B1D13"/>
    <w:rsid w:val="007B2482"/>
    <w:rsid w:val="007B26D0"/>
    <w:rsid w:val="007B2F84"/>
    <w:rsid w:val="007B2FBE"/>
    <w:rsid w:val="007B3E1D"/>
    <w:rsid w:val="007B42D5"/>
    <w:rsid w:val="007B53A6"/>
    <w:rsid w:val="007B54A9"/>
    <w:rsid w:val="007B5E43"/>
    <w:rsid w:val="007B6022"/>
    <w:rsid w:val="007B6285"/>
    <w:rsid w:val="007B6466"/>
    <w:rsid w:val="007B6C3C"/>
    <w:rsid w:val="007B6C67"/>
    <w:rsid w:val="007B73EE"/>
    <w:rsid w:val="007B7C0A"/>
    <w:rsid w:val="007C008F"/>
    <w:rsid w:val="007C0455"/>
    <w:rsid w:val="007C16FD"/>
    <w:rsid w:val="007C213A"/>
    <w:rsid w:val="007C2199"/>
    <w:rsid w:val="007C2E33"/>
    <w:rsid w:val="007C3E5F"/>
    <w:rsid w:val="007C5131"/>
    <w:rsid w:val="007C5AEA"/>
    <w:rsid w:val="007C65A2"/>
    <w:rsid w:val="007C6C7B"/>
    <w:rsid w:val="007C7A76"/>
    <w:rsid w:val="007D0510"/>
    <w:rsid w:val="007D10BC"/>
    <w:rsid w:val="007D140E"/>
    <w:rsid w:val="007D1BA7"/>
    <w:rsid w:val="007D1BFC"/>
    <w:rsid w:val="007D1C2C"/>
    <w:rsid w:val="007D2312"/>
    <w:rsid w:val="007D3242"/>
    <w:rsid w:val="007D46A5"/>
    <w:rsid w:val="007D4A6F"/>
    <w:rsid w:val="007D53C2"/>
    <w:rsid w:val="007D5F19"/>
    <w:rsid w:val="007D6B0A"/>
    <w:rsid w:val="007D6DB8"/>
    <w:rsid w:val="007D70D4"/>
    <w:rsid w:val="007D7569"/>
    <w:rsid w:val="007D75E3"/>
    <w:rsid w:val="007D7A07"/>
    <w:rsid w:val="007E0766"/>
    <w:rsid w:val="007E0A53"/>
    <w:rsid w:val="007E1761"/>
    <w:rsid w:val="007E2003"/>
    <w:rsid w:val="007E29A9"/>
    <w:rsid w:val="007E29D1"/>
    <w:rsid w:val="007E2E84"/>
    <w:rsid w:val="007E2FAC"/>
    <w:rsid w:val="007E334E"/>
    <w:rsid w:val="007E4055"/>
    <w:rsid w:val="007E4466"/>
    <w:rsid w:val="007E50B4"/>
    <w:rsid w:val="007E55DB"/>
    <w:rsid w:val="007E5769"/>
    <w:rsid w:val="007E7387"/>
    <w:rsid w:val="007F15F2"/>
    <w:rsid w:val="007F2D55"/>
    <w:rsid w:val="007F31A2"/>
    <w:rsid w:val="007F384B"/>
    <w:rsid w:val="007F4765"/>
    <w:rsid w:val="007F48E5"/>
    <w:rsid w:val="007F4EBC"/>
    <w:rsid w:val="007F50A9"/>
    <w:rsid w:val="007F7038"/>
    <w:rsid w:val="0080003A"/>
    <w:rsid w:val="008000A0"/>
    <w:rsid w:val="0080066F"/>
    <w:rsid w:val="008011E4"/>
    <w:rsid w:val="008018D4"/>
    <w:rsid w:val="00802016"/>
    <w:rsid w:val="008027DB"/>
    <w:rsid w:val="00802CD6"/>
    <w:rsid w:val="0080389E"/>
    <w:rsid w:val="00803FF4"/>
    <w:rsid w:val="0080433E"/>
    <w:rsid w:val="008065AF"/>
    <w:rsid w:val="008105A0"/>
    <w:rsid w:val="0081122E"/>
    <w:rsid w:val="0081162D"/>
    <w:rsid w:val="00811F3B"/>
    <w:rsid w:val="008130B8"/>
    <w:rsid w:val="008138B5"/>
    <w:rsid w:val="00814C1D"/>
    <w:rsid w:val="00815661"/>
    <w:rsid w:val="00815AA9"/>
    <w:rsid w:val="00815EDE"/>
    <w:rsid w:val="008160E7"/>
    <w:rsid w:val="00817098"/>
    <w:rsid w:val="0081717E"/>
    <w:rsid w:val="0081788F"/>
    <w:rsid w:val="0082009C"/>
    <w:rsid w:val="0082024C"/>
    <w:rsid w:val="008213FB"/>
    <w:rsid w:val="00822905"/>
    <w:rsid w:val="00824217"/>
    <w:rsid w:val="008251FB"/>
    <w:rsid w:val="00825835"/>
    <w:rsid w:val="0082597D"/>
    <w:rsid w:val="008269B1"/>
    <w:rsid w:val="00826B28"/>
    <w:rsid w:val="00827EFF"/>
    <w:rsid w:val="008306F0"/>
    <w:rsid w:val="008309D1"/>
    <w:rsid w:val="00830F61"/>
    <w:rsid w:val="008319CE"/>
    <w:rsid w:val="00832A67"/>
    <w:rsid w:val="00832E0A"/>
    <w:rsid w:val="00832E1C"/>
    <w:rsid w:val="00832F06"/>
    <w:rsid w:val="008331AD"/>
    <w:rsid w:val="00833DEE"/>
    <w:rsid w:val="00834094"/>
    <w:rsid w:val="008345BF"/>
    <w:rsid w:val="0083550A"/>
    <w:rsid w:val="00835BF9"/>
    <w:rsid w:val="0083631C"/>
    <w:rsid w:val="008366F1"/>
    <w:rsid w:val="00836D6D"/>
    <w:rsid w:val="00837B5D"/>
    <w:rsid w:val="0084079C"/>
    <w:rsid w:val="00840CDE"/>
    <w:rsid w:val="00841DCA"/>
    <w:rsid w:val="00841F55"/>
    <w:rsid w:val="008424DA"/>
    <w:rsid w:val="00842AE0"/>
    <w:rsid w:val="00843B62"/>
    <w:rsid w:val="00844093"/>
    <w:rsid w:val="00844D71"/>
    <w:rsid w:val="0084501C"/>
    <w:rsid w:val="00845058"/>
    <w:rsid w:val="008450D5"/>
    <w:rsid w:val="00845DD9"/>
    <w:rsid w:val="00846C23"/>
    <w:rsid w:val="00846E03"/>
    <w:rsid w:val="00847ADF"/>
    <w:rsid w:val="00847D68"/>
    <w:rsid w:val="00850324"/>
    <w:rsid w:val="00850631"/>
    <w:rsid w:val="008509D8"/>
    <w:rsid w:val="00850A3F"/>
    <w:rsid w:val="00850AB1"/>
    <w:rsid w:val="00850C62"/>
    <w:rsid w:val="008513CF"/>
    <w:rsid w:val="00851D87"/>
    <w:rsid w:val="00853088"/>
    <w:rsid w:val="00853429"/>
    <w:rsid w:val="00853A15"/>
    <w:rsid w:val="00853B18"/>
    <w:rsid w:val="00853D51"/>
    <w:rsid w:val="00853D5D"/>
    <w:rsid w:val="00856B09"/>
    <w:rsid w:val="00857C64"/>
    <w:rsid w:val="00860074"/>
    <w:rsid w:val="008614BD"/>
    <w:rsid w:val="00861873"/>
    <w:rsid w:val="0086279D"/>
    <w:rsid w:val="008629BB"/>
    <w:rsid w:val="00862C91"/>
    <w:rsid w:val="0086583F"/>
    <w:rsid w:val="00865DB5"/>
    <w:rsid w:val="00866944"/>
    <w:rsid w:val="00866C70"/>
    <w:rsid w:val="00866C90"/>
    <w:rsid w:val="0087097A"/>
    <w:rsid w:val="008712D2"/>
    <w:rsid w:val="0087143E"/>
    <w:rsid w:val="008722DD"/>
    <w:rsid w:val="00872723"/>
    <w:rsid w:val="008731ED"/>
    <w:rsid w:val="00873DCC"/>
    <w:rsid w:val="00874802"/>
    <w:rsid w:val="008748AC"/>
    <w:rsid w:val="008749D6"/>
    <w:rsid w:val="00875269"/>
    <w:rsid w:val="00875525"/>
    <w:rsid w:val="0087575B"/>
    <w:rsid w:val="00880450"/>
    <w:rsid w:val="008815DF"/>
    <w:rsid w:val="00881692"/>
    <w:rsid w:val="008818FF"/>
    <w:rsid w:val="00881913"/>
    <w:rsid w:val="00881B7C"/>
    <w:rsid w:val="00883CA0"/>
    <w:rsid w:val="008846C9"/>
    <w:rsid w:val="00885444"/>
    <w:rsid w:val="00885720"/>
    <w:rsid w:val="00885FD1"/>
    <w:rsid w:val="008866DE"/>
    <w:rsid w:val="0088729D"/>
    <w:rsid w:val="0088778D"/>
    <w:rsid w:val="008877A7"/>
    <w:rsid w:val="008877F1"/>
    <w:rsid w:val="00887B3B"/>
    <w:rsid w:val="00890BD8"/>
    <w:rsid w:val="0089268F"/>
    <w:rsid w:val="00892835"/>
    <w:rsid w:val="008929A9"/>
    <w:rsid w:val="008929B3"/>
    <w:rsid w:val="00892A70"/>
    <w:rsid w:val="008933EC"/>
    <w:rsid w:val="00893B37"/>
    <w:rsid w:val="0089420D"/>
    <w:rsid w:val="00896632"/>
    <w:rsid w:val="0089673B"/>
    <w:rsid w:val="00896E28"/>
    <w:rsid w:val="0089769D"/>
    <w:rsid w:val="0089796A"/>
    <w:rsid w:val="00897AB0"/>
    <w:rsid w:val="008A012F"/>
    <w:rsid w:val="008A0996"/>
    <w:rsid w:val="008A0F9D"/>
    <w:rsid w:val="008A14A4"/>
    <w:rsid w:val="008A1EDD"/>
    <w:rsid w:val="008A1F7A"/>
    <w:rsid w:val="008A27E0"/>
    <w:rsid w:val="008A2D2F"/>
    <w:rsid w:val="008A2FA7"/>
    <w:rsid w:val="008A41C3"/>
    <w:rsid w:val="008A499E"/>
    <w:rsid w:val="008A49AA"/>
    <w:rsid w:val="008A674B"/>
    <w:rsid w:val="008A7FBF"/>
    <w:rsid w:val="008B048C"/>
    <w:rsid w:val="008B067B"/>
    <w:rsid w:val="008B0822"/>
    <w:rsid w:val="008B114D"/>
    <w:rsid w:val="008B174C"/>
    <w:rsid w:val="008B176D"/>
    <w:rsid w:val="008B1BF2"/>
    <w:rsid w:val="008B1C3C"/>
    <w:rsid w:val="008B1E7C"/>
    <w:rsid w:val="008B2380"/>
    <w:rsid w:val="008B2A62"/>
    <w:rsid w:val="008B2BC4"/>
    <w:rsid w:val="008B2CBB"/>
    <w:rsid w:val="008B3310"/>
    <w:rsid w:val="008B3DFB"/>
    <w:rsid w:val="008B3EBA"/>
    <w:rsid w:val="008B40AD"/>
    <w:rsid w:val="008B48A8"/>
    <w:rsid w:val="008B5BD9"/>
    <w:rsid w:val="008B72CA"/>
    <w:rsid w:val="008B752F"/>
    <w:rsid w:val="008C07E6"/>
    <w:rsid w:val="008C0998"/>
    <w:rsid w:val="008C0AAD"/>
    <w:rsid w:val="008C0C39"/>
    <w:rsid w:val="008C1793"/>
    <w:rsid w:val="008C344D"/>
    <w:rsid w:val="008C37E8"/>
    <w:rsid w:val="008C54DE"/>
    <w:rsid w:val="008C5554"/>
    <w:rsid w:val="008C6180"/>
    <w:rsid w:val="008C68A9"/>
    <w:rsid w:val="008C7391"/>
    <w:rsid w:val="008C74A0"/>
    <w:rsid w:val="008D04C3"/>
    <w:rsid w:val="008D0885"/>
    <w:rsid w:val="008D08A7"/>
    <w:rsid w:val="008D0ECE"/>
    <w:rsid w:val="008D1FDA"/>
    <w:rsid w:val="008D347E"/>
    <w:rsid w:val="008D3BAB"/>
    <w:rsid w:val="008D451D"/>
    <w:rsid w:val="008D64D9"/>
    <w:rsid w:val="008D6A45"/>
    <w:rsid w:val="008D71EA"/>
    <w:rsid w:val="008D74A0"/>
    <w:rsid w:val="008D7553"/>
    <w:rsid w:val="008D78C3"/>
    <w:rsid w:val="008E0526"/>
    <w:rsid w:val="008E0CDA"/>
    <w:rsid w:val="008E11B5"/>
    <w:rsid w:val="008E18E5"/>
    <w:rsid w:val="008E19D4"/>
    <w:rsid w:val="008E2D96"/>
    <w:rsid w:val="008E2E1F"/>
    <w:rsid w:val="008E3C49"/>
    <w:rsid w:val="008E5FC0"/>
    <w:rsid w:val="008E607D"/>
    <w:rsid w:val="008E647C"/>
    <w:rsid w:val="008E6B09"/>
    <w:rsid w:val="008E6F4D"/>
    <w:rsid w:val="008E784B"/>
    <w:rsid w:val="008E7AB9"/>
    <w:rsid w:val="008E7BF8"/>
    <w:rsid w:val="008F0776"/>
    <w:rsid w:val="008F1B20"/>
    <w:rsid w:val="008F1D6F"/>
    <w:rsid w:val="008F3B1E"/>
    <w:rsid w:val="008F445B"/>
    <w:rsid w:val="008F4854"/>
    <w:rsid w:val="008F4A4E"/>
    <w:rsid w:val="008F4BA2"/>
    <w:rsid w:val="008F5580"/>
    <w:rsid w:val="008F560B"/>
    <w:rsid w:val="008F61B6"/>
    <w:rsid w:val="008F69C2"/>
    <w:rsid w:val="008F6B85"/>
    <w:rsid w:val="009014F2"/>
    <w:rsid w:val="00902765"/>
    <w:rsid w:val="009034E4"/>
    <w:rsid w:val="00904978"/>
    <w:rsid w:val="009053CF"/>
    <w:rsid w:val="00905793"/>
    <w:rsid w:val="00906D50"/>
    <w:rsid w:val="00906DC1"/>
    <w:rsid w:val="00906E53"/>
    <w:rsid w:val="0090714A"/>
    <w:rsid w:val="00907923"/>
    <w:rsid w:val="0091037A"/>
    <w:rsid w:val="0091052B"/>
    <w:rsid w:val="0091175E"/>
    <w:rsid w:val="00911D51"/>
    <w:rsid w:val="00912EDC"/>
    <w:rsid w:val="009136B8"/>
    <w:rsid w:val="0091373F"/>
    <w:rsid w:val="00913766"/>
    <w:rsid w:val="0091380B"/>
    <w:rsid w:val="00913CE6"/>
    <w:rsid w:val="00914434"/>
    <w:rsid w:val="00914B3C"/>
    <w:rsid w:val="0091522F"/>
    <w:rsid w:val="0091525E"/>
    <w:rsid w:val="009169D2"/>
    <w:rsid w:val="009170A8"/>
    <w:rsid w:val="00917A49"/>
    <w:rsid w:val="00917E9D"/>
    <w:rsid w:val="009201F2"/>
    <w:rsid w:val="00920232"/>
    <w:rsid w:val="00920D2F"/>
    <w:rsid w:val="00920F14"/>
    <w:rsid w:val="009213DF"/>
    <w:rsid w:val="00921AA7"/>
    <w:rsid w:val="0092285C"/>
    <w:rsid w:val="0092322A"/>
    <w:rsid w:val="00923437"/>
    <w:rsid w:val="00923947"/>
    <w:rsid w:val="00923B8B"/>
    <w:rsid w:val="00923E6C"/>
    <w:rsid w:val="0092505B"/>
    <w:rsid w:val="00925214"/>
    <w:rsid w:val="0092550E"/>
    <w:rsid w:val="00925BEA"/>
    <w:rsid w:val="00925D8B"/>
    <w:rsid w:val="00925FEF"/>
    <w:rsid w:val="0092639A"/>
    <w:rsid w:val="00926CC1"/>
    <w:rsid w:val="0092724E"/>
    <w:rsid w:val="009302B3"/>
    <w:rsid w:val="0093033F"/>
    <w:rsid w:val="0093052F"/>
    <w:rsid w:val="009317E8"/>
    <w:rsid w:val="00931BB2"/>
    <w:rsid w:val="0093315B"/>
    <w:rsid w:val="009338CF"/>
    <w:rsid w:val="00933D5A"/>
    <w:rsid w:val="00933E04"/>
    <w:rsid w:val="0093470D"/>
    <w:rsid w:val="00934742"/>
    <w:rsid w:val="00937039"/>
    <w:rsid w:val="00937138"/>
    <w:rsid w:val="0093761C"/>
    <w:rsid w:val="00940B13"/>
    <w:rsid w:val="00942037"/>
    <w:rsid w:val="00942D28"/>
    <w:rsid w:val="00943602"/>
    <w:rsid w:val="00944798"/>
    <w:rsid w:val="009448FB"/>
    <w:rsid w:val="00944E5B"/>
    <w:rsid w:val="00945B81"/>
    <w:rsid w:val="0094644E"/>
    <w:rsid w:val="00947A45"/>
    <w:rsid w:val="0095002B"/>
    <w:rsid w:val="00950177"/>
    <w:rsid w:val="009505FB"/>
    <w:rsid w:val="00950F0A"/>
    <w:rsid w:val="009510C4"/>
    <w:rsid w:val="009510E0"/>
    <w:rsid w:val="00951975"/>
    <w:rsid w:val="00951E49"/>
    <w:rsid w:val="0095220F"/>
    <w:rsid w:val="00953B65"/>
    <w:rsid w:val="00953D8F"/>
    <w:rsid w:val="009554A1"/>
    <w:rsid w:val="0095646A"/>
    <w:rsid w:val="009565D7"/>
    <w:rsid w:val="00956EC4"/>
    <w:rsid w:val="00957548"/>
    <w:rsid w:val="00957979"/>
    <w:rsid w:val="00960736"/>
    <w:rsid w:val="00961FD6"/>
    <w:rsid w:val="009623E1"/>
    <w:rsid w:val="00963FE6"/>
    <w:rsid w:val="00966AA2"/>
    <w:rsid w:val="00970BC9"/>
    <w:rsid w:val="009711FD"/>
    <w:rsid w:val="009713B1"/>
    <w:rsid w:val="00971598"/>
    <w:rsid w:val="0097172A"/>
    <w:rsid w:val="00972327"/>
    <w:rsid w:val="009728A4"/>
    <w:rsid w:val="00972D24"/>
    <w:rsid w:val="00972FC7"/>
    <w:rsid w:val="00973229"/>
    <w:rsid w:val="0097367F"/>
    <w:rsid w:val="00973BF7"/>
    <w:rsid w:val="00975848"/>
    <w:rsid w:val="00975A84"/>
    <w:rsid w:val="009765C3"/>
    <w:rsid w:val="009769F0"/>
    <w:rsid w:val="00977BC5"/>
    <w:rsid w:val="00977CA6"/>
    <w:rsid w:val="009800E8"/>
    <w:rsid w:val="0098014E"/>
    <w:rsid w:val="009808E8"/>
    <w:rsid w:val="00980FAA"/>
    <w:rsid w:val="00983017"/>
    <w:rsid w:val="00983688"/>
    <w:rsid w:val="00983716"/>
    <w:rsid w:val="0098416A"/>
    <w:rsid w:val="00984D5A"/>
    <w:rsid w:val="0098517D"/>
    <w:rsid w:val="009851A0"/>
    <w:rsid w:val="009854F7"/>
    <w:rsid w:val="009862FD"/>
    <w:rsid w:val="009866DB"/>
    <w:rsid w:val="00987572"/>
    <w:rsid w:val="00987FEF"/>
    <w:rsid w:val="0099030E"/>
    <w:rsid w:val="00990A67"/>
    <w:rsid w:val="00990CE7"/>
    <w:rsid w:val="00991DF5"/>
    <w:rsid w:val="009922E4"/>
    <w:rsid w:val="00993166"/>
    <w:rsid w:val="00993239"/>
    <w:rsid w:val="00993DE9"/>
    <w:rsid w:val="009941C9"/>
    <w:rsid w:val="0099507A"/>
    <w:rsid w:val="00995A77"/>
    <w:rsid w:val="0099723E"/>
    <w:rsid w:val="0099742F"/>
    <w:rsid w:val="00997F10"/>
    <w:rsid w:val="009A00CE"/>
    <w:rsid w:val="009A0224"/>
    <w:rsid w:val="009A132F"/>
    <w:rsid w:val="009A16D2"/>
    <w:rsid w:val="009A1AAD"/>
    <w:rsid w:val="009A1BC5"/>
    <w:rsid w:val="009A1FDB"/>
    <w:rsid w:val="009A22B3"/>
    <w:rsid w:val="009A2840"/>
    <w:rsid w:val="009A4774"/>
    <w:rsid w:val="009A4AA3"/>
    <w:rsid w:val="009A4E22"/>
    <w:rsid w:val="009A5200"/>
    <w:rsid w:val="009A5DDA"/>
    <w:rsid w:val="009A6200"/>
    <w:rsid w:val="009A6AE9"/>
    <w:rsid w:val="009A713E"/>
    <w:rsid w:val="009A764D"/>
    <w:rsid w:val="009B06EB"/>
    <w:rsid w:val="009B0753"/>
    <w:rsid w:val="009B09DA"/>
    <w:rsid w:val="009B0F58"/>
    <w:rsid w:val="009B11FD"/>
    <w:rsid w:val="009B22FE"/>
    <w:rsid w:val="009B288B"/>
    <w:rsid w:val="009B32AA"/>
    <w:rsid w:val="009B371B"/>
    <w:rsid w:val="009B3823"/>
    <w:rsid w:val="009B3FC8"/>
    <w:rsid w:val="009B5017"/>
    <w:rsid w:val="009B5449"/>
    <w:rsid w:val="009B694A"/>
    <w:rsid w:val="009B6D29"/>
    <w:rsid w:val="009B6DFA"/>
    <w:rsid w:val="009B6E9A"/>
    <w:rsid w:val="009B795E"/>
    <w:rsid w:val="009B7EB5"/>
    <w:rsid w:val="009C0407"/>
    <w:rsid w:val="009C15F9"/>
    <w:rsid w:val="009C1A36"/>
    <w:rsid w:val="009C1D82"/>
    <w:rsid w:val="009C2F6D"/>
    <w:rsid w:val="009C3229"/>
    <w:rsid w:val="009C3CBB"/>
    <w:rsid w:val="009C48EE"/>
    <w:rsid w:val="009C4B68"/>
    <w:rsid w:val="009C51FC"/>
    <w:rsid w:val="009C5D48"/>
    <w:rsid w:val="009C61AB"/>
    <w:rsid w:val="009C67BE"/>
    <w:rsid w:val="009C69FD"/>
    <w:rsid w:val="009C7228"/>
    <w:rsid w:val="009C74A8"/>
    <w:rsid w:val="009C794A"/>
    <w:rsid w:val="009D0186"/>
    <w:rsid w:val="009D06D9"/>
    <w:rsid w:val="009D0D15"/>
    <w:rsid w:val="009D1A50"/>
    <w:rsid w:val="009D1B6A"/>
    <w:rsid w:val="009D2B24"/>
    <w:rsid w:val="009D3002"/>
    <w:rsid w:val="009D37A0"/>
    <w:rsid w:val="009D4108"/>
    <w:rsid w:val="009D5488"/>
    <w:rsid w:val="009D61D3"/>
    <w:rsid w:val="009E07FB"/>
    <w:rsid w:val="009E0A0C"/>
    <w:rsid w:val="009E0C31"/>
    <w:rsid w:val="009E0C3E"/>
    <w:rsid w:val="009E0E6D"/>
    <w:rsid w:val="009E0F38"/>
    <w:rsid w:val="009E0FB1"/>
    <w:rsid w:val="009E34DA"/>
    <w:rsid w:val="009E3C09"/>
    <w:rsid w:val="009E3ED8"/>
    <w:rsid w:val="009E4341"/>
    <w:rsid w:val="009E4876"/>
    <w:rsid w:val="009E5310"/>
    <w:rsid w:val="009E58FF"/>
    <w:rsid w:val="009E6221"/>
    <w:rsid w:val="009E625F"/>
    <w:rsid w:val="009E6702"/>
    <w:rsid w:val="009E6786"/>
    <w:rsid w:val="009E780E"/>
    <w:rsid w:val="009F05EF"/>
    <w:rsid w:val="009F080D"/>
    <w:rsid w:val="009F0BB9"/>
    <w:rsid w:val="009F0E1E"/>
    <w:rsid w:val="009F128C"/>
    <w:rsid w:val="009F1599"/>
    <w:rsid w:val="009F1B28"/>
    <w:rsid w:val="009F1C88"/>
    <w:rsid w:val="009F2542"/>
    <w:rsid w:val="009F3534"/>
    <w:rsid w:val="009F3B4F"/>
    <w:rsid w:val="009F4281"/>
    <w:rsid w:val="009F48BA"/>
    <w:rsid w:val="009F4DE6"/>
    <w:rsid w:val="009F4EE3"/>
    <w:rsid w:val="009F51EF"/>
    <w:rsid w:val="009F5EB8"/>
    <w:rsid w:val="009F68CE"/>
    <w:rsid w:val="009F6C5C"/>
    <w:rsid w:val="009F6D08"/>
    <w:rsid w:val="009F736F"/>
    <w:rsid w:val="009F7C06"/>
    <w:rsid w:val="00A02FFA"/>
    <w:rsid w:val="00A037D7"/>
    <w:rsid w:val="00A03E43"/>
    <w:rsid w:val="00A04109"/>
    <w:rsid w:val="00A0593C"/>
    <w:rsid w:val="00A06452"/>
    <w:rsid w:val="00A10E06"/>
    <w:rsid w:val="00A10F06"/>
    <w:rsid w:val="00A13600"/>
    <w:rsid w:val="00A14F3D"/>
    <w:rsid w:val="00A159D8"/>
    <w:rsid w:val="00A1703A"/>
    <w:rsid w:val="00A200CA"/>
    <w:rsid w:val="00A21143"/>
    <w:rsid w:val="00A21BBD"/>
    <w:rsid w:val="00A220A2"/>
    <w:rsid w:val="00A22A07"/>
    <w:rsid w:val="00A243FD"/>
    <w:rsid w:val="00A244EE"/>
    <w:rsid w:val="00A24834"/>
    <w:rsid w:val="00A24917"/>
    <w:rsid w:val="00A24995"/>
    <w:rsid w:val="00A25213"/>
    <w:rsid w:val="00A2634B"/>
    <w:rsid w:val="00A2694D"/>
    <w:rsid w:val="00A27850"/>
    <w:rsid w:val="00A27D5A"/>
    <w:rsid w:val="00A3181A"/>
    <w:rsid w:val="00A3196E"/>
    <w:rsid w:val="00A31CE8"/>
    <w:rsid w:val="00A3272C"/>
    <w:rsid w:val="00A3550A"/>
    <w:rsid w:val="00A36A78"/>
    <w:rsid w:val="00A36C2B"/>
    <w:rsid w:val="00A3731A"/>
    <w:rsid w:val="00A374A1"/>
    <w:rsid w:val="00A37C58"/>
    <w:rsid w:val="00A403FE"/>
    <w:rsid w:val="00A40439"/>
    <w:rsid w:val="00A40D18"/>
    <w:rsid w:val="00A4130D"/>
    <w:rsid w:val="00A42011"/>
    <w:rsid w:val="00A42D04"/>
    <w:rsid w:val="00A440EE"/>
    <w:rsid w:val="00A44121"/>
    <w:rsid w:val="00A44717"/>
    <w:rsid w:val="00A44A20"/>
    <w:rsid w:val="00A450EF"/>
    <w:rsid w:val="00A45A69"/>
    <w:rsid w:val="00A46854"/>
    <w:rsid w:val="00A4691C"/>
    <w:rsid w:val="00A4721A"/>
    <w:rsid w:val="00A47550"/>
    <w:rsid w:val="00A47C17"/>
    <w:rsid w:val="00A50800"/>
    <w:rsid w:val="00A53202"/>
    <w:rsid w:val="00A54DD2"/>
    <w:rsid w:val="00A55667"/>
    <w:rsid w:val="00A55A5E"/>
    <w:rsid w:val="00A55B68"/>
    <w:rsid w:val="00A5659B"/>
    <w:rsid w:val="00A56941"/>
    <w:rsid w:val="00A573B5"/>
    <w:rsid w:val="00A574B0"/>
    <w:rsid w:val="00A57FDB"/>
    <w:rsid w:val="00A60426"/>
    <w:rsid w:val="00A605E0"/>
    <w:rsid w:val="00A60A1A"/>
    <w:rsid w:val="00A60C45"/>
    <w:rsid w:val="00A61349"/>
    <w:rsid w:val="00A618EC"/>
    <w:rsid w:val="00A62046"/>
    <w:rsid w:val="00A6251E"/>
    <w:rsid w:val="00A62604"/>
    <w:rsid w:val="00A63236"/>
    <w:rsid w:val="00A64034"/>
    <w:rsid w:val="00A6447C"/>
    <w:rsid w:val="00A65AB6"/>
    <w:rsid w:val="00A65F6D"/>
    <w:rsid w:val="00A65FA7"/>
    <w:rsid w:val="00A66601"/>
    <w:rsid w:val="00A66AA0"/>
    <w:rsid w:val="00A66E0B"/>
    <w:rsid w:val="00A67CEE"/>
    <w:rsid w:val="00A70ED3"/>
    <w:rsid w:val="00A71027"/>
    <w:rsid w:val="00A71346"/>
    <w:rsid w:val="00A713C4"/>
    <w:rsid w:val="00A73E6A"/>
    <w:rsid w:val="00A74015"/>
    <w:rsid w:val="00A7431B"/>
    <w:rsid w:val="00A74394"/>
    <w:rsid w:val="00A74FCF"/>
    <w:rsid w:val="00A7547A"/>
    <w:rsid w:val="00A75839"/>
    <w:rsid w:val="00A75880"/>
    <w:rsid w:val="00A758B7"/>
    <w:rsid w:val="00A76A09"/>
    <w:rsid w:val="00A80BBD"/>
    <w:rsid w:val="00A80F31"/>
    <w:rsid w:val="00A81237"/>
    <w:rsid w:val="00A81D5B"/>
    <w:rsid w:val="00A821A6"/>
    <w:rsid w:val="00A82A87"/>
    <w:rsid w:val="00A83FE9"/>
    <w:rsid w:val="00A84847"/>
    <w:rsid w:val="00A8583D"/>
    <w:rsid w:val="00A86220"/>
    <w:rsid w:val="00A86F25"/>
    <w:rsid w:val="00A87327"/>
    <w:rsid w:val="00A873B7"/>
    <w:rsid w:val="00A9062F"/>
    <w:rsid w:val="00A90644"/>
    <w:rsid w:val="00A90660"/>
    <w:rsid w:val="00A91A00"/>
    <w:rsid w:val="00A91DCA"/>
    <w:rsid w:val="00A92341"/>
    <w:rsid w:val="00A93059"/>
    <w:rsid w:val="00A95193"/>
    <w:rsid w:val="00A9580B"/>
    <w:rsid w:val="00A96A6F"/>
    <w:rsid w:val="00A96A8D"/>
    <w:rsid w:val="00A97B6D"/>
    <w:rsid w:val="00A97E86"/>
    <w:rsid w:val="00A97E94"/>
    <w:rsid w:val="00AA0331"/>
    <w:rsid w:val="00AA0DD6"/>
    <w:rsid w:val="00AA1ACB"/>
    <w:rsid w:val="00AA1EA8"/>
    <w:rsid w:val="00AA1FBE"/>
    <w:rsid w:val="00AA36B2"/>
    <w:rsid w:val="00AA3805"/>
    <w:rsid w:val="00AA3B00"/>
    <w:rsid w:val="00AA49A9"/>
    <w:rsid w:val="00AA62F3"/>
    <w:rsid w:val="00AA6A1D"/>
    <w:rsid w:val="00AB01B6"/>
    <w:rsid w:val="00AB02D2"/>
    <w:rsid w:val="00AB0861"/>
    <w:rsid w:val="00AB186F"/>
    <w:rsid w:val="00AB2236"/>
    <w:rsid w:val="00AB3269"/>
    <w:rsid w:val="00AB33BF"/>
    <w:rsid w:val="00AB3D1A"/>
    <w:rsid w:val="00AB3FA8"/>
    <w:rsid w:val="00AB48EE"/>
    <w:rsid w:val="00AB4C01"/>
    <w:rsid w:val="00AB4E2B"/>
    <w:rsid w:val="00AB537D"/>
    <w:rsid w:val="00AB5712"/>
    <w:rsid w:val="00AB668B"/>
    <w:rsid w:val="00AB7536"/>
    <w:rsid w:val="00AB7A2C"/>
    <w:rsid w:val="00AC17BB"/>
    <w:rsid w:val="00AC1CA4"/>
    <w:rsid w:val="00AC227A"/>
    <w:rsid w:val="00AC2442"/>
    <w:rsid w:val="00AC2C04"/>
    <w:rsid w:val="00AC332F"/>
    <w:rsid w:val="00AC4A14"/>
    <w:rsid w:val="00AC6C61"/>
    <w:rsid w:val="00AC6D49"/>
    <w:rsid w:val="00AC73C8"/>
    <w:rsid w:val="00AC7632"/>
    <w:rsid w:val="00AC7ACC"/>
    <w:rsid w:val="00AC7CB0"/>
    <w:rsid w:val="00AD1261"/>
    <w:rsid w:val="00AD1335"/>
    <w:rsid w:val="00AD137C"/>
    <w:rsid w:val="00AD175C"/>
    <w:rsid w:val="00AD26D1"/>
    <w:rsid w:val="00AD2BB5"/>
    <w:rsid w:val="00AD3D56"/>
    <w:rsid w:val="00AD416F"/>
    <w:rsid w:val="00AD5126"/>
    <w:rsid w:val="00AD5593"/>
    <w:rsid w:val="00AD689C"/>
    <w:rsid w:val="00AD6D3A"/>
    <w:rsid w:val="00AE0038"/>
    <w:rsid w:val="00AE0504"/>
    <w:rsid w:val="00AE0B7F"/>
    <w:rsid w:val="00AE0C74"/>
    <w:rsid w:val="00AE0EDC"/>
    <w:rsid w:val="00AE178D"/>
    <w:rsid w:val="00AE1F98"/>
    <w:rsid w:val="00AE274A"/>
    <w:rsid w:val="00AE28C7"/>
    <w:rsid w:val="00AE2BCB"/>
    <w:rsid w:val="00AE2C79"/>
    <w:rsid w:val="00AE2CB2"/>
    <w:rsid w:val="00AE2EED"/>
    <w:rsid w:val="00AE2F0E"/>
    <w:rsid w:val="00AE3201"/>
    <w:rsid w:val="00AE3C48"/>
    <w:rsid w:val="00AE4FAA"/>
    <w:rsid w:val="00AE57F4"/>
    <w:rsid w:val="00AE68A3"/>
    <w:rsid w:val="00AE6C61"/>
    <w:rsid w:val="00AE75B8"/>
    <w:rsid w:val="00AF01F8"/>
    <w:rsid w:val="00AF0453"/>
    <w:rsid w:val="00AF0611"/>
    <w:rsid w:val="00AF09BB"/>
    <w:rsid w:val="00AF102D"/>
    <w:rsid w:val="00AF15E6"/>
    <w:rsid w:val="00AF352B"/>
    <w:rsid w:val="00AF376F"/>
    <w:rsid w:val="00AF416D"/>
    <w:rsid w:val="00AF5872"/>
    <w:rsid w:val="00AF5BC4"/>
    <w:rsid w:val="00AF6602"/>
    <w:rsid w:val="00AF6674"/>
    <w:rsid w:val="00AF6DC3"/>
    <w:rsid w:val="00B016B9"/>
    <w:rsid w:val="00B01C22"/>
    <w:rsid w:val="00B02C17"/>
    <w:rsid w:val="00B03004"/>
    <w:rsid w:val="00B05AB9"/>
    <w:rsid w:val="00B1031C"/>
    <w:rsid w:val="00B109E5"/>
    <w:rsid w:val="00B11812"/>
    <w:rsid w:val="00B11E43"/>
    <w:rsid w:val="00B12F80"/>
    <w:rsid w:val="00B131A7"/>
    <w:rsid w:val="00B13501"/>
    <w:rsid w:val="00B13EB6"/>
    <w:rsid w:val="00B140B9"/>
    <w:rsid w:val="00B15795"/>
    <w:rsid w:val="00B1670C"/>
    <w:rsid w:val="00B172FB"/>
    <w:rsid w:val="00B17BC7"/>
    <w:rsid w:val="00B21589"/>
    <w:rsid w:val="00B22310"/>
    <w:rsid w:val="00B22460"/>
    <w:rsid w:val="00B22517"/>
    <w:rsid w:val="00B22BAD"/>
    <w:rsid w:val="00B22FC3"/>
    <w:rsid w:val="00B2300D"/>
    <w:rsid w:val="00B230FD"/>
    <w:rsid w:val="00B23523"/>
    <w:rsid w:val="00B2356B"/>
    <w:rsid w:val="00B23A48"/>
    <w:rsid w:val="00B23B85"/>
    <w:rsid w:val="00B269F6"/>
    <w:rsid w:val="00B26BB3"/>
    <w:rsid w:val="00B26E5F"/>
    <w:rsid w:val="00B271E9"/>
    <w:rsid w:val="00B27918"/>
    <w:rsid w:val="00B309EE"/>
    <w:rsid w:val="00B30A22"/>
    <w:rsid w:val="00B31874"/>
    <w:rsid w:val="00B32AA7"/>
    <w:rsid w:val="00B33526"/>
    <w:rsid w:val="00B349C7"/>
    <w:rsid w:val="00B34B80"/>
    <w:rsid w:val="00B35D1E"/>
    <w:rsid w:val="00B3683E"/>
    <w:rsid w:val="00B40356"/>
    <w:rsid w:val="00B41203"/>
    <w:rsid w:val="00B41803"/>
    <w:rsid w:val="00B41D5D"/>
    <w:rsid w:val="00B42040"/>
    <w:rsid w:val="00B42CF5"/>
    <w:rsid w:val="00B43102"/>
    <w:rsid w:val="00B439E4"/>
    <w:rsid w:val="00B43E97"/>
    <w:rsid w:val="00B44293"/>
    <w:rsid w:val="00B44CFB"/>
    <w:rsid w:val="00B45926"/>
    <w:rsid w:val="00B503CD"/>
    <w:rsid w:val="00B507CE"/>
    <w:rsid w:val="00B5088B"/>
    <w:rsid w:val="00B511D5"/>
    <w:rsid w:val="00B51C8F"/>
    <w:rsid w:val="00B5282A"/>
    <w:rsid w:val="00B53328"/>
    <w:rsid w:val="00B53789"/>
    <w:rsid w:val="00B5449F"/>
    <w:rsid w:val="00B54BCD"/>
    <w:rsid w:val="00B551CF"/>
    <w:rsid w:val="00B55AD5"/>
    <w:rsid w:val="00B55CA7"/>
    <w:rsid w:val="00B55DD0"/>
    <w:rsid w:val="00B56690"/>
    <w:rsid w:val="00B56C72"/>
    <w:rsid w:val="00B5796D"/>
    <w:rsid w:val="00B57A8D"/>
    <w:rsid w:val="00B60093"/>
    <w:rsid w:val="00B60370"/>
    <w:rsid w:val="00B6097F"/>
    <w:rsid w:val="00B61577"/>
    <w:rsid w:val="00B61BF0"/>
    <w:rsid w:val="00B628BA"/>
    <w:rsid w:val="00B629E9"/>
    <w:rsid w:val="00B62C8F"/>
    <w:rsid w:val="00B639CA"/>
    <w:rsid w:val="00B64112"/>
    <w:rsid w:val="00B64B3C"/>
    <w:rsid w:val="00B64CC5"/>
    <w:rsid w:val="00B6503A"/>
    <w:rsid w:val="00B6606F"/>
    <w:rsid w:val="00B67854"/>
    <w:rsid w:val="00B67BA9"/>
    <w:rsid w:val="00B67F01"/>
    <w:rsid w:val="00B67FF0"/>
    <w:rsid w:val="00B70252"/>
    <w:rsid w:val="00B7026B"/>
    <w:rsid w:val="00B715D0"/>
    <w:rsid w:val="00B71B20"/>
    <w:rsid w:val="00B71FA5"/>
    <w:rsid w:val="00B72E23"/>
    <w:rsid w:val="00B72E73"/>
    <w:rsid w:val="00B7389D"/>
    <w:rsid w:val="00B75497"/>
    <w:rsid w:val="00B75B92"/>
    <w:rsid w:val="00B76761"/>
    <w:rsid w:val="00B769D9"/>
    <w:rsid w:val="00B76ABE"/>
    <w:rsid w:val="00B7725D"/>
    <w:rsid w:val="00B8000C"/>
    <w:rsid w:val="00B8160C"/>
    <w:rsid w:val="00B82510"/>
    <w:rsid w:val="00B82D55"/>
    <w:rsid w:val="00B84361"/>
    <w:rsid w:val="00B843A9"/>
    <w:rsid w:val="00B849FC"/>
    <w:rsid w:val="00B84A9F"/>
    <w:rsid w:val="00B85146"/>
    <w:rsid w:val="00B85D7F"/>
    <w:rsid w:val="00B87E12"/>
    <w:rsid w:val="00B91153"/>
    <w:rsid w:val="00B91171"/>
    <w:rsid w:val="00B912A4"/>
    <w:rsid w:val="00B91372"/>
    <w:rsid w:val="00B913D7"/>
    <w:rsid w:val="00B9143C"/>
    <w:rsid w:val="00B916D6"/>
    <w:rsid w:val="00B91B6B"/>
    <w:rsid w:val="00B9213F"/>
    <w:rsid w:val="00B92FFF"/>
    <w:rsid w:val="00B93126"/>
    <w:rsid w:val="00B934F4"/>
    <w:rsid w:val="00B93848"/>
    <w:rsid w:val="00B941DE"/>
    <w:rsid w:val="00B95208"/>
    <w:rsid w:val="00B95782"/>
    <w:rsid w:val="00B96150"/>
    <w:rsid w:val="00B964D7"/>
    <w:rsid w:val="00B968D6"/>
    <w:rsid w:val="00B9696E"/>
    <w:rsid w:val="00B96E07"/>
    <w:rsid w:val="00B97757"/>
    <w:rsid w:val="00BA21AA"/>
    <w:rsid w:val="00BA2A9E"/>
    <w:rsid w:val="00BA2EC7"/>
    <w:rsid w:val="00BA318D"/>
    <w:rsid w:val="00BA3E62"/>
    <w:rsid w:val="00BA3FBA"/>
    <w:rsid w:val="00BA4A4C"/>
    <w:rsid w:val="00BA4E56"/>
    <w:rsid w:val="00BA575B"/>
    <w:rsid w:val="00BA5A3F"/>
    <w:rsid w:val="00BA6E71"/>
    <w:rsid w:val="00BA7105"/>
    <w:rsid w:val="00BA7965"/>
    <w:rsid w:val="00BB00B1"/>
    <w:rsid w:val="00BB02BA"/>
    <w:rsid w:val="00BB0434"/>
    <w:rsid w:val="00BB093A"/>
    <w:rsid w:val="00BB168D"/>
    <w:rsid w:val="00BB1986"/>
    <w:rsid w:val="00BB19D8"/>
    <w:rsid w:val="00BB4068"/>
    <w:rsid w:val="00BB46A3"/>
    <w:rsid w:val="00BB7AA4"/>
    <w:rsid w:val="00BC0049"/>
    <w:rsid w:val="00BC12CE"/>
    <w:rsid w:val="00BC1C25"/>
    <w:rsid w:val="00BC268A"/>
    <w:rsid w:val="00BC2FF7"/>
    <w:rsid w:val="00BC3332"/>
    <w:rsid w:val="00BC5E34"/>
    <w:rsid w:val="00BC67FF"/>
    <w:rsid w:val="00BC73B4"/>
    <w:rsid w:val="00BC7979"/>
    <w:rsid w:val="00BD047D"/>
    <w:rsid w:val="00BD0A65"/>
    <w:rsid w:val="00BD1077"/>
    <w:rsid w:val="00BD276D"/>
    <w:rsid w:val="00BD2A5A"/>
    <w:rsid w:val="00BD37D6"/>
    <w:rsid w:val="00BD3B9A"/>
    <w:rsid w:val="00BD3D9B"/>
    <w:rsid w:val="00BD4D00"/>
    <w:rsid w:val="00BD50FE"/>
    <w:rsid w:val="00BD5C58"/>
    <w:rsid w:val="00BD6A04"/>
    <w:rsid w:val="00BD6EB8"/>
    <w:rsid w:val="00BD7914"/>
    <w:rsid w:val="00BE0123"/>
    <w:rsid w:val="00BE0372"/>
    <w:rsid w:val="00BE081B"/>
    <w:rsid w:val="00BE1F27"/>
    <w:rsid w:val="00BE2CBC"/>
    <w:rsid w:val="00BE3EAD"/>
    <w:rsid w:val="00BE4498"/>
    <w:rsid w:val="00BE5283"/>
    <w:rsid w:val="00BE571D"/>
    <w:rsid w:val="00BE5F90"/>
    <w:rsid w:val="00BE6A49"/>
    <w:rsid w:val="00BF008C"/>
    <w:rsid w:val="00BF0177"/>
    <w:rsid w:val="00BF02B8"/>
    <w:rsid w:val="00BF0B54"/>
    <w:rsid w:val="00BF0BF0"/>
    <w:rsid w:val="00BF14DA"/>
    <w:rsid w:val="00BF187A"/>
    <w:rsid w:val="00BF19D8"/>
    <w:rsid w:val="00BF21C9"/>
    <w:rsid w:val="00BF239D"/>
    <w:rsid w:val="00BF2559"/>
    <w:rsid w:val="00BF38AA"/>
    <w:rsid w:val="00BF4419"/>
    <w:rsid w:val="00BF4B06"/>
    <w:rsid w:val="00BF5156"/>
    <w:rsid w:val="00BF681D"/>
    <w:rsid w:val="00BF685B"/>
    <w:rsid w:val="00BF68BF"/>
    <w:rsid w:val="00BF7480"/>
    <w:rsid w:val="00BF77EE"/>
    <w:rsid w:val="00BF7C70"/>
    <w:rsid w:val="00C00100"/>
    <w:rsid w:val="00C01577"/>
    <w:rsid w:val="00C022F4"/>
    <w:rsid w:val="00C025B6"/>
    <w:rsid w:val="00C0273F"/>
    <w:rsid w:val="00C02B54"/>
    <w:rsid w:val="00C033DA"/>
    <w:rsid w:val="00C034CF"/>
    <w:rsid w:val="00C03C2F"/>
    <w:rsid w:val="00C03F5D"/>
    <w:rsid w:val="00C0548E"/>
    <w:rsid w:val="00C06A50"/>
    <w:rsid w:val="00C06B32"/>
    <w:rsid w:val="00C06E27"/>
    <w:rsid w:val="00C06EB8"/>
    <w:rsid w:val="00C078C8"/>
    <w:rsid w:val="00C079FE"/>
    <w:rsid w:val="00C07B06"/>
    <w:rsid w:val="00C108AC"/>
    <w:rsid w:val="00C1096B"/>
    <w:rsid w:val="00C10A78"/>
    <w:rsid w:val="00C112F6"/>
    <w:rsid w:val="00C11AA8"/>
    <w:rsid w:val="00C12B3F"/>
    <w:rsid w:val="00C12D4D"/>
    <w:rsid w:val="00C13A2E"/>
    <w:rsid w:val="00C142CF"/>
    <w:rsid w:val="00C14315"/>
    <w:rsid w:val="00C14945"/>
    <w:rsid w:val="00C17DCF"/>
    <w:rsid w:val="00C17EE1"/>
    <w:rsid w:val="00C20278"/>
    <w:rsid w:val="00C20CF3"/>
    <w:rsid w:val="00C222ED"/>
    <w:rsid w:val="00C22D1F"/>
    <w:rsid w:val="00C235BA"/>
    <w:rsid w:val="00C23E73"/>
    <w:rsid w:val="00C241C3"/>
    <w:rsid w:val="00C24C6A"/>
    <w:rsid w:val="00C2572F"/>
    <w:rsid w:val="00C25BF3"/>
    <w:rsid w:val="00C27439"/>
    <w:rsid w:val="00C27D18"/>
    <w:rsid w:val="00C30535"/>
    <w:rsid w:val="00C30663"/>
    <w:rsid w:val="00C31DAF"/>
    <w:rsid w:val="00C3291E"/>
    <w:rsid w:val="00C32ED9"/>
    <w:rsid w:val="00C330AF"/>
    <w:rsid w:val="00C353DF"/>
    <w:rsid w:val="00C3617D"/>
    <w:rsid w:val="00C36C32"/>
    <w:rsid w:val="00C36D3B"/>
    <w:rsid w:val="00C37A70"/>
    <w:rsid w:val="00C37D2D"/>
    <w:rsid w:val="00C40478"/>
    <w:rsid w:val="00C41053"/>
    <w:rsid w:val="00C42331"/>
    <w:rsid w:val="00C4288B"/>
    <w:rsid w:val="00C42C1D"/>
    <w:rsid w:val="00C430D6"/>
    <w:rsid w:val="00C43E71"/>
    <w:rsid w:val="00C43FDA"/>
    <w:rsid w:val="00C44AEE"/>
    <w:rsid w:val="00C44CC1"/>
    <w:rsid w:val="00C44CEA"/>
    <w:rsid w:val="00C456F8"/>
    <w:rsid w:val="00C50761"/>
    <w:rsid w:val="00C50989"/>
    <w:rsid w:val="00C50E06"/>
    <w:rsid w:val="00C50F18"/>
    <w:rsid w:val="00C51A09"/>
    <w:rsid w:val="00C51BA7"/>
    <w:rsid w:val="00C51DCA"/>
    <w:rsid w:val="00C5249E"/>
    <w:rsid w:val="00C52884"/>
    <w:rsid w:val="00C53611"/>
    <w:rsid w:val="00C55650"/>
    <w:rsid w:val="00C55A4F"/>
    <w:rsid w:val="00C55D18"/>
    <w:rsid w:val="00C56AA8"/>
    <w:rsid w:val="00C56F6D"/>
    <w:rsid w:val="00C5765F"/>
    <w:rsid w:val="00C57D37"/>
    <w:rsid w:val="00C60794"/>
    <w:rsid w:val="00C60BEF"/>
    <w:rsid w:val="00C6160B"/>
    <w:rsid w:val="00C61615"/>
    <w:rsid w:val="00C61C08"/>
    <w:rsid w:val="00C61DF1"/>
    <w:rsid w:val="00C629DC"/>
    <w:rsid w:val="00C62A9D"/>
    <w:rsid w:val="00C63248"/>
    <w:rsid w:val="00C635AD"/>
    <w:rsid w:val="00C636C2"/>
    <w:rsid w:val="00C63944"/>
    <w:rsid w:val="00C6395C"/>
    <w:rsid w:val="00C63BDF"/>
    <w:rsid w:val="00C645C8"/>
    <w:rsid w:val="00C65387"/>
    <w:rsid w:val="00C65605"/>
    <w:rsid w:val="00C66289"/>
    <w:rsid w:val="00C664BE"/>
    <w:rsid w:val="00C666B2"/>
    <w:rsid w:val="00C67D4A"/>
    <w:rsid w:val="00C70764"/>
    <w:rsid w:val="00C71AC8"/>
    <w:rsid w:val="00C71BA7"/>
    <w:rsid w:val="00C72F24"/>
    <w:rsid w:val="00C731AF"/>
    <w:rsid w:val="00C73CC7"/>
    <w:rsid w:val="00C74357"/>
    <w:rsid w:val="00C7488E"/>
    <w:rsid w:val="00C748DD"/>
    <w:rsid w:val="00C74D58"/>
    <w:rsid w:val="00C7562D"/>
    <w:rsid w:val="00C75AB0"/>
    <w:rsid w:val="00C7628E"/>
    <w:rsid w:val="00C76C76"/>
    <w:rsid w:val="00C77043"/>
    <w:rsid w:val="00C77158"/>
    <w:rsid w:val="00C77693"/>
    <w:rsid w:val="00C77DE2"/>
    <w:rsid w:val="00C807CA"/>
    <w:rsid w:val="00C808D6"/>
    <w:rsid w:val="00C8188B"/>
    <w:rsid w:val="00C82B08"/>
    <w:rsid w:val="00C82CD2"/>
    <w:rsid w:val="00C83390"/>
    <w:rsid w:val="00C850F9"/>
    <w:rsid w:val="00C853AC"/>
    <w:rsid w:val="00C85585"/>
    <w:rsid w:val="00C85694"/>
    <w:rsid w:val="00C858F5"/>
    <w:rsid w:val="00C85F56"/>
    <w:rsid w:val="00C86110"/>
    <w:rsid w:val="00C86E8C"/>
    <w:rsid w:val="00C87225"/>
    <w:rsid w:val="00C872DE"/>
    <w:rsid w:val="00C8779D"/>
    <w:rsid w:val="00C87879"/>
    <w:rsid w:val="00C879E1"/>
    <w:rsid w:val="00C91BC3"/>
    <w:rsid w:val="00C91DD0"/>
    <w:rsid w:val="00C935C4"/>
    <w:rsid w:val="00C93C53"/>
    <w:rsid w:val="00C948EE"/>
    <w:rsid w:val="00C949F5"/>
    <w:rsid w:val="00C94B64"/>
    <w:rsid w:val="00C95142"/>
    <w:rsid w:val="00C95313"/>
    <w:rsid w:val="00C977CF"/>
    <w:rsid w:val="00CA069E"/>
    <w:rsid w:val="00CA1C4B"/>
    <w:rsid w:val="00CA22AD"/>
    <w:rsid w:val="00CA2529"/>
    <w:rsid w:val="00CA2A98"/>
    <w:rsid w:val="00CA2B26"/>
    <w:rsid w:val="00CA2B28"/>
    <w:rsid w:val="00CA2EBF"/>
    <w:rsid w:val="00CA308E"/>
    <w:rsid w:val="00CA3379"/>
    <w:rsid w:val="00CA4394"/>
    <w:rsid w:val="00CA48D2"/>
    <w:rsid w:val="00CA48EA"/>
    <w:rsid w:val="00CA4D04"/>
    <w:rsid w:val="00CA4FE6"/>
    <w:rsid w:val="00CA588C"/>
    <w:rsid w:val="00CA6CB2"/>
    <w:rsid w:val="00CA7A09"/>
    <w:rsid w:val="00CB03BF"/>
    <w:rsid w:val="00CB05AD"/>
    <w:rsid w:val="00CB19BC"/>
    <w:rsid w:val="00CB319C"/>
    <w:rsid w:val="00CB37C8"/>
    <w:rsid w:val="00CB3833"/>
    <w:rsid w:val="00CB409C"/>
    <w:rsid w:val="00CB447E"/>
    <w:rsid w:val="00CB464E"/>
    <w:rsid w:val="00CB4C18"/>
    <w:rsid w:val="00CB4D8E"/>
    <w:rsid w:val="00CC11A7"/>
    <w:rsid w:val="00CC1451"/>
    <w:rsid w:val="00CC204E"/>
    <w:rsid w:val="00CC259D"/>
    <w:rsid w:val="00CC29F6"/>
    <w:rsid w:val="00CC3926"/>
    <w:rsid w:val="00CC3C88"/>
    <w:rsid w:val="00CC40A2"/>
    <w:rsid w:val="00CC4165"/>
    <w:rsid w:val="00CC4C5B"/>
    <w:rsid w:val="00CC4FFE"/>
    <w:rsid w:val="00CC6091"/>
    <w:rsid w:val="00CC620C"/>
    <w:rsid w:val="00CC6476"/>
    <w:rsid w:val="00CC64B6"/>
    <w:rsid w:val="00CC66FC"/>
    <w:rsid w:val="00CC6761"/>
    <w:rsid w:val="00CC694C"/>
    <w:rsid w:val="00CC6C3D"/>
    <w:rsid w:val="00CC6DBF"/>
    <w:rsid w:val="00CC77CE"/>
    <w:rsid w:val="00CC7C1B"/>
    <w:rsid w:val="00CD1CCD"/>
    <w:rsid w:val="00CD1ED2"/>
    <w:rsid w:val="00CD2249"/>
    <w:rsid w:val="00CD2624"/>
    <w:rsid w:val="00CD44B5"/>
    <w:rsid w:val="00CD4846"/>
    <w:rsid w:val="00CD4C3D"/>
    <w:rsid w:val="00CD51F2"/>
    <w:rsid w:val="00CD68DD"/>
    <w:rsid w:val="00CD6AC6"/>
    <w:rsid w:val="00CD781C"/>
    <w:rsid w:val="00CD7D39"/>
    <w:rsid w:val="00CD7F92"/>
    <w:rsid w:val="00CE0066"/>
    <w:rsid w:val="00CE00EF"/>
    <w:rsid w:val="00CE0201"/>
    <w:rsid w:val="00CE0B08"/>
    <w:rsid w:val="00CE2E6B"/>
    <w:rsid w:val="00CE319F"/>
    <w:rsid w:val="00CE329A"/>
    <w:rsid w:val="00CE34F2"/>
    <w:rsid w:val="00CE36DB"/>
    <w:rsid w:val="00CE4A6B"/>
    <w:rsid w:val="00CE57FB"/>
    <w:rsid w:val="00CE65F6"/>
    <w:rsid w:val="00CE6CC9"/>
    <w:rsid w:val="00CE7FEC"/>
    <w:rsid w:val="00CF0D64"/>
    <w:rsid w:val="00CF0E17"/>
    <w:rsid w:val="00CF1544"/>
    <w:rsid w:val="00CF1B5A"/>
    <w:rsid w:val="00CF1C6E"/>
    <w:rsid w:val="00CF24F9"/>
    <w:rsid w:val="00CF3596"/>
    <w:rsid w:val="00CF35C9"/>
    <w:rsid w:val="00CF413C"/>
    <w:rsid w:val="00CF6C37"/>
    <w:rsid w:val="00CF6E29"/>
    <w:rsid w:val="00CF7700"/>
    <w:rsid w:val="00D0045A"/>
    <w:rsid w:val="00D013E9"/>
    <w:rsid w:val="00D041C7"/>
    <w:rsid w:val="00D043DC"/>
    <w:rsid w:val="00D044AE"/>
    <w:rsid w:val="00D054C4"/>
    <w:rsid w:val="00D06034"/>
    <w:rsid w:val="00D0730C"/>
    <w:rsid w:val="00D078DC"/>
    <w:rsid w:val="00D10500"/>
    <w:rsid w:val="00D10C2E"/>
    <w:rsid w:val="00D10C83"/>
    <w:rsid w:val="00D10F53"/>
    <w:rsid w:val="00D12E1D"/>
    <w:rsid w:val="00D1304D"/>
    <w:rsid w:val="00D13283"/>
    <w:rsid w:val="00D13CB3"/>
    <w:rsid w:val="00D13D83"/>
    <w:rsid w:val="00D14350"/>
    <w:rsid w:val="00D14E12"/>
    <w:rsid w:val="00D15131"/>
    <w:rsid w:val="00D15A07"/>
    <w:rsid w:val="00D15FDC"/>
    <w:rsid w:val="00D16D1F"/>
    <w:rsid w:val="00D170B2"/>
    <w:rsid w:val="00D17505"/>
    <w:rsid w:val="00D202E5"/>
    <w:rsid w:val="00D2069C"/>
    <w:rsid w:val="00D21036"/>
    <w:rsid w:val="00D21147"/>
    <w:rsid w:val="00D21E46"/>
    <w:rsid w:val="00D22642"/>
    <w:rsid w:val="00D227C1"/>
    <w:rsid w:val="00D2319A"/>
    <w:rsid w:val="00D23339"/>
    <w:rsid w:val="00D23971"/>
    <w:rsid w:val="00D23EB5"/>
    <w:rsid w:val="00D2439D"/>
    <w:rsid w:val="00D24D28"/>
    <w:rsid w:val="00D25F4E"/>
    <w:rsid w:val="00D2640C"/>
    <w:rsid w:val="00D26F42"/>
    <w:rsid w:val="00D27789"/>
    <w:rsid w:val="00D27B15"/>
    <w:rsid w:val="00D3040C"/>
    <w:rsid w:val="00D309CE"/>
    <w:rsid w:val="00D30CB6"/>
    <w:rsid w:val="00D30E0F"/>
    <w:rsid w:val="00D30EE8"/>
    <w:rsid w:val="00D314D3"/>
    <w:rsid w:val="00D31DC9"/>
    <w:rsid w:val="00D32973"/>
    <w:rsid w:val="00D32FA4"/>
    <w:rsid w:val="00D334C2"/>
    <w:rsid w:val="00D3352C"/>
    <w:rsid w:val="00D34544"/>
    <w:rsid w:val="00D34783"/>
    <w:rsid w:val="00D35144"/>
    <w:rsid w:val="00D3685E"/>
    <w:rsid w:val="00D36A9C"/>
    <w:rsid w:val="00D370D7"/>
    <w:rsid w:val="00D37D24"/>
    <w:rsid w:val="00D37EE6"/>
    <w:rsid w:val="00D40200"/>
    <w:rsid w:val="00D40704"/>
    <w:rsid w:val="00D40CCB"/>
    <w:rsid w:val="00D40D5E"/>
    <w:rsid w:val="00D412FA"/>
    <w:rsid w:val="00D42091"/>
    <w:rsid w:val="00D421B3"/>
    <w:rsid w:val="00D42395"/>
    <w:rsid w:val="00D42F75"/>
    <w:rsid w:val="00D444AE"/>
    <w:rsid w:val="00D44EB7"/>
    <w:rsid w:val="00D454F6"/>
    <w:rsid w:val="00D475B2"/>
    <w:rsid w:val="00D5023D"/>
    <w:rsid w:val="00D50241"/>
    <w:rsid w:val="00D50B0E"/>
    <w:rsid w:val="00D50E61"/>
    <w:rsid w:val="00D511E9"/>
    <w:rsid w:val="00D51635"/>
    <w:rsid w:val="00D518F5"/>
    <w:rsid w:val="00D51A65"/>
    <w:rsid w:val="00D5260B"/>
    <w:rsid w:val="00D526D0"/>
    <w:rsid w:val="00D53D53"/>
    <w:rsid w:val="00D54671"/>
    <w:rsid w:val="00D5481E"/>
    <w:rsid w:val="00D55B65"/>
    <w:rsid w:val="00D55E5F"/>
    <w:rsid w:val="00D60761"/>
    <w:rsid w:val="00D61873"/>
    <w:rsid w:val="00D61F1D"/>
    <w:rsid w:val="00D62904"/>
    <w:rsid w:val="00D62CBD"/>
    <w:rsid w:val="00D639FB"/>
    <w:rsid w:val="00D64784"/>
    <w:rsid w:val="00D648D1"/>
    <w:rsid w:val="00D64E0A"/>
    <w:rsid w:val="00D65320"/>
    <w:rsid w:val="00D65664"/>
    <w:rsid w:val="00D667E4"/>
    <w:rsid w:val="00D66A3A"/>
    <w:rsid w:val="00D66BCB"/>
    <w:rsid w:val="00D675E5"/>
    <w:rsid w:val="00D677E0"/>
    <w:rsid w:val="00D67F7C"/>
    <w:rsid w:val="00D7070C"/>
    <w:rsid w:val="00D708F8"/>
    <w:rsid w:val="00D71307"/>
    <w:rsid w:val="00D71A4E"/>
    <w:rsid w:val="00D71CDE"/>
    <w:rsid w:val="00D7256D"/>
    <w:rsid w:val="00D726BA"/>
    <w:rsid w:val="00D73B83"/>
    <w:rsid w:val="00D73BA3"/>
    <w:rsid w:val="00D74398"/>
    <w:rsid w:val="00D74406"/>
    <w:rsid w:val="00D75585"/>
    <w:rsid w:val="00D75893"/>
    <w:rsid w:val="00D76324"/>
    <w:rsid w:val="00D7647C"/>
    <w:rsid w:val="00D768F8"/>
    <w:rsid w:val="00D76B42"/>
    <w:rsid w:val="00D773E3"/>
    <w:rsid w:val="00D77750"/>
    <w:rsid w:val="00D77FE8"/>
    <w:rsid w:val="00D80376"/>
    <w:rsid w:val="00D807C8"/>
    <w:rsid w:val="00D81132"/>
    <w:rsid w:val="00D8234F"/>
    <w:rsid w:val="00D828A3"/>
    <w:rsid w:val="00D82A29"/>
    <w:rsid w:val="00D82C01"/>
    <w:rsid w:val="00D82FF8"/>
    <w:rsid w:val="00D8441C"/>
    <w:rsid w:val="00D85798"/>
    <w:rsid w:val="00D857C8"/>
    <w:rsid w:val="00D8615B"/>
    <w:rsid w:val="00D8637B"/>
    <w:rsid w:val="00D86391"/>
    <w:rsid w:val="00D86FE2"/>
    <w:rsid w:val="00D87441"/>
    <w:rsid w:val="00D87C2E"/>
    <w:rsid w:val="00D90413"/>
    <w:rsid w:val="00D9056B"/>
    <w:rsid w:val="00D90952"/>
    <w:rsid w:val="00D90CC3"/>
    <w:rsid w:val="00D912F0"/>
    <w:rsid w:val="00D914EF"/>
    <w:rsid w:val="00D92646"/>
    <w:rsid w:val="00D92CAD"/>
    <w:rsid w:val="00D930C0"/>
    <w:rsid w:val="00D9321C"/>
    <w:rsid w:val="00D93437"/>
    <w:rsid w:val="00D93521"/>
    <w:rsid w:val="00D94064"/>
    <w:rsid w:val="00D9468C"/>
    <w:rsid w:val="00D94DFB"/>
    <w:rsid w:val="00D951E1"/>
    <w:rsid w:val="00D9521C"/>
    <w:rsid w:val="00D952D0"/>
    <w:rsid w:val="00D957A6"/>
    <w:rsid w:val="00D959E3"/>
    <w:rsid w:val="00D95D04"/>
    <w:rsid w:val="00D96120"/>
    <w:rsid w:val="00D96433"/>
    <w:rsid w:val="00D9704A"/>
    <w:rsid w:val="00D9779F"/>
    <w:rsid w:val="00D97BD1"/>
    <w:rsid w:val="00DA1EF3"/>
    <w:rsid w:val="00DA1F6B"/>
    <w:rsid w:val="00DA33D0"/>
    <w:rsid w:val="00DA3A91"/>
    <w:rsid w:val="00DA4703"/>
    <w:rsid w:val="00DA477F"/>
    <w:rsid w:val="00DA4D36"/>
    <w:rsid w:val="00DA62F0"/>
    <w:rsid w:val="00DA6D7B"/>
    <w:rsid w:val="00DA74FD"/>
    <w:rsid w:val="00DA75CA"/>
    <w:rsid w:val="00DA788D"/>
    <w:rsid w:val="00DB09C3"/>
    <w:rsid w:val="00DB0CB1"/>
    <w:rsid w:val="00DB0E3A"/>
    <w:rsid w:val="00DB1029"/>
    <w:rsid w:val="00DB153B"/>
    <w:rsid w:val="00DB1C5D"/>
    <w:rsid w:val="00DB1E57"/>
    <w:rsid w:val="00DB2DED"/>
    <w:rsid w:val="00DB347F"/>
    <w:rsid w:val="00DB464D"/>
    <w:rsid w:val="00DB584A"/>
    <w:rsid w:val="00DB5C3A"/>
    <w:rsid w:val="00DB5F1D"/>
    <w:rsid w:val="00DB6674"/>
    <w:rsid w:val="00DB6930"/>
    <w:rsid w:val="00DB713B"/>
    <w:rsid w:val="00DB7555"/>
    <w:rsid w:val="00DB7763"/>
    <w:rsid w:val="00DC0062"/>
    <w:rsid w:val="00DC061E"/>
    <w:rsid w:val="00DC08B1"/>
    <w:rsid w:val="00DC0F61"/>
    <w:rsid w:val="00DC12C6"/>
    <w:rsid w:val="00DC1ACB"/>
    <w:rsid w:val="00DC2206"/>
    <w:rsid w:val="00DC2739"/>
    <w:rsid w:val="00DC403C"/>
    <w:rsid w:val="00DC456C"/>
    <w:rsid w:val="00DC497A"/>
    <w:rsid w:val="00DC4D9B"/>
    <w:rsid w:val="00DC4DE8"/>
    <w:rsid w:val="00DC56B0"/>
    <w:rsid w:val="00DC687B"/>
    <w:rsid w:val="00DC6C7F"/>
    <w:rsid w:val="00DC72E0"/>
    <w:rsid w:val="00DD0910"/>
    <w:rsid w:val="00DD0BD6"/>
    <w:rsid w:val="00DD0DF7"/>
    <w:rsid w:val="00DD17D9"/>
    <w:rsid w:val="00DD23A0"/>
    <w:rsid w:val="00DD302D"/>
    <w:rsid w:val="00DD30E1"/>
    <w:rsid w:val="00DD3B1D"/>
    <w:rsid w:val="00DD427C"/>
    <w:rsid w:val="00DD4396"/>
    <w:rsid w:val="00DD4BEB"/>
    <w:rsid w:val="00DD5C3C"/>
    <w:rsid w:val="00DD5F2E"/>
    <w:rsid w:val="00DD77DA"/>
    <w:rsid w:val="00DD7A86"/>
    <w:rsid w:val="00DD7BAD"/>
    <w:rsid w:val="00DE04F1"/>
    <w:rsid w:val="00DE0E13"/>
    <w:rsid w:val="00DE2501"/>
    <w:rsid w:val="00DE3052"/>
    <w:rsid w:val="00DE34EA"/>
    <w:rsid w:val="00DE3E14"/>
    <w:rsid w:val="00DE48A3"/>
    <w:rsid w:val="00DE492E"/>
    <w:rsid w:val="00DE5277"/>
    <w:rsid w:val="00DE54DD"/>
    <w:rsid w:val="00DE575B"/>
    <w:rsid w:val="00DE5F76"/>
    <w:rsid w:val="00DE61C3"/>
    <w:rsid w:val="00DE69C0"/>
    <w:rsid w:val="00DE6D2D"/>
    <w:rsid w:val="00DE7753"/>
    <w:rsid w:val="00DF08C2"/>
    <w:rsid w:val="00DF08DF"/>
    <w:rsid w:val="00DF0B8A"/>
    <w:rsid w:val="00DF0C08"/>
    <w:rsid w:val="00DF11D1"/>
    <w:rsid w:val="00DF13DA"/>
    <w:rsid w:val="00DF1530"/>
    <w:rsid w:val="00DF18A8"/>
    <w:rsid w:val="00DF1A6B"/>
    <w:rsid w:val="00DF1ACA"/>
    <w:rsid w:val="00DF2E2A"/>
    <w:rsid w:val="00DF39A9"/>
    <w:rsid w:val="00DF3FFC"/>
    <w:rsid w:val="00DF4673"/>
    <w:rsid w:val="00DF5E98"/>
    <w:rsid w:val="00DF791C"/>
    <w:rsid w:val="00DF7B30"/>
    <w:rsid w:val="00DF7CEF"/>
    <w:rsid w:val="00E00C83"/>
    <w:rsid w:val="00E01C26"/>
    <w:rsid w:val="00E01D09"/>
    <w:rsid w:val="00E02130"/>
    <w:rsid w:val="00E0225D"/>
    <w:rsid w:val="00E02DB4"/>
    <w:rsid w:val="00E02DE7"/>
    <w:rsid w:val="00E03155"/>
    <w:rsid w:val="00E03330"/>
    <w:rsid w:val="00E04A7B"/>
    <w:rsid w:val="00E04F5D"/>
    <w:rsid w:val="00E05169"/>
    <w:rsid w:val="00E0588D"/>
    <w:rsid w:val="00E06601"/>
    <w:rsid w:val="00E0675C"/>
    <w:rsid w:val="00E07803"/>
    <w:rsid w:val="00E10B63"/>
    <w:rsid w:val="00E11981"/>
    <w:rsid w:val="00E11EB0"/>
    <w:rsid w:val="00E120A9"/>
    <w:rsid w:val="00E12422"/>
    <w:rsid w:val="00E12929"/>
    <w:rsid w:val="00E12B94"/>
    <w:rsid w:val="00E132DB"/>
    <w:rsid w:val="00E137BB"/>
    <w:rsid w:val="00E13A30"/>
    <w:rsid w:val="00E152DB"/>
    <w:rsid w:val="00E15BA0"/>
    <w:rsid w:val="00E15CCC"/>
    <w:rsid w:val="00E16064"/>
    <w:rsid w:val="00E16967"/>
    <w:rsid w:val="00E170B7"/>
    <w:rsid w:val="00E17BEE"/>
    <w:rsid w:val="00E20A7B"/>
    <w:rsid w:val="00E21675"/>
    <w:rsid w:val="00E21B49"/>
    <w:rsid w:val="00E21B78"/>
    <w:rsid w:val="00E232E4"/>
    <w:rsid w:val="00E23939"/>
    <w:rsid w:val="00E242C6"/>
    <w:rsid w:val="00E2448B"/>
    <w:rsid w:val="00E246D8"/>
    <w:rsid w:val="00E2503D"/>
    <w:rsid w:val="00E25390"/>
    <w:rsid w:val="00E25BE0"/>
    <w:rsid w:val="00E260CA"/>
    <w:rsid w:val="00E268BD"/>
    <w:rsid w:val="00E26A6B"/>
    <w:rsid w:val="00E26B9C"/>
    <w:rsid w:val="00E26C6C"/>
    <w:rsid w:val="00E26DA7"/>
    <w:rsid w:val="00E30042"/>
    <w:rsid w:val="00E3054C"/>
    <w:rsid w:val="00E30EE5"/>
    <w:rsid w:val="00E30F54"/>
    <w:rsid w:val="00E31530"/>
    <w:rsid w:val="00E33D0B"/>
    <w:rsid w:val="00E34FE6"/>
    <w:rsid w:val="00E3595C"/>
    <w:rsid w:val="00E369EE"/>
    <w:rsid w:val="00E36BCF"/>
    <w:rsid w:val="00E37548"/>
    <w:rsid w:val="00E409BB"/>
    <w:rsid w:val="00E4208F"/>
    <w:rsid w:val="00E4305F"/>
    <w:rsid w:val="00E43978"/>
    <w:rsid w:val="00E43D2F"/>
    <w:rsid w:val="00E45468"/>
    <w:rsid w:val="00E45C4E"/>
    <w:rsid w:val="00E45CF3"/>
    <w:rsid w:val="00E46108"/>
    <w:rsid w:val="00E46AB4"/>
    <w:rsid w:val="00E46D25"/>
    <w:rsid w:val="00E4775B"/>
    <w:rsid w:val="00E50457"/>
    <w:rsid w:val="00E5049A"/>
    <w:rsid w:val="00E507FB"/>
    <w:rsid w:val="00E5128F"/>
    <w:rsid w:val="00E52CDC"/>
    <w:rsid w:val="00E541DD"/>
    <w:rsid w:val="00E5517A"/>
    <w:rsid w:val="00E560C2"/>
    <w:rsid w:val="00E56380"/>
    <w:rsid w:val="00E5651C"/>
    <w:rsid w:val="00E568F2"/>
    <w:rsid w:val="00E56AA8"/>
    <w:rsid w:val="00E57BC7"/>
    <w:rsid w:val="00E60016"/>
    <w:rsid w:val="00E614B6"/>
    <w:rsid w:val="00E61F66"/>
    <w:rsid w:val="00E6205A"/>
    <w:rsid w:val="00E62E3D"/>
    <w:rsid w:val="00E63155"/>
    <w:rsid w:val="00E63A0D"/>
    <w:rsid w:val="00E64B24"/>
    <w:rsid w:val="00E65CD6"/>
    <w:rsid w:val="00E65DF3"/>
    <w:rsid w:val="00E669A5"/>
    <w:rsid w:val="00E670B0"/>
    <w:rsid w:val="00E67CE1"/>
    <w:rsid w:val="00E70603"/>
    <w:rsid w:val="00E7130C"/>
    <w:rsid w:val="00E7152D"/>
    <w:rsid w:val="00E71F2A"/>
    <w:rsid w:val="00E72DB3"/>
    <w:rsid w:val="00E740A3"/>
    <w:rsid w:val="00E742DD"/>
    <w:rsid w:val="00E75209"/>
    <w:rsid w:val="00E7526E"/>
    <w:rsid w:val="00E7597B"/>
    <w:rsid w:val="00E75EA8"/>
    <w:rsid w:val="00E76261"/>
    <w:rsid w:val="00E802F7"/>
    <w:rsid w:val="00E80945"/>
    <w:rsid w:val="00E81207"/>
    <w:rsid w:val="00E8129D"/>
    <w:rsid w:val="00E822AE"/>
    <w:rsid w:val="00E825B5"/>
    <w:rsid w:val="00E826AD"/>
    <w:rsid w:val="00E83A32"/>
    <w:rsid w:val="00E83B1A"/>
    <w:rsid w:val="00E84245"/>
    <w:rsid w:val="00E844EC"/>
    <w:rsid w:val="00E84A98"/>
    <w:rsid w:val="00E84C70"/>
    <w:rsid w:val="00E8695C"/>
    <w:rsid w:val="00E873B1"/>
    <w:rsid w:val="00E877C9"/>
    <w:rsid w:val="00E879CC"/>
    <w:rsid w:val="00E90296"/>
    <w:rsid w:val="00E90EEA"/>
    <w:rsid w:val="00E90FF4"/>
    <w:rsid w:val="00E9165C"/>
    <w:rsid w:val="00E91D55"/>
    <w:rsid w:val="00E928BA"/>
    <w:rsid w:val="00E9295C"/>
    <w:rsid w:val="00E92D80"/>
    <w:rsid w:val="00E92DB3"/>
    <w:rsid w:val="00E93713"/>
    <w:rsid w:val="00E9692A"/>
    <w:rsid w:val="00E9699C"/>
    <w:rsid w:val="00E97916"/>
    <w:rsid w:val="00E97AD7"/>
    <w:rsid w:val="00EA01EB"/>
    <w:rsid w:val="00EA0747"/>
    <w:rsid w:val="00EA1048"/>
    <w:rsid w:val="00EA12CE"/>
    <w:rsid w:val="00EA359A"/>
    <w:rsid w:val="00EA3722"/>
    <w:rsid w:val="00EA3768"/>
    <w:rsid w:val="00EA39A5"/>
    <w:rsid w:val="00EA4559"/>
    <w:rsid w:val="00EA5B5A"/>
    <w:rsid w:val="00EA664D"/>
    <w:rsid w:val="00EA776E"/>
    <w:rsid w:val="00EB00D0"/>
    <w:rsid w:val="00EB04FA"/>
    <w:rsid w:val="00EB0BEF"/>
    <w:rsid w:val="00EB1EFD"/>
    <w:rsid w:val="00EB2777"/>
    <w:rsid w:val="00EB27E8"/>
    <w:rsid w:val="00EB2C15"/>
    <w:rsid w:val="00EB329F"/>
    <w:rsid w:val="00EB3491"/>
    <w:rsid w:val="00EB3C02"/>
    <w:rsid w:val="00EB4C4F"/>
    <w:rsid w:val="00EB51E0"/>
    <w:rsid w:val="00EB62AE"/>
    <w:rsid w:val="00EB6632"/>
    <w:rsid w:val="00EB6D10"/>
    <w:rsid w:val="00EB6F09"/>
    <w:rsid w:val="00EB7A65"/>
    <w:rsid w:val="00EB7CA7"/>
    <w:rsid w:val="00EB7FC4"/>
    <w:rsid w:val="00EC0AAB"/>
    <w:rsid w:val="00EC10EE"/>
    <w:rsid w:val="00EC1CFD"/>
    <w:rsid w:val="00EC1FB6"/>
    <w:rsid w:val="00EC2F75"/>
    <w:rsid w:val="00EC336C"/>
    <w:rsid w:val="00EC51CB"/>
    <w:rsid w:val="00EC5C88"/>
    <w:rsid w:val="00EC5FF3"/>
    <w:rsid w:val="00EC65D3"/>
    <w:rsid w:val="00EC662E"/>
    <w:rsid w:val="00EC67DA"/>
    <w:rsid w:val="00EC6EBF"/>
    <w:rsid w:val="00EC6FDF"/>
    <w:rsid w:val="00EC77B5"/>
    <w:rsid w:val="00EC7919"/>
    <w:rsid w:val="00ED10A0"/>
    <w:rsid w:val="00ED25CB"/>
    <w:rsid w:val="00ED29D0"/>
    <w:rsid w:val="00ED2CB7"/>
    <w:rsid w:val="00ED3072"/>
    <w:rsid w:val="00ED4084"/>
    <w:rsid w:val="00ED4E19"/>
    <w:rsid w:val="00ED59E0"/>
    <w:rsid w:val="00ED5C6A"/>
    <w:rsid w:val="00ED677E"/>
    <w:rsid w:val="00ED69BF"/>
    <w:rsid w:val="00ED6A6D"/>
    <w:rsid w:val="00ED6B51"/>
    <w:rsid w:val="00ED6D57"/>
    <w:rsid w:val="00ED730B"/>
    <w:rsid w:val="00EE043F"/>
    <w:rsid w:val="00EE078C"/>
    <w:rsid w:val="00EE0F40"/>
    <w:rsid w:val="00EE2561"/>
    <w:rsid w:val="00EE25FC"/>
    <w:rsid w:val="00EE28F4"/>
    <w:rsid w:val="00EE3026"/>
    <w:rsid w:val="00EE3FD3"/>
    <w:rsid w:val="00EE6798"/>
    <w:rsid w:val="00EE6A75"/>
    <w:rsid w:val="00EE71D5"/>
    <w:rsid w:val="00EE77F6"/>
    <w:rsid w:val="00EE7AE4"/>
    <w:rsid w:val="00EE7FFC"/>
    <w:rsid w:val="00EF050A"/>
    <w:rsid w:val="00EF069C"/>
    <w:rsid w:val="00EF166C"/>
    <w:rsid w:val="00EF1945"/>
    <w:rsid w:val="00EF254C"/>
    <w:rsid w:val="00EF2B29"/>
    <w:rsid w:val="00EF2F71"/>
    <w:rsid w:val="00EF3962"/>
    <w:rsid w:val="00EF58DF"/>
    <w:rsid w:val="00EF5B73"/>
    <w:rsid w:val="00EF6E27"/>
    <w:rsid w:val="00EF7195"/>
    <w:rsid w:val="00F00CFB"/>
    <w:rsid w:val="00F019AB"/>
    <w:rsid w:val="00F020D6"/>
    <w:rsid w:val="00F0268B"/>
    <w:rsid w:val="00F02CD7"/>
    <w:rsid w:val="00F03C29"/>
    <w:rsid w:val="00F0470E"/>
    <w:rsid w:val="00F050ED"/>
    <w:rsid w:val="00F05683"/>
    <w:rsid w:val="00F05AD1"/>
    <w:rsid w:val="00F06ACB"/>
    <w:rsid w:val="00F0750A"/>
    <w:rsid w:val="00F10430"/>
    <w:rsid w:val="00F10E57"/>
    <w:rsid w:val="00F11198"/>
    <w:rsid w:val="00F11389"/>
    <w:rsid w:val="00F11B23"/>
    <w:rsid w:val="00F11DAD"/>
    <w:rsid w:val="00F11E42"/>
    <w:rsid w:val="00F122A0"/>
    <w:rsid w:val="00F12E39"/>
    <w:rsid w:val="00F13983"/>
    <w:rsid w:val="00F1693C"/>
    <w:rsid w:val="00F16B7F"/>
    <w:rsid w:val="00F16F53"/>
    <w:rsid w:val="00F174EB"/>
    <w:rsid w:val="00F17D9A"/>
    <w:rsid w:val="00F17DE8"/>
    <w:rsid w:val="00F20222"/>
    <w:rsid w:val="00F20662"/>
    <w:rsid w:val="00F20B66"/>
    <w:rsid w:val="00F20B8A"/>
    <w:rsid w:val="00F20C48"/>
    <w:rsid w:val="00F21519"/>
    <w:rsid w:val="00F217D0"/>
    <w:rsid w:val="00F22B68"/>
    <w:rsid w:val="00F22DF5"/>
    <w:rsid w:val="00F2361B"/>
    <w:rsid w:val="00F2386B"/>
    <w:rsid w:val="00F23F63"/>
    <w:rsid w:val="00F2526E"/>
    <w:rsid w:val="00F25C7E"/>
    <w:rsid w:val="00F27D3B"/>
    <w:rsid w:val="00F3002D"/>
    <w:rsid w:val="00F302AB"/>
    <w:rsid w:val="00F31854"/>
    <w:rsid w:val="00F3195F"/>
    <w:rsid w:val="00F31BBD"/>
    <w:rsid w:val="00F31D20"/>
    <w:rsid w:val="00F31E6A"/>
    <w:rsid w:val="00F31EF1"/>
    <w:rsid w:val="00F320D1"/>
    <w:rsid w:val="00F32A5A"/>
    <w:rsid w:val="00F332D3"/>
    <w:rsid w:val="00F33EC7"/>
    <w:rsid w:val="00F344C4"/>
    <w:rsid w:val="00F3453F"/>
    <w:rsid w:val="00F3678C"/>
    <w:rsid w:val="00F37111"/>
    <w:rsid w:val="00F37B0E"/>
    <w:rsid w:val="00F37BE5"/>
    <w:rsid w:val="00F4120F"/>
    <w:rsid w:val="00F41C2D"/>
    <w:rsid w:val="00F45907"/>
    <w:rsid w:val="00F45D55"/>
    <w:rsid w:val="00F47E50"/>
    <w:rsid w:val="00F50732"/>
    <w:rsid w:val="00F50763"/>
    <w:rsid w:val="00F50B4B"/>
    <w:rsid w:val="00F526D7"/>
    <w:rsid w:val="00F53325"/>
    <w:rsid w:val="00F535F7"/>
    <w:rsid w:val="00F537A7"/>
    <w:rsid w:val="00F5391A"/>
    <w:rsid w:val="00F5478F"/>
    <w:rsid w:val="00F54BD6"/>
    <w:rsid w:val="00F552A4"/>
    <w:rsid w:val="00F559C9"/>
    <w:rsid w:val="00F559CA"/>
    <w:rsid w:val="00F574D9"/>
    <w:rsid w:val="00F57D13"/>
    <w:rsid w:val="00F608D9"/>
    <w:rsid w:val="00F61B45"/>
    <w:rsid w:val="00F61BE9"/>
    <w:rsid w:val="00F61C9F"/>
    <w:rsid w:val="00F6345F"/>
    <w:rsid w:val="00F63C5B"/>
    <w:rsid w:val="00F63DC5"/>
    <w:rsid w:val="00F64091"/>
    <w:rsid w:val="00F64820"/>
    <w:rsid w:val="00F64CB0"/>
    <w:rsid w:val="00F64F4D"/>
    <w:rsid w:val="00F66889"/>
    <w:rsid w:val="00F66DFC"/>
    <w:rsid w:val="00F67154"/>
    <w:rsid w:val="00F67B58"/>
    <w:rsid w:val="00F70217"/>
    <w:rsid w:val="00F708B0"/>
    <w:rsid w:val="00F71371"/>
    <w:rsid w:val="00F71432"/>
    <w:rsid w:val="00F71CB6"/>
    <w:rsid w:val="00F71F82"/>
    <w:rsid w:val="00F72EE2"/>
    <w:rsid w:val="00F734C8"/>
    <w:rsid w:val="00F7505E"/>
    <w:rsid w:val="00F7587D"/>
    <w:rsid w:val="00F75C63"/>
    <w:rsid w:val="00F7638F"/>
    <w:rsid w:val="00F765DD"/>
    <w:rsid w:val="00F811E5"/>
    <w:rsid w:val="00F816D4"/>
    <w:rsid w:val="00F820D6"/>
    <w:rsid w:val="00F82A46"/>
    <w:rsid w:val="00F82E02"/>
    <w:rsid w:val="00F82F11"/>
    <w:rsid w:val="00F83EAF"/>
    <w:rsid w:val="00F8418F"/>
    <w:rsid w:val="00F8445B"/>
    <w:rsid w:val="00F85096"/>
    <w:rsid w:val="00F8546A"/>
    <w:rsid w:val="00F8616D"/>
    <w:rsid w:val="00F86852"/>
    <w:rsid w:val="00F86DD4"/>
    <w:rsid w:val="00F873A4"/>
    <w:rsid w:val="00F875FB"/>
    <w:rsid w:val="00F907A5"/>
    <w:rsid w:val="00F90F99"/>
    <w:rsid w:val="00F90F9D"/>
    <w:rsid w:val="00F91858"/>
    <w:rsid w:val="00F91E08"/>
    <w:rsid w:val="00F91EDD"/>
    <w:rsid w:val="00F9201E"/>
    <w:rsid w:val="00F92457"/>
    <w:rsid w:val="00F92D8F"/>
    <w:rsid w:val="00F92E46"/>
    <w:rsid w:val="00F9338C"/>
    <w:rsid w:val="00F933E6"/>
    <w:rsid w:val="00F93E0F"/>
    <w:rsid w:val="00F95A4C"/>
    <w:rsid w:val="00F95AC5"/>
    <w:rsid w:val="00F95B4F"/>
    <w:rsid w:val="00F95D57"/>
    <w:rsid w:val="00F963BA"/>
    <w:rsid w:val="00F96486"/>
    <w:rsid w:val="00F9654E"/>
    <w:rsid w:val="00F96FA6"/>
    <w:rsid w:val="00F97604"/>
    <w:rsid w:val="00FA0234"/>
    <w:rsid w:val="00FA05F9"/>
    <w:rsid w:val="00FA0819"/>
    <w:rsid w:val="00FA08A0"/>
    <w:rsid w:val="00FA0C66"/>
    <w:rsid w:val="00FA0CFE"/>
    <w:rsid w:val="00FA2D8E"/>
    <w:rsid w:val="00FA359D"/>
    <w:rsid w:val="00FA4E8D"/>
    <w:rsid w:val="00FA520A"/>
    <w:rsid w:val="00FA59D7"/>
    <w:rsid w:val="00FA5B34"/>
    <w:rsid w:val="00FA5C4C"/>
    <w:rsid w:val="00FA6E74"/>
    <w:rsid w:val="00FA7CD1"/>
    <w:rsid w:val="00FB14A0"/>
    <w:rsid w:val="00FB1595"/>
    <w:rsid w:val="00FB17F1"/>
    <w:rsid w:val="00FB1865"/>
    <w:rsid w:val="00FB30CF"/>
    <w:rsid w:val="00FB348F"/>
    <w:rsid w:val="00FB397F"/>
    <w:rsid w:val="00FB4D0E"/>
    <w:rsid w:val="00FB4D44"/>
    <w:rsid w:val="00FB580E"/>
    <w:rsid w:val="00FB5DD7"/>
    <w:rsid w:val="00FB6531"/>
    <w:rsid w:val="00FB6B1B"/>
    <w:rsid w:val="00FB71EB"/>
    <w:rsid w:val="00FB7258"/>
    <w:rsid w:val="00FB7AAE"/>
    <w:rsid w:val="00FC07C3"/>
    <w:rsid w:val="00FC1259"/>
    <w:rsid w:val="00FC1675"/>
    <w:rsid w:val="00FC2688"/>
    <w:rsid w:val="00FC2AC6"/>
    <w:rsid w:val="00FC2C75"/>
    <w:rsid w:val="00FC2E85"/>
    <w:rsid w:val="00FC3958"/>
    <w:rsid w:val="00FC4B3D"/>
    <w:rsid w:val="00FC5AEA"/>
    <w:rsid w:val="00FC5F84"/>
    <w:rsid w:val="00FD04F1"/>
    <w:rsid w:val="00FD0F15"/>
    <w:rsid w:val="00FD12A6"/>
    <w:rsid w:val="00FD2C21"/>
    <w:rsid w:val="00FD3427"/>
    <w:rsid w:val="00FD3871"/>
    <w:rsid w:val="00FD3E6F"/>
    <w:rsid w:val="00FD5449"/>
    <w:rsid w:val="00FD5A09"/>
    <w:rsid w:val="00FD5FD9"/>
    <w:rsid w:val="00FD6977"/>
    <w:rsid w:val="00FD6BAD"/>
    <w:rsid w:val="00FD71D4"/>
    <w:rsid w:val="00FD76FB"/>
    <w:rsid w:val="00FD7A8A"/>
    <w:rsid w:val="00FE1684"/>
    <w:rsid w:val="00FE345D"/>
    <w:rsid w:val="00FE4329"/>
    <w:rsid w:val="00FE488B"/>
    <w:rsid w:val="00FE4D8E"/>
    <w:rsid w:val="00FE50F6"/>
    <w:rsid w:val="00FE56D7"/>
    <w:rsid w:val="00FE5C92"/>
    <w:rsid w:val="00FE6932"/>
    <w:rsid w:val="00FE7314"/>
    <w:rsid w:val="00FE758C"/>
    <w:rsid w:val="00FF1CBA"/>
    <w:rsid w:val="00FF245A"/>
    <w:rsid w:val="00FF4041"/>
    <w:rsid w:val="00FF48D2"/>
    <w:rsid w:val="00FF4C23"/>
    <w:rsid w:val="00FF58EB"/>
    <w:rsid w:val="00FF5C94"/>
    <w:rsid w:val="00FF6171"/>
    <w:rsid w:val="00FF7A4E"/>
    <w:rsid w:val="00FF7B2F"/>
    <w:rsid w:val="00FF7B66"/>
    <w:rsid w:val="00FF7C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83829"/>
  <w15:chartTrackingRefBased/>
  <w15:docId w15:val="{2711D2F4-C803-4C4D-9C10-44D9A36E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315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15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1D0E"/>
  </w:style>
  <w:style w:type="paragraph" w:styleId="NoSpacing">
    <w:name w:val="No Spacing"/>
    <w:uiPriority w:val="1"/>
    <w:qFormat/>
    <w:rsid w:val="00731D0E"/>
    <w:pPr>
      <w:spacing w:after="0" w:line="240" w:lineRule="auto"/>
    </w:pPr>
  </w:style>
  <w:style w:type="paragraph" w:styleId="ListParagraph">
    <w:name w:val="List Paragraph"/>
    <w:basedOn w:val="Normal"/>
    <w:uiPriority w:val="34"/>
    <w:qFormat/>
    <w:rsid w:val="00731D0E"/>
    <w:pPr>
      <w:ind w:left="720"/>
      <w:contextualSpacing/>
    </w:pPr>
  </w:style>
  <w:style w:type="paragraph" w:styleId="NormalWeb">
    <w:name w:val="Normal (Web)"/>
    <w:basedOn w:val="Normal"/>
    <w:uiPriority w:val="99"/>
    <w:semiHidden/>
    <w:unhideWhenUsed/>
    <w:rsid w:val="00113A93"/>
    <w:pPr>
      <w:spacing w:before="100" w:beforeAutospacing="1" w:after="100" w:afterAutospacing="1"/>
    </w:pPr>
    <w:rPr>
      <w:rFonts w:eastAsiaTheme="minorEastAsia"/>
    </w:rPr>
  </w:style>
  <w:style w:type="table" w:styleId="ListTable6Colorful-Accent3">
    <w:name w:val="List Table 6 Colorful Accent 3"/>
    <w:basedOn w:val="TableNormal"/>
    <w:uiPriority w:val="51"/>
    <w:rsid w:val="0066184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F03C29"/>
    <w:rPr>
      <w:sz w:val="16"/>
      <w:szCs w:val="16"/>
    </w:rPr>
  </w:style>
  <w:style w:type="paragraph" w:styleId="CommentText">
    <w:name w:val="annotation text"/>
    <w:basedOn w:val="Normal"/>
    <w:link w:val="CommentTextChar"/>
    <w:uiPriority w:val="99"/>
    <w:unhideWhenUsed/>
    <w:rsid w:val="00F03C29"/>
    <w:rPr>
      <w:sz w:val="20"/>
      <w:szCs w:val="20"/>
    </w:rPr>
  </w:style>
  <w:style w:type="character" w:customStyle="1" w:styleId="CommentTextChar">
    <w:name w:val="Comment Text Char"/>
    <w:basedOn w:val="DefaultParagraphFont"/>
    <w:link w:val="CommentText"/>
    <w:uiPriority w:val="99"/>
    <w:rsid w:val="00F03C2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C29"/>
    <w:rPr>
      <w:b/>
      <w:bCs/>
    </w:rPr>
  </w:style>
  <w:style w:type="character" w:customStyle="1" w:styleId="CommentSubjectChar">
    <w:name w:val="Comment Subject Char"/>
    <w:basedOn w:val="CommentTextChar"/>
    <w:link w:val="CommentSubject"/>
    <w:uiPriority w:val="99"/>
    <w:semiHidden/>
    <w:rsid w:val="00F03C29"/>
    <w:rPr>
      <w:rFonts w:ascii="Times New Roman" w:eastAsia="Times New Roman" w:hAnsi="Times New Roman" w:cs="Times New Roman"/>
      <w:b/>
      <w:bCs/>
      <w:sz w:val="20"/>
      <w:szCs w:val="20"/>
      <w:lang w:eastAsia="en-GB"/>
    </w:rPr>
  </w:style>
  <w:style w:type="paragraph" w:styleId="Revision">
    <w:name w:val="Revision"/>
    <w:hidden/>
    <w:uiPriority w:val="99"/>
    <w:semiHidden/>
    <w:rsid w:val="005C7DC1"/>
    <w:pPr>
      <w:spacing w:after="0"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C636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636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636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636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A3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FE"/>
    <w:rPr>
      <w:rFonts w:ascii="Segoe UI" w:eastAsia="Times New Roman" w:hAnsi="Segoe UI" w:cs="Segoe UI"/>
      <w:sz w:val="18"/>
      <w:szCs w:val="18"/>
      <w:lang w:eastAsia="en-GB"/>
    </w:rPr>
  </w:style>
  <w:style w:type="character" w:styleId="Hyperlink">
    <w:name w:val="Hyperlink"/>
    <w:basedOn w:val="DefaultParagraphFont"/>
    <w:uiPriority w:val="99"/>
    <w:unhideWhenUsed/>
    <w:rsid w:val="00C77693"/>
    <w:rPr>
      <w:color w:val="0563C1" w:themeColor="hyperlink"/>
      <w:u w:val="single"/>
    </w:rPr>
  </w:style>
  <w:style w:type="paragraph" w:styleId="Bibliography">
    <w:name w:val="Bibliography"/>
    <w:basedOn w:val="Normal"/>
    <w:next w:val="Normal"/>
    <w:uiPriority w:val="37"/>
    <w:unhideWhenUsed/>
    <w:rsid w:val="00C36D3B"/>
    <w:pPr>
      <w:ind w:left="720" w:hanging="720"/>
    </w:pPr>
  </w:style>
  <w:style w:type="character" w:styleId="FollowedHyperlink">
    <w:name w:val="FollowedHyperlink"/>
    <w:basedOn w:val="DefaultParagraphFont"/>
    <w:uiPriority w:val="99"/>
    <w:semiHidden/>
    <w:unhideWhenUsed/>
    <w:rsid w:val="00C74357"/>
    <w:rPr>
      <w:color w:val="954F72" w:themeColor="followedHyperlink"/>
      <w:u w:val="single"/>
    </w:rPr>
  </w:style>
  <w:style w:type="table" w:styleId="TableGrid">
    <w:name w:val="Table Grid"/>
    <w:basedOn w:val="TableNormal"/>
    <w:uiPriority w:val="39"/>
    <w:rsid w:val="0033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73F2"/>
    <w:rPr>
      <w:color w:val="605E5C"/>
      <w:shd w:val="clear" w:color="auto" w:fill="E1DFDD"/>
    </w:rPr>
  </w:style>
  <w:style w:type="character" w:customStyle="1" w:styleId="UnresolvedMention2">
    <w:name w:val="Unresolved Mention2"/>
    <w:basedOn w:val="DefaultParagraphFont"/>
    <w:uiPriority w:val="99"/>
    <w:semiHidden/>
    <w:unhideWhenUsed/>
    <w:rsid w:val="005D7409"/>
    <w:rPr>
      <w:color w:val="605E5C"/>
      <w:shd w:val="clear" w:color="auto" w:fill="E1DFDD"/>
    </w:rPr>
  </w:style>
  <w:style w:type="paragraph" w:styleId="Header">
    <w:name w:val="header"/>
    <w:basedOn w:val="Normal"/>
    <w:link w:val="HeaderChar"/>
    <w:uiPriority w:val="99"/>
    <w:unhideWhenUsed/>
    <w:rsid w:val="00547D4A"/>
    <w:pPr>
      <w:tabs>
        <w:tab w:val="center" w:pos="4513"/>
        <w:tab w:val="right" w:pos="9026"/>
      </w:tabs>
    </w:pPr>
  </w:style>
  <w:style w:type="character" w:customStyle="1" w:styleId="HeaderChar">
    <w:name w:val="Header Char"/>
    <w:basedOn w:val="DefaultParagraphFont"/>
    <w:link w:val="Header"/>
    <w:uiPriority w:val="99"/>
    <w:rsid w:val="00547D4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47D4A"/>
    <w:pPr>
      <w:tabs>
        <w:tab w:val="center" w:pos="4513"/>
        <w:tab w:val="right" w:pos="9026"/>
      </w:tabs>
    </w:pPr>
  </w:style>
  <w:style w:type="character" w:customStyle="1" w:styleId="FooterChar">
    <w:name w:val="Footer Char"/>
    <w:basedOn w:val="DefaultParagraphFont"/>
    <w:link w:val="Footer"/>
    <w:uiPriority w:val="99"/>
    <w:rsid w:val="00547D4A"/>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3153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E31530"/>
    <w:rPr>
      <w:rFonts w:asciiTheme="majorHAnsi" w:eastAsiaTheme="majorEastAsia" w:hAnsiTheme="majorHAnsi" w:cstheme="majorBidi"/>
      <w:color w:val="2F5496" w:themeColor="accent1" w:themeShade="BF"/>
      <w:sz w:val="26"/>
      <w:szCs w:val="26"/>
      <w:lang w:eastAsia="en-GB"/>
    </w:rPr>
  </w:style>
  <w:style w:type="character" w:customStyle="1" w:styleId="UnresolvedMention3">
    <w:name w:val="Unresolved Mention3"/>
    <w:basedOn w:val="DefaultParagraphFont"/>
    <w:uiPriority w:val="99"/>
    <w:semiHidden/>
    <w:unhideWhenUsed/>
    <w:rsid w:val="00481C7C"/>
    <w:rPr>
      <w:color w:val="605E5C"/>
      <w:shd w:val="clear" w:color="auto" w:fill="E1DFDD"/>
    </w:rPr>
  </w:style>
  <w:style w:type="character" w:customStyle="1" w:styleId="markm8250w1gr">
    <w:name w:val="markm8250w1gr"/>
    <w:basedOn w:val="DefaultParagraphFont"/>
    <w:rsid w:val="00BD3B9A"/>
  </w:style>
  <w:style w:type="character" w:customStyle="1" w:styleId="markuivva4laq">
    <w:name w:val="markuivva4laq"/>
    <w:basedOn w:val="DefaultParagraphFont"/>
    <w:rsid w:val="00BD3B9A"/>
  </w:style>
  <w:style w:type="character" w:customStyle="1" w:styleId="UnresolvedMention4">
    <w:name w:val="Unresolved Mention4"/>
    <w:basedOn w:val="DefaultParagraphFont"/>
    <w:uiPriority w:val="99"/>
    <w:semiHidden/>
    <w:unhideWhenUsed/>
    <w:rsid w:val="00913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569">
      <w:bodyDiv w:val="1"/>
      <w:marLeft w:val="0"/>
      <w:marRight w:val="0"/>
      <w:marTop w:val="0"/>
      <w:marBottom w:val="0"/>
      <w:divBdr>
        <w:top w:val="none" w:sz="0" w:space="0" w:color="auto"/>
        <w:left w:val="none" w:sz="0" w:space="0" w:color="auto"/>
        <w:bottom w:val="none" w:sz="0" w:space="0" w:color="auto"/>
        <w:right w:val="none" w:sz="0" w:space="0" w:color="auto"/>
      </w:divBdr>
    </w:div>
    <w:div w:id="95491331">
      <w:bodyDiv w:val="1"/>
      <w:marLeft w:val="0"/>
      <w:marRight w:val="0"/>
      <w:marTop w:val="0"/>
      <w:marBottom w:val="0"/>
      <w:divBdr>
        <w:top w:val="none" w:sz="0" w:space="0" w:color="auto"/>
        <w:left w:val="none" w:sz="0" w:space="0" w:color="auto"/>
        <w:bottom w:val="none" w:sz="0" w:space="0" w:color="auto"/>
        <w:right w:val="none" w:sz="0" w:space="0" w:color="auto"/>
      </w:divBdr>
    </w:div>
    <w:div w:id="156187376">
      <w:bodyDiv w:val="1"/>
      <w:marLeft w:val="0"/>
      <w:marRight w:val="0"/>
      <w:marTop w:val="0"/>
      <w:marBottom w:val="0"/>
      <w:divBdr>
        <w:top w:val="none" w:sz="0" w:space="0" w:color="auto"/>
        <w:left w:val="none" w:sz="0" w:space="0" w:color="auto"/>
        <w:bottom w:val="none" w:sz="0" w:space="0" w:color="auto"/>
        <w:right w:val="none" w:sz="0" w:space="0" w:color="auto"/>
      </w:divBdr>
    </w:div>
    <w:div w:id="204489610">
      <w:bodyDiv w:val="1"/>
      <w:marLeft w:val="0"/>
      <w:marRight w:val="0"/>
      <w:marTop w:val="0"/>
      <w:marBottom w:val="0"/>
      <w:divBdr>
        <w:top w:val="none" w:sz="0" w:space="0" w:color="auto"/>
        <w:left w:val="none" w:sz="0" w:space="0" w:color="auto"/>
        <w:bottom w:val="none" w:sz="0" w:space="0" w:color="auto"/>
        <w:right w:val="none" w:sz="0" w:space="0" w:color="auto"/>
      </w:divBdr>
    </w:div>
    <w:div w:id="233590111">
      <w:bodyDiv w:val="1"/>
      <w:marLeft w:val="0"/>
      <w:marRight w:val="0"/>
      <w:marTop w:val="0"/>
      <w:marBottom w:val="0"/>
      <w:divBdr>
        <w:top w:val="none" w:sz="0" w:space="0" w:color="auto"/>
        <w:left w:val="none" w:sz="0" w:space="0" w:color="auto"/>
        <w:bottom w:val="none" w:sz="0" w:space="0" w:color="auto"/>
        <w:right w:val="none" w:sz="0" w:space="0" w:color="auto"/>
      </w:divBdr>
    </w:div>
    <w:div w:id="442069668">
      <w:bodyDiv w:val="1"/>
      <w:marLeft w:val="0"/>
      <w:marRight w:val="0"/>
      <w:marTop w:val="0"/>
      <w:marBottom w:val="0"/>
      <w:divBdr>
        <w:top w:val="none" w:sz="0" w:space="0" w:color="auto"/>
        <w:left w:val="none" w:sz="0" w:space="0" w:color="auto"/>
        <w:bottom w:val="none" w:sz="0" w:space="0" w:color="auto"/>
        <w:right w:val="none" w:sz="0" w:space="0" w:color="auto"/>
      </w:divBdr>
    </w:div>
    <w:div w:id="455949746">
      <w:bodyDiv w:val="1"/>
      <w:marLeft w:val="0"/>
      <w:marRight w:val="0"/>
      <w:marTop w:val="0"/>
      <w:marBottom w:val="0"/>
      <w:divBdr>
        <w:top w:val="none" w:sz="0" w:space="0" w:color="auto"/>
        <w:left w:val="none" w:sz="0" w:space="0" w:color="auto"/>
        <w:bottom w:val="none" w:sz="0" w:space="0" w:color="auto"/>
        <w:right w:val="none" w:sz="0" w:space="0" w:color="auto"/>
      </w:divBdr>
    </w:div>
    <w:div w:id="495998169">
      <w:bodyDiv w:val="1"/>
      <w:marLeft w:val="0"/>
      <w:marRight w:val="0"/>
      <w:marTop w:val="0"/>
      <w:marBottom w:val="0"/>
      <w:divBdr>
        <w:top w:val="none" w:sz="0" w:space="0" w:color="auto"/>
        <w:left w:val="none" w:sz="0" w:space="0" w:color="auto"/>
        <w:bottom w:val="none" w:sz="0" w:space="0" w:color="auto"/>
        <w:right w:val="none" w:sz="0" w:space="0" w:color="auto"/>
      </w:divBdr>
    </w:div>
    <w:div w:id="546573026">
      <w:bodyDiv w:val="1"/>
      <w:marLeft w:val="0"/>
      <w:marRight w:val="0"/>
      <w:marTop w:val="0"/>
      <w:marBottom w:val="0"/>
      <w:divBdr>
        <w:top w:val="none" w:sz="0" w:space="0" w:color="auto"/>
        <w:left w:val="none" w:sz="0" w:space="0" w:color="auto"/>
        <w:bottom w:val="none" w:sz="0" w:space="0" w:color="auto"/>
        <w:right w:val="none" w:sz="0" w:space="0" w:color="auto"/>
      </w:divBdr>
      <w:divsChild>
        <w:div w:id="1143157678">
          <w:marLeft w:val="0"/>
          <w:marRight w:val="0"/>
          <w:marTop w:val="0"/>
          <w:marBottom w:val="0"/>
          <w:divBdr>
            <w:top w:val="none" w:sz="0" w:space="0" w:color="auto"/>
            <w:left w:val="none" w:sz="0" w:space="0" w:color="auto"/>
            <w:bottom w:val="none" w:sz="0" w:space="0" w:color="auto"/>
            <w:right w:val="none" w:sz="0" w:space="0" w:color="auto"/>
          </w:divBdr>
          <w:divsChild>
            <w:div w:id="388920264">
              <w:marLeft w:val="0"/>
              <w:marRight w:val="0"/>
              <w:marTop w:val="0"/>
              <w:marBottom w:val="0"/>
              <w:divBdr>
                <w:top w:val="none" w:sz="0" w:space="0" w:color="auto"/>
                <w:left w:val="none" w:sz="0" w:space="0" w:color="auto"/>
                <w:bottom w:val="none" w:sz="0" w:space="0" w:color="auto"/>
                <w:right w:val="none" w:sz="0" w:space="0" w:color="auto"/>
              </w:divBdr>
            </w:div>
            <w:div w:id="1682925941">
              <w:marLeft w:val="0"/>
              <w:marRight w:val="0"/>
              <w:marTop w:val="0"/>
              <w:marBottom w:val="0"/>
              <w:divBdr>
                <w:top w:val="none" w:sz="0" w:space="0" w:color="auto"/>
                <w:left w:val="none" w:sz="0" w:space="0" w:color="auto"/>
                <w:bottom w:val="none" w:sz="0" w:space="0" w:color="auto"/>
                <w:right w:val="none" w:sz="0" w:space="0" w:color="auto"/>
              </w:divBdr>
            </w:div>
          </w:divsChild>
        </w:div>
        <w:div w:id="978998485">
          <w:marLeft w:val="0"/>
          <w:marRight w:val="0"/>
          <w:marTop w:val="0"/>
          <w:marBottom w:val="0"/>
          <w:divBdr>
            <w:top w:val="none" w:sz="0" w:space="0" w:color="auto"/>
            <w:left w:val="none" w:sz="0" w:space="0" w:color="auto"/>
            <w:bottom w:val="none" w:sz="0" w:space="0" w:color="auto"/>
            <w:right w:val="none" w:sz="0" w:space="0" w:color="auto"/>
          </w:divBdr>
        </w:div>
      </w:divsChild>
    </w:div>
    <w:div w:id="603003574">
      <w:bodyDiv w:val="1"/>
      <w:marLeft w:val="0"/>
      <w:marRight w:val="0"/>
      <w:marTop w:val="0"/>
      <w:marBottom w:val="0"/>
      <w:divBdr>
        <w:top w:val="none" w:sz="0" w:space="0" w:color="auto"/>
        <w:left w:val="none" w:sz="0" w:space="0" w:color="auto"/>
        <w:bottom w:val="none" w:sz="0" w:space="0" w:color="auto"/>
        <w:right w:val="none" w:sz="0" w:space="0" w:color="auto"/>
      </w:divBdr>
    </w:div>
    <w:div w:id="730156265">
      <w:bodyDiv w:val="1"/>
      <w:marLeft w:val="0"/>
      <w:marRight w:val="0"/>
      <w:marTop w:val="0"/>
      <w:marBottom w:val="0"/>
      <w:divBdr>
        <w:top w:val="none" w:sz="0" w:space="0" w:color="auto"/>
        <w:left w:val="none" w:sz="0" w:space="0" w:color="auto"/>
        <w:bottom w:val="none" w:sz="0" w:space="0" w:color="auto"/>
        <w:right w:val="none" w:sz="0" w:space="0" w:color="auto"/>
      </w:divBdr>
    </w:div>
    <w:div w:id="753673813">
      <w:bodyDiv w:val="1"/>
      <w:marLeft w:val="0"/>
      <w:marRight w:val="0"/>
      <w:marTop w:val="0"/>
      <w:marBottom w:val="0"/>
      <w:divBdr>
        <w:top w:val="none" w:sz="0" w:space="0" w:color="auto"/>
        <w:left w:val="none" w:sz="0" w:space="0" w:color="auto"/>
        <w:bottom w:val="none" w:sz="0" w:space="0" w:color="auto"/>
        <w:right w:val="none" w:sz="0" w:space="0" w:color="auto"/>
      </w:divBdr>
    </w:div>
    <w:div w:id="879587507">
      <w:bodyDiv w:val="1"/>
      <w:marLeft w:val="0"/>
      <w:marRight w:val="0"/>
      <w:marTop w:val="0"/>
      <w:marBottom w:val="0"/>
      <w:divBdr>
        <w:top w:val="none" w:sz="0" w:space="0" w:color="auto"/>
        <w:left w:val="none" w:sz="0" w:space="0" w:color="auto"/>
        <w:bottom w:val="none" w:sz="0" w:space="0" w:color="auto"/>
        <w:right w:val="none" w:sz="0" w:space="0" w:color="auto"/>
      </w:divBdr>
      <w:divsChild>
        <w:div w:id="1792481910">
          <w:marLeft w:val="0"/>
          <w:marRight w:val="0"/>
          <w:marTop w:val="0"/>
          <w:marBottom w:val="0"/>
          <w:divBdr>
            <w:top w:val="none" w:sz="0" w:space="0" w:color="auto"/>
            <w:left w:val="none" w:sz="0" w:space="0" w:color="auto"/>
            <w:bottom w:val="none" w:sz="0" w:space="0" w:color="auto"/>
            <w:right w:val="none" w:sz="0" w:space="0" w:color="auto"/>
          </w:divBdr>
          <w:divsChild>
            <w:div w:id="644578905">
              <w:marLeft w:val="0"/>
              <w:marRight w:val="0"/>
              <w:marTop w:val="0"/>
              <w:marBottom w:val="0"/>
              <w:divBdr>
                <w:top w:val="none" w:sz="0" w:space="0" w:color="auto"/>
                <w:left w:val="none" w:sz="0" w:space="0" w:color="auto"/>
                <w:bottom w:val="none" w:sz="0" w:space="0" w:color="auto"/>
                <w:right w:val="none" w:sz="0" w:space="0" w:color="auto"/>
              </w:divBdr>
            </w:div>
            <w:div w:id="1099568819">
              <w:marLeft w:val="0"/>
              <w:marRight w:val="0"/>
              <w:marTop w:val="0"/>
              <w:marBottom w:val="0"/>
              <w:divBdr>
                <w:top w:val="none" w:sz="0" w:space="0" w:color="auto"/>
                <w:left w:val="none" w:sz="0" w:space="0" w:color="auto"/>
                <w:bottom w:val="none" w:sz="0" w:space="0" w:color="auto"/>
                <w:right w:val="none" w:sz="0" w:space="0" w:color="auto"/>
              </w:divBdr>
            </w:div>
          </w:divsChild>
        </w:div>
        <w:div w:id="529226263">
          <w:marLeft w:val="0"/>
          <w:marRight w:val="0"/>
          <w:marTop w:val="0"/>
          <w:marBottom w:val="0"/>
          <w:divBdr>
            <w:top w:val="none" w:sz="0" w:space="0" w:color="auto"/>
            <w:left w:val="none" w:sz="0" w:space="0" w:color="auto"/>
            <w:bottom w:val="none" w:sz="0" w:space="0" w:color="auto"/>
            <w:right w:val="none" w:sz="0" w:space="0" w:color="auto"/>
          </w:divBdr>
        </w:div>
      </w:divsChild>
    </w:div>
    <w:div w:id="991830620">
      <w:bodyDiv w:val="1"/>
      <w:marLeft w:val="0"/>
      <w:marRight w:val="0"/>
      <w:marTop w:val="0"/>
      <w:marBottom w:val="0"/>
      <w:divBdr>
        <w:top w:val="none" w:sz="0" w:space="0" w:color="auto"/>
        <w:left w:val="none" w:sz="0" w:space="0" w:color="auto"/>
        <w:bottom w:val="none" w:sz="0" w:space="0" w:color="auto"/>
        <w:right w:val="none" w:sz="0" w:space="0" w:color="auto"/>
      </w:divBdr>
    </w:div>
    <w:div w:id="1021123829">
      <w:bodyDiv w:val="1"/>
      <w:marLeft w:val="0"/>
      <w:marRight w:val="0"/>
      <w:marTop w:val="0"/>
      <w:marBottom w:val="0"/>
      <w:divBdr>
        <w:top w:val="none" w:sz="0" w:space="0" w:color="auto"/>
        <w:left w:val="none" w:sz="0" w:space="0" w:color="auto"/>
        <w:bottom w:val="none" w:sz="0" w:space="0" w:color="auto"/>
        <w:right w:val="none" w:sz="0" w:space="0" w:color="auto"/>
      </w:divBdr>
      <w:divsChild>
        <w:div w:id="708340267">
          <w:marLeft w:val="0"/>
          <w:marRight w:val="0"/>
          <w:marTop w:val="0"/>
          <w:marBottom w:val="0"/>
          <w:divBdr>
            <w:top w:val="none" w:sz="0" w:space="0" w:color="auto"/>
            <w:left w:val="none" w:sz="0" w:space="0" w:color="auto"/>
            <w:bottom w:val="none" w:sz="0" w:space="0" w:color="auto"/>
            <w:right w:val="none" w:sz="0" w:space="0" w:color="auto"/>
          </w:divBdr>
        </w:div>
        <w:div w:id="728069367">
          <w:marLeft w:val="0"/>
          <w:marRight w:val="0"/>
          <w:marTop w:val="0"/>
          <w:marBottom w:val="0"/>
          <w:divBdr>
            <w:top w:val="none" w:sz="0" w:space="0" w:color="auto"/>
            <w:left w:val="none" w:sz="0" w:space="0" w:color="auto"/>
            <w:bottom w:val="none" w:sz="0" w:space="0" w:color="auto"/>
            <w:right w:val="none" w:sz="0" w:space="0" w:color="auto"/>
          </w:divBdr>
        </w:div>
        <w:div w:id="1219785738">
          <w:marLeft w:val="0"/>
          <w:marRight w:val="0"/>
          <w:marTop w:val="0"/>
          <w:marBottom w:val="0"/>
          <w:divBdr>
            <w:top w:val="none" w:sz="0" w:space="0" w:color="auto"/>
            <w:left w:val="none" w:sz="0" w:space="0" w:color="auto"/>
            <w:bottom w:val="none" w:sz="0" w:space="0" w:color="auto"/>
            <w:right w:val="none" w:sz="0" w:space="0" w:color="auto"/>
          </w:divBdr>
        </w:div>
        <w:div w:id="1134132822">
          <w:marLeft w:val="0"/>
          <w:marRight w:val="0"/>
          <w:marTop w:val="0"/>
          <w:marBottom w:val="0"/>
          <w:divBdr>
            <w:top w:val="none" w:sz="0" w:space="0" w:color="auto"/>
            <w:left w:val="none" w:sz="0" w:space="0" w:color="auto"/>
            <w:bottom w:val="none" w:sz="0" w:space="0" w:color="auto"/>
            <w:right w:val="none" w:sz="0" w:space="0" w:color="auto"/>
          </w:divBdr>
        </w:div>
        <w:div w:id="1181122544">
          <w:marLeft w:val="0"/>
          <w:marRight w:val="0"/>
          <w:marTop w:val="0"/>
          <w:marBottom w:val="0"/>
          <w:divBdr>
            <w:top w:val="none" w:sz="0" w:space="0" w:color="auto"/>
            <w:left w:val="none" w:sz="0" w:space="0" w:color="auto"/>
            <w:bottom w:val="none" w:sz="0" w:space="0" w:color="auto"/>
            <w:right w:val="none" w:sz="0" w:space="0" w:color="auto"/>
          </w:divBdr>
        </w:div>
        <w:div w:id="1449742182">
          <w:marLeft w:val="0"/>
          <w:marRight w:val="0"/>
          <w:marTop w:val="0"/>
          <w:marBottom w:val="0"/>
          <w:divBdr>
            <w:top w:val="none" w:sz="0" w:space="0" w:color="auto"/>
            <w:left w:val="none" w:sz="0" w:space="0" w:color="auto"/>
            <w:bottom w:val="none" w:sz="0" w:space="0" w:color="auto"/>
            <w:right w:val="none" w:sz="0" w:space="0" w:color="auto"/>
          </w:divBdr>
        </w:div>
        <w:div w:id="366831442">
          <w:marLeft w:val="0"/>
          <w:marRight w:val="0"/>
          <w:marTop w:val="0"/>
          <w:marBottom w:val="0"/>
          <w:divBdr>
            <w:top w:val="none" w:sz="0" w:space="0" w:color="auto"/>
            <w:left w:val="none" w:sz="0" w:space="0" w:color="auto"/>
            <w:bottom w:val="none" w:sz="0" w:space="0" w:color="auto"/>
            <w:right w:val="none" w:sz="0" w:space="0" w:color="auto"/>
          </w:divBdr>
        </w:div>
        <w:div w:id="1674184614">
          <w:marLeft w:val="0"/>
          <w:marRight w:val="0"/>
          <w:marTop w:val="0"/>
          <w:marBottom w:val="0"/>
          <w:divBdr>
            <w:top w:val="none" w:sz="0" w:space="0" w:color="auto"/>
            <w:left w:val="none" w:sz="0" w:space="0" w:color="auto"/>
            <w:bottom w:val="none" w:sz="0" w:space="0" w:color="auto"/>
            <w:right w:val="none" w:sz="0" w:space="0" w:color="auto"/>
          </w:divBdr>
        </w:div>
        <w:div w:id="1713847974">
          <w:marLeft w:val="0"/>
          <w:marRight w:val="0"/>
          <w:marTop w:val="0"/>
          <w:marBottom w:val="0"/>
          <w:divBdr>
            <w:top w:val="none" w:sz="0" w:space="0" w:color="auto"/>
            <w:left w:val="none" w:sz="0" w:space="0" w:color="auto"/>
            <w:bottom w:val="none" w:sz="0" w:space="0" w:color="auto"/>
            <w:right w:val="none" w:sz="0" w:space="0" w:color="auto"/>
          </w:divBdr>
        </w:div>
        <w:div w:id="73865784">
          <w:marLeft w:val="0"/>
          <w:marRight w:val="0"/>
          <w:marTop w:val="0"/>
          <w:marBottom w:val="0"/>
          <w:divBdr>
            <w:top w:val="none" w:sz="0" w:space="0" w:color="auto"/>
            <w:left w:val="none" w:sz="0" w:space="0" w:color="auto"/>
            <w:bottom w:val="none" w:sz="0" w:space="0" w:color="auto"/>
            <w:right w:val="none" w:sz="0" w:space="0" w:color="auto"/>
          </w:divBdr>
        </w:div>
        <w:div w:id="1878617285">
          <w:marLeft w:val="0"/>
          <w:marRight w:val="0"/>
          <w:marTop w:val="0"/>
          <w:marBottom w:val="0"/>
          <w:divBdr>
            <w:top w:val="none" w:sz="0" w:space="0" w:color="auto"/>
            <w:left w:val="none" w:sz="0" w:space="0" w:color="auto"/>
            <w:bottom w:val="none" w:sz="0" w:space="0" w:color="auto"/>
            <w:right w:val="none" w:sz="0" w:space="0" w:color="auto"/>
          </w:divBdr>
        </w:div>
        <w:div w:id="1823278149">
          <w:marLeft w:val="0"/>
          <w:marRight w:val="0"/>
          <w:marTop w:val="0"/>
          <w:marBottom w:val="0"/>
          <w:divBdr>
            <w:top w:val="none" w:sz="0" w:space="0" w:color="auto"/>
            <w:left w:val="none" w:sz="0" w:space="0" w:color="auto"/>
            <w:bottom w:val="none" w:sz="0" w:space="0" w:color="auto"/>
            <w:right w:val="none" w:sz="0" w:space="0" w:color="auto"/>
          </w:divBdr>
        </w:div>
        <w:div w:id="1327317569">
          <w:marLeft w:val="0"/>
          <w:marRight w:val="0"/>
          <w:marTop w:val="0"/>
          <w:marBottom w:val="0"/>
          <w:divBdr>
            <w:top w:val="none" w:sz="0" w:space="0" w:color="auto"/>
            <w:left w:val="none" w:sz="0" w:space="0" w:color="auto"/>
            <w:bottom w:val="none" w:sz="0" w:space="0" w:color="auto"/>
            <w:right w:val="none" w:sz="0" w:space="0" w:color="auto"/>
          </w:divBdr>
        </w:div>
      </w:divsChild>
    </w:div>
    <w:div w:id="1146051569">
      <w:bodyDiv w:val="1"/>
      <w:marLeft w:val="0"/>
      <w:marRight w:val="0"/>
      <w:marTop w:val="0"/>
      <w:marBottom w:val="0"/>
      <w:divBdr>
        <w:top w:val="none" w:sz="0" w:space="0" w:color="auto"/>
        <w:left w:val="none" w:sz="0" w:space="0" w:color="auto"/>
        <w:bottom w:val="none" w:sz="0" w:space="0" w:color="auto"/>
        <w:right w:val="none" w:sz="0" w:space="0" w:color="auto"/>
      </w:divBdr>
    </w:div>
    <w:div w:id="1207179853">
      <w:bodyDiv w:val="1"/>
      <w:marLeft w:val="0"/>
      <w:marRight w:val="0"/>
      <w:marTop w:val="0"/>
      <w:marBottom w:val="0"/>
      <w:divBdr>
        <w:top w:val="none" w:sz="0" w:space="0" w:color="auto"/>
        <w:left w:val="none" w:sz="0" w:space="0" w:color="auto"/>
        <w:bottom w:val="none" w:sz="0" w:space="0" w:color="auto"/>
        <w:right w:val="none" w:sz="0" w:space="0" w:color="auto"/>
      </w:divBdr>
    </w:div>
    <w:div w:id="1226910845">
      <w:bodyDiv w:val="1"/>
      <w:marLeft w:val="0"/>
      <w:marRight w:val="0"/>
      <w:marTop w:val="0"/>
      <w:marBottom w:val="0"/>
      <w:divBdr>
        <w:top w:val="none" w:sz="0" w:space="0" w:color="auto"/>
        <w:left w:val="none" w:sz="0" w:space="0" w:color="auto"/>
        <w:bottom w:val="none" w:sz="0" w:space="0" w:color="auto"/>
        <w:right w:val="none" w:sz="0" w:space="0" w:color="auto"/>
      </w:divBdr>
    </w:div>
    <w:div w:id="1236624878">
      <w:bodyDiv w:val="1"/>
      <w:marLeft w:val="0"/>
      <w:marRight w:val="0"/>
      <w:marTop w:val="0"/>
      <w:marBottom w:val="0"/>
      <w:divBdr>
        <w:top w:val="none" w:sz="0" w:space="0" w:color="auto"/>
        <w:left w:val="none" w:sz="0" w:space="0" w:color="auto"/>
        <w:bottom w:val="none" w:sz="0" w:space="0" w:color="auto"/>
        <w:right w:val="none" w:sz="0" w:space="0" w:color="auto"/>
      </w:divBdr>
    </w:div>
    <w:div w:id="1255630052">
      <w:bodyDiv w:val="1"/>
      <w:marLeft w:val="0"/>
      <w:marRight w:val="0"/>
      <w:marTop w:val="0"/>
      <w:marBottom w:val="0"/>
      <w:divBdr>
        <w:top w:val="none" w:sz="0" w:space="0" w:color="auto"/>
        <w:left w:val="none" w:sz="0" w:space="0" w:color="auto"/>
        <w:bottom w:val="none" w:sz="0" w:space="0" w:color="auto"/>
        <w:right w:val="none" w:sz="0" w:space="0" w:color="auto"/>
      </w:divBdr>
    </w:div>
    <w:div w:id="1282571016">
      <w:bodyDiv w:val="1"/>
      <w:marLeft w:val="0"/>
      <w:marRight w:val="0"/>
      <w:marTop w:val="0"/>
      <w:marBottom w:val="0"/>
      <w:divBdr>
        <w:top w:val="none" w:sz="0" w:space="0" w:color="auto"/>
        <w:left w:val="none" w:sz="0" w:space="0" w:color="auto"/>
        <w:bottom w:val="none" w:sz="0" w:space="0" w:color="auto"/>
        <w:right w:val="none" w:sz="0" w:space="0" w:color="auto"/>
      </w:divBdr>
    </w:div>
    <w:div w:id="1421558140">
      <w:bodyDiv w:val="1"/>
      <w:marLeft w:val="0"/>
      <w:marRight w:val="0"/>
      <w:marTop w:val="0"/>
      <w:marBottom w:val="0"/>
      <w:divBdr>
        <w:top w:val="none" w:sz="0" w:space="0" w:color="auto"/>
        <w:left w:val="none" w:sz="0" w:space="0" w:color="auto"/>
        <w:bottom w:val="none" w:sz="0" w:space="0" w:color="auto"/>
        <w:right w:val="none" w:sz="0" w:space="0" w:color="auto"/>
      </w:divBdr>
    </w:div>
    <w:div w:id="1495686943">
      <w:bodyDiv w:val="1"/>
      <w:marLeft w:val="0"/>
      <w:marRight w:val="0"/>
      <w:marTop w:val="0"/>
      <w:marBottom w:val="0"/>
      <w:divBdr>
        <w:top w:val="none" w:sz="0" w:space="0" w:color="auto"/>
        <w:left w:val="none" w:sz="0" w:space="0" w:color="auto"/>
        <w:bottom w:val="none" w:sz="0" w:space="0" w:color="auto"/>
        <w:right w:val="none" w:sz="0" w:space="0" w:color="auto"/>
      </w:divBdr>
    </w:div>
    <w:div w:id="1523737130">
      <w:bodyDiv w:val="1"/>
      <w:marLeft w:val="0"/>
      <w:marRight w:val="0"/>
      <w:marTop w:val="0"/>
      <w:marBottom w:val="0"/>
      <w:divBdr>
        <w:top w:val="none" w:sz="0" w:space="0" w:color="auto"/>
        <w:left w:val="none" w:sz="0" w:space="0" w:color="auto"/>
        <w:bottom w:val="none" w:sz="0" w:space="0" w:color="auto"/>
        <w:right w:val="none" w:sz="0" w:space="0" w:color="auto"/>
      </w:divBdr>
    </w:div>
    <w:div w:id="1564022096">
      <w:bodyDiv w:val="1"/>
      <w:marLeft w:val="0"/>
      <w:marRight w:val="0"/>
      <w:marTop w:val="0"/>
      <w:marBottom w:val="0"/>
      <w:divBdr>
        <w:top w:val="none" w:sz="0" w:space="0" w:color="auto"/>
        <w:left w:val="none" w:sz="0" w:space="0" w:color="auto"/>
        <w:bottom w:val="none" w:sz="0" w:space="0" w:color="auto"/>
        <w:right w:val="none" w:sz="0" w:space="0" w:color="auto"/>
      </w:divBdr>
    </w:div>
    <w:div w:id="1669213839">
      <w:bodyDiv w:val="1"/>
      <w:marLeft w:val="0"/>
      <w:marRight w:val="0"/>
      <w:marTop w:val="0"/>
      <w:marBottom w:val="0"/>
      <w:divBdr>
        <w:top w:val="none" w:sz="0" w:space="0" w:color="auto"/>
        <w:left w:val="none" w:sz="0" w:space="0" w:color="auto"/>
        <w:bottom w:val="none" w:sz="0" w:space="0" w:color="auto"/>
        <w:right w:val="none" w:sz="0" w:space="0" w:color="auto"/>
      </w:divBdr>
    </w:div>
    <w:div w:id="1737050762">
      <w:bodyDiv w:val="1"/>
      <w:marLeft w:val="0"/>
      <w:marRight w:val="0"/>
      <w:marTop w:val="0"/>
      <w:marBottom w:val="0"/>
      <w:divBdr>
        <w:top w:val="none" w:sz="0" w:space="0" w:color="auto"/>
        <w:left w:val="none" w:sz="0" w:space="0" w:color="auto"/>
        <w:bottom w:val="none" w:sz="0" w:space="0" w:color="auto"/>
        <w:right w:val="none" w:sz="0" w:space="0" w:color="auto"/>
      </w:divBdr>
    </w:div>
    <w:div w:id="1764034265">
      <w:bodyDiv w:val="1"/>
      <w:marLeft w:val="0"/>
      <w:marRight w:val="0"/>
      <w:marTop w:val="0"/>
      <w:marBottom w:val="0"/>
      <w:divBdr>
        <w:top w:val="none" w:sz="0" w:space="0" w:color="auto"/>
        <w:left w:val="none" w:sz="0" w:space="0" w:color="auto"/>
        <w:bottom w:val="none" w:sz="0" w:space="0" w:color="auto"/>
        <w:right w:val="none" w:sz="0" w:space="0" w:color="auto"/>
      </w:divBdr>
    </w:div>
    <w:div w:id="1865241531">
      <w:bodyDiv w:val="1"/>
      <w:marLeft w:val="0"/>
      <w:marRight w:val="0"/>
      <w:marTop w:val="0"/>
      <w:marBottom w:val="0"/>
      <w:divBdr>
        <w:top w:val="none" w:sz="0" w:space="0" w:color="auto"/>
        <w:left w:val="none" w:sz="0" w:space="0" w:color="auto"/>
        <w:bottom w:val="none" w:sz="0" w:space="0" w:color="auto"/>
        <w:right w:val="none" w:sz="0" w:space="0" w:color="auto"/>
      </w:divBdr>
    </w:div>
    <w:div w:id="1875076610">
      <w:bodyDiv w:val="1"/>
      <w:marLeft w:val="0"/>
      <w:marRight w:val="0"/>
      <w:marTop w:val="0"/>
      <w:marBottom w:val="0"/>
      <w:divBdr>
        <w:top w:val="none" w:sz="0" w:space="0" w:color="auto"/>
        <w:left w:val="none" w:sz="0" w:space="0" w:color="auto"/>
        <w:bottom w:val="none" w:sz="0" w:space="0" w:color="auto"/>
        <w:right w:val="none" w:sz="0" w:space="0" w:color="auto"/>
      </w:divBdr>
    </w:div>
    <w:div w:id="1904176514">
      <w:bodyDiv w:val="1"/>
      <w:marLeft w:val="0"/>
      <w:marRight w:val="0"/>
      <w:marTop w:val="0"/>
      <w:marBottom w:val="0"/>
      <w:divBdr>
        <w:top w:val="none" w:sz="0" w:space="0" w:color="auto"/>
        <w:left w:val="none" w:sz="0" w:space="0" w:color="auto"/>
        <w:bottom w:val="none" w:sz="0" w:space="0" w:color="auto"/>
        <w:right w:val="none" w:sz="0" w:space="0" w:color="auto"/>
      </w:divBdr>
    </w:div>
    <w:div w:id="20526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m20fqj@bango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91152B99DD674CBD08DAA0DF7EC9B9" ma:contentTypeVersion="9" ma:contentTypeDescription="Create a new document." ma:contentTypeScope="" ma:versionID="51f72cb297b9b63d3376fd8626be140e">
  <xsd:schema xmlns:xsd="http://www.w3.org/2001/XMLSchema" xmlns:xs="http://www.w3.org/2001/XMLSchema" xmlns:p="http://schemas.microsoft.com/office/2006/metadata/properties" xmlns:ns3="b6b2fc42-9369-4708-af87-fe03bc67c22d" targetNamespace="http://schemas.microsoft.com/office/2006/metadata/properties" ma:root="true" ma:fieldsID="64098f19f4cc03fedff6bf52a0ab151a" ns3:_="">
    <xsd:import namespace="b6b2fc42-9369-4708-af87-fe03bc67c2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2fc42-9369-4708-af87-fe03bc67c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5A759-14B0-4D73-83ED-791C10E740E9}">
  <ds:schemaRefs>
    <ds:schemaRef ds:uri="http://schemas.openxmlformats.org/officeDocument/2006/bibliography"/>
  </ds:schemaRefs>
</ds:datastoreItem>
</file>

<file path=customXml/itemProps2.xml><?xml version="1.0" encoding="utf-8"?>
<ds:datastoreItem xmlns:ds="http://schemas.openxmlformats.org/officeDocument/2006/customXml" ds:itemID="{83D6343F-98E2-4A62-B546-21D0A7B77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C313E-28A2-4511-866F-577F0027999B}">
  <ds:schemaRefs>
    <ds:schemaRef ds:uri="http://schemas.microsoft.com/sharepoint/v3/contenttype/forms"/>
  </ds:schemaRefs>
</ds:datastoreItem>
</file>

<file path=customXml/itemProps4.xml><?xml version="1.0" encoding="utf-8"?>
<ds:datastoreItem xmlns:ds="http://schemas.openxmlformats.org/officeDocument/2006/customXml" ds:itemID="{48148B99-F79B-4581-B7FC-B541905AC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2fc42-9369-4708-af87-fe03bc67c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14248</Words>
  <Characters>412833</Characters>
  <Application>Microsoft Office Word</Application>
  <DocSecurity>0</DocSecurity>
  <Lines>3440</Lines>
  <Paragraphs>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426229</CharactersWithSpaces>
  <SharedDoc>false</SharedDoc>
  <HLinks>
    <vt:vector size="12" baseType="variant">
      <vt:variant>
        <vt:i4>3276892</vt:i4>
      </vt:variant>
      <vt:variant>
        <vt:i4>0</vt:i4>
      </vt:variant>
      <vt:variant>
        <vt:i4>0</vt:i4>
      </vt:variant>
      <vt:variant>
        <vt:i4>5</vt:i4>
      </vt:variant>
      <vt:variant>
        <vt:lpwstr>mailto:lsm20fqj@bangor.ac.uk</vt:lpwstr>
      </vt:variant>
      <vt:variant>
        <vt:lpwstr/>
      </vt:variant>
      <vt:variant>
        <vt:i4>2490488</vt:i4>
      </vt:variant>
      <vt:variant>
        <vt:i4>0</vt:i4>
      </vt:variant>
      <vt:variant>
        <vt:i4>0</vt:i4>
      </vt:variant>
      <vt:variant>
        <vt:i4>5</vt:i4>
      </vt:variant>
      <vt:variant>
        <vt:lpwstr>https://www.gov.wales/sites/default/files/publications/2021-10/net-zero-wales-summary-document.pdf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McNicol</dc:creator>
  <cp:keywords/>
  <dc:description/>
  <cp:lastModifiedBy>Louise Mcnicol</cp:lastModifiedBy>
  <cp:revision>2</cp:revision>
  <dcterms:created xsi:type="dcterms:W3CDTF">2024-01-24T10:38:00Z</dcterms:created>
  <dcterms:modified xsi:type="dcterms:W3CDTF">2024-01-24T10:38:00Z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id="tYACTS8c"/&gt;&lt;style id="http://www.zotero.org/styles/elsevier-harvard" hasBibliography="1" bibliographyStyleHasBeenSet="1"/&gt;&lt;prefs&gt;&lt;pref name="fieldType" value="Field"/&gt;&lt;/prefs&gt;&lt;/data&gt;</vt:lpwstr>
  </property>
  <property fmtid="{D5CDD505-2E9C-101B-9397-08002B2CF9AE}" pid="3" name="ContentTypeId">
    <vt:lpwstr>0x010100D791152B99DD674CBD08DAA0DF7EC9B9</vt:lpwstr>
  </property>
</Properties>
</file>