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75E0" w14:textId="77777777" w:rsidR="00FC59B5" w:rsidRPr="00FC59B5" w:rsidRDefault="00FC59B5" w:rsidP="00FC59B5">
      <w:pPr>
        <w:pStyle w:val="Heading1"/>
        <w:shd w:val="clear" w:color="auto" w:fill="FFFFFF"/>
        <w:jc w:val="center"/>
        <w:rPr>
          <w:rFonts w:ascii="Open Sans" w:hAnsi="Open Sans" w:cs="Open Sans"/>
          <w:b/>
          <w:bCs/>
          <w:color w:val="1C1D1E"/>
        </w:rPr>
      </w:pPr>
      <w:r w:rsidRPr="00FC59B5">
        <w:rPr>
          <w:rFonts w:ascii="Open Sans" w:hAnsi="Open Sans" w:cs="Open Sans"/>
          <w:b/>
          <w:bCs/>
          <w:color w:val="1C1D1E"/>
        </w:rPr>
        <w:t>Do corporate governance mechanisms and ESG disclosure drive CSR narrative tones?</w:t>
      </w:r>
    </w:p>
    <w:p w14:paraId="19284AC3" w14:textId="5B1F4308" w:rsidR="00863D8E" w:rsidRPr="00FC59B5" w:rsidRDefault="00863D8E" w:rsidP="00863D8E">
      <w:pPr>
        <w:widowControl w:val="0"/>
        <w:spacing w:after="120" w:line="360" w:lineRule="auto"/>
        <w:contextualSpacing/>
        <w:jc w:val="cente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w:t>
      </w:r>
    </w:p>
    <w:p w14:paraId="4F3E6613" w14:textId="77777777" w:rsidR="00FC59B5" w:rsidRPr="00FC59B5" w:rsidRDefault="00FC59B5" w:rsidP="00863D8E">
      <w:pPr>
        <w:widowControl w:val="0"/>
        <w:spacing w:after="120" w:line="360" w:lineRule="auto"/>
        <w:contextualSpacing/>
        <w:jc w:val="center"/>
        <w:rPr>
          <w:rFonts w:asciiTheme="majorBidi" w:hAnsiTheme="majorBidi" w:cstheme="majorBidi"/>
          <w:b/>
          <w:bCs/>
          <w:color w:val="000000" w:themeColor="text1"/>
          <w:sz w:val="24"/>
          <w:szCs w:val="24"/>
        </w:rPr>
      </w:pPr>
    </w:p>
    <w:p w14:paraId="269DD5D2" w14:textId="025D41BC" w:rsidR="00FC59B5" w:rsidRPr="00FC59B5" w:rsidRDefault="00FC59B5" w:rsidP="00863D8E">
      <w:pPr>
        <w:widowControl w:val="0"/>
        <w:spacing w:after="120" w:line="360" w:lineRule="auto"/>
        <w:contextualSpacing/>
        <w:jc w:val="center"/>
        <w:rPr>
          <w:rFonts w:asciiTheme="majorBidi" w:hAnsiTheme="majorBidi" w:cstheme="majorBidi"/>
          <w:color w:val="000000" w:themeColor="text1"/>
          <w:sz w:val="24"/>
          <w:szCs w:val="24"/>
        </w:rPr>
      </w:pPr>
      <w:proofErr w:type="spellStart"/>
      <w:r w:rsidRPr="00FC59B5">
        <w:rPr>
          <w:rFonts w:asciiTheme="majorBidi" w:hAnsiTheme="majorBidi" w:cstheme="majorBidi"/>
          <w:color w:val="000000" w:themeColor="text1"/>
          <w:sz w:val="24"/>
          <w:szCs w:val="24"/>
        </w:rPr>
        <w:t>Khaldoon</w:t>
      </w:r>
      <w:proofErr w:type="spellEnd"/>
      <w:r w:rsidRPr="00FC59B5">
        <w:rPr>
          <w:rFonts w:asciiTheme="majorBidi" w:hAnsiTheme="majorBidi" w:cstheme="majorBidi"/>
          <w:color w:val="000000" w:themeColor="text1"/>
          <w:sz w:val="24"/>
          <w:szCs w:val="24"/>
        </w:rPr>
        <w:t xml:space="preserve">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(Portsmouth University)</w:t>
      </w:r>
    </w:p>
    <w:p w14:paraId="3D8C0705" w14:textId="2165152A" w:rsidR="00FC59B5" w:rsidRPr="00FC59B5" w:rsidRDefault="00FC59B5" w:rsidP="00863D8E">
      <w:pPr>
        <w:widowControl w:val="0"/>
        <w:spacing w:after="120" w:line="360" w:lineRule="auto"/>
        <w:contextualSpacing/>
        <w:jc w:val="center"/>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Tony </w:t>
      </w:r>
      <w:proofErr w:type="spellStart"/>
      <w:r w:rsidRPr="00FC59B5">
        <w:rPr>
          <w:rFonts w:asciiTheme="majorBidi" w:hAnsiTheme="majorBidi" w:cstheme="majorBidi"/>
          <w:color w:val="000000" w:themeColor="text1"/>
          <w:sz w:val="24"/>
          <w:szCs w:val="24"/>
        </w:rPr>
        <w:t>Abdoush</w:t>
      </w:r>
      <w:proofErr w:type="spellEnd"/>
      <w:r w:rsidRPr="00FC59B5">
        <w:rPr>
          <w:rFonts w:asciiTheme="majorBidi" w:hAnsiTheme="majorBidi" w:cstheme="majorBidi"/>
          <w:color w:val="000000" w:themeColor="text1"/>
          <w:sz w:val="24"/>
          <w:szCs w:val="24"/>
        </w:rPr>
        <w:t xml:space="preserve"> (Bournemouth University)</w:t>
      </w:r>
    </w:p>
    <w:p w14:paraId="4ACF10DC" w14:textId="778033BC" w:rsidR="00FC59B5" w:rsidRPr="00FC59B5" w:rsidRDefault="00FC59B5" w:rsidP="00863D8E">
      <w:pPr>
        <w:widowControl w:val="0"/>
        <w:spacing w:after="120" w:line="360" w:lineRule="auto"/>
        <w:contextualSpacing/>
        <w:jc w:val="center"/>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Khaled Hussainey (Portsmouth University)</w:t>
      </w:r>
    </w:p>
    <w:p w14:paraId="39C8D715" w14:textId="77777777" w:rsidR="00863D8E" w:rsidRPr="00FC59B5" w:rsidRDefault="00863D8E" w:rsidP="000E04C8">
      <w:pPr>
        <w:widowControl w:val="0"/>
        <w:spacing w:after="120" w:line="360" w:lineRule="auto"/>
        <w:contextualSpacing/>
        <w:jc w:val="both"/>
        <w:rPr>
          <w:rFonts w:asciiTheme="majorBidi" w:hAnsiTheme="majorBidi" w:cstheme="majorBidi"/>
          <w:b/>
          <w:bCs/>
          <w:color w:val="000000" w:themeColor="text1"/>
          <w:sz w:val="24"/>
          <w:szCs w:val="24"/>
        </w:rPr>
      </w:pPr>
    </w:p>
    <w:p w14:paraId="68F01BF7" w14:textId="77777777" w:rsidR="00266285" w:rsidRPr="00FC59B5" w:rsidRDefault="00266285" w:rsidP="00266285">
      <w:pPr>
        <w:widowControl w:val="0"/>
        <w:spacing w:after="0" w:line="240" w:lineRule="auto"/>
        <w:jc w:val="both"/>
        <w:rPr>
          <w:rFonts w:ascii="Times New Roman" w:eastAsia="SimSun" w:hAnsi="Times New Roman" w:cs="Times New Roman"/>
          <w:b/>
          <w:bCs/>
          <w:kern w:val="2"/>
          <w:sz w:val="24"/>
          <w:szCs w:val="24"/>
          <w:lang w:val="en-US" w:eastAsia="zh-CN"/>
        </w:rPr>
      </w:pPr>
      <w:r w:rsidRPr="00FC59B5">
        <w:rPr>
          <w:rFonts w:ascii="Times New Roman" w:eastAsia="SimSun" w:hAnsi="Times New Roman" w:cs="Times New Roman"/>
          <w:b/>
          <w:bCs/>
          <w:kern w:val="2"/>
          <w:sz w:val="24"/>
          <w:szCs w:val="24"/>
          <w:lang w:val="en-US" w:eastAsia="zh-CN"/>
        </w:rPr>
        <w:t>Highlights</w:t>
      </w:r>
    </w:p>
    <w:p w14:paraId="5E6DBCAD" w14:textId="77777777" w:rsidR="00266285" w:rsidRPr="00FC59B5" w:rsidRDefault="00266285" w:rsidP="00266285">
      <w:pPr>
        <w:widowControl w:val="0"/>
        <w:spacing w:after="0" w:line="360" w:lineRule="auto"/>
        <w:jc w:val="both"/>
        <w:rPr>
          <w:rFonts w:ascii="Times New Roman" w:eastAsia="SimSun" w:hAnsi="Times New Roman" w:cs="Book Antiqua"/>
          <w:color w:val="000000"/>
          <w:sz w:val="24"/>
          <w:szCs w:val="24"/>
          <w:lang w:val="en-US" w:eastAsia="zh-CN"/>
        </w:rPr>
      </w:pPr>
    </w:p>
    <w:p w14:paraId="32EC32E8" w14:textId="77777777" w:rsidR="00BA146E" w:rsidRPr="00FC59B5" w:rsidRDefault="00BA146E" w:rsidP="00BA146E">
      <w:pPr>
        <w:pStyle w:val="ListParagraph"/>
        <w:numPr>
          <w:ilvl w:val="0"/>
          <w:numId w:val="13"/>
        </w:numPr>
        <w:spacing w:after="120" w:line="360" w:lineRule="auto"/>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We examine the underlying drivers of CSR narrative tone.</w:t>
      </w:r>
    </w:p>
    <w:p w14:paraId="2A69C400" w14:textId="77777777" w:rsidR="00BA146E" w:rsidRPr="00FC59B5" w:rsidRDefault="00BA146E" w:rsidP="00BA146E">
      <w:pPr>
        <w:pStyle w:val="ListParagraph"/>
        <w:numPr>
          <w:ilvl w:val="0"/>
          <w:numId w:val="13"/>
        </w:numPr>
        <w:spacing w:after="120" w:line="360" w:lineRule="auto"/>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Two dictionaries have been used to estimate the tone of CSR narrative tone.</w:t>
      </w:r>
    </w:p>
    <w:p w14:paraId="3691060C" w14:textId="775E8461" w:rsidR="00BA146E" w:rsidRPr="00FC59B5" w:rsidRDefault="00BA146E" w:rsidP="00BA146E">
      <w:pPr>
        <w:pStyle w:val="ListParagraph"/>
        <w:numPr>
          <w:ilvl w:val="0"/>
          <w:numId w:val="13"/>
        </w:numPr>
        <w:spacing w:after="120" w:line="360" w:lineRule="auto"/>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More independent directors lead to having </w:t>
      </w:r>
      <w:r w:rsidR="003761DA" w:rsidRPr="00FC59B5">
        <w:rPr>
          <w:rFonts w:asciiTheme="majorBidi" w:hAnsiTheme="majorBidi" w:cstheme="majorBidi"/>
          <w:color w:val="000000" w:themeColor="text1"/>
          <w:sz w:val="24"/>
          <w:szCs w:val="24"/>
        </w:rPr>
        <w:t xml:space="preserve">a </w:t>
      </w:r>
      <w:r w:rsidRPr="00FC59B5">
        <w:rPr>
          <w:rFonts w:asciiTheme="majorBidi" w:hAnsiTheme="majorBidi" w:cstheme="majorBidi"/>
          <w:color w:val="000000" w:themeColor="text1"/>
          <w:sz w:val="24"/>
          <w:szCs w:val="24"/>
        </w:rPr>
        <w:t xml:space="preserve">less optimistic CSR narrative tone. </w:t>
      </w:r>
    </w:p>
    <w:p w14:paraId="74A1D039" w14:textId="084FB055" w:rsidR="00BA146E" w:rsidRPr="00FC59B5" w:rsidRDefault="00BA146E" w:rsidP="00BA146E">
      <w:pPr>
        <w:pStyle w:val="ListParagraph"/>
        <w:numPr>
          <w:ilvl w:val="0"/>
          <w:numId w:val="13"/>
        </w:numPr>
        <w:spacing w:after="120" w:line="360" w:lineRule="auto"/>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Gender diversity has a positive impact on optimistic CSR narrative tone.</w:t>
      </w:r>
    </w:p>
    <w:p w14:paraId="7EBE210D" w14:textId="742C6140" w:rsidR="00266285" w:rsidRPr="00FC59B5" w:rsidRDefault="00BA146E" w:rsidP="004F7295">
      <w:pPr>
        <w:pStyle w:val="ListParagraph"/>
        <w:numPr>
          <w:ilvl w:val="0"/>
          <w:numId w:val="13"/>
        </w:numPr>
        <w:spacing w:after="120" w:line="360" w:lineRule="auto"/>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More ESG </w:t>
      </w:r>
      <w:r w:rsidR="004F7295" w:rsidRPr="00FC59B5">
        <w:rPr>
          <w:rFonts w:asciiTheme="majorBidi" w:hAnsiTheme="majorBidi" w:cstheme="majorBidi"/>
          <w:color w:val="000000" w:themeColor="text1"/>
          <w:sz w:val="24"/>
          <w:szCs w:val="24"/>
        </w:rPr>
        <w:t>disclosure</w:t>
      </w:r>
      <w:r w:rsidRPr="00FC59B5">
        <w:rPr>
          <w:rFonts w:asciiTheme="majorBidi" w:hAnsiTheme="majorBidi" w:cstheme="majorBidi"/>
          <w:color w:val="000000" w:themeColor="text1"/>
          <w:sz w:val="24"/>
          <w:szCs w:val="24"/>
        </w:rPr>
        <w:t xml:space="preserve"> leads to a more optimistic CSR narrative tone.</w:t>
      </w:r>
    </w:p>
    <w:p w14:paraId="5F06E3C9" w14:textId="77777777" w:rsidR="00266285" w:rsidRPr="00FC59B5" w:rsidRDefault="00266285" w:rsidP="000E04C8">
      <w:pPr>
        <w:widowControl w:val="0"/>
        <w:spacing w:after="120" w:line="360" w:lineRule="auto"/>
        <w:contextualSpacing/>
        <w:jc w:val="both"/>
        <w:rPr>
          <w:rFonts w:asciiTheme="majorBidi" w:hAnsiTheme="majorBidi" w:cstheme="majorBidi"/>
          <w:b/>
          <w:bCs/>
          <w:color w:val="000000" w:themeColor="text1"/>
          <w:sz w:val="24"/>
          <w:szCs w:val="24"/>
        </w:rPr>
      </w:pPr>
    </w:p>
    <w:p w14:paraId="265D7DCC" w14:textId="77777777" w:rsidR="000E04C8" w:rsidRPr="00FC59B5" w:rsidRDefault="000E04C8" w:rsidP="00DC7534">
      <w:pPr>
        <w:widowControl w:val="0"/>
        <w:spacing w:after="120" w:line="360" w:lineRule="auto"/>
        <w:contextualSpacing/>
        <w:jc w:val="center"/>
        <w:rPr>
          <w:rFonts w:asciiTheme="majorBidi" w:eastAsia="SimSun" w:hAnsiTheme="majorBidi" w:cstheme="majorBidi"/>
          <w:b/>
          <w:color w:val="000000" w:themeColor="text1"/>
          <w:kern w:val="2"/>
          <w:sz w:val="24"/>
          <w:szCs w:val="24"/>
          <w:lang w:val="en-US" w:eastAsia="zh-CN"/>
        </w:rPr>
      </w:pPr>
      <w:r w:rsidRPr="00FC59B5">
        <w:rPr>
          <w:rFonts w:asciiTheme="majorBidi" w:eastAsia="SimSun" w:hAnsiTheme="majorBidi" w:cstheme="majorBidi"/>
          <w:b/>
          <w:color w:val="000000" w:themeColor="text1"/>
          <w:kern w:val="2"/>
          <w:sz w:val="24"/>
          <w:szCs w:val="24"/>
          <w:lang w:val="en-US" w:eastAsia="zh-CN"/>
        </w:rPr>
        <w:t>Abstract</w:t>
      </w:r>
    </w:p>
    <w:p w14:paraId="5113BC45" w14:textId="6E426199" w:rsidR="00193D0C" w:rsidRPr="00FC59B5" w:rsidRDefault="00FC59B5" w:rsidP="00DC7534">
      <w:pPr>
        <w:widowControl w:val="0"/>
        <w:spacing w:after="0" w:line="240" w:lineRule="auto"/>
        <w:jc w:val="both"/>
        <w:rPr>
          <w:rFonts w:eastAsia="SimSun" w:cstheme="minorHAnsi"/>
          <w:b/>
          <w:kern w:val="2"/>
          <w:sz w:val="24"/>
          <w:szCs w:val="24"/>
          <w:lang w:eastAsia="zh-CN"/>
        </w:rPr>
      </w:pPr>
      <w:r w:rsidRPr="00FC59B5">
        <w:rPr>
          <w:rFonts w:cstheme="minorHAnsi"/>
          <w:color w:val="000000"/>
          <w:sz w:val="24"/>
          <w:szCs w:val="24"/>
          <w:shd w:val="clear" w:color="auto" w:fill="FFFFFF"/>
        </w:rPr>
        <w:t>This study explores the underlying drivers of the tone of corporate social responsibility (CSR) narratives by considering four corporate governance mechanisms and examining whether there is a relationship between environmental, social, and governance (ESG) disclosure and the CSR narrative tone based on a sample of UK firms from 2008 to 2017. The results show that more independent directors would lead to a less optimistic language (positive tone) and a more pessimistic language (negative tone) in the CSR report. The results also show that a higher ESG disclosure score leads to a more positive CSR narrative tone. However, gender diversity has a positive impact on the positivity of CSR tone when the ESG score is medium or high and when the board size exceeds 10 members. These findings are relevant for policymakers, investors, and firm managers. For instance, the findings inform regulators and policymakers about the relevant governance mechanisms that affect the tone of CSR reports.</w:t>
      </w:r>
    </w:p>
    <w:p w14:paraId="7D2A90AF" w14:textId="77777777" w:rsidR="00193D0C" w:rsidRPr="00FC59B5" w:rsidRDefault="00193D0C" w:rsidP="00DC7534">
      <w:pPr>
        <w:widowControl w:val="0"/>
        <w:spacing w:after="0" w:line="240" w:lineRule="auto"/>
        <w:jc w:val="both"/>
        <w:rPr>
          <w:rFonts w:asciiTheme="majorBidi" w:eastAsia="SimSun" w:hAnsiTheme="majorBidi" w:cstheme="majorBidi"/>
          <w:b/>
          <w:kern w:val="2"/>
          <w:sz w:val="24"/>
          <w:szCs w:val="24"/>
          <w:lang w:eastAsia="zh-CN"/>
        </w:rPr>
      </w:pPr>
    </w:p>
    <w:p w14:paraId="64FD7FCF" w14:textId="77777777" w:rsidR="00DC7534" w:rsidRPr="00FC59B5" w:rsidRDefault="00DC7534" w:rsidP="00DC7534">
      <w:pPr>
        <w:widowControl w:val="0"/>
        <w:spacing w:after="0" w:line="240" w:lineRule="auto"/>
        <w:jc w:val="both"/>
        <w:rPr>
          <w:rFonts w:asciiTheme="majorBidi" w:eastAsia="SimSun" w:hAnsiTheme="majorBidi" w:cstheme="majorBidi"/>
          <w:kern w:val="2"/>
          <w:sz w:val="24"/>
          <w:szCs w:val="24"/>
          <w:lang w:eastAsia="zh-CN"/>
        </w:rPr>
      </w:pPr>
      <w:r w:rsidRPr="00FC59B5">
        <w:rPr>
          <w:rFonts w:asciiTheme="majorBidi" w:eastAsia="SimSun" w:hAnsiTheme="majorBidi" w:cstheme="majorBidi"/>
          <w:b/>
          <w:bCs/>
          <w:kern w:val="2"/>
          <w:sz w:val="24"/>
          <w:szCs w:val="24"/>
          <w:lang w:eastAsia="zh-CN"/>
        </w:rPr>
        <w:t xml:space="preserve">Keywords: </w:t>
      </w:r>
      <w:r w:rsidRPr="00FC59B5">
        <w:rPr>
          <w:rFonts w:asciiTheme="majorBidi" w:hAnsiTheme="majorBidi" w:cstheme="majorBidi"/>
          <w:color w:val="000000" w:themeColor="text1"/>
          <w:sz w:val="24"/>
          <w:szCs w:val="24"/>
        </w:rPr>
        <w:t>CSR narrative tone</w:t>
      </w:r>
      <w:r w:rsidRPr="00FC59B5">
        <w:rPr>
          <w:rFonts w:asciiTheme="majorBidi" w:eastAsia="SimSun" w:hAnsiTheme="majorBidi" w:cstheme="majorBidi"/>
          <w:kern w:val="2"/>
          <w:sz w:val="24"/>
          <w:szCs w:val="24"/>
          <w:lang w:eastAsia="zh-CN"/>
        </w:rPr>
        <w:t>;</w:t>
      </w:r>
      <w:r w:rsidR="00BA146E" w:rsidRPr="00FC59B5">
        <w:rPr>
          <w:rFonts w:asciiTheme="majorBidi" w:eastAsia="SimSun" w:hAnsiTheme="majorBidi" w:cstheme="majorBidi"/>
          <w:kern w:val="2"/>
          <w:sz w:val="24"/>
          <w:szCs w:val="24"/>
          <w:lang w:eastAsia="zh-CN"/>
        </w:rPr>
        <w:t xml:space="preserve"> textual analysis;</w:t>
      </w:r>
      <w:r w:rsidRPr="00FC59B5">
        <w:rPr>
          <w:rFonts w:asciiTheme="majorBidi" w:eastAsia="SimSun" w:hAnsiTheme="majorBidi" w:cstheme="majorBidi"/>
          <w:kern w:val="2"/>
          <w:sz w:val="24"/>
          <w:szCs w:val="24"/>
          <w:lang w:eastAsia="zh-CN"/>
        </w:rPr>
        <w:t xml:space="preserve"> ESG disclosure; </w:t>
      </w:r>
      <w:r w:rsidRPr="00FC59B5">
        <w:rPr>
          <w:rFonts w:asciiTheme="majorBidi" w:hAnsiTheme="majorBidi" w:cstheme="majorBidi"/>
          <w:color w:val="000000" w:themeColor="text1"/>
          <w:sz w:val="24"/>
          <w:szCs w:val="24"/>
        </w:rPr>
        <w:t>board size, independent directors, gender diversity; audit committee</w:t>
      </w:r>
      <w:r w:rsidR="00BA146E" w:rsidRPr="00FC59B5">
        <w:rPr>
          <w:rFonts w:asciiTheme="majorBidi" w:hAnsiTheme="majorBidi" w:cstheme="majorBidi"/>
          <w:color w:val="000000" w:themeColor="text1"/>
          <w:sz w:val="24"/>
          <w:szCs w:val="24"/>
        </w:rPr>
        <w:t>.</w:t>
      </w:r>
    </w:p>
    <w:p w14:paraId="6C1D1A50" w14:textId="77777777" w:rsidR="000E04C8" w:rsidRPr="00FC59B5" w:rsidRDefault="000E04C8" w:rsidP="0057750B">
      <w:pPr>
        <w:widowControl w:val="0"/>
        <w:spacing w:after="120" w:line="360" w:lineRule="auto"/>
        <w:contextualSpacing/>
        <w:jc w:val="both"/>
        <w:rPr>
          <w:rFonts w:asciiTheme="majorBidi" w:hAnsiTheme="majorBidi" w:cstheme="majorBidi"/>
          <w:color w:val="000000" w:themeColor="text1"/>
          <w:sz w:val="24"/>
          <w:szCs w:val="24"/>
        </w:rPr>
      </w:pPr>
    </w:p>
    <w:p w14:paraId="33876167" w14:textId="77777777" w:rsidR="00D25667" w:rsidRPr="00FC59B5" w:rsidRDefault="00D25667" w:rsidP="0032728F">
      <w:pPr>
        <w:pStyle w:val="Heading1"/>
        <w:numPr>
          <w:ilvl w:val="0"/>
          <w:numId w:val="6"/>
        </w:numP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Introduction</w:t>
      </w:r>
    </w:p>
    <w:p w14:paraId="6BB08D73" w14:textId="6C2C3F50" w:rsidR="00B73DE3" w:rsidRPr="00FC59B5" w:rsidRDefault="00D25667" w:rsidP="00D853C8">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Recently, there is a growing demand for improved business reporting and the obvious focus is on encouraging companies to provide more non-financial information (</w:t>
      </w:r>
      <w:r w:rsidR="00FD0094" w:rsidRPr="00FC59B5">
        <w:rPr>
          <w:rFonts w:asciiTheme="majorBidi" w:hAnsiTheme="majorBidi" w:cstheme="majorBidi"/>
          <w:color w:val="000000" w:themeColor="text1"/>
          <w:sz w:val="24"/>
          <w:szCs w:val="24"/>
        </w:rPr>
        <w:t xml:space="preserve">Arena et al., 2015; </w:t>
      </w:r>
      <w:r w:rsidRPr="00FC59B5">
        <w:rPr>
          <w:rFonts w:asciiTheme="majorBidi" w:hAnsiTheme="majorBidi" w:cstheme="majorBidi"/>
          <w:color w:val="000000" w:themeColor="text1"/>
          <w:sz w:val="24"/>
          <w:szCs w:val="24"/>
        </w:rPr>
        <w:t xml:space="preserve">Lai et al., 2018;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et al., 2020</w:t>
      </w:r>
      <w:r w:rsidR="00F14510" w:rsidRPr="00FC59B5">
        <w:rPr>
          <w:rFonts w:asciiTheme="majorBidi" w:hAnsiTheme="majorBidi" w:cstheme="majorBidi"/>
          <w:color w:val="000000" w:themeColor="text1"/>
          <w:sz w:val="24"/>
          <w:szCs w:val="24"/>
        </w:rPr>
        <w:t>; Mughal et al., 2020</w:t>
      </w:r>
      <w:r w:rsidR="000F70C2" w:rsidRPr="00FC59B5">
        <w:rPr>
          <w:rFonts w:asciiTheme="majorBidi" w:hAnsiTheme="majorBidi" w:cstheme="majorBidi"/>
          <w:color w:val="000000" w:themeColor="text1"/>
          <w:sz w:val="24"/>
          <w:szCs w:val="24"/>
        </w:rPr>
        <w:t xml:space="preserve">; </w:t>
      </w:r>
      <w:proofErr w:type="spellStart"/>
      <w:r w:rsidR="000F70C2" w:rsidRPr="00FC59B5">
        <w:rPr>
          <w:rFonts w:asciiTheme="majorBidi" w:eastAsia="Calibri" w:hAnsiTheme="majorBidi" w:cstheme="majorBidi"/>
          <w:color w:val="000000" w:themeColor="text1"/>
          <w:sz w:val="24"/>
          <w:szCs w:val="24"/>
        </w:rPr>
        <w:t>Gerged</w:t>
      </w:r>
      <w:proofErr w:type="spellEnd"/>
      <w:r w:rsidR="000F70C2" w:rsidRPr="00FC59B5">
        <w:rPr>
          <w:rFonts w:asciiTheme="majorBidi" w:eastAsia="Calibri" w:hAnsiTheme="majorBidi" w:cstheme="majorBidi"/>
          <w:color w:val="000000" w:themeColor="text1"/>
          <w:sz w:val="24"/>
          <w:szCs w:val="24"/>
        </w:rPr>
        <w:t xml:space="preserve"> et al., 2021</w:t>
      </w:r>
      <w:r w:rsidRPr="00FC59B5">
        <w:rPr>
          <w:rFonts w:asciiTheme="majorBidi" w:hAnsiTheme="majorBidi" w:cstheme="majorBidi"/>
          <w:color w:val="000000" w:themeColor="text1"/>
          <w:sz w:val="24"/>
          <w:szCs w:val="24"/>
        </w:rPr>
        <w:t xml:space="preserve">).  Corporate </w:t>
      </w:r>
      <w:r w:rsidRPr="00FC59B5">
        <w:rPr>
          <w:rFonts w:asciiTheme="majorBidi" w:hAnsiTheme="majorBidi" w:cstheme="majorBidi"/>
          <w:color w:val="000000" w:themeColor="text1"/>
          <w:sz w:val="24"/>
          <w:szCs w:val="24"/>
        </w:rPr>
        <w:lastRenderedPageBreak/>
        <w:t>environmental and social responsibility has become an international trend as sustainability has become increasingly significant to economic development and this accompanied by the company's lack of non-financial disclosure especially that related to environmental and social responsibility information (</w:t>
      </w:r>
      <w:r w:rsidR="006724FB" w:rsidRPr="00FC59B5">
        <w:rPr>
          <w:rFonts w:asciiTheme="majorBidi" w:hAnsiTheme="majorBidi" w:cstheme="majorBidi"/>
          <w:color w:val="000000" w:themeColor="text1"/>
          <w:sz w:val="24"/>
          <w:szCs w:val="24"/>
        </w:rPr>
        <w:t>Li et al., 2020</w:t>
      </w:r>
      <w:r w:rsidRPr="00FC59B5">
        <w:rPr>
          <w:rFonts w:asciiTheme="majorBidi" w:hAnsiTheme="majorBidi" w:cstheme="majorBidi"/>
          <w:color w:val="000000" w:themeColor="text1"/>
          <w:sz w:val="24"/>
          <w:szCs w:val="24"/>
        </w:rPr>
        <w:t xml:space="preserve">;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et al., 2020</w:t>
      </w:r>
      <w:r w:rsidR="009935A5" w:rsidRPr="00FC59B5">
        <w:rPr>
          <w:rFonts w:asciiTheme="majorBidi" w:hAnsiTheme="majorBidi" w:cstheme="majorBidi"/>
          <w:color w:val="000000" w:themeColor="text1"/>
          <w:sz w:val="24"/>
          <w:szCs w:val="24"/>
        </w:rPr>
        <w:t xml:space="preserve">; </w:t>
      </w:r>
      <w:r w:rsidR="009935A5" w:rsidRPr="00FC59B5">
        <w:rPr>
          <w:rFonts w:asciiTheme="majorBidi" w:eastAsia="Calibri" w:hAnsiTheme="majorBidi" w:cstheme="majorBidi"/>
          <w:color w:val="000000" w:themeColor="text1"/>
          <w:sz w:val="24"/>
          <w:szCs w:val="24"/>
        </w:rPr>
        <w:t>Liao et al., 2020</w:t>
      </w:r>
      <w:r w:rsidR="00305737" w:rsidRPr="00FC59B5">
        <w:rPr>
          <w:rFonts w:asciiTheme="majorBidi" w:eastAsia="Calibri" w:hAnsiTheme="majorBidi" w:cstheme="majorBidi"/>
          <w:color w:val="000000" w:themeColor="text1"/>
          <w:sz w:val="24"/>
          <w:szCs w:val="24"/>
        </w:rPr>
        <w:t>; Chen et al., 2021</w:t>
      </w:r>
      <w:r w:rsidR="000F70C2" w:rsidRPr="00FC59B5">
        <w:rPr>
          <w:rFonts w:asciiTheme="majorBidi" w:eastAsia="Calibri" w:hAnsiTheme="majorBidi" w:cstheme="majorBidi"/>
          <w:color w:val="000000" w:themeColor="text1"/>
          <w:sz w:val="24"/>
          <w:szCs w:val="24"/>
        </w:rPr>
        <w:t xml:space="preserve">; </w:t>
      </w:r>
      <w:proofErr w:type="spellStart"/>
      <w:r w:rsidR="000F70C2" w:rsidRPr="00FC59B5">
        <w:rPr>
          <w:rFonts w:asciiTheme="majorBidi" w:eastAsia="Calibri" w:hAnsiTheme="majorBidi" w:cstheme="majorBidi"/>
          <w:color w:val="000000" w:themeColor="text1"/>
          <w:sz w:val="24"/>
          <w:szCs w:val="24"/>
        </w:rPr>
        <w:t>Gerged</w:t>
      </w:r>
      <w:proofErr w:type="spellEnd"/>
      <w:r w:rsidR="000F70C2" w:rsidRPr="00FC59B5">
        <w:rPr>
          <w:rFonts w:asciiTheme="majorBidi" w:eastAsia="Calibri" w:hAnsiTheme="majorBidi" w:cstheme="majorBidi"/>
          <w:color w:val="000000" w:themeColor="text1"/>
          <w:sz w:val="24"/>
          <w:szCs w:val="24"/>
        </w:rPr>
        <w:t xml:space="preserve"> et al., 2021</w:t>
      </w:r>
      <w:r w:rsidRPr="00FC59B5">
        <w:rPr>
          <w:rFonts w:asciiTheme="majorBidi" w:hAnsiTheme="majorBidi" w:cstheme="majorBidi"/>
          <w:color w:val="000000" w:themeColor="text1"/>
          <w:sz w:val="24"/>
          <w:szCs w:val="24"/>
        </w:rPr>
        <w:t>). Narrative communication plays an increasingly important role in the accountability process of corporate social responsibility (CSR) and integrated reporting (IR</w:t>
      </w:r>
      <w:proofErr w:type="gramStart"/>
      <w:r w:rsidRPr="00FC59B5">
        <w:rPr>
          <w:rFonts w:asciiTheme="majorBidi" w:hAnsiTheme="majorBidi" w:cstheme="majorBidi"/>
          <w:color w:val="000000" w:themeColor="text1"/>
          <w:sz w:val="24"/>
          <w:szCs w:val="24"/>
        </w:rPr>
        <w:t>)</w:t>
      </w:r>
      <w:proofErr w:type="gramEnd"/>
      <w:r w:rsidRPr="00FC59B5">
        <w:rPr>
          <w:rFonts w:asciiTheme="majorBidi" w:hAnsiTheme="majorBidi" w:cstheme="majorBidi"/>
          <w:color w:val="000000" w:themeColor="text1"/>
          <w:sz w:val="24"/>
          <w:szCs w:val="24"/>
        </w:rPr>
        <w:t xml:space="preserve"> and the key element of narrative style is the tone (</w:t>
      </w:r>
      <w:proofErr w:type="spellStart"/>
      <w:r w:rsidR="00D672C9" w:rsidRPr="00FC59B5">
        <w:rPr>
          <w:rFonts w:asciiTheme="majorBidi" w:hAnsiTheme="majorBidi" w:cstheme="majorBidi"/>
          <w:color w:val="000000" w:themeColor="text1"/>
          <w:sz w:val="24"/>
          <w:szCs w:val="24"/>
        </w:rPr>
        <w:t>Barkemeyer</w:t>
      </w:r>
      <w:proofErr w:type="spellEnd"/>
      <w:r w:rsidR="00D672C9" w:rsidRPr="00FC59B5">
        <w:rPr>
          <w:rFonts w:asciiTheme="majorBidi" w:hAnsiTheme="majorBidi" w:cstheme="majorBidi"/>
          <w:color w:val="000000" w:themeColor="text1"/>
          <w:sz w:val="24"/>
          <w:szCs w:val="24"/>
        </w:rPr>
        <w:t xml:space="preserve"> et al. 2014; </w:t>
      </w:r>
      <w:r w:rsidRPr="00FC59B5">
        <w:rPr>
          <w:rFonts w:asciiTheme="majorBidi" w:hAnsiTheme="majorBidi" w:cstheme="majorBidi"/>
          <w:color w:val="000000" w:themeColor="text1"/>
          <w:sz w:val="24"/>
          <w:szCs w:val="24"/>
        </w:rPr>
        <w:t>Fisher et al., 2019). In addition, textual analysis has increasingly become a new trend in accounting and finance resea</w:t>
      </w:r>
      <w:r w:rsidR="006532B0" w:rsidRPr="00FC59B5">
        <w:rPr>
          <w:rFonts w:asciiTheme="majorBidi" w:hAnsiTheme="majorBidi" w:cstheme="majorBidi"/>
          <w:color w:val="000000" w:themeColor="text1"/>
          <w:sz w:val="24"/>
          <w:szCs w:val="24"/>
        </w:rPr>
        <w:t xml:space="preserve">rch (Loughran and </w:t>
      </w:r>
      <w:proofErr w:type="spellStart"/>
      <w:r w:rsidR="006532B0" w:rsidRPr="00FC59B5">
        <w:rPr>
          <w:rFonts w:asciiTheme="majorBidi" w:hAnsiTheme="majorBidi" w:cstheme="majorBidi"/>
          <w:color w:val="000000" w:themeColor="text1"/>
          <w:sz w:val="24"/>
          <w:szCs w:val="24"/>
        </w:rPr>
        <w:t>Mcdonald</w:t>
      </w:r>
      <w:proofErr w:type="spellEnd"/>
      <w:r w:rsidR="006532B0" w:rsidRPr="00FC59B5">
        <w:rPr>
          <w:rFonts w:asciiTheme="majorBidi" w:hAnsiTheme="majorBidi" w:cstheme="majorBidi"/>
          <w:color w:val="000000" w:themeColor="text1"/>
          <w:sz w:val="24"/>
          <w:szCs w:val="24"/>
        </w:rPr>
        <w:t>, 2015</w:t>
      </w:r>
      <w:r w:rsidRPr="00FC59B5">
        <w:rPr>
          <w:rFonts w:asciiTheme="majorBidi" w:hAnsiTheme="majorBidi" w:cstheme="majorBidi"/>
          <w:color w:val="000000" w:themeColor="text1"/>
          <w:sz w:val="24"/>
          <w:szCs w:val="24"/>
        </w:rPr>
        <w:t>; Fisher et al., 2019</w:t>
      </w:r>
      <w:r w:rsidR="000F70C2" w:rsidRPr="00FC59B5">
        <w:rPr>
          <w:rFonts w:asciiTheme="majorBidi" w:hAnsiTheme="majorBidi" w:cstheme="majorBidi"/>
          <w:color w:val="000000" w:themeColor="text1"/>
          <w:sz w:val="24"/>
          <w:szCs w:val="24"/>
        </w:rPr>
        <w:t>; El-Haj et al, 2019; Lewis and Young, 2019; El-Haj et al, 2020</w:t>
      </w:r>
      <w:r w:rsidRPr="00FC59B5">
        <w:rPr>
          <w:rFonts w:asciiTheme="majorBidi" w:hAnsiTheme="majorBidi" w:cstheme="majorBidi"/>
          <w:color w:val="000000" w:themeColor="text1"/>
          <w:sz w:val="24"/>
          <w:szCs w:val="24"/>
        </w:rPr>
        <w:t>).</w:t>
      </w:r>
    </w:p>
    <w:p w14:paraId="6F2F573B" w14:textId="468A1840" w:rsidR="00D25667" w:rsidRPr="00FC59B5" w:rsidRDefault="00D25667" w:rsidP="00D672C9">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 tone is a way in which </w:t>
      </w:r>
      <w:r w:rsidR="00BE5CB4" w:rsidRPr="00FC59B5">
        <w:rPr>
          <w:rFonts w:asciiTheme="majorBidi" w:hAnsiTheme="majorBidi" w:cstheme="majorBidi"/>
          <w:color w:val="000000" w:themeColor="text1"/>
          <w:sz w:val="24"/>
          <w:szCs w:val="24"/>
        </w:rPr>
        <w:t xml:space="preserve">a </w:t>
      </w:r>
      <w:proofErr w:type="gramStart"/>
      <w:r w:rsidR="00BE5CB4" w:rsidRPr="00FC59B5">
        <w:rPr>
          <w:rFonts w:asciiTheme="majorBidi" w:hAnsiTheme="majorBidi" w:cstheme="majorBidi"/>
          <w:color w:val="000000" w:themeColor="text1"/>
          <w:sz w:val="24"/>
          <w:szCs w:val="24"/>
        </w:rPr>
        <w:t xml:space="preserve">writer </w:t>
      </w:r>
      <w:r w:rsidRPr="00FC59B5">
        <w:rPr>
          <w:rFonts w:asciiTheme="majorBidi" w:hAnsiTheme="majorBidi" w:cstheme="majorBidi"/>
          <w:color w:val="000000" w:themeColor="text1"/>
          <w:sz w:val="24"/>
          <w:szCs w:val="24"/>
        </w:rPr>
        <w:t xml:space="preserve"> can</w:t>
      </w:r>
      <w:proofErr w:type="gramEnd"/>
      <w:r w:rsidRPr="00FC59B5">
        <w:rPr>
          <w:rFonts w:asciiTheme="majorBidi" w:hAnsiTheme="majorBidi" w:cstheme="majorBidi"/>
          <w:color w:val="000000" w:themeColor="text1"/>
          <w:sz w:val="24"/>
          <w:szCs w:val="24"/>
        </w:rPr>
        <w:t xml:space="preserve"> </w:t>
      </w:r>
      <w:r w:rsidR="00BE5CB4" w:rsidRPr="00FC59B5">
        <w:rPr>
          <w:rFonts w:asciiTheme="majorBidi" w:hAnsiTheme="majorBidi" w:cstheme="majorBidi"/>
          <w:color w:val="000000" w:themeColor="text1"/>
          <w:sz w:val="24"/>
          <w:szCs w:val="24"/>
        </w:rPr>
        <w:t xml:space="preserve">use </w:t>
      </w:r>
      <w:r w:rsidRPr="00FC59B5">
        <w:rPr>
          <w:rFonts w:asciiTheme="majorBidi" w:hAnsiTheme="majorBidi" w:cstheme="majorBidi"/>
          <w:color w:val="000000" w:themeColor="text1"/>
          <w:sz w:val="24"/>
          <w:szCs w:val="24"/>
        </w:rPr>
        <w:t xml:space="preserve">narrative </w:t>
      </w:r>
      <w:r w:rsidR="00BE5CB4" w:rsidRPr="00FC59B5">
        <w:rPr>
          <w:rFonts w:asciiTheme="majorBidi" w:hAnsiTheme="majorBidi" w:cstheme="majorBidi"/>
          <w:color w:val="000000" w:themeColor="text1"/>
          <w:sz w:val="24"/>
          <w:szCs w:val="24"/>
        </w:rPr>
        <w:t>statements in a specific way (through word selection) to convey non-verbal observations about a specific subject</w:t>
      </w:r>
      <w:r w:rsidRPr="00FC59B5">
        <w:rPr>
          <w:rFonts w:asciiTheme="majorBidi" w:hAnsiTheme="majorBidi" w:cstheme="majorBidi"/>
          <w:color w:val="000000" w:themeColor="text1"/>
          <w:sz w:val="24"/>
          <w:szCs w:val="24"/>
        </w:rPr>
        <w:t xml:space="preserve">. And thus, the tone can be used to spread progressively useful </w:t>
      </w:r>
      <w:r w:rsidR="00485B7E" w:rsidRPr="00FC59B5">
        <w:rPr>
          <w:rFonts w:asciiTheme="majorBidi" w:hAnsiTheme="majorBidi" w:cstheme="majorBidi"/>
          <w:color w:val="000000" w:themeColor="text1"/>
          <w:sz w:val="24"/>
          <w:szCs w:val="24"/>
        </w:rPr>
        <w:t>information,</w:t>
      </w:r>
      <w:r w:rsidRPr="00FC59B5">
        <w:rPr>
          <w:rFonts w:asciiTheme="majorBidi" w:hAnsiTheme="majorBidi" w:cstheme="majorBidi"/>
          <w:color w:val="000000" w:themeColor="text1"/>
          <w:sz w:val="24"/>
          <w:szCs w:val="24"/>
        </w:rPr>
        <w:t xml:space="preserve"> or it can be strategically deployed to influence readers' perception (</w:t>
      </w:r>
      <w:r w:rsidR="00FD0094" w:rsidRPr="00FC59B5">
        <w:rPr>
          <w:rFonts w:asciiTheme="majorBidi" w:hAnsiTheme="majorBidi" w:cstheme="majorBidi"/>
          <w:color w:val="000000" w:themeColor="text1"/>
          <w:sz w:val="24"/>
          <w:szCs w:val="24"/>
        </w:rPr>
        <w:t xml:space="preserve">Arena et al., 2015; </w:t>
      </w:r>
      <w:r w:rsidRPr="00FC59B5">
        <w:rPr>
          <w:rFonts w:asciiTheme="majorBidi" w:hAnsiTheme="majorBidi" w:cstheme="majorBidi"/>
          <w:color w:val="000000" w:themeColor="text1"/>
          <w:sz w:val="24"/>
          <w:szCs w:val="24"/>
        </w:rPr>
        <w:t>Huang et al., 2014; Fisher et al., 2019).  The tone can also be described as a "tool" for "creating a unique social impression through word selection (Hart et al. 2013). In other words, it can be a tool for impression management.</w:t>
      </w:r>
      <w:r w:rsidR="00D672C9" w:rsidRPr="00FC59B5">
        <w:rPr>
          <w:rFonts w:asciiTheme="majorBidi" w:hAnsiTheme="majorBidi" w:cstheme="majorBidi"/>
          <w:color w:val="000000" w:themeColor="text1"/>
          <w:sz w:val="24"/>
          <w:szCs w:val="24"/>
        </w:rPr>
        <w:t xml:space="preserve"> Cho et al. (2010) conclude that worse environmental performers use language and verbal tone to bias the message presented in their financial report environmental disclosures and worse environmental performance is associated with the use of more optimistic language. </w:t>
      </w:r>
      <w:r w:rsidRPr="00FC59B5">
        <w:rPr>
          <w:rFonts w:asciiTheme="majorBidi" w:hAnsiTheme="majorBidi" w:cstheme="majorBidi"/>
          <w:color w:val="000000" w:themeColor="text1"/>
          <w:sz w:val="24"/>
          <w:szCs w:val="24"/>
        </w:rPr>
        <w:t>On the other hand, tones can be used to facilitate the communication of incrementally useful information. Despite extensive research on narrative tones in political science, communications, and other disciplines, it has recently attracted the attention of accounting and finance scholars (Fisher et al., 2019</w:t>
      </w:r>
      <w:r w:rsidR="00BE5CB4" w:rsidRPr="00FC59B5">
        <w:rPr>
          <w:rFonts w:asciiTheme="majorBidi" w:hAnsiTheme="majorBidi" w:cstheme="majorBidi"/>
          <w:color w:val="000000" w:themeColor="text1"/>
          <w:sz w:val="24"/>
          <w:szCs w:val="24"/>
        </w:rPr>
        <w:t>; El-Haj et al, 2019; Lewis and Young, 2019; El-Haj et al, 2020</w:t>
      </w:r>
      <w:r w:rsidRPr="00FC59B5">
        <w:rPr>
          <w:rFonts w:asciiTheme="majorBidi" w:hAnsiTheme="majorBidi" w:cstheme="majorBidi"/>
          <w:color w:val="000000" w:themeColor="text1"/>
          <w:sz w:val="24"/>
          <w:szCs w:val="24"/>
        </w:rPr>
        <w:t xml:space="preserve">). </w:t>
      </w:r>
      <w:r w:rsidR="00D65BD2"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 xml:space="preserve">In addition, each part of the annual report's narrative has a specific purpose of communication and displays similar content and style (Swales, 1990). Each narrative has its unique purpose of </w:t>
      </w:r>
      <w:proofErr w:type="gramStart"/>
      <w:r w:rsidRPr="00FC59B5">
        <w:rPr>
          <w:rFonts w:asciiTheme="majorBidi" w:hAnsiTheme="majorBidi" w:cstheme="majorBidi"/>
          <w:color w:val="000000" w:themeColor="text1"/>
          <w:sz w:val="24"/>
          <w:szCs w:val="24"/>
        </w:rPr>
        <w:t>communication</w:t>
      </w:r>
      <w:proofErr w:type="gramEnd"/>
      <w:r w:rsidRPr="00FC59B5">
        <w:rPr>
          <w:rFonts w:asciiTheme="majorBidi" w:hAnsiTheme="majorBidi" w:cstheme="majorBidi"/>
          <w:color w:val="000000" w:themeColor="text1"/>
          <w:sz w:val="24"/>
          <w:szCs w:val="24"/>
        </w:rPr>
        <w:t xml:space="preserve"> and it faces systematically varying degrees of restrictions and opportunities in its production process.</w:t>
      </w:r>
      <w:r w:rsidR="00BE5CB4" w:rsidRPr="00FC59B5">
        <w:rPr>
          <w:rFonts w:asciiTheme="majorBidi" w:hAnsiTheme="majorBidi" w:cstheme="majorBidi"/>
          <w:color w:val="000000" w:themeColor="text1"/>
          <w:sz w:val="24"/>
          <w:szCs w:val="24"/>
        </w:rPr>
        <w:t xml:space="preserve"> For example, CSR reports are a means of </w:t>
      </w:r>
      <w:proofErr w:type="spellStart"/>
      <w:r w:rsidR="00BE5CB4" w:rsidRPr="00FC59B5">
        <w:rPr>
          <w:rFonts w:asciiTheme="majorBidi" w:hAnsiTheme="majorBidi" w:cstheme="majorBidi"/>
          <w:color w:val="000000" w:themeColor="text1"/>
          <w:sz w:val="24"/>
          <w:szCs w:val="24"/>
        </w:rPr>
        <w:t>signaling</w:t>
      </w:r>
      <w:proofErr w:type="spellEnd"/>
      <w:r w:rsidR="00BE5CB4" w:rsidRPr="00FC59B5">
        <w:rPr>
          <w:rFonts w:asciiTheme="majorBidi" w:hAnsiTheme="majorBidi" w:cstheme="majorBidi"/>
          <w:color w:val="000000" w:themeColor="text1"/>
          <w:sz w:val="24"/>
          <w:szCs w:val="24"/>
        </w:rPr>
        <w:t xml:space="preserve"> a firm’s commitment to social and environmental practices.  </w:t>
      </w:r>
    </w:p>
    <w:p w14:paraId="0632665A" w14:textId="54EEF9B0" w:rsidR="00D65BD2" w:rsidRPr="00FC59B5" w:rsidRDefault="00D65BD2" w:rsidP="003F204E">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In addition, environmental, social and governance (ESG) disclosures help to provide greater opportunities to understand the company’s business as a major part of non-financial information. Non-financial information is also essential to assist management in achieving the </w:t>
      </w:r>
      <w:r w:rsidR="00BE5CB4" w:rsidRPr="00FC59B5">
        <w:rPr>
          <w:rFonts w:asciiTheme="majorBidi" w:hAnsiTheme="majorBidi" w:cstheme="majorBidi"/>
          <w:color w:val="000000" w:themeColor="text1"/>
          <w:sz w:val="24"/>
          <w:szCs w:val="24"/>
        </w:rPr>
        <w:t>entity’s</w:t>
      </w:r>
      <w:r w:rsidRPr="00FC59B5">
        <w:rPr>
          <w:rFonts w:asciiTheme="majorBidi" w:hAnsiTheme="majorBidi" w:cstheme="majorBidi"/>
          <w:color w:val="000000" w:themeColor="text1"/>
          <w:sz w:val="24"/>
          <w:szCs w:val="24"/>
        </w:rPr>
        <w:t xml:space="preserve"> strategic environmental goals (Li et al., 2019;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et al, 2020). In addition, ESG disclosure has become an important topic in academic research and practice as stakeholders began to raise questions about managers’ credentials in integrating environmental, social</w:t>
      </w:r>
      <w:r w:rsidR="00BE5CB4"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and </w:t>
      </w:r>
      <w:r w:rsidRPr="00FC59B5">
        <w:rPr>
          <w:rFonts w:asciiTheme="majorBidi" w:hAnsiTheme="majorBidi" w:cstheme="majorBidi"/>
          <w:color w:val="000000" w:themeColor="text1"/>
          <w:sz w:val="24"/>
          <w:szCs w:val="24"/>
        </w:rPr>
        <w:lastRenderedPageBreak/>
        <w:t xml:space="preserve">governance (ESG) considerations (Husted and Sousa-Filho, 2018;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et al, 2020). According to stakeholder and agency theories, </w:t>
      </w:r>
      <w:r w:rsidR="00BE5CB4" w:rsidRPr="00FC59B5">
        <w:rPr>
          <w:rFonts w:asciiTheme="majorBidi" w:hAnsiTheme="majorBidi" w:cstheme="majorBidi"/>
          <w:color w:val="000000" w:themeColor="text1"/>
          <w:sz w:val="24"/>
          <w:szCs w:val="24"/>
        </w:rPr>
        <w:t xml:space="preserve">a </w:t>
      </w:r>
      <w:r w:rsidRPr="00FC59B5">
        <w:rPr>
          <w:rFonts w:asciiTheme="majorBidi" w:hAnsiTheme="majorBidi" w:cstheme="majorBidi"/>
          <w:color w:val="000000" w:themeColor="text1"/>
          <w:sz w:val="24"/>
          <w:szCs w:val="24"/>
        </w:rPr>
        <w:t xml:space="preserve">company must adopt a more sustainable and long-term perspective as stakeholders are focused on companies' ESG factors to know where the firm invests and how the company conducts business (Eccles et al., 2014; </w:t>
      </w:r>
      <w:proofErr w:type="spellStart"/>
      <w:r w:rsidRPr="00FC59B5">
        <w:rPr>
          <w:rFonts w:asciiTheme="majorBidi" w:hAnsiTheme="majorBidi" w:cstheme="majorBidi"/>
          <w:color w:val="000000" w:themeColor="text1"/>
          <w:sz w:val="24"/>
          <w:szCs w:val="24"/>
        </w:rPr>
        <w:t>Atan</w:t>
      </w:r>
      <w:proofErr w:type="spellEnd"/>
      <w:r w:rsidRPr="00FC59B5">
        <w:rPr>
          <w:rFonts w:asciiTheme="majorBidi" w:hAnsiTheme="majorBidi" w:cstheme="majorBidi"/>
          <w:color w:val="000000" w:themeColor="text1"/>
          <w:sz w:val="24"/>
          <w:szCs w:val="24"/>
        </w:rPr>
        <w:t xml:space="preserve"> et al., 2018). In addition, governance mechanisms may play a crucial role in controlling CSR tone (</w:t>
      </w:r>
      <w:proofErr w:type="spellStart"/>
      <w:r w:rsidRPr="00FC59B5">
        <w:rPr>
          <w:rFonts w:asciiTheme="majorBidi" w:hAnsiTheme="majorBidi" w:cstheme="majorBidi"/>
          <w:color w:val="000000" w:themeColor="text1"/>
          <w:sz w:val="24"/>
          <w:szCs w:val="24"/>
        </w:rPr>
        <w:t>Patelli</w:t>
      </w:r>
      <w:proofErr w:type="spellEnd"/>
      <w:r w:rsidRPr="00FC59B5">
        <w:rPr>
          <w:rFonts w:asciiTheme="majorBidi" w:hAnsiTheme="majorBidi" w:cstheme="majorBidi"/>
          <w:color w:val="000000" w:themeColor="text1"/>
          <w:sz w:val="24"/>
          <w:szCs w:val="24"/>
        </w:rPr>
        <w:t xml:space="preserve"> and </w:t>
      </w:r>
      <w:proofErr w:type="spellStart"/>
      <w:r w:rsidRPr="00FC59B5">
        <w:rPr>
          <w:rFonts w:asciiTheme="majorBidi" w:hAnsiTheme="majorBidi" w:cstheme="majorBidi"/>
          <w:color w:val="000000" w:themeColor="text1"/>
          <w:sz w:val="24"/>
          <w:szCs w:val="24"/>
        </w:rPr>
        <w:t>Pedrini</w:t>
      </w:r>
      <w:proofErr w:type="spellEnd"/>
      <w:r w:rsidRPr="00FC59B5">
        <w:rPr>
          <w:rFonts w:asciiTheme="majorBidi" w:hAnsiTheme="majorBidi" w:cstheme="majorBidi"/>
          <w:color w:val="000000" w:themeColor="text1"/>
          <w:sz w:val="24"/>
          <w:szCs w:val="24"/>
        </w:rPr>
        <w:t>, 2015) and have a significant impact on ESG disclosures (</w:t>
      </w:r>
      <w:proofErr w:type="spellStart"/>
      <w:r w:rsidRPr="00FC59B5">
        <w:rPr>
          <w:rFonts w:asciiTheme="majorBidi" w:hAnsiTheme="majorBidi" w:cstheme="majorBidi"/>
          <w:color w:val="000000" w:themeColor="text1"/>
          <w:sz w:val="24"/>
          <w:szCs w:val="24"/>
        </w:rPr>
        <w:t>Allegrini</w:t>
      </w:r>
      <w:proofErr w:type="spellEnd"/>
      <w:r w:rsidRPr="00FC59B5">
        <w:rPr>
          <w:rFonts w:asciiTheme="majorBidi" w:hAnsiTheme="majorBidi" w:cstheme="majorBidi"/>
          <w:color w:val="000000" w:themeColor="text1"/>
          <w:sz w:val="24"/>
          <w:szCs w:val="24"/>
        </w:rPr>
        <w:t xml:space="preserve"> and Greco, 2011</w:t>
      </w:r>
      <w:r w:rsidR="006433E0" w:rsidRPr="00FC59B5">
        <w:rPr>
          <w:rFonts w:asciiTheme="majorBidi" w:hAnsiTheme="majorBidi" w:cstheme="majorBidi"/>
          <w:color w:val="000000" w:themeColor="text1"/>
          <w:sz w:val="24"/>
          <w:szCs w:val="24"/>
        </w:rPr>
        <w:t>; Javaid Lone et al., 2016</w:t>
      </w:r>
      <w:r w:rsidRPr="00FC59B5">
        <w:rPr>
          <w:rFonts w:asciiTheme="majorBidi" w:hAnsiTheme="majorBidi" w:cstheme="majorBidi"/>
          <w:color w:val="000000" w:themeColor="text1"/>
          <w:sz w:val="24"/>
          <w:szCs w:val="24"/>
        </w:rPr>
        <w:t xml:space="preserve">; Husted and Sousa-Filho, 2018; </w:t>
      </w:r>
      <w:proofErr w:type="spellStart"/>
      <w:r w:rsidRPr="00FC59B5">
        <w:rPr>
          <w:rFonts w:asciiTheme="majorBidi" w:hAnsiTheme="majorBidi" w:cstheme="majorBidi"/>
          <w:color w:val="000000" w:themeColor="text1"/>
          <w:sz w:val="24"/>
          <w:szCs w:val="24"/>
        </w:rPr>
        <w:t>Akben-Selcuk</w:t>
      </w:r>
      <w:proofErr w:type="spellEnd"/>
      <w:r w:rsidRPr="00FC59B5">
        <w:rPr>
          <w:rFonts w:asciiTheme="majorBidi" w:hAnsiTheme="majorBidi" w:cstheme="majorBidi"/>
          <w:color w:val="000000" w:themeColor="text1"/>
          <w:sz w:val="24"/>
          <w:szCs w:val="24"/>
        </w:rPr>
        <w:t xml:space="preserve">, 2019;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et al., 2020</w:t>
      </w:r>
      <w:r w:rsidR="009935A5" w:rsidRPr="00FC59B5">
        <w:rPr>
          <w:rFonts w:asciiTheme="majorBidi" w:hAnsiTheme="majorBidi" w:cstheme="majorBidi"/>
          <w:color w:val="000000" w:themeColor="text1"/>
          <w:sz w:val="24"/>
          <w:szCs w:val="24"/>
        </w:rPr>
        <w:t xml:space="preserve">; </w:t>
      </w:r>
      <w:proofErr w:type="spellStart"/>
      <w:r w:rsidR="009935A5" w:rsidRPr="00FC59B5">
        <w:rPr>
          <w:rFonts w:asciiTheme="majorBidi" w:eastAsia="Calibri" w:hAnsiTheme="majorBidi" w:cstheme="majorBidi"/>
          <w:color w:val="000000" w:themeColor="text1"/>
          <w:sz w:val="24"/>
          <w:szCs w:val="24"/>
        </w:rPr>
        <w:t>Gerged</w:t>
      </w:r>
      <w:proofErr w:type="spellEnd"/>
      <w:r w:rsidR="009935A5" w:rsidRPr="00FC59B5">
        <w:rPr>
          <w:rFonts w:asciiTheme="majorBidi" w:eastAsia="Calibri" w:hAnsiTheme="majorBidi" w:cstheme="majorBidi"/>
          <w:color w:val="000000" w:themeColor="text1"/>
          <w:sz w:val="24"/>
          <w:szCs w:val="24"/>
        </w:rPr>
        <w:t xml:space="preserve"> et al., 2021</w:t>
      </w:r>
      <w:r w:rsidRPr="00FC59B5">
        <w:rPr>
          <w:rFonts w:asciiTheme="majorBidi" w:hAnsiTheme="majorBidi" w:cstheme="majorBidi"/>
          <w:color w:val="000000" w:themeColor="text1"/>
          <w:sz w:val="24"/>
          <w:szCs w:val="24"/>
        </w:rPr>
        <w:t xml:space="preserve">). </w:t>
      </w:r>
    </w:p>
    <w:p w14:paraId="568D3E2C" w14:textId="053D1351" w:rsidR="00D65BD2" w:rsidRPr="00FC59B5" w:rsidRDefault="00D65BD2" w:rsidP="00CC02DE">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Tucker</w:t>
      </w:r>
      <w:r w:rsidR="00BE5CB4"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2015</w:t>
      </w:r>
      <w:r w:rsidR="00BE5CB4"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w:t>
      </w:r>
      <w:proofErr w:type="gramStart"/>
      <w:r w:rsidRPr="00FC59B5">
        <w:rPr>
          <w:rFonts w:asciiTheme="majorBidi" w:hAnsiTheme="majorBidi" w:cstheme="majorBidi"/>
          <w:color w:val="000000" w:themeColor="text1"/>
          <w:sz w:val="24"/>
          <w:szCs w:val="24"/>
        </w:rPr>
        <w:t>point</w:t>
      </w:r>
      <w:proofErr w:type="gramEnd"/>
      <w:r w:rsidRPr="00FC59B5">
        <w:rPr>
          <w:rFonts w:asciiTheme="majorBidi" w:hAnsiTheme="majorBidi" w:cstheme="majorBidi"/>
          <w:color w:val="000000" w:themeColor="text1"/>
          <w:sz w:val="24"/>
          <w:szCs w:val="24"/>
        </w:rPr>
        <w:t xml:space="preserve"> out that managers have a greater impact on disclosure tone than over numeric reporting. </w:t>
      </w:r>
      <w:proofErr w:type="spellStart"/>
      <w:r w:rsidRPr="00FC59B5">
        <w:rPr>
          <w:rFonts w:asciiTheme="majorBidi" w:hAnsiTheme="majorBidi" w:cstheme="majorBidi"/>
          <w:color w:val="000000" w:themeColor="text1"/>
          <w:sz w:val="24"/>
          <w:szCs w:val="24"/>
        </w:rPr>
        <w:t>Patelli</w:t>
      </w:r>
      <w:proofErr w:type="spellEnd"/>
      <w:r w:rsidRPr="00FC59B5">
        <w:rPr>
          <w:rFonts w:asciiTheme="majorBidi" w:hAnsiTheme="majorBidi" w:cstheme="majorBidi"/>
          <w:color w:val="000000" w:themeColor="text1"/>
          <w:sz w:val="24"/>
          <w:szCs w:val="24"/>
        </w:rPr>
        <w:t xml:space="preserve"> and </w:t>
      </w:r>
      <w:proofErr w:type="spellStart"/>
      <w:r w:rsidRPr="00FC59B5">
        <w:rPr>
          <w:rFonts w:asciiTheme="majorBidi" w:hAnsiTheme="majorBidi" w:cstheme="majorBidi"/>
          <w:color w:val="000000" w:themeColor="text1"/>
          <w:sz w:val="24"/>
          <w:szCs w:val="24"/>
        </w:rPr>
        <w:t>Pedrini</w:t>
      </w:r>
      <w:proofErr w:type="spellEnd"/>
      <w:r w:rsidRPr="00FC59B5">
        <w:rPr>
          <w:rFonts w:asciiTheme="majorBidi" w:hAnsiTheme="majorBidi" w:cstheme="majorBidi"/>
          <w:color w:val="000000" w:themeColor="text1"/>
          <w:sz w:val="24"/>
          <w:szCs w:val="24"/>
        </w:rPr>
        <w:t xml:space="preserve"> (2015) recommend that the board of directors and the CEO determine the tone of the disclosure and aggressive financial reporting is correlated with resolute, complex, and not engaging language. They believe that the tone of the CEO's speech is a basic way for directors to establish leadership. Also, </w:t>
      </w:r>
      <w:proofErr w:type="spellStart"/>
      <w:r w:rsidRPr="00FC59B5">
        <w:rPr>
          <w:rFonts w:asciiTheme="majorBidi" w:hAnsiTheme="majorBidi" w:cstheme="majorBidi"/>
          <w:color w:val="000000" w:themeColor="text1"/>
          <w:sz w:val="24"/>
          <w:szCs w:val="24"/>
        </w:rPr>
        <w:t>Bozzolan</w:t>
      </w:r>
      <w:proofErr w:type="spellEnd"/>
      <w:r w:rsidRPr="00FC59B5">
        <w:rPr>
          <w:rFonts w:asciiTheme="majorBidi" w:hAnsiTheme="majorBidi" w:cstheme="majorBidi"/>
          <w:color w:val="000000" w:themeColor="text1"/>
          <w:sz w:val="24"/>
          <w:szCs w:val="24"/>
        </w:rPr>
        <w:t xml:space="preserve"> et al</w:t>
      </w:r>
      <w:r w:rsidR="00BE5CB4"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2015</w:t>
      </w:r>
      <w:r w:rsidR="00BE5CB4"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report that the management of Fiat Group uses disclosure tone strategically to implement different disclosure ways to communicate with different stakeholders with different levels of salience and optimism. Thus, existing literature implies that management and directors help set </w:t>
      </w:r>
      <w:r w:rsidR="00BE5CB4" w:rsidRPr="00FC59B5">
        <w:rPr>
          <w:rFonts w:asciiTheme="majorBidi" w:hAnsiTheme="majorBidi" w:cstheme="majorBidi"/>
          <w:color w:val="000000" w:themeColor="text1"/>
          <w:sz w:val="24"/>
          <w:szCs w:val="24"/>
        </w:rPr>
        <w:t xml:space="preserve">the </w:t>
      </w:r>
      <w:r w:rsidRPr="00FC59B5">
        <w:rPr>
          <w:rFonts w:asciiTheme="majorBidi" w:hAnsiTheme="majorBidi" w:cstheme="majorBidi"/>
          <w:color w:val="000000" w:themeColor="text1"/>
          <w:sz w:val="24"/>
          <w:szCs w:val="24"/>
        </w:rPr>
        <w:t>disclosure tone.</w:t>
      </w:r>
    </w:p>
    <w:p w14:paraId="65170247" w14:textId="0F391148" w:rsidR="0001411C" w:rsidRPr="00FC59B5" w:rsidRDefault="008E753F">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C</w:t>
      </w:r>
      <w:r w:rsidR="008423BC" w:rsidRPr="00FC59B5">
        <w:rPr>
          <w:rFonts w:asciiTheme="majorBidi" w:hAnsiTheme="majorBidi" w:cstheme="majorBidi"/>
          <w:color w:val="000000" w:themeColor="text1"/>
          <w:sz w:val="24"/>
          <w:szCs w:val="24"/>
        </w:rPr>
        <w:t xml:space="preserve">orporate governance mechanisms </w:t>
      </w:r>
      <w:r w:rsidRPr="00FC59B5">
        <w:rPr>
          <w:rFonts w:asciiTheme="majorBidi" w:hAnsiTheme="majorBidi" w:cstheme="majorBidi"/>
          <w:color w:val="000000" w:themeColor="text1"/>
          <w:sz w:val="24"/>
          <w:szCs w:val="24"/>
        </w:rPr>
        <w:t>could affect</w:t>
      </w:r>
      <w:r w:rsidR="008423BC" w:rsidRPr="00FC59B5">
        <w:rPr>
          <w:rFonts w:asciiTheme="majorBidi" w:hAnsiTheme="majorBidi" w:cstheme="majorBidi"/>
          <w:color w:val="000000" w:themeColor="text1"/>
          <w:sz w:val="24"/>
          <w:szCs w:val="24"/>
        </w:rPr>
        <w:t xml:space="preserve"> CSR tone and ESG disclosures because strong corporate governance can affect decision-making on the company policies related to ESG disclosure</w:t>
      </w:r>
      <w:r w:rsidRPr="00FC59B5">
        <w:rPr>
          <w:rFonts w:asciiTheme="majorBidi" w:hAnsiTheme="majorBidi" w:cstheme="majorBidi"/>
          <w:color w:val="000000" w:themeColor="text1"/>
          <w:sz w:val="24"/>
          <w:szCs w:val="24"/>
        </w:rPr>
        <w:t xml:space="preserve"> practice</w:t>
      </w:r>
      <w:r w:rsidR="008423BC" w:rsidRPr="00FC59B5">
        <w:rPr>
          <w:rFonts w:asciiTheme="majorBidi" w:hAnsiTheme="majorBidi" w:cstheme="majorBidi"/>
          <w:color w:val="000000" w:themeColor="text1"/>
          <w:sz w:val="24"/>
          <w:szCs w:val="24"/>
        </w:rPr>
        <w:t xml:space="preserve"> (Dam and </w:t>
      </w:r>
      <w:proofErr w:type="spellStart"/>
      <w:r w:rsidR="008423BC" w:rsidRPr="00FC59B5">
        <w:rPr>
          <w:rFonts w:asciiTheme="majorBidi" w:hAnsiTheme="majorBidi" w:cstheme="majorBidi"/>
          <w:color w:val="000000" w:themeColor="text1"/>
          <w:sz w:val="24"/>
          <w:szCs w:val="24"/>
        </w:rPr>
        <w:t>Scholtens</w:t>
      </w:r>
      <w:proofErr w:type="spellEnd"/>
      <w:r w:rsidR="008423BC" w:rsidRPr="00FC59B5">
        <w:rPr>
          <w:rFonts w:asciiTheme="majorBidi" w:hAnsiTheme="majorBidi" w:cstheme="majorBidi"/>
          <w:color w:val="000000" w:themeColor="text1"/>
          <w:sz w:val="24"/>
          <w:szCs w:val="24"/>
        </w:rPr>
        <w:t xml:space="preserve">, 2013; </w:t>
      </w:r>
      <w:proofErr w:type="spellStart"/>
      <w:r w:rsidR="008423BC" w:rsidRPr="00FC59B5">
        <w:rPr>
          <w:rFonts w:asciiTheme="majorBidi" w:hAnsiTheme="majorBidi" w:cstheme="majorBidi"/>
          <w:color w:val="000000" w:themeColor="text1"/>
          <w:sz w:val="24"/>
          <w:szCs w:val="24"/>
        </w:rPr>
        <w:t>Akben-Selcuk</w:t>
      </w:r>
      <w:proofErr w:type="spellEnd"/>
      <w:r w:rsidR="008423BC" w:rsidRPr="00FC59B5">
        <w:rPr>
          <w:rFonts w:asciiTheme="majorBidi" w:hAnsiTheme="majorBidi" w:cstheme="majorBidi"/>
          <w:color w:val="000000" w:themeColor="text1"/>
          <w:sz w:val="24"/>
          <w:szCs w:val="24"/>
        </w:rPr>
        <w:t xml:space="preserve">, 2019; </w:t>
      </w:r>
      <w:proofErr w:type="spellStart"/>
      <w:r w:rsidR="008423BC" w:rsidRPr="00FC59B5">
        <w:rPr>
          <w:rFonts w:asciiTheme="majorBidi" w:hAnsiTheme="majorBidi" w:cstheme="majorBidi"/>
          <w:color w:val="000000" w:themeColor="text1"/>
          <w:sz w:val="24"/>
          <w:szCs w:val="24"/>
        </w:rPr>
        <w:t>Albitar</w:t>
      </w:r>
      <w:proofErr w:type="spellEnd"/>
      <w:r w:rsidR="008423BC" w:rsidRPr="00FC59B5">
        <w:rPr>
          <w:rFonts w:asciiTheme="majorBidi" w:hAnsiTheme="majorBidi" w:cstheme="majorBidi"/>
          <w:color w:val="000000" w:themeColor="text1"/>
          <w:sz w:val="24"/>
          <w:szCs w:val="24"/>
        </w:rPr>
        <w:t xml:space="preserve"> et al., </w:t>
      </w:r>
      <w:r w:rsidRPr="00FC59B5">
        <w:rPr>
          <w:rFonts w:asciiTheme="majorBidi" w:hAnsiTheme="majorBidi" w:cstheme="majorBidi"/>
          <w:color w:val="000000" w:themeColor="text1"/>
          <w:sz w:val="24"/>
          <w:szCs w:val="24"/>
        </w:rPr>
        <w:t>2020)</w:t>
      </w:r>
      <w:r w:rsidR="008423BC" w:rsidRPr="00FC59B5">
        <w:rPr>
          <w:rFonts w:asciiTheme="majorBidi" w:hAnsiTheme="majorBidi" w:cstheme="majorBidi"/>
          <w:color w:val="000000" w:themeColor="text1"/>
          <w:sz w:val="24"/>
          <w:szCs w:val="24"/>
        </w:rPr>
        <w:t xml:space="preserve"> and research on how corporate governance mechanisms affect CSR tone is very rare (Fisher et al., 2019). Previous research has focused on the relationship between corporate governance mechanisms and risk disclosure (</w:t>
      </w:r>
      <w:proofErr w:type="spellStart"/>
      <w:r w:rsidR="008423BC" w:rsidRPr="00FC59B5">
        <w:rPr>
          <w:rFonts w:asciiTheme="majorBidi" w:hAnsiTheme="majorBidi" w:cstheme="majorBidi"/>
          <w:color w:val="000000" w:themeColor="text1"/>
          <w:sz w:val="24"/>
          <w:szCs w:val="24"/>
        </w:rPr>
        <w:t>Elshandidy</w:t>
      </w:r>
      <w:proofErr w:type="spellEnd"/>
      <w:r w:rsidR="00A16457" w:rsidRPr="00FC59B5">
        <w:rPr>
          <w:rFonts w:asciiTheme="majorBidi" w:hAnsiTheme="majorBidi" w:cstheme="majorBidi"/>
          <w:color w:val="000000" w:themeColor="text1"/>
          <w:sz w:val="24"/>
          <w:szCs w:val="24"/>
        </w:rPr>
        <w:t xml:space="preserve"> and Nero, 2015; </w:t>
      </w:r>
      <w:proofErr w:type="spellStart"/>
      <w:r w:rsidR="008423BC" w:rsidRPr="00FC59B5">
        <w:rPr>
          <w:rFonts w:asciiTheme="majorBidi" w:hAnsiTheme="majorBidi" w:cstheme="majorBidi"/>
          <w:color w:val="000000" w:themeColor="text1"/>
          <w:sz w:val="24"/>
          <w:szCs w:val="24"/>
        </w:rPr>
        <w:t>Allini</w:t>
      </w:r>
      <w:proofErr w:type="spellEnd"/>
      <w:r w:rsidR="008423BC" w:rsidRPr="00FC59B5">
        <w:rPr>
          <w:rFonts w:asciiTheme="majorBidi" w:hAnsiTheme="majorBidi" w:cstheme="majorBidi"/>
          <w:color w:val="000000" w:themeColor="text1"/>
          <w:sz w:val="24"/>
          <w:szCs w:val="24"/>
        </w:rPr>
        <w:t xml:space="preserve"> et al., 2016; </w:t>
      </w:r>
      <w:r w:rsidRPr="00FC59B5">
        <w:rPr>
          <w:rFonts w:asciiTheme="majorBidi" w:hAnsiTheme="majorBidi" w:cstheme="majorBidi"/>
          <w:color w:val="000000" w:themeColor="text1"/>
          <w:sz w:val="24"/>
          <w:szCs w:val="24"/>
        </w:rPr>
        <w:t xml:space="preserve">Haj </w:t>
      </w:r>
      <w:r w:rsidR="008423BC" w:rsidRPr="00FC59B5">
        <w:rPr>
          <w:rFonts w:asciiTheme="majorBidi" w:hAnsiTheme="majorBidi" w:cstheme="majorBidi"/>
          <w:color w:val="000000" w:themeColor="text1"/>
          <w:sz w:val="24"/>
          <w:szCs w:val="24"/>
        </w:rPr>
        <w:t xml:space="preserve">Salem et al. </w:t>
      </w:r>
      <w:r w:rsidRPr="00FC59B5">
        <w:rPr>
          <w:rFonts w:asciiTheme="majorBidi" w:hAnsiTheme="majorBidi" w:cstheme="majorBidi"/>
          <w:color w:val="000000" w:themeColor="text1"/>
          <w:sz w:val="24"/>
          <w:szCs w:val="24"/>
        </w:rPr>
        <w:t>2019)</w:t>
      </w:r>
      <w:r w:rsidR="008423BC" w:rsidRPr="00FC59B5">
        <w:rPr>
          <w:rFonts w:asciiTheme="majorBidi" w:hAnsiTheme="majorBidi" w:cstheme="majorBidi"/>
          <w:color w:val="000000" w:themeColor="text1"/>
          <w:sz w:val="24"/>
          <w:szCs w:val="24"/>
        </w:rPr>
        <w:t xml:space="preserve"> Or governance mechanisms and forward-looking disclosure (Wang and Hussainey, 2013</w:t>
      </w:r>
      <w:r w:rsidRPr="00FC59B5">
        <w:rPr>
          <w:rFonts w:asciiTheme="majorBidi" w:hAnsiTheme="majorBidi" w:cstheme="majorBidi"/>
          <w:color w:val="000000" w:themeColor="text1"/>
          <w:sz w:val="24"/>
          <w:szCs w:val="24"/>
        </w:rPr>
        <w:t xml:space="preserve">; Al </w:t>
      </w:r>
      <w:proofErr w:type="spellStart"/>
      <w:r w:rsidRPr="00FC59B5">
        <w:rPr>
          <w:rFonts w:asciiTheme="majorBidi" w:hAnsiTheme="majorBidi" w:cstheme="majorBidi"/>
          <w:color w:val="000000" w:themeColor="text1"/>
          <w:sz w:val="24"/>
          <w:szCs w:val="24"/>
        </w:rPr>
        <w:t>Lawati</w:t>
      </w:r>
      <w:proofErr w:type="spellEnd"/>
      <w:r w:rsidRPr="00FC59B5">
        <w:rPr>
          <w:rFonts w:asciiTheme="majorBidi" w:hAnsiTheme="majorBidi" w:cstheme="majorBidi"/>
          <w:color w:val="000000" w:themeColor="text1"/>
          <w:sz w:val="24"/>
          <w:szCs w:val="24"/>
        </w:rPr>
        <w:t xml:space="preserve"> and Hussainey, 2020; Al </w:t>
      </w:r>
      <w:proofErr w:type="spellStart"/>
      <w:r w:rsidRPr="00FC59B5">
        <w:rPr>
          <w:rFonts w:asciiTheme="majorBidi" w:hAnsiTheme="majorBidi" w:cstheme="majorBidi"/>
          <w:color w:val="000000" w:themeColor="text1"/>
          <w:sz w:val="24"/>
          <w:szCs w:val="24"/>
        </w:rPr>
        <w:t>Lawati</w:t>
      </w:r>
      <w:proofErr w:type="spellEnd"/>
      <w:r w:rsidRPr="00FC59B5">
        <w:rPr>
          <w:rFonts w:asciiTheme="majorBidi" w:hAnsiTheme="majorBidi" w:cstheme="majorBidi"/>
          <w:color w:val="000000" w:themeColor="text1"/>
          <w:sz w:val="24"/>
          <w:szCs w:val="24"/>
        </w:rPr>
        <w:t xml:space="preserve"> et al, 2021</w:t>
      </w:r>
      <w:r w:rsidR="008423BC" w:rsidRPr="00FC59B5">
        <w:rPr>
          <w:rFonts w:asciiTheme="majorBidi" w:hAnsiTheme="majorBidi" w:cstheme="majorBidi"/>
          <w:color w:val="000000" w:themeColor="text1"/>
          <w:sz w:val="24"/>
          <w:szCs w:val="24"/>
        </w:rPr>
        <w:t xml:space="preserve">) or on the consequences of disclosure and </w:t>
      </w:r>
      <w:r w:rsidRPr="00FC59B5">
        <w:rPr>
          <w:rFonts w:asciiTheme="majorBidi" w:hAnsiTheme="majorBidi" w:cstheme="majorBidi"/>
          <w:color w:val="000000" w:themeColor="text1"/>
          <w:sz w:val="24"/>
          <w:szCs w:val="24"/>
        </w:rPr>
        <w:t xml:space="preserve">its </w:t>
      </w:r>
      <w:r w:rsidR="008423BC" w:rsidRPr="00FC59B5">
        <w:rPr>
          <w:rFonts w:asciiTheme="majorBidi" w:hAnsiTheme="majorBidi" w:cstheme="majorBidi"/>
          <w:color w:val="000000" w:themeColor="text1"/>
          <w:sz w:val="24"/>
          <w:szCs w:val="24"/>
        </w:rPr>
        <w:t xml:space="preserve">tone (Schleicher and Walker 2010; Price et al. 2012; Huang et al. 2014; Aly et al, 2018; Fisher et al, 2019). Research on the impact of corporate governance mechanisms on the tone of disclosure is very limited, especially studies related to CSR disclosure tone (Marquez </w:t>
      </w:r>
      <w:proofErr w:type="spellStart"/>
      <w:r w:rsidR="008423BC" w:rsidRPr="00FC59B5">
        <w:rPr>
          <w:rFonts w:asciiTheme="majorBidi" w:hAnsiTheme="majorBidi" w:cstheme="majorBidi"/>
          <w:color w:val="000000" w:themeColor="text1"/>
          <w:sz w:val="24"/>
          <w:szCs w:val="24"/>
        </w:rPr>
        <w:t>Illescas</w:t>
      </w:r>
      <w:proofErr w:type="spellEnd"/>
      <w:r w:rsidR="008423BC" w:rsidRPr="00FC59B5">
        <w:rPr>
          <w:rFonts w:asciiTheme="majorBidi" w:hAnsiTheme="majorBidi" w:cstheme="majorBidi"/>
          <w:color w:val="000000" w:themeColor="text1"/>
          <w:sz w:val="24"/>
          <w:szCs w:val="24"/>
        </w:rPr>
        <w:t xml:space="preserve"> et al, 2018; </w:t>
      </w:r>
      <w:proofErr w:type="spellStart"/>
      <w:r w:rsidR="008423BC" w:rsidRPr="00FC59B5">
        <w:rPr>
          <w:rFonts w:asciiTheme="majorBidi" w:hAnsiTheme="majorBidi" w:cstheme="majorBidi"/>
          <w:color w:val="000000" w:themeColor="text1"/>
          <w:sz w:val="24"/>
          <w:szCs w:val="24"/>
        </w:rPr>
        <w:t>Martikainen</w:t>
      </w:r>
      <w:proofErr w:type="spellEnd"/>
      <w:r w:rsidR="008423BC" w:rsidRPr="00FC59B5">
        <w:rPr>
          <w:rFonts w:asciiTheme="majorBidi" w:hAnsiTheme="majorBidi" w:cstheme="majorBidi"/>
          <w:color w:val="000000" w:themeColor="text1"/>
          <w:sz w:val="24"/>
          <w:szCs w:val="24"/>
        </w:rPr>
        <w:t xml:space="preserve"> et al</w:t>
      </w:r>
      <w:r w:rsidR="00164ADC" w:rsidRPr="00FC59B5">
        <w:rPr>
          <w:rFonts w:asciiTheme="majorBidi" w:hAnsiTheme="majorBidi" w:cstheme="majorBidi"/>
          <w:color w:val="000000" w:themeColor="text1"/>
          <w:sz w:val="24"/>
          <w:szCs w:val="24"/>
        </w:rPr>
        <w:t>, 2019</w:t>
      </w:r>
      <w:r w:rsidR="008423BC" w:rsidRPr="00FC59B5">
        <w:rPr>
          <w:rFonts w:asciiTheme="majorBidi" w:hAnsiTheme="majorBidi" w:cstheme="majorBidi"/>
          <w:color w:val="000000" w:themeColor="text1"/>
          <w:sz w:val="24"/>
          <w:szCs w:val="24"/>
        </w:rPr>
        <w:t xml:space="preserve">). Therefore, from a business ethics perspective, </w:t>
      </w:r>
      <w:r w:rsidRPr="00FC59B5">
        <w:rPr>
          <w:rFonts w:asciiTheme="majorBidi" w:hAnsiTheme="majorBidi" w:cstheme="majorBidi"/>
          <w:color w:val="000000" w:themeColor="text1"/>
          <w:sz w:val="24"/>
          <w:szCs w:val="24"/>
        </w:rPr>
        <w:t xml:space="preserve">as companies disclosure information to better inform stakeholders, it is important to examine the tone of this information and what drives this type of </w:t>
      </w:r>
      <w:proofErr w:type="gramStart"/>
      <w:r w:rsidRPr="00FC59B5">
        <w:rPr>
          <w:rFonts w:asciiTheme="majorBidi" w:hAnsiTheme="majorBidi" w:cstheme="majorBidi"/>
          <w:color w:val="000000" w:themeColor="text1"/>
          <w:sz w:val="24"/>
          <w:szCs w:val="24"/>
        </w:rPr>
        <w:t>information</w:t>
      </w:r>
      <w:r w:rsidR="008423BC" w:rsidRPr="00FC59B5">
        <w:rPr>
          <w:rFonts w:asciiTheme="majorBidi" w:hAnsiTheme="majorBidi" w:cstheme="majorBidi"/>
          <w:color w:val="000000" w:themeColor="text1"/>
          <w:sz w:val="24"/>
          <w:szCs w:val="24"/>
        </w:rPr>
        <w:t>(</w:t>
      </w:r>
      <w:proofErr w:type="gramEnd"/>
      <w:r w:rsidR="00FD0094" w:rsidRPr="00FC59B5">
        <w:rPr>
          <w:rFonts w:asciiTheme="majorBidi" w:hAnsiTheme="majorBidi" w:cstheme="majorBidi"/>
          <w:color w:val="000000" w:themeColor="text1"/>
          <w:sz w:val="24"/>
          <w:szCs w:val="24"/>
        </w:rPr>
        <w:t xml:space="preserve">Arena et al., 2015; </w:t>
      </w:r>
      <w:r w:rsidR="00164ADC" w:rsidRPr="00FC59B5">
        <w:rPr>
          <w:rFonts w:asciiTheme="majorBidi" w:hAnsiTheme="majorBidi" w:cstheme="majorBidi"/>
          <w:color w:val="000000" w:themeColor="text1"/>
          <w:sz w:val="24"/>
          <w:szCs w:val="24"/>
        </w:rPr>
        <w:t xml:space="preserve">Marquez </w:t>
      </w:r>
      <w:proofErr w:type="spellStart"/>
      <w:r w:rsidR="00164ADC" w:rsidRPr="00FC59B5">
        <w:rPr>
          <w:rFonts w:asciiTheme="majorBidi" w:hAnsiTheme="majorBidi" w:cstheme="majorBidi"/>
          <w:color w:val="000000" w:themeColor="text1"/>
          <w:sz w:val="24"/>
          <w:szCs w:val="24"/>
        </w:rPr>
        <w:t>Illescas</w:t>
      </w:r>
      <w:proofErr w:type="spellEnd"/>
      <w:r w:rsidR="00164ADC" w:rsidRPr="00FC59B5">
        <w:rPr>
          <w:rFonts w:asciiTheme="majorBidi" w:hAnsiTheme="majorBidi" w:cstheme="majorBidi"/>
          <w:color w:val="000000" w:themeColor="text1"/>
          <w:sz w:val="24"/>
          <w:szCs w:val="24"/>
        </w:rPr>
        <w:t xml:space="preserve"> e</w:t>
      </w:r>
      <w:r w:rsidR="008423BC" w:rsidRPr="00FC59B5">
        <w:rPr>
          <w:rFonts w:asciiTheme="majorBidi" w:hAnsiTheme="majorBidi" w:cstheme="majorBidi"/>
          <w:color w:val="000000" w:themeColor="text1"/>
          <w:sz w:val="24"/>
          <w:szCs w:val="24"/>
        </w:rPr>
        <w:t xml:space="preserve">t al., 2018; </w:t>
      </w:r>
      <w:proofErr w:type="spellStart"/>
      <w:r w:rsidR="008423BC" w:rsidRPr="00FC59B5">
        <w:rPr>
          <w:rFonts w:asciiTheme="majorBidi" w:hAnsiTheme="majorBidi" w:cstheme="majorBidi"/>
          <w:color w:val="000000" w:themeColor="text1"/>
          <w:sz w:val="24"/>
          <w:szCs w:val="24"/>
        </w:rPr>
        <w:t>Martikainen</w:t>
      </w:r>
      <w:proofErr w:type="spellEnd"/>
      <w:r w:rsidR="008423BC" w:rsidRPr="00FC59B5">
        <w:rPr>
          <w:rFonts w:asciiTheme="majorBidi" w:hAnsiTheme="majorBidi" w:cstheme="majorBidi"/>
          <w:color w:val="000000" w:themeColor="text1"/>
          <w:sz w:val="24"/>
          <w:szCs w:val="24"/>
        </w:rPr>
        <w:t xml:space="preserve"> et al, 2019).</w:t>
      </w:r>
      <w:r w:rsidR="0012072A" w:rsidRPr="00FC59B5">
        <w:rPr>
          <w:rFonts w:asciiTheme="majorBidi" w:hAnsiTheme="majorBidi" w:cstheme="majorBidi"/>
          <w:color w:val="000000" w:themeColor="text1"/>
          <w:sz w:val="24"/>
          <w:szCs w:val="24"/>
        </w:rPr>
        <w:t xml:space="preserve"> Also, managers may tend to increase the level of ESG disclosure to </w:t>
      </w:r>
      <w:proofErr w:type="spellStart"/>
      <w:r w:rsidR="0012072A" w:rsidRPr="00FC59B5">
        <w:rPr>
          <w:rFonts w:asciiTheme="majorBidi" w:hAnsiTheme="majorBidi" w:cstheme="majorBidi"/>
          <w:color w:val="000000" w:themeColor="text1"/>
          <w:sz w:val="24"/>
          <w:szCs w:val="24"/>
        </w:rPr>
        <w:t>fulfil</w:t>
      </w:r>
      <w:r w:rsidR="00CB04CE" w:rsidRPr="00FC59B5">
        <w:rPr>
          <w:rFonts w:asciiTheme="majorBidi" w:hAnsiTheme="majorBidi" w:cstheme="majorBidi"/>
          <w:color w:val="000000" w:themeColor="text1"/>
          <w:sz w:val="24"/>
          <w:szCs w:val="24"/>
        </w:rPr>
        <w:t>l</w:t>
      </w:r>
      <w:proofErr w:type="spellEnd"/>
      <w:r w:rsidR="0012072A" w:rsidRPr="00FC59B5">
        <w:rPr>
          <w:rFonts w:asciiTheme="majorBidi" w:hAnsiTheme="majorBidi" w:cstheme="majorBidi"/>
          <w:color w:val="000000" w:themeColor="text1"/>
          <w:sz w:val="24"/>
          <w:szCs w:val="24"/>
        </w:rPr>
        <w:t xml:space="preserve"> stakeholders' needs. This will reduce information asymmetry and lead to more recognition of management efforts. Further, managers may </w:t>
      </w:r>
      <w:r w:rsidR="0012072A" w:rsidRPr="00FC59B5">
        <w:rPr>
          <w:rFonts w:asciiTheme="majorBidi" w:hAnsiTheme="majorBidi" w:cstheme="majorBidi"/>
          <w:color w:val="000000" w:themeColor="text1"/>
          <w:sz w:val="24"/>
          <w:szCs w:val="24"/>
        </w:rPr>
        <w:lastRenderedPageBreak/>
        <w:t xml:space="preserve">provide ESG information in a different tone and that would affect stakeholders’ decisions. For example, some managers will be inclined to provide optimistic information when disclosing ESG information for their interest and enhance investors’ confidence, </w:t>
      </w:r>
      <w:proofErr w:type="gramStart"/>
      <w:r w:rsidR="0012072A" w:rsidRPr="00FC59B5">
        <w:rPr>
          <w:rFonts w:asciiTheme="majorBidi" w:hAnsiTheme="majorBidi" w:cstheme="majorBidi"/>
          <w:color w:val="000000" w:themeColor="text1"/>
          <w:sz w:val="24"/>
          <w:szCs w:val="24"/>
        </w:rPr>
        <w:t>however,  others</w:t>
      </w:r>
      <w:proofErr w:type="gramEnd"/>
      <w:r w:rsidR="0012072A" w:rsidRPr="00FC59B5">
        <w:rPr>
          <w:rFonts w:asciiTheme="majorBidi" w:hAnsiTheme="majorBidi" w:cstheme="majorBidi"/>
          <w:color w:val="000000" w:themeColor="text1"/>
          <w:sz w:val="24"/>
          <w:szCs w:val="24"/>
        </w:rPr>
        <w:t xml:space="preserve"> might be more oriented to disclose ESG information in a negative tone to eliminate any potential litigation cost in the future (Dong and Zhang 2018; Houston et al., 2019). </w:t>
      </w:r>
      <w:r w:rsidR="008423BC" w:rsidRPr="00FC59B5">
        <w:rPr>
          <w:rFonts w:asciiTheme="majorBidi" w:hAnsiTheme="majorBidi" w:cstheme="majorBidi"/>
          <w:color w:val="000000" w:themeColor="text1"/>
          <w:sz w:val="24"/>
          <w:szCs w:val="24"/>
        </w:rPr>
        <w:t xml:space="preserve"> </w:t>
      </w:r>
    </w:p>
    <w:p w14:paraId="19C13E90" w14:textId="32D08373" w:rsidR="0001411C" w:rsidRPr="00FC59B5" w:rsidRDefault="008423BC">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Therefore, this paper attempts to explore the underlying drivers of CSR tone by taking </w:t>
      </w:r>
      <w:r w:rsidR="00CB04CE" w:rsidRPr="00FC59B5">
        <w:rPr>
          <w:rFonts w:asciiTheme="majorBidi" w:hAnsiTheme="majorBidi" w:cstheme="majorBidi"/>
          <w:color w:val="000000" w:themeColor="text1"/>
          <w:sz w:val="24"/>
          <w:szCs w:val="24"/>
        </w:rPr>
        <w:t>into</w:t>
      </w:r>
      <w:r w:rsidRPr="00FC59B5">
        <w:rPr>
          <w:rFonts w:asciiTheme="majorBidi" w:hAnsiTheme="majorBidi" w:cstheme="majorBidi"/>
          <w:color w:val="000000" w:themeColor="text1"/>
          <w:sz w:val="24"/>
          <w:szCs w:val="24"/>
        </w:rPr>
        <w:t xml:space="preserve"> consideration four corporate governance mechanisms namely board size, independent directors, gender diversity</w:t>
      </w:r>
      <w:r w:rsidR="00CB04CE"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and audit committee size. It also examines whether there is any relationship between positive and/or negative CSR tone with ESG disclosure. To the best of our knowledge, this is the first study that explores the effect of corporate governance mechanisms on the tone of CSR disclosure </w:t>
      </w:r>
      <w:r w:rsidR="00BD4020" w:rsidRPr="00FC59B5">
        <w:rPr>
          <w:rFonts w:asciiTheme="majorBidi" w:hAnsiTheme="majorBidi" w:cstheme="majorBidi"/>
          <w:color w:val="000000" w:themeColor="text1"/>
          <w:sz w:val="24"/>
          <w:szCs w:val="24"/>
        </w:rPr>
        <w:t>as well as examine</w:t>
      </w:r>
      <w:r w:rsidR="00CB04CE" w:rsidRPr="00FC59B5">
        <w:rPr>
          <w:rFonts w:asciiTheme="majorBidi" w:hAnsiTheme="majorBidi" w:cstheme="majorBidi"/>
          <w:color w:val="000000" w:themeColor="text1"/>
          <w:sz w:val="24"/>
          <w:szCs w:val="24"/>
        </w:rPr>
        <w:t>s</w:t>
      </w:r>
      <w:r w:rsidR="00BD4020" w:rsidRPr="00FC59B5">
        <w:rPr>
          <w:rFonts w:asciiTheme="majorBidi" w:hAnsiTheme="majorBidi" w:cstheme="majorBidi"/>
          <w:color w:val="000000" w:themeColor="text1"/>
          <w:sz w:val="24"/>
          <w:szCs w:val="24"/>
        </w:rPr>
        <w:t xml:space="preserve"> how ESG disclosure is related with </w:t>
      </w:r>
      <w:r w:rsidRPr="00FC59B5">
        <w:rPr>
          <w:rFonts w:asciiTheme="majorBidi" w:hAnsiTheme="majorBidi" w:cstheme="majorBidi"/>
          <w:color w:val="000000" w:themeColor="text1"/>
          <w:sz w:val="24"/>
          <w:szCs w:val="24"/>
        </w:rPr>
        <w:t>CSR tone.</w:t>
      </w:r>
      <w:r w:rsidR="0001411C" w:rsidRPr="00FC59B5">
        <w:rPr>
          <w:rFonts w:asciiTheme="majorBidi" w:hAnsiTheme="majorBidi" w:cstheme="majorBidi"/>
          <w:color w:val="000000" w:themeColor="text1"/>
          <w:sz w:val="24"/>
          <w:szCs w:val="24"/>
        </w:rPr>
        <w:t xml:space="preserve"> The results show that more independent directors would lead to having less optimistic language (positive tone) and more pessimistic language (negative tone) in the CSR report. The results also show that a higher ESG disclosure score leads to a more positive CSR narrative tone. Gender diversity, however, has a positive impact on the positivity of CSR tone when ESG score is medium or high and when board size is more than 10 members.</w:t>
      </w:r>
    </w:p>
    <w:p w14:paraId="2DC5D276" w14:textId="6CF9C685" w:rsidR="00131E76" w:rsidRPr="00FC59B5" w:rsidRDefault="008423BC" w:rsidP="008C587D">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 rest of the paper is structured as follows: Section 2 </w:t>
      </w:r>
      <w:r w:rsidR="00CB04CE" w:rsidRPr="00FC59B5">
        <w:rPr>
          <w:rFonts w:asciiTheme="majorBidi" w:hAnsiTheme="majorBidi" w:cstheme="majorBidi"/>
          <w:color w:val="000000" w:themeColor="text1"/>
          <w:sz w:val="24"/>
          <w:szCs w:val="24"/>
        </w:rPr>
        <w:t>reviews the relevant literature and develops our research hypotheses</w:t>
      </w:r>
      <w:proofErr w:type="gramStart"/>
      <w:r w:rsidR="00CB04CE"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w:t>
      </w:r>
      <w:proofErr w:type="gramEnd"/>
      <w:r w:rsidRPr="00FC59B5">
        <w:rPr>
          <w:rFonts w:asciiTheme="majorBidi" w:hAnsiTheme="majorBidi" w:cstheme="majorBidi"/>
          <w:color w:val="000000" w:themeColor="text1"/>
          <w:sz w:val="24"/>
          <w:szCs w:val="24"/>
        </w:rPr>
        <w:t xml:space="preserve"> Section 3 introduces the sample and variables measurement for empirical research. Section 4 </w:t>
      </w:r>
      <w:r w:rsidR="00C900F1" w:rsidRPr="00FC59B5">
        <w:rPr>
          <w:rFonts w:asciiTheme="majorBidi" w:hAnsiTheme="majorBidi" w:cstheme="majorBidi"/>
          <w:color w:val="000000" w:themeColor="text1"/>
          <w:sz w:val="24"/>
          <w:szCs w:val="24"/>
        </w:rPr>
        <w:t xml:space="preserve">provides </w:t>
      </w:r>
      <w:r w:rsidR="00CB04CE" w:rsidRPr="00FC59B5">
        <w:rPr>
          <w:rFonts w:asciiTheme="majorBidi" w:hAnsiTheme="majorBidi" w:cstheme="majorBidi"/>
          <w:color w:val="000000" w:themeColor="text1"/>
          <w:sz w:val="24"/>
          <w:szCs w:val="24"/>
        </w:rPr>
        <w:t xml:space="preserve">a </w:t>
      </w:r>
      <w:r w:rsidRPr="00FC59B5">
        <w:rPr>
          <w:rFonts w:asciiTheme="majorBidi" w:hAnsiTheme="majorBidi" w:cstheme="majorBidi"/>
          <w:color w:val="000000" w:themeColor="text1"/>
          <w:sz w:val="24"/>
          <w:szCs w:val="24"/>
        </w:rPr>
        <w:t xml:space="preserve">discussion on the empirical results, then section 5 provides some additional analysis and section 6 </w:t>
      </w:r>
      <w:r w:rsidR="00CB04CE" w:rsidRPr="00FC59B5">
        <w:rPr>
          <w:rFonts w:asciiTheme="majorBidi" w:hAnsiTheme="majorBidi" w:cstheme="majorBidi"/>
          <w:color w:val="000000" w:themeColor="text1"/>
          <w:sz w:val="24"/>
          <w:szCs w:val="24"/>
        </w:rPr>
        <w:t>concludes the paper</w:t>
      </w:r>
      <w:r w:rsidR="008C587D" w:rsidRPr="00FC59B5">
        <w:rPr>
          <w:rFonts w:asciiTheme="majorBidi" w:hAnsiTheme="majorBidi" w:cstheme="majorBidi"/>
          <w:color w:val="000000" w:themeColor="text1"/>
          <w:sz w:val="24"/>
          <w:szCs w:val="24"/>
        </w:rPr>
        <w:t>.</w:t>
      </w:r>
    </w:p>
    <w:p w14:paraId="1927C49F" w14:textId="77777777" w:rsidR="00DE65A1" w:rsidRPr="00FC59B5" w:rsidRDefault="00DE65A1" w:rsidP="00DE65A1">
      <w:pPr>
        <w:spacing w:after="120" w:line="360" w:lineRule="auto"/>
        <w:contextualSpacing/>
        <w:jc w:val="both"/>
        <w:rPr>
          <w:rFonts w:asciiTheme="majorBidi" w:hAnsiTheme="majorBidi" w:cstheme="majorBidi"/>
          <w:color w:val="000000" w:themeColor="text1"/>
          <w:sz w:val="24"/>
          <w:szCs w:val="24"/>
        </w:rPr>
      </w:pPr>
    </w:p>
    <w:p w14:paraId="25AED3BE" w14:textId="77777777" w:rsidR="00E5605F" w:rsidRPr="00FC59B5" w:rsidRDefault="00131E76" w:rsidP="0032728F">
      <w:pPr>
        <w:pStyle w:val="Heading1"/>
        <w:numPr>
          <w:ilvl w:val="0"/>
          <w:numId w:val="6"/>
        </w:numP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Literature </w:t>
      </w:r>
      <w:r w:rsidR="00DE65A1" w:rsidRPr="00FC59B5">
        <w:rPr>
          <w:rFonts w:asciiTheme="majorBidi" w:hAnsiTheme="majorBidi" w:cstheme="majorBidi"/>
          <w:b/>
          <w:bCs/>
          <w:color w:val="000000" w:themeColor="text1"/>
          <w:sz w:val="24"/>
          <w:szCs w:val="24"/>
        </w:rPr>
        <w:t>R</w:t>
      </w:r>
      <w:r w:rsidRPr="00FC59B5">
        <w:rPr>
          <w:rFonts w:asciiTheme="majorBidi" w:hAnsiTheme="majorBidi" w:cstheme="majorBidi"/>
          <w:b/>
          <w:bCs/>
          <w:color w:val="000000" w:themeColor="text1"/>
          <w:sz w:val="24"/>
          <w:szCs w:val="24"/>
        </w:rPr>
        <w:t xml:space="preserve">eview and </w:t>
      </w:r>
      <w:r w:rsidR="00DE65A1" w:rsidRPr="00FC59B5">
        <w:rPr>
          <w:rFonts w:asciiTheme="majorBidi" w:hAnsiTheme="majorBidi" w:cstheme="majorBidi"/>
          <w:b/>
          <w:bCs/>
          <w:color w:val="000000" w:themeColor="text1"/>
          <w:sz w:val="24"/>
          <w:szCs w:val="24"/>
        </w:rPr>
        <w:t>H</w:t>
      </w:r>
      <w:r w:rsidRPr="00FC59B5">
        <w:rPr>
          <w:rFonts w:asciiTheme="majorBidi" w:hAnsiTheme="majorBidi" w:cstheme="majorBidi"/>
          <w:b/>
          <w:bCs/>
          <w:color w:val="000000" w:themeColor="text1"/>
          <w:sz w:val="24"/>
          <w:szCs w:val="24"/>
        </w:rPr>
        <w:t xml:space="preserve">ypotheses </w:t>
      </w:r>
      <w:r w:rsidR="00DE65A1" w:rsidRPr="00FC59B5">
        <w:rPr>
          <w:rFonts w:asciiTheme="majorBidi" w:hAnsiTheme="majorBidi" w:cstheme="majorBidi"/>
          <w:b/>
          <w:bCs/>
          <w:color w:val="000000" w:themeColor="text1"/>
          <w:sz w:val="24"/>
          <w:szCs w:val="24"/>
        </w:rPr>
        <w:t>D</w:t>
      </w:r>
      <w:r w:rsidRPr="00FC59B5">
        <w:rPr>
          <w:rFonts w:asciiTheme="majorBidi" w:hAnsiTheme="majorBidi" w:cstheme="majorBidi"/>
          <w:b/>
          <w:bCs/>
          <w:color w:val="000000" w:themeColor="text1"/>
          <w:sz w:val="24"/>
          <w:szCs w:val="24"/>
        </w:rPr>
        <w:t>evelopment</w:t>
      </w:r>
    </w:p>
    <w:p w14:paraId="3EFDDA8B" w14:textId="77777777" w:rsidR="00833B54" w:rsidRPr="00FC59B5" w:rsidRDefault="00E5605F" w:rsidP="00DE65A1">
      <w:pPr>
        <w:pStyle w:val="Heading2"/>
        <w:rPr>
          <w:rFonts w:asciiTheme="majorBidi" w:hAnsiTheme="majorBidi" w:cstheme="majorBidi"/>
          <w:i w:val="0"/>
          <w:iCs w:val="0"/>
          <w:color w:val="000000" w:themeColor="text1"/>
          <w:sz w:val="24"/>
          <w:szCs w:val="24"/>
          <w:u w:val="none"/>
        </w:rPr>
      </w:pPr>
      <w:r w:rsidRPr="00FC59B5">
        <w:rPr>
          <w:rFonts w:asciiTheme="majorBidi" w:hAnsiTheme="majorBidi" w:cstheme="majorBidi"/>
          <w:i w:val="0"/>
          <w:iCs w:val="0"/>
          <w:color w:val="000000" w:themeColor="text1"/>
          <w:sz w:val="24"/>
          <w:szCs w:val="24"/>
          <w:u w:val="none"/>
        </w:rPr>
        <w:t xml:space="preserve">2.1 </w:t>
      </w:r>
      <w:r w:rsidR="00131E76" w:rsidRPr="00FC59B5">
        <w:rPr>
          <w:rFonts w:asciiTheme="majorBidi" w:hAnsiTheme="majorBidi" w:cstheme="majorBidi"/>
          <w:i w:val="0"/>
          <w:iCs w:val="0"/>
          <w:color w:val="000000" w:themeColor="text1"/>
          <w:sz w:val="24"/>
          <w:szCs w:val="24"/>
          <w:u w:val="none"/>
        </w:rPr>
        <w:t xml:space="preserve">Board </w:t>
      </w:r>
      <w:r w:rsidR="00DE65A1" w:rsidRPr="00FC59B5">
        <w:rPr>
          <w:rFonts w:asciiTheme="majorBidi" w:hAnsiTheme="majorBidi" w:cstheme="majorBidi"/>
          <w:i w:val="0"/>
          <w:iCs w:val="0"/>
          <w:color w:val="000000" w:themeColor="text1"/>
          <w:sz w:val="24"/>
          <w:szCs w:val="24"/>
          <w:u w:val="none"/>
        </w:rPr>
        <w:t>S</w:t>
      </w:r>
      <w:r w:rsidR="00131E76" w:rsidRPr="00FC59B5">
        <w:rPr>
          <w:rFonts w:asciiTheme="majorBidi" w:hAnsiTheme="majorBidi" w:cstheme="majorBidi"/>
          <w:i w:val="0"/>
          <w:iCs w:val="0"/>
          <w:color w:val="000000" w:themeColor="text1"/>
          <w:sz w:val="24"/>
          <w:szCs w:val="24"/>
          <w:u w:val="none"/>
        </w:rPr>
        <w:t xml:space="preserve">ize and </w:t>
      </w:r>
      <w:r w:rsidR="00833B54" w:rsidRPr="00FC59B5">
        <w:rPr>
          <w:rFonts w:asciiTheme="majorBidi" w:hAnsiTheme="majorBidi" w:cstheme="majorBidi"/>
          <w:i w:val="0"/>
          <w:iCs w:val="0"/>
          <w:color w:val="000000" w:themeColor="text1"/>
          <w:sz w:val="24"/>
          <w:szCs w:val="24"/>
          <w:u w:val="none"/>
        </w:rPr>
        <w:t xml:space="preserve">the </w:t>
      </w:r>
      <w:r w:rsidR="00DE65A1" w:rsidRPr="00FC59B5">
        <w:rPr>
          <w:rFonts w:asciiTheme="majorBidi" w:hAnsiTheme="majorBidi" w:cstheme="majorBidi"/>
          <w:i w:val="0"/>
          <w:iCs w:val="0"/>
          <w:color w:val="000000" w:themeColor="text1"/>
          <w:sz w:val="24"/>
          <w:szCs w:val="24"/>
          <w:u w:val="none"/>
        </w:rPr>
        <w:t>T</w:t>
      </w:r>
      <w:r w:rsidR="00833B54" w:rsidRPr="00FC59B5">
        <w:rPr>
          <w:rFonts w:asciiTheme="majorBidi" w:hAnsiTheme="majorBidi" w:cstheme="majorBidi"/>
          <w:i w:val="0"/>
          <w:iCs w:val="0"/>
          <w:color w:val="000000" w:themeColor="text1"/>
          <w:sz w:val="24"/>
          <w:szCs w:val="24"/>
          <w:u w:val="none"/>
        </w:rPr>
        <w:t xml:space="preserve">one of CSR </w:t>
      </w:r>
      <w:r w:rsidR="00DE65A1" w:rsidRPr="00FC59B5">
        <w:rPr>
          <w:rFonts w:asciiTheme="majorBidi" w:hAnsiTheme="majorBidi" w:cstheme="majorBidi"/>
          <w:i w:val="0"/>
          <w:iCs w:val="0"/>
          <w:color w:val="000000" w:themeColor="text1"/>
          <w:sz w:val="24"/>
          <w:szCs w:val="24"/>
          <w:u w:val="none"/>
        </w:rPr>
        <w:t>N</w:t>
      </w:r>
      <w:r w:rsidR="00833B54" w:rsidRPr="00FC59B5">
        <w:rPr>
          <w:rFonts w:asciiTheme="majorBidi" w:hAnsiTheme="majorBidi" w:cstheme="majorBidi"/>
          <w:i w:val="0"/>
          <w:iCs w:val="0"/>
          <w:color w:val="000000" w:themeColor="text1"/>
          <w:sz w:val="24"/>
          <w:szCs w:val="24"/>
          <w:u w:val="none"/>
        </w:rPr>
        <w:t xml:space="preserve">arrative </w:t>
      </w:r>
    </w:p>
    <w:p w14:paraId="49383CCB" w14:textId="77777777" w:rsidR="00CB04CE" w:rsidRPr="00FC59B5" w:rsidRDefault="003D48F1" w:rsidP="00CC02DE">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Board size </w:t>
      </w:r>
      <w:proofErr w:type="gramStart"/>
      <w:r w:rsidRPr="00FC59B5">
        <w:rPr>
          <w:rFonts w:asciiTheme="majorBidi" w:hAnsiTheme="majorBidi" w:cstheme="majorBidi"/>
          <w:color w:val="000000" w:themeColor="text1"/>
          <w:sz w:val="24"/>
          <w:szCs w:val="24"/>
        </w:rPr>
        <w:t>is considered to be</w:t>
      </w:r>
      <w:proofErr w:type="gramEnd"/>
      <w:r w:rsidRPr="00FC59B5">
        <w:rPr>
          <w:rFonts w:asciiTheme="majorBidi" w:hAnsiTheme="majorBidi" w:cstheme="majorBidi"/>
          <w:color w:val="000000" w:themeColor="text1"/>
          <w:sz w:val="24"/>
          <w:szCs w:val="24"/>
        </w:rPr>
        <w:t xml:space="preserve"> a basic characteristic that affects the effectiveness and performance of the board of directors. Generally, there are controversial debates in the literature regarding the impact of board size on disclosure. Jensen (1993) believes that the large board may lead to less effective coordination and decision-making, while according to the agency theory, it is believed that the large board is conducive to better supervision. In addition, a large board of directors is more likely to have a wider range of expertise than a small board of directors which may increase</w:t>
      </w:r>
      <w:r w:rsidR="00164ADC" w:rsidRPr="00FC59B5">
        <w:rPr>
          <w:rFonts w:asciiTheme="majorBidi" w:hAnsiTheme="majorBidi" w:cstheme="majorBidi"/>
          <w:color w:val="000000" w:themeColor="text1"/>
          <w:sz w:val="24"/>
          <w:szCs w:val="24"/>
        </w:rPr>
        <w:t xml:space="preserve"> the effectiveness of the board</w:t>
      </w:r>
      <w:r w:rsidRPr="00FC59B5">
        <w:rPr>
          <w:rFonts w:asciiTheme="majorBidi" w:hAnsiTheme="majorBidi" w:cstheme="majorBidi"/>
          <w:color w:val="000000" w:themeColor="text1"/>
          <w:sz w:val="24"/>
          <w:szCs w:val="24"/>
        </w:rPr>
        <w:t xml:space="preserve">’s oversight capabilities. </w:t>
      </w:r>
    </w:p>
    <w:p w14:paraId="7158636B" w14:textId="0095AAEC" w:rsidR="00CB04CE" w:rsidRPr="00FC59B5" w:rsidRDefault="00CB04CE" w:rsidP="00CC02DE">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 literature </w:t>
      </w:r>
      <w:r w:rsidR="003D48F1" w:rsidRPr="00FC59B5">
        <w:rPr>
          <w:rFonts w:asciiTheme="majorBidi" w:hAnsiTheme="majorBidi" w:cstheme="majorBidi"/>
          <w:color w:val="000000" w:themeColor="text1"/>
          <w:sz w:val="24"/>
          <w:szCs w:val="24"/>
        </w:rPr>
        <w:t>expect</w:t>
      </w:r>
      <w:r w:rsidRPr="00FC59B5">
        <w:rPr>
          <w:rFonts w:asciiTheme="majorBidi" w:hAnsiTheme="majorBidi" w:cstheme="majorBidi"/>
          <w:color w:val="000000" w:themeColor="text1"/>
          <w:sz w:val="24"/>
          <w:szCs w:val="24"/>
        </w:rPr>
        <w:t>s that</w:t>
      </w:r>
      <w:r w:rsidR="003D48F1" w:rsidRPr="00FC59B5">
        <w:rPr>
          <w:rFonts w:asciiTheme="majorBidi" w:hAnsiTheme="majorBidi" w:cstheme="majorBidi"/>
          <w:color w:val="000000" w:themeColor="text1"/>
          <w:sz w:val="24"/>
          <w:szCs w:val="24"/>
        </w:rPr>
        <w:t xml:space="preserve"> companies with </w:t>
      </w:r>
      <w:proofErr w:type="gramStart"/>
      <w:r w:rsidR="003D48F1" w:rsidRPr="00FC59B5">
        <w:rPr>
          <w:rFonts w:asciiTheme="majorBidi" w:hAnsiTheme="majorBidi" w:cstheme="majorBidi"/>
          <w:color w:val="000000" w:themeColor="text1"/>
          <w:sz w:val="24"/>
          <w:szCs w:val="24"/>
        </w:rPr>
        <w:t>a large number of</w:t>
      </w:r>
      <w:proofErr w:type="gramEnd"/>
      <w:r w:rsidR="003D48F1" w:rsidRPr="00FC59B5">
        <w:rPr>
          <w:rFonts w:asciiTheme="majorBidi" w:hAnsiTheme="majorBidi" w:cstheme="majorBidi"/>
          <w:color w:val="000000" w:themeColor="text1"/>
          <w:sz w:val="24"/>
          <w:szCs w:val="24"/>
        </w:rPr>
        <w:t xml:space="preserve"> </w:t>
      </w:r>
      <w:r w:rsidR="00485B7E" w:rsidRPr="00FC59B5">
        <w:rPr>
          <w:rFonts w:asciiTheme="majorBidi" w:hAnsiTheme="majorBidi" w:cstheme="majorBidi"/>
          <w:color w:val="000000" w:themeColor="text1"/>
          <w:sz w:val="24"/>
          <w:szCs w:val="24"/>
        </w:rPr>
        <w:t xml:space="preserve">directors on </w:t>
      </w:r>
      <w:r w:rsidR="003D48F1" w:rsidRPr="00FC59B5">
        <w:rPr>
          <w:rFonts w:asciiTheme="majorBidi" w:hAnsiTheme="majorBidi" w:cstheme="majorBidi"/>
          <w:color w:val="000000" w:themeColor="text1"/>
          <w:sz w:val="24"/>
          <w:szCs w:val="24"/>
        </w:rPr>
        <w:t>boards disclose more voluntary disclosures (</w:t>
      </w:r>
      <w:proofErr w:type="spellStart"/>
      <w:r w:rsidR="003D48F1" w:rsidRPr="00FC59B5">
        <w:rPr>
          <w:rFonts w:asciiTheme="majorBidi" w:hAnsiTheme="majorBidi" w:cstheme="majorBidi"/>
          <w:color w:val="000000" w:themeColor="text1"/>
          <w:sz w:val="24"/>
          <w:szCs w:val="24"/>
        </w:rPr>
        <w:t>Albitar</w:t>
      </w:r>
      <w:proofErr w:type="spellEnd"/>
      <w:r w:rsidR="003D48F1" w:rsidRPr="00FC59B5">
        <w:rPr>
          <w:rFonts w:asciiTheme="majorBidi" w:hAnsiTheme="majorBidi" w:cstheme="majorBidi"/>
          <w:color w:val="000000" w:themeColor="text1"/>
          <w:sz w:val="24"/>
          <w:szCs w:val="24"/>
        </w:rPr>
        <w:t>, 2015). Empirically, many previous studies have examined the impact of board size on risk disclosure (</w:t>
      </w:r>
      <w:r w:rsidRPr="00FC59B5">
        <w:rPr>
          <w:rFonts w:asciiTheme="majorBidi" w:hAnsiTheme="majorBidi" w:cstheme="majorBidi"/>
          <w:color w:val="000000" w:themeColor="text1"/>
          <w:sz w:val="24"/>
          <w:szCs w:val="24"/>
        </w:rPr>
        <w:t xml:space="preserve">e.g., </w:t>
      </w:r>
      <w:proofErr w:type="spellStart"/>
      <w:r w:rsidR="003D48F1" w:rsidRPr="00FC59B5">
        <w:rPr>
          <w:rFonts w:asciiTheme="majorBidi" w:hAnsiTheme="majorBidi" w:cstheme="majorBidi"/>
          <w:color w:val="000000" w:themeColor="text1"/>
          <w:sz w:val="24"/>
          <w:szCs w:val="24"/>
        </w:rPr>
        <w:t>Elshandidy</w:t>
      </w:r>
      <w:proofErr w:type="spellEnd"/>
      <w:r w:rsidR="003D48F1" w:rsidRPr="00FC59B5">
        <w:rPr>
          <w:rFonts w:asciiTheme="majorBidi" w:hAnsiTheme="majorBidi" w:cstheme="majorBidi"/>
          <w:color w:val="000000" w:themeColor="text1"/>
          <w:sz w:val="24"/>
          <w:szCs w:val="24"/>
        </w:rPr>
        <w:t xml:space="preserve"> and Nero, 2015; </w:t>
      </w:r>
      <w:proofErr w:type="spellStart"/>
      <w:r w:rsidR="003D48F1" w:rsidRPr="00FC59B5">
        <w:rPr>
          <w:rFonts w:asciiTheme="majorBidi" w:hAnsiTheme="majorBidi" w:cstheme="majorBidi"/>
          <w:color w:val="000000" w:themeColor="text1"/>
          <w:sz w:val="24"/>
          <w:szCs w:val="24"/>
        </w:rPr>
        <w:t>Allini</w:t>
      </w:r>
      <w:proofErr w:type="spellEnd"/>
      <w:r w:rsidR="003D48F1" w:rsidRPr="00FC59B5">
        <w:rPr>
          <w:rFonts w:asciiTheme="majorBidi" w:hAnsiTheme="majorBidi" w:cstheme="majorBidi"/>
          <w:color w:val="000000" w:themeColor="text1"/>
          <w:sz w:val="24"/>
          <w:szCs w:val="24"/>
        </w:rPr>
        <w:t xml:space="preserve"> </w:t>
      </w:r>
      <w:r w:rsidR="003D48F1" w:rsidRPr="00FC59B5">
        <w:rPr>
          <w:rFonts w:asciiTheme="majorBidi" w:hAnsiTheme="majorBidi" w:cstheme="majorBidi"/>
          <w:color w:val="000000" w:themeColor="text1"/>
          <w:sz w:val="24"/>
          <w:szCs w:val="24"/>
        </w:rPr>
        <w:lastRenderedPageBreak/>
        <w:t xml:space="preserve">et al., 2016; </w:t>
      </w:r>
      <w:proofErr w:type="spellStart"/>
      <w:r w:rsidR="00520CA9" w:rsidRPr="00FC59B5">
        <w:rPr>
          <w:rFonts w:asciiTheme="majorBidi" w:hAnsiTheme="majorBidi" w:cstheme="majorBidi"/>
          <w:color w:val="000000" w:themeColor="text1"/>
          <w:sz w:val="24"/>
          <w:szCs w:val="24"/>
        </w:rPr>
        <w:t>Elgammal</w:t>
      </w:r>
      <w:proofErr w:type="spellEnd"/>
      <w:r w:rsidR="00520CA9" w:rsidRPr="00FC59B5">
        <w:rPr>
          <w:rFonts w:asciiTheme="majorBidi" w:hAnsiTheme="majorBidi" w:cstheme="majorBidi"/>
          <w:color w:val="000000" w:themeColor="text1"/>
          <w:sz w:val="24"/>
          <w:szCs w:val="24"/>
        </w:rPr>
        <w:t xml:space="preserve"> et al., 2018; </w:t>
      </w:r>
      <w:r w:rsidR="008E753F" w:rsidRPr="00FC59B5">
        <w:rPr>
          <w:rFonts w:asciiTheme="majorBidi" w:hAnsiTheme="majorBidi" w:cstheme="majorBidi"/>
          <w:color w:val="000000" w:themeColor="text1"/>
          <w:sz w:val="24"/>
          <w:szCs w:val="24"/>
        </w:rPr>
        <w:t xml:space="preserve">Haj </w:t>
      </w:r>
      <w:r w:rsidR="003D48F1" w:rsidRPr="00FC59B5">
        <w:rPr>
          <w:rFonts w:asciiTheme="majorBidi" w:hAnsiTheme="majorBidi" w:cstheme="majorBidi"/>
          <w:color w:val="000000" w:themeColor="text1"/>
          <w:sz w:val="24"/>
          <w:szCs w:val="24"/>
        </w:rPr>
        <w:t xml:space="preserve">Salem et al., 2019) or between the size of the board and forward-looking disclosures (Wang and Hussainey, 2013). Too many directors may have a negative impact on decision-making and the costs incurred by a larger board may exceed benefits (Lipton and </w:t>
      </w:r>
      <w:proofErr w:type="spellStart"/>
      <w:r w:rsidR="003D48F1" w:rsidRPr="00FC59B5">
        <w:rPr>
          <w:rFonts w:asciiTheme="majorBidi" w:hAnsiTheme="majorBidi" w:cstheme="majorBidi"/>
          <w:color w:val="000000" w:themeColor="text1"/>
          <w:sz w:val="24"/>
          <w:szCs w:val="24"/>
        </w:rPr>
        <w:t>Lorsh</w:t>
      </w:r>
      <w:proofErr w:type="spellEnd"/>
      <w:r w:rsidR="003D48F1" w:rsidRPr="00FC59B5">
        <w:rPr>
          <w:rFonts w:asciiTheme="majorBidi" w:hAnsiTheme="majorBidi" w:cstheme="majorBidi"/>
          <w:color w:val="000000" w:themeColor="text1"/>
          <w:sz w:val="24"/>
          <w:szCs w:val="24"/>
        </w:rPr>
        <w:t xml:space="preserve">, 1992). According to </w:t>
      </w:r>
      <w:r w:rsidR="00A16457" w:rsidRPr="00FC59B5">
        <w:rPr>
          <w:rFonts w:asciiTheme="majorBidi" w:hAnsiTheme="majorBidi" w:cstheme="majorBidi"/>
          <w:color w:val="000000" w:themeColor="text1"/>
          <w:sz w:val="24"/>
          <w:szCs w:val="24"/>
        </w:rPr>
        <w:t>Jensen</w:t>
      </w:r>
      <w:r w:rsidR="003D48F1" w:rsidRPr="00FC59B5">
        <w:rPr>
          <w:rFonts w:asciiTheme="majorBidi" w:hAnsiTheme="majorBidi" w:cstheme="majorBidi"/>
          <w:color w:val="000000" w:themeColor="text1"/>
          <w:sz w:val="24"/>
          <w:szCs w:val="24"/>
        </w:rPr>
        <w:t xml:space="preserve"> (1993), when the size of the group expands, coordination issues make them less effective. In addition, the larger board is expected to be less effective in monitoring senior management (Yermack, 1996). </w:t>
      </w:r>
    </w:p>
    <w:p w14:paraId="7A9FFE18" w14:textId="4B19C04E" w:rsidR="003D48F1" w:rsidRPr="00FC59B5" w:rsidRDefault="003D48F1">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Under the framework of agency theory, </w:t>
      </w:r>
      <w:r w:rsidR="00CB04CE" w:rsidRPr="00FC59B5">
        <w:rPr>
          <w:rFonts w:asciiTheme="majorBidi" w:hAnsiTheme="majorBidi" w:cstheme="majorBidi"/>
          <w:color w:val="000000" w:themeColor="text1"/>
          <w:sz w:val="24"/>
          <w:szCs w:val="24"/>
        </w:rPr>
        <w:t xml:space="preserve">on one hand, </w:t>
      </w:r>
      <w:r w:rsidRPr="00FC59B5">
        <w:rPr>
          <w:rFonts w:asciiTheme="majorBidi" w:hAnsiTheme="majorBidi" w:cstheme="majorBidi"/>
          <w:color w:val="000000" w:themeColor="text1"/>
          <w:sz w:val="24"/>
          <w:szCs w:val="24"/>
        </w:rPr>
        <w:t xml:space="preserve">we believe that a large board of directors controls the </w:t>
      </w:r>
      <w:r w:rsidR="00E5605F" w:rsidRPr="00FC59B5">
        <w:rPr>
          <w:rFonts w:asciiTheme="majorBidi" w:hAnsiTheme="majorBidi" w:cstheme="majorBidi"/>
          <w:color w:val="000000" w:themeColor="text1"/>
          <w:sz w:val="24"/>
          <w:szCs w:val="24"/>
        </w:rPr>
        <w:t>company’s</w:t>
      </w:r>
      <w:r w:rsidRPr="00FC59B5">
        <w:rPr>
          <w:rFonts w:asciiTheme="majorBidi" w:hAnsiTheme="majorBidi" w:cstheme="majorBidi"/>
          <w:color w:val="000000" w:themeColor="text1"/>
          <w:sz w:val="24"/>
          <w:szCs w:val="24"/>
        </w:rPr>
        <w:t xml:space="preserve"> activities less efficiently which avoids the improvement of the quality of voluntary information disclosure and that somehow will affect the narrative tone.</w:t>
      </w:r>
      <w:r w:rsidR="00CB04CE" w:rsidRPr="00FC59B5">
        <w:rPr>
          <w:rFonts w:asciiTheme="majorBidi" w:hAnsiTheme="majorBidi" w:cstheme="majorBidi"/>
          <w:color w:val="000000" w:themeColor="text1"/>
          <w:sz w:val="24"/>
          <w:szCs w:val="24"/>
        </w:rPr>
        <w:t xml:space="preserve"> On the other </w:t>
      </w:r>
      <w:proofErr w:type="gramStart"/>
      <w:r w:rsidR="00CB04CE" w:rsidRPr="00FC59B5">
        <w:rPr>
          <w:rFonts w:asciiTheme="majorBidi" w:hAnsiTheme="majorBidi" w:cstheme="majorBidi"/>
          <w:color w:val="000000" w:themeColor="text1"/>
          <w:sz w:val="24"/>
          <w:szCs w:val="24"/>
        </w:rPr>
        <w:t xml:space="preserve">hand, </w:t>
      </w:r>
      <w:r w:rsidR="0001411C"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board</w:t>
      </w:r>
      <w:r w:rsidR="00CB04CE" w:rsidRPr="00FC59B5">
        <w:rPr>
          <w:rFonts w:asciiTheme="majorBidi" w:hAnsiTheme="majorBidi" w:cstheme="majorBidi"/>
          <w:color w:val="000000" w:themeColor="text1"/>
          <w:sz w:val="24"/>
          <w:szCs w:val="24"/>
        </w:rPr>
        <w:t>s</w:t>
      </w:r>
      <w:proofErr w:type="gramEnd"/>
      <w:r w:rsidR="00CB04CE" w:rsidRPr="00FC59B5">
        <w:rPr>
          <w:rFonts w:asciiTheme="majorBidi" w:hAnsiTheme="majorBidi" w:cstheme="majorBidi"/>
          <w:color w:val="000000" w:themeColor="text1"/>
          <w:sz w:val="24"/>
          <w:szCs w:val="24"/>
        </w:rPr>
        <w:t xml:space="preserve"> with a large number of directors </w:t>
      </w:r>
      <w:r w:rsidRPr="00FC59B5">
        <w:rPr>
          <w:rFonts w:asciiTheme="majorBidi" w:hAnsiTheme="majorBidi" w:cstheme="majorBidi"/>
          <w:color w:val="000000" w:themeColor="text1"/>
          <w:sz w:val="24"/>
          <w:szCs w:val="24"/>
        </w:rPr>
        <w:t>m</w:t>
      </w:r>
      <w:r w:rsidR="00CB04CE" w:rsidRPr="00FC59B5">
        <w:rPr>
          <w:rFonts w:asciiTheme="majorBidi" w:hAnsiTheme="majorBidi" w:cstheme="majorBidi"/>
          <w:color w:val="000000" w:themeColor="text1"/>
          <w:sz w:val="24"/>
          <w:szCs w:val="24"/>
        </w:rPr>
        <w:t xml:space="preserve">ight </w:t>
      </w:r>
      <w:r w:rsidRPr="00FC59B5">
        <w:rPr>
          <w:rFonts w:asciiTheme="majorBidi" w:hAnsiTheme="majorBidi" w:cstheme="majorBidi"/>
          <w:color w:val="000000" w:themeColor="text1"/>
          <w:sz w:val="24"/>
          <w:szCs w:val="24"/>
        </w:rPr>
        <w:t xml:space="preserve">have more pressure to publish more information related to corporate social responsibility and have a particular type of CSR tone. According to </w:t>
      </w:r>
      <w:r w:rsidR="00E5605F" w:rsidRPr="00FC59B5">
        <w:rPr>
          <w:rFonts w:asciiTheme="majorBidi" w:hAnsiTheme="majorBidi" w:cstheme="majorBidi"/>
          <w:color w:val="000000" w:themeColor="text1"/>
          <w:sz w:val="24"/>
          <w:szCs w:val="24"/>
        </w:rPr>
        <w:t>signalling</w:t>
      </w:r>
      <w:r w:rsidRPr="00FC59B5">
        <w:rPr>
          <w:rFonts w:asciiTheme="majorBidi" w:hAnsiTheme="majorBidi" w:cstheme="majorBidi"/>
          <w:color w:val="000000" w:themeColor="text1"/>
          <w:sz w:val="24"/>
          <w:szCs w:val="24"/>
        </w:rPr>
        <w:t xml:space="preserve"> theory, managers could have </w:t>
      </w:r>
      <w:r w:rsidR="00914ED2" w:rsidRPr="00FC59B5">
        <w:rPr>
          <w:rFonts w:asciiTheme="majorBidi" w:hAnsiTheme="majorBidi" w:cstheme="majorBidi"/>
          <w:color w:val="000000" w:themeColor="text1"/>
          <w:sz w:val="24"/>
          <w:szCs w:val="24"/>
        </w:rPr>
        <w:t xml:space="preserve">a </w:t>
      </w:r>
      <w:r w:rsidRPr="00FC59B5">
        <w:rPr>
          <w:rFonts w:asciiTheme="majorBidi" w:hAnsiTheme="majorBidi" w:cstheme="majorBidi"/>
          <w:color w:val="000000" w:themeColor="text1"/>
          <w:sz w:val="24"/>
          <w:szCs w:val="24"/>
        </w:rPr>
        <w:t xml:space="preserve">more positive tone in their CSR report to signal a greater ability to engage in corporate social responsibility </w:t>
      </w:r>
      <w:proofErr w:type="gramStart"/>
      <w:r w:rsidRPr="00FC59B5">
        <w:rPr>
          <w:rFonts w:asciiTheme="majorBidi" w:hAnsiTheme="majorBidi" w:cstheme="majorBidi"/>
          <w:color w:val="000000" w:themeColor="text1"/>
          <w:sz w:val="24"/>
          <w:szCs w:val="24"/>
        </w:rPr>
        <w:t>and also</w:t>
      </w:r>
      <w:proofErr w:type="gramEnd"/>
      <w:r w:rsidRPr="00FC59B5">
        <w:rPr>
          <w:rFonts w:asciiTheme="majorBidi" w:hAnsiTheme="majorBidi" w:cstheme="majorBidi"/>
          <w:color w:val="000000" w:themeColor="text1"/>
          <w:sz w:val="24"/>
          <w:szCs w:val="24"/>
        </w:rPr>
        <w:t xml:space="preserve"> to signal their company’s good performance and thus enhance their reputation</w:t>
      </w:r>
      <w:r w:rsidR="00CB04CE"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w:t>
      </w:r>
      <w:r w:rsidR="00CB04CE" w:rsidRPr="00FC59B5">
        <w:rPr>
          <w:rFonts w:asciiTheme="majorBidi" w:hAnsiTheme="majorBidi" w:cstheme="majorBidi"/>
          <w:color w:val="000000" w:themeColor="text1"/>
          <w:sz w:val="24"/>
          <w:szCs w:val="24"/>
        </w:rPr>
        <w:t xml:space="preserve">Based on the above discussion, </w:t>
      </w:r>
      <w:r w:rsidRPr="00FC59B5">
        <w:rPr>
          <w:rFonts w:asciiTheme="majorBidi" w:hAnsiTheme="majorBidi" w:cstheme="majorBidi"/>
          <w:color w:val="000000" w:themeColor="text1"/>
          <w:sz w:val="24"/>
          <w:szCs w:val="24"/>
        </w:rPr>
        <w:t xml:space="preserve">we </w:t>
      </w:r>
      <w:r w:rsidR="00CB04CE" w:rsidRPr="00FC59B5">
        <w:rPr>
          <w:rFonts w:asciiTheme="majorBidi" w:hAnsiTheme="majorBidi" w:cstheme="majorBidi"/>
          <w:color w:val="000000" w:themeColor="text1"/>
          <w:sz w:val="24"/>
          <w:szCs w:val="24"/>
        </w:rPr>
        <w:t xml:space="preserve">set our first hypothesis as follows: </w:t>
      </w:r>
    </w:p>
    <w:p w14:paraId="66E3D028" w14:textId="31AC225F" w:rsidR="000A1C9F" w:rsidRPr="00FC59B5" w:rsidRDefault="003D48F1" w:rsidP="00BD4020">
      <w:pPr>
        <w:spacing w:after="120" w:line="360" w:lineRule="auto"/>
        <w:ind w:firstLine="720"/>
        <w:contextualSpacing/>
        <w:jc w:val="both"/>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H1</w:t>
      </w:r>
      <w:r w:rsidR="00B922DE" w:rsidRPr="00FC59B5">
        <w:rPr>
          <w:rFonts w:asciiTheme="majorBidi" w:hAnsiTheme="majorBidi" w:cstheme="majorBidi"/>
          <w:b/>
          <w:bCs/>
          <w:color w:val="000000" w:themeColor="text1"/>
          <w:sz w:val="24"/>
          <w:szCs w:val="24"/>
        </w:rPr>
        <w:t xml:space="preserve">: </w:t>
      </w:r>
      <w:r w:rsidR="00A5258E" w:rsidRPr="00FC59B5">
        <w:rPr>
          <w:rFonts w:asciiTheme="majorBidi" w:hAnsiTheme="majorBidi" w:cstheme="majorBidi"/>
          <w:b/>
          <w:bCs/>
          <w:color w:val="000000" w:themeColor="text1"/>
          <w:sz w:val="24"/>
          <w:szCs w:val="24"/>
        </w:rPr>
        <w:t>Companies with more b</w:t>
      </w:r>
      <w:r w:rsidR="00B922DE" w:rsidRPr="00FC59B5">
        <w:rPr>
          <w:rFonts w:asciiTheme="majorBidi" w:hAnsiTheme="majorBidi" w:cstheme="majorBidi"/>
          <w:b/>
          <w:bCs/>
          <w:color w:val="000000" w:themeColor="text1"/>
          <w:sz w:val="24"/>
          <w:szCs w:val="24"/>
        </w:rPr>
        <w:t xml:space="preserve">oard size </w:t>
      </w:r>
      <w:r w:rsidR="00A5258E" w:rsidRPr="00FC59B5">
        <w:rPr>
          <w:rFonts w:asciiTheme="majorBidi" w:hAnsiTheme="majorBidi" w:cstheme="majorBidi"/>
          <w:b/>
          <w:bCs/>
          <w:color w:val="000000" w:themeColor="text1"/>
          <w:sz w:val="24"/>
          <w:szCs w:val="24"/>
        </w:rPr>
        <w:t xml:space="preserve">have more a positive tone in </w:t>
      </w:r>
      <w:r w:rsidR="00BD4020" w:rsidRPr="00FC59B5">
        <w:rPr>
          <w:rFonts w:asciiTheme="majorBidi" w:hAnsiTheme="majorBidi" w:cstheme="majorBidi"/>
          <w:b/>
          <w:bCs/>
          <w:color w:val="000000" w:themeColor="text1"/>
          <w:sz w:val="24"/>
          <w:szCs w:val="24"/>
        </w:rPr>
        <w:t>CSR narrative</w:t>
      </w:r>
      <w:r w:rsidR="00A5258E" w:rsidRPr="00FC59B5">
        <w:rPr>
          <w:rFonts w:asciiTheme="majorBidi" w:hAnsiTheme="majorBidi" w:cstheme="majorBidi"/>
          <w:b/>
          <w:bCs/>
          <w:color w:val="000000" w:themeColor="text1"/>
          <w:sz w:val="24"/>
          <w:szCs w:val="24"/>
        </w:rPr>
        <w:t xml:space="preserve"> reporting</w:t>
      </w:r>
      <w:r w:rsidR="00BD4020" w:rsidRPr="00FC59B5">
        <w:rPr>
          <w:rFonts w:asciiTheme="majorBidi" w:hAnsiTheme="majorBidi" w:cstheme="majorBidi"/>
          <w:b/>
          <w:bCs/>
          <w:color w:val="000000" w:themeColor="text1"/>
          <w:sz w:val="24"/>
          <w:szCs w:val="24"/>
        </w:rPr>
        <w:t xml:space="preserve"> </w:t>
      </w:r>
    </w:p>
    <w:p w14:paraId="4CB58F08" w14:textId="77777777" w:rsidR="00306CCF" w:rsidRPr="00FC59B5" w:rsidRDefault="009608FE" w:rsidP="008727C6">
      <w:pPr>
        <w:pStyle w:val="Heading2"/>
        <w:rPr>
          <w:rFonts w:asciiTheme="majorBidi" w:hAnsiTheme="majorBidi" w:cstheme="majorBidi"/>
          <w:i w:val="0"/>
          <w:iCs w:val="0"/>
          <w:color w:val="000000" w:themeColor="text1"/>
          <w:sz w:val="24"/>
          <w:szCs w:val="24"/>
          <w:u w:val="none"/>
        </w:rPr>
      </w:pPr>
      <w:r w:rsidRPr="00FC59B5">
        <w:rPr>
          <w:rFonts w:asciiTheme="majorBidi" w:hAnsiTheme="majorBidi" w:cstheme="majorBidi"/>
          <w:i w:val="0"/>
          <w:iCs w:val="0"/>
          <w:color w:val="000000" w:themeColor="text1"/>
          <w:sz w:val="24"/>
          <w:szCs w:val="24"/>
          <w:u w:val="none"/>
        </w:rPr>
        <w:t xml:space="preserve">2.2 Independent </w:t>
      </w:r>
      <w:r w:rsidR="00DE65A1" w:rsidRPr="00FC59B5">
        <w:rPr>
          <w:rFonts w:asciiTheme="majorBidi" w:hAnsiTheme="majorBidi" w:cstheme="majorBidi"/>
          <w:i w:val="0"/>
          <w:iCs w:val="0"/>
          <w:color w:val="000000" w:themeColor="text1"/>
          <w:sz w:val="24"/>
          <w:szCs w:val="24"/>
          <w:u w:val="none"/>
        </w:rPr>
        <w:t>N</w:t>
      </w:r>
      <w:r w:rsidRPr="00FC59B5">
        <w:rPr>
          <w:rFonts w:asciiTheme="majorBidi" w:hAnsiTheme="majorBidi" w:cstheme="majorBidi"/>
          <w:i w:val="0"/>
          <w:iCs w:val="0"/>
          <w:color w:val="000000" w:themeColor="text1"/>
          <w:sz w:val="24"/>
          <w:szCs w:val="24"/>
          <w:u w:val="none"/>
        </w:rPr>
        <w:t>on-</w:t>
      </w:r>
      <w:r w:rsidR="00DE65A1" w:rsidRPr="00FC59B5">
        <w:rPr>
          <w:rFonts w:asciiTheme="majorBidi" w:hAnsiTheme="majorBidi" w:cstheme="majorBidi"/>
          <w:i w:val="0"/>
          <w:iCs w:val="0"/>
          <w:color w:val="000000" w:themeColor="text1"/>
          <w:sz w:val="24"/>
          <w:szCs w:val="24"/>
          <w:u w:val="none"/>
        </w:rPr>
        <w:t>E</w:t>
      </w:r>
      <w:r w:rsidRPr="00FC59B5">
        <w:rPr>
          <w:rFonts w:asciiTheme="majorBidi" w:hAnsiTheme="majorBidi" w:cstheme="majorBidi"/>
          <w:i w:val="0"/>
          <w:iCs w:val="0"/>
          <w:color w:val="000000" w:themeColor="text1"/>
          <w:sz w:val="24"/>
          <w:szCs w:val="24"/>
          <w:u w:val="none"/>
        </w:rPr>
        <w:t xml:space="preserve">xecutive </w:t>
      </w:r>
      <w:r w:rsidR="00DE65A1" w:rsidRPr="00FC59B5">
        <w:rPr>
          <w:rFonts w:asciiTheme="majorBidi" w:hAnsiTheme="majorBidi" w:cstheme="majorBidi"/>
          <w:i w:val="0"/>
          <w:iCs w:val="0"/>
          <w:color w:val="000000" w:themeColor="text1"/>
          <w:sz w:val="24"/>
          <w:szCs w:val="24"/>
          <w:u w:val="none"/>
        </w:rPr>
        <w:t>D</w:t>
      </w:r>
      <w:r w:rsidRPr="00FC59B5">
        <w:rPr>
          <w:rFonts w:asciiTheme="majorBidi" w:hAnsiTheme="majorBidi" w:cstheme="majorBidi"/>
          <w:i w:val="0"/>
          <w:iCs w:val="0"/>
          <w:color w:val="000000" w:themeColor="text1"/>
          <w:sz w:val="24"/>
          <w:szCs w:val="24"/>
          <w:u w:val="none"/>
        </w:rPr>
        <w:t xml:space="preserve">irectors and </w:t>
      </w:r>
      <w:r w:rsidR="00833B54" w:rsidRPr="00FC59B5">
        <w:rPr>
          <w:rFonts w:asciiTheme="majorBidi" w:hAnsiTheme="majorBidi" w:cstheme="majorBidi"/>
          <w:i w:val="0"/>
          <w:iCs w:val="0"/>
          <w:color w:val="000000" w:themeColor="text1"/>
          <w:sz w:val="24"/>
          <w:szCs w:val="24"/>
          <w:u w:val="none"/>
        </w:rPr>
        <w:t xml:space="preserve">the </w:t>
      </w:r>
      <w:r w:rsidR="00DE65A1" w:rsidRPr="00FC59B5">
        <w:rPr>
          <w:rFonts w:asciiTheme="majorBidi" w:hAnsiTheme="majorBidi" w:cstheme="majorBidi"/>
          <w:i w:val="0"/>
          <w:iCs w:val="0"/>
          <w:color w:val="000000" w:themeColor="text1"/>
          <w:sz w:val="24"/>
          <w:szCs w:val="24"/>
          <w:u w:val="none"/>
        </w:rPr>
        <w:t>T</w:t>
      </w:r>
      <w:r w:rsidR="00833B54" w:rsidRPr="00FC59B5">
        <w:rPr>
          <w:rFonts w:asciiTheme="majorBidi" w:hAnsiTheme="majorBidi" w:cstheme="majorBidi"/>
          <w:i w:val="0"/>
          <w:iCs w:val="0"/>
          <w:color w:val="000000" w:themeColor="text1"/>
          <w:sz w:val="24"/>
          <w:szCs w:val="24"/>
          <w:u w:val="none"/>
        </w:rPr>
        <w:t xml:space="preserve">one of CSR </w:t>
      </w:r>
      <w:r w:rsidR="00DE65A1" w:rsidRPr="00FC59B5">
        <w:rPr>
          <w:rFonts w:asciiTheme="majorBidi" w:hAnsiTheme="majorBidi" w:cstheme="majorBidi"/>
          <w:i w:val="0"/>
          <w:iCs w:val="0"/>
          <w:color w:val="000000" w:themeColor="text1"/>
          <w:sz w:val="24"/>
          <w:szCs w:val="24"/>
          <w:u w:val="none"/>
        </w:rPr>
        <w:t>N</w:t>
      </w:r>
      <w:r w:rsidR="00833B54" w:rsidRPr="00FC59B5">
        <w:rPr>
          <w:rFonts w:asciiTheme="majorBidi" w:hAnsiTheme="majorBidi" w:cstheme="majorBidi"/>
          <w:i w:val="0"/>
          <w:iCs w:val="0"/>
          <w:color w:val="000000" w:themeColor="text1"/>
          <w:sz w:val="24"/>
          <w:szCs w:val="24"/>
          <w:u w:val="none"/>
        </w:rPr>
        <w:t>arrative</w:t>
      </w:r>
    </w:p>
    <w:p w14:paraId="6C3D1373" w14:textId="797063AB" w:rsidR="00306CCF" w:rsidRPr="00FC59B5" w:rsidRDefault="00306CCF" w:rsidP="008727C6">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It is expected that the number of independent directors will affect the effectiveness of the board of directors. This is because independent directors make the board more effective by limiting the company’s opportunistic actions (Srinidhi et al., 2011). It is expected that more independent directors on the board will have a significant impact on the board’s ability and effectiveness, so as information asymmetry decreases and disclosure increase</w:t>
      </w:r>
      <w:r w:rsidR="00914ED2" w:rsidRPr="00FC59B5">
        <w:rPr>
          <w:rFonts w:asciiTheme="majorBidi" w:hAnsiTheme="majorBidi" w:cstheme="majorBidi"/>
          <w:color w:val="000000" w:themeColor="text1"/>
          <w:sz w:val="24"/>
          <w:szCs w:val="24"/>
        </w:rPr>
        <w:t>s</w:t>
      </w:r>
      <w:r w:rsidRPr="00FC59B5">
        <w:rPr>
          <w:rFonts w:asciiTheme="majorBidi" w:hAnsiTheme="majorBidi" w:cstheme="majorBidi"/>
          <w:color w:val="000000" w:themeColor="text1"/>
          <w:sz w:val="24"/>
          <w:szCs w:val="24"/>
        </w:rPr>
        <w:t xml:space="preserve"> (</w:t>
      </w:r>
      <w:proofErr w:type="spellStart"/>
      <w:r w:rsidRPr="00FC59B5">
        <w:rPr>
          <w:rFonts w:asciiTheme="majorBidi" w:hAnsiTheme="majorBidi" w:cstheme="majorBidi"/>
          <w:color w:val="000000" w:themeColor="text1"/>
          <w:sz w:val="24"/>
          <w:szCs w:val="24"/>
        </w:rPr>
        <w:t>Allini</w:t>
      </w:r>
      <w:proofErr w:type="spellEnd"/>
      <w:r w:rsidRPr="00FC59B5">
        <w:rPr>
          <w:rFonts w:asciiTheme="majorBidi" w:hAnsiTheme="majorBidi" w:cstheme="majorBidi"/>
          <w:color w:val="000000" w:themeColor="text1"/>
          <w:sz w:val="24"/>
          <w:szCs w:val="24"/>
        </w:rPr>
        <w:t xml:space="preserve"> et al., 2016). In addition, independent directors can put pressure on management to publish more information (Lopes and Rodrigues, 2007;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2015</w:t>
      </w:r>
      <w:r w:rsidR="009935A5" w:rsidRPr="00FC59B5">
        <w:rPr>
          <w:rFonts w:asciiTheme="majorBidi" w:hAnsiTheme="majorBidi" w:cstheme="majorBidi"/>
          <w:color w:val="000000" w:themeColor="text1"/>
          <w:sz w:val="24"/>
          <w:szCs w:val="24"/>
        </w:rPr>
        <w:t xml:space="preserve">; </w:t>
      </w:r>
      <w:proofErr w:type="spellStart"/>
      <w:r w:rsidR="009935A5" w:rsidRPr="00FC59B5">
        <w:rPr>
          <w:rFonts w:asciiTheme="majorBidi" w:eastAsia="Calibri" w:hAnsiTheme="majorBidi" w:cstheme="majorBidi"/>
          <w:color w:val="000000" w:themeColor="text1"/>
          <w:sz w:val="24"/>
          <w:szCs w:val="24"/>
        </w:rPr>
        <w:t>Gerged</w:t>
      </w:r>
      <w:proofErr w:type="spellEnd"/>
      <w:r w:rsidR="009935A5" w:rsidRPr="00FC59B5">
        <w:rPr>
          <w:rFonts w:asciiTheme="majorBidi" w:eastAsia="Calibri" w:hAnsiTheme="majorBidi" w:cstheme="majorBidi"/>
          <w:color w:val="000000" w:themeColor="text1"/>
          <w:sz w:val="24"/>
          <w:szCs w:val="24"/>
        </w:rPr>
        <w:t xml:space="preserve"> et al., 2021</w:t>
      </w:r>
      <w:r w:rsidRPr="00FC59B5">
        <w:rPr>
          <w:rFonts w:asciiTheme="majorBidi" w:hAnsiTheme="majorBidi" w:cstheme="majorBidi"/>
          <w:color w:val="000000" w:themeColor="text1"/>
          <w:sz w:val="24"/>
          <w:szCs w:val="24"/>
        </w:rPr>
        <w:t xml:space="preserve">). </w:t>
      </w:r>
      <w:r w:rsidR="00914ED2" w:rsidRPr="00FC59B5">
        <w:rPr>
          <w:rFonts w:asciiTheme="majorBidi" w:hAnsiTheme="majorBidi" w:cstheme="majorBidi"/>
          <w:color w:val="000000" w:themeColor="text1"/>
          <w:sz w:val="24"/>
          <w:szCs w:val="24"/>
        </w:rPr>
        <w:t>E</w:t>
      </w:r>
      <w:r w:rsidRPr="00FC59B5">
        <w:rPr>
          <w:rFonts w:asciiTheme="majorBidi" w:hAnsiTheme="majorBidi" w:cstheme="majorBidi"/>
          <w:color w:val="000000" w:themeColor="text1"/>
          <w:sz w:val="24"/>
          <w:szCs w:val="24"/>
        </w:rPr>
        <w:t xml:space="preserve">xisting literature confirms that there is a </w:t>
      </w:r>
      <w:r w:rsidR="008727C6" w:rsidRPr="00FC59B5">
        <w:rPr>
          <w:rFonts w:asciiTheme="majorBidi" w:hAnsiTheme="majorBidi" w:cstheme="majorBidi"/>
          <w:color w:val="000000" w:themeColor="text1"/>
          <w:sz w:val="24"/>
          <w:szCs w:val="24"/>
        </w:rPr>
        <w:t>significant positive relationship between</w:t>
      </w:r>
      <w:r w:rsidRPr="00FC59B5">
        <w:rPr>
          <w:rFonts w:asciiTheme="majorBidi" w:hAnsiTheme="majorBidi" w:cstheme="majorBidi"/>
          <w:color w:val="000000" w:themeColor="text1"/>
          <w:sz w:val="24"/>
          <w:szCs w:val="24"/>
        </w:rPr>
        <w:t xml:space="preserve"> independent directors and disclosure (Abraham and Cox, 2007; </w:t>
      </w:r>
      <w:proofErr w:type="spellStart"/>
      <w:r w:rsidRPr="00FC59B5">
        <w:rPr>
          <w:rFonts w:asciiTheme="majorBidi" w:hAnsiTheme="majorBidi" w:cstheme="majorBidi"/>
          <w:color w:val="000000" w:themeColor="text1"/>
          <w:sz w:val="24"/>
          <w:szCs w:val="24"/>
        </w:rPr>
        <w:t>Elshandidy</w:t>
      </w:r>
      <w:proofErr w:type="spellEnd"/>
      <w:r w:rsidRPr="00FC59B5">
        <w:rPr>
          <w:rFonts w:asciiTheme="majorBidi" w:hAnsiTheme="majorBidi" w:cstheme="majorBidi"/>
          <w:color w:val="000000" w:themeColor="text1"/>
          <w:sz w:val="24"/>
          <w:szCs w:val="24"/>
        </w:rPr>
        <w:t xml:space="preserve"> et al., 2015). Previous studies lacked the view of the impact of independent non-executi</w:t>
      </w:r>
      <w:r w:rsidR="008727C6" w:rsidRPr="00FC59B5">
        <w:rPr>
          <w:rFonts w:asciiTheme="majorBidi" w:hAnsiTheme="majorBidi" w:cstheme="majorBidi"/>
          <w:color w:val="000000" w:themeColor="text1"/>
          <w:sz w:val="24"/>
          <w:szCs w:val="24"/>
        </w:rPr>
        <w:t>ve directors on CSR intonation and only one study by Fisher et al</w:t>
      </w:r>
      <w:r w:rsidR="0001611A" w:rsidRPr="00FC59B5">
        <w:rPr>
          <w:rFonts w:asciiTheme="majorBidi" w:hAnsiTheme="majorBidi" w:cstheme="majorBidi"/>
          <w:color w:val="000000" w:themeColor="text1"/>
          <w:sz w:val="24"/>
          <w:szCs w:val="24"/>
        </w:rPr>
        <w:t>.</w:t>
      </w:r>
      <w:r w:rsidR="00914ED2" w:rsidRPr="00FC59B5">
        <w:rPr>
          <w:rFonts w:asciiTheme="majorBidi" w:hAnsiTheme="majorBidi" w:cstheme="majorBidi"/>
          <w:color w:val="000000" w:themeColor="text1"/>
          <w:sz w:val="24"/>
          <w:szCs w:val="24"/>
        </w:rPr>
        <w:t xml:space="preserve"> (</w:t>
      </w:r>
      <w:r w:rsidR="008727C6" w:rsidRPr="00FC59B5">
        <w:rPr>
          <w:rFonts w:asciiTheme="majorBidi" w:hAnsiTheme="majorBidi" w:cstheme="majorBidi"/>
          <w:color w:val="000000" w:themeColor="text1"/>
          <w:sz w:val="24"/>
          <w:szCs w:val="24"/>
        </w:rPr>
        <w:t>2019</w:t>
      </w:r>
      <w:r w:rsidR="00914ED2" w:rsidRPr="00FC59B5">
        <w:rPr>
          <w:rFonts w:asciiTheme="majorBidi" w:hAnsiTheme="majorBidi" w:cstheme="majorBidi"/>
          <w:color w:val="000000" w:themeColor="text1"/>
          <w:sz w:val="24"/>
          <w:szCs w:val="24"/>
        </w:rPr>
        <w:t>)</w:t>
      </w:r>
      <w:r w:rsidR="008727C6" w:rsidRPr="00FC59B5">
        <w:rPr>
          <w:rFonts w:asciiTheme="majorBidi" w:hAnsiTheme="majorBidi" w:cstheme="majorBidi"/>
          <w:color w:val="000000" w:themeColor="text1"/>
          <w:sz w:val="24"/>
          <w:szCs w:val="24"/>
        </w:rPr>
        <w:t xml:space="preserve"> explore</w:t>
      </w:r>
      <w:r w:rsidR="00914ED2" w:rsidRPr="00FC59B5">
        <w:rPr>
          <w:rFonts w:asciiTheme="majorBidi" w:hAnsiTheme="majorBidi" w:cstheme="majorBidi"/>
          <w:color w:val="000000" w:themeColor="text1"/>
          <w:sz w:val="24"/>
          <w:szCs w:val="24"/>
        </w:rPr>
        <w:t>s</w:t>
      </w:r>
      <w:r w:rsidR="008727C6" w:rsidRPr="00FC59B5">
        <w:rPr>
          <w:rFonts w:asciiTheme="majorBidi" w:hAnsiTheme="majorBidi" w:cstheme="majorBidi"/>
          <w:color w:val="000000" w:themeColor="text1"/>
          <w:sz w:val="24"/>
          <w:szCs w:val="24"/>
        </w:rPr>
        <w:t xml:space="preserve"> the effect of independent directors on CSR tone and found that there is a negative effect. </w:t>
      </w:r>
      <w:r w:rsidRPr="00FC59B5">
        <w:rPr>
          <w:rFonts w:asciiTheme="majorBidi" w:hAnsiTheme="majorBidi" w:cstheme="majorBidi"/>
          <w:color w:val="000000" w:themeColor="text1"/>
          <w:sz w:val="24"/>
          <w:szCs w:val="24"/>
        </w:rPr>
        <w:t>According to</w:t>
      </w:r>
      <w:r w:rsidR="008727C6" w:rsidRPr="00FC59B5">
        <w:rPr>
          <w:rFonts w:asciiTheme="majorBidi" w:hAnsiTheme="majorBidi" w:cstheme="majorBidi"/>
          <w:color w:val="000000" w:themeColor="text1"/>
          <w:sz w:val="24"/>
          <w:szCs w:val="24"/>
        </w:rPr>
        <w:t xml:space="preserve"> the</w:t>
      </w:r>
      <w:r w:rsidRPr="00FC59B5">
        <w:rPr>
          <w:rFonts w:asciiTheme="majorBidi" w:hAnsiTheme="majorBidi" w:cstheme="majorBidi"/>
          <w:color w:val="000000" w:themeColor="text1"/>
          <w:sz w:val="24"/>
          <w:szCs w:val="24"/>
        </w:rPr>
        <w:t xml:space="preserve"> agency theory, it can be expected that independent directors will be more motivated and more effective in limiting the opportunism of managers because they have no monetary benefit to the company other than the director fees (Abrahamson and Park, 1994).</w:t>
      </w:r>
    </w:p>
    <w:p w14:paraId="7E20120B" w14:textId="63D9F573" w:rsidR="009608FE" w:rsidRPr="00FC59B5" w:rsidRDefault="009608FE" w:rsidP="008727C6">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lastRenderedPageBreak/>
        <w:t xml:space="preserve"> Accordingly, based on these arguments, we argue that independent directors promote more effective decision-making and develop information processing capabilities</w:t>
      </w:r>
      <w:r w:rsidR="00914ED2" w:rsidRPr="00FC59B5">
        <w:rPr>
          <w:rFonts w:asciiTheme="majorBidi" w:hAnsiTheme="majorBidi" w:cstheme="majorBidi"/>
          <w:color w:val="000000" w:themeColor="text1"/>
          <w:sz w:val="24"/>
          <w:szCs w:val="24"/>
        </w:rPr>
        <w:t>. T</w:t>
      </w:r>
      <w:r w:rsidRPr="00FC59B5">
        <w:rPr>
          <w:rFonts w:asciiTheme="majorBidi" w:hAnsiTheme="majorBidi" w:cstheme="majorBidi"/>
          <w:color w:val="000000" w:themeColor="text1"/>
          <w:sz w:val="24"/>
          <w:szCs w:val="24"/>
        </w:rPr>
        <w:t>hey will be more motivated to limiting manager’s opportunism because they have no pecuniary interest in the company aside from director’s fees</w:t>
      </w:r>
      <w:r w:rsidR="00914ED2" w:rsidRPr="00FC59B5">
        <w:rPr>
          <w:rFonts w:asciiTheme="majorBidi" w:hAnsiTheme="majorBidi" w:cstheme="majorBidi"/>
          <w:color w:val="000000" w:themeColor="text1"/>
          <w:sz w:val="24"/>
          <w:szCs w:val="24"/>
        </w:rPr>
        <w:t>. T</w:t>
      </w:r>
      <w:r w:rsidRPr="00FC59B5">
        <w:rPr>
          <w:rFonts w:asciiTheme="majorBidi" w:hAnsiTheme="majorBidi" w:cstheme="majorBidi"/>
          <w:color w:val="000000" w:themeColor="text1"/>
          <w:sz w:val="24"/>
          <w:szCs w:val="24"/>
        </w:rPr>
        <w:t xml:space="preserve">his would lead to having less positive tone in the CSR </w:t>
      </w:r>
      <w:r w:rsidR="008727C6" w:rsidRPr="00FC59B5">
        <w:rPr>
          <w:rFonts w:asciiTheme="majorBidi" w:hAnsiTheme="majorBidi" w:cstheme="majorBidi"/>
          <w:color w:val="000000" w:themeColor="text1"/>
          <w:sz w:val="24"/>
          <w:szCs w:val="24"/>
        </w:rPr>
        <w:t>narrative</w:t>
      </w:r>
      <w:r w:rsidRPr="00FC59B5">
        <w:rPr>
          <w:rFonts w:asciiTheme="majorBidi" w:hAnsiTheme="majorBidi" w:cstheme="majorBidi"/>
          <w:color w:val="000000" w:themeColor="text1"/>
          <w:sz w:val="24"/>
          <w:szCs w:val="24"/>
        </w:rPr>
        <w:t xml:space="preserve"> as the board of directors are responsible for maintaining public interest to ensure protecting stakeholders and ensure transparency and compliance with laws. Therefore, we suggest:</w:t>
      </w:r>
    </w:p>
    <w:p w14:paraId="6817D0AC" w14:textId="71485DCC" w:rsidR="00A5258E" w:rsidRPr="00FC59B5" w:rsidRDefault="00E632C3" w:rsidP="00A5258E">
      <w:pPr>
        <w:spacing w:after="120" w:line="360" w:lineRule="auto"/>
        <w:ind w:firstLine="720"/>
        <w:contextualSpacing/>
        <w:jc w:val="both"/>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H2: </w:t>
      </w:r>
      <w:r w:rsidR="00A5258E" w:rsidRPr="00FC59B5">
        <w:rPr>
          <w:rFonts w:asciiTheme="majorBidi" w:hAnsiTheme="majorBidi" w:cstheme="majorBidi"/>
          <w:b/>
          <w:bCs/>
          <w:color w:val="000000" w:themeColor="text1"/>
          <w:sz w:val="24"/>
          <w:szCs w:val="24"/>
        </w:rPr>
        <w:t xml:space="preserve">Companies with more independent non-executive directors have less positive tone in CSR narrative </w:t>
      </w:r>
      <w:proofErr w:type="gramStart"/>
      <w:r w:rsidR="00A5258E" w:rsidRPr="00FC59B5">
        <w:rPr>
          <w:rFonts w:asciiTheme="majorBidi" w:hAnsiTheme="majorBidi" w:cstheme="majorBidi"/>
          <w:b/>
          <w:bCs/>
          <w:color w:val="000000" w:themeColor="text1"/>
          <w:sz w:val="24"/>
          <w:szCs w:val="24"/>
        </w:rPr>
        <w:t>reporting</w:t>
      </w:r>
      <w:proofErr w:type="gramEnd"/>
    </w:p>
    <w:p w14:paraId="3D01B79B" w14:textId="77777777" w:rsidR="00E632C3" w:rsidRPr="00FC59B5" w:rsidRDefault="00E632C3" w:rsidP="00DE65A1">
      <w:pPr>
        <w:pStyle w:val="Heading2"/>
        <w:rPr>
          <w:rFonts w:asciiTheme="majorBidi" w:hAnsiTheme="majorBidi" w:cstheme="majorBidi"/>
          <w:i w:val="0"/>
          <w:iCs w:val="0"/>
          <w:color w:val="000000" w:themeColor="text1"/>
          <w:sz w:val="24"/>
          <w:szCs w:val="24"/>
          <w:u w:val="none"/>
        </w:rPr>
      </w:pPr>
      <w:r w:rsidRPr="00FC59B5">
        <w:rPr>
          <w:rFonts w:asciiTheme="majorBidi" w:hAnsiTheme="majorBidi" w:cstheme="majorBidi"/>
          <w:i w:val="0"/>
          <w:iCs w:val="0"/>
          <w:color w:val="000000" w:themeColor="text1"/>
          <w:sz w:val="24"/>
          <w:szCs w:val="24"/>
          <w:u w:val="none"/>
        </w:rPr>
        <w:t xml:space="preserve">2.3 Women on </w:t>
      </w:r>
      <w:r w:rsidR="00DE65A1" w:rsidRPr="00FC59B5">
        <w:rPr>
          <w:rFonts w:asciiTheme="majorBidi" w:hAnsiTheme="majorBidi" w:cstheme="majorBidi"/>
          <w:i w:val="0"/>
          <w:iCs w:val="0"/>
          <w:color w:val="000000" w:themeColor="text1"/>
          <w:sz w:val="24"/>
          <w:szCs w:val="24"/>
          <w:u w:val="none"/>
        </w:rPr>
        <w:t>B</w:t>
      </w:r>
      <w:r w:rsidRPr="00FC59B5">
        <w:rPr>
          <w:rFonts w:asciiTheme="majorBidi" w:hAnsiTheme="majorBidi" w:cstheme="majorBidi"/>
          <w:i w:val="0"/>
          <w:iCs w:val="0"/>
          <w:color w:val="000000" w:themeColor="text1"/>
          <w:sz w:val="24"/>
          <w:szCs w:val="24"/>
          <w:u w:val="none"/>
        </w:rPr>
        <w:t xml:space="preserve">oard and </w:t>
      </w:r>
      <w:r w:rsidR="00833B54" w:rsidRPr="00FC59B5">
        <w:rPr>
          <w:rFonts w:asciiTheme="majorBidi" w:hAnsiTheme="majorBidi" w:cstheme="majorBidi"/>
          <w:i w:val="0"/>
          <w:iCs w:val="0"/>
          <w:color w:val="000000" w:themeColor="text1"/>
          <w:sz w:val="24"/>
          <w:szCs w:val="24"/>
          <w:u w:val="none"/>
        </w:rPr>
        <w:t xml:space="preserve">the </w:t>
      </w:r>
      <w:r w:rsidR="00DE65A1" w:rsidRPr="00FC59B5">
        <w:rPr>
          <w:rFonts w:asciiTheme="majorBidi" w:hAnsiTheme="majorBidi" w:cstheme="majorBidi"/>
          <w:i w:val="0"/>
          <w:iCs w:val="0"/>
          <w:color w:val="000000" w:themeColor="text1"/>
          <w:sz w:val="24"/>
          <w:szCs w:val="24"/>
          <w:u w:val="none"/>
        </w:rPr>
        <w:t>T</w:t>
      </w:r>
      <w:r w:rsidR="00833B54" w:rsidRPr="00FC59B5">
        <w:rPr>
          <w:rFonts w:asciiTheme="majorBidi" w:hAnsiTheme="majorBidi" w:cstheme="majorBidi"/>
          <w:i w:val="0"/>
          <w:iCs w:val="0"/>
          <w:color w:val="000000" w:themeColor="text1"/>
          <w:sz w:val="24"/>
          <w:szCs w:val="24"/>
          <w:u w:val="none"/>
        </w:rPr>
        <w:t xml:space="preserve">one of CSR </w:t>
      </w:r>
      <w:r w:rsidR="00DE65A1" w:rsidRPr="00FC59B5">
        <w:rPr>
          <w:rFonts w:asciiTheme="majorBidi" w:hAnsiTheme="majorBidi" w:cstheme="majorBidi"/>
          <w:i w:val="0"/>
          <w:iCs w:val="0"/>
          <w:color w:val="000000" w:themeColor="text1"/>
          <w:sz w:val="24"/>
          <w:szCs w:val="24"/>
          <w:u w:val="none"/>
        </w:rPr>
        <w:t>N</w:t>
      </w:r>
      <w:r w:rsidR="00833B54" w:rsidRPr="00FC59B5">
        <w:rPr>
          <w:rFonts w:asciiTheme="majorBidi" w:hAnsiTheme="majorBidi" w:cstheme="majorBidi"/>
          <w:i w:val="0"/>
          <w:iCs w:val="0"/>
          <w:color w:val="000000" w:themeColor="text1"/>
          <w:sz w:val="24"/>
          <w:szCs w:val="24"/>
          <w:u w:val="none"/>
        </w:rPr>
        <w:t>arrative</w:t>
      </w:r>
    </w:p>
    <w:p w14:paraId="05ED7E71" w14:textId="2373E683" w:rsidR="008727C6" w:rsidRPr="00FC59B5" w:rsidRDefault="00E632C3" w:rsidP="008727C6">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 diversity of the board of directors refers to the possible differences between board members and how this diversity affects the decision-making process (Van der Walt and </w:t>
      </w:r>
      <w:proofErr w:type="spellStart"/>
      <w:r w:rsidRPr="00FC59B5">
        <w:rPr>
          <w:rFonts w:asciiTheme="majorBidi" w:hAnsiTheme="majorBidi" w:cstheme="majorBidi"/>
          <w:color w:val="000000" w:themeColor="text1"/>
          <w:sz w:val="24"/>
          <w:szCs w:val="24"/>
        </w:rPr>
        <w:t>Ingley</w:t>
      </w:r>
      <w:proofErr w:type="spellEnd"/>
      <w:r w:rsidRPr="00FC59B5">
        <w:rPr>
          <w:rFonts w:asciiTheme="majorBidi" w:hAnsiTheme="majorBidi" w:cstheme="majorBidi"/>
          <w:color w:val="000000" w:themeColor="text1"/>
          <w:sz w:val="24"/>
          <w:szCs w:val="24"/>
        </w:rPr>
        <w:t>, 2003)</w:t>
      </w:r>
      <w:r w:rsidR="005B1FFA" w:rsidRPr="00FC59B5">
        <w:rPr>
          <w:rFonts w:asciiTheme="majorBidi" w:hAnsiTheme="majorBidi" w:cstheme="majorBidi"/>
          <w:color w:val="000000" w:themeColor="text1"/>
          <w:sz w:val="24"/>
          <w:szCs w:val="24"/>
        </w:rPr>
        <w:t xml:space="preserve"> and one of these decisions is ESG disclosure </w:t>
      </w:r>
      <w:r w:rsidR="00324858" w:rsidRPr="00FC59B5">
        <w:rPr>
          <w:rFonts w:asciiTheme="majorBidi" w:hAnsiTheme="majorBidi" w:cstheme="majorBidi"/>
          <w:color w:val="000000" w:themeColor="text1"/>
          <w:sz w:val="24"/>
          <w:szCs w:val="24"/>
        </w:rPr>
        <w:t xml:space="preserve">practice </w:t>
      </w:r>
      <w:r w:rsidR="005B1FFA" w:rsidRPr="00FC59B5">
        <w:rPr>
          <w:rFonts w:asciiTheme="majorBidi" w:hAnsiTheme="majorBidi" w:cstheme="majorBidi"/>
          <w:color w:val="000000" w:themeColor="text1"/>
          <w:sz w:val="24"/>
          <w:szCs w:val="24"/>
        </w:rPr>
        <w:t>(</w:t>
      </w:r>
      <w:proofErr w:type="spellStart"/>
      <w:r w:rsidR="005B1FFA" w:rsidRPr="00FC59B5">
        <w:rPr>
          <w:rFonts w:asciiTheme="majorBidi" w:hAnsiTheme="majorBidi" w:cstheme="majorBidi"/>
          <w:color w:val="000000" w:themeColor="text1"/>
          <w:sz w:val="24"/>
          <w:szCs w:val="24"/>
        </w:rPr>
        <w:t>Albitar</w:t>
      </w:r>
      <w:proofErr w:type="spellEnd"/>
      <w:r w:rsidR="005B1FFA" w:rsidRPr="00FC59B5">
        <w:rPr>
          <w:rFonts w:asciiTheme="majorBidi" w:hAnsiTheme="majorBidi" w:cstheme="majorBidi"/>
          <w:color w:val="000000" w:themeColor="text1"/>
          <w:sz w:val="24"/>
          <w:szCs w:val="24"/>
        </w:rPr>
        <w:t xml:space="preserve"> et al., 2020)</w:t>
      </w:r>
      <w:r w:rsidRPr="00FC59B5">
        <w:rPr>
          <w:rFonts w:asciiTheme="majorBidi" w:hAnsiTheme="majorBidi" w:cstheme="majorBidi"/>
          <w:color w:val="000000" w:themeColor="text1"/>
          <w:sz w:val="24"/>
          <w:szCs w:val="24"/>
        </w:rPr>
        <w:t xml:space="preserve">. From the agency perspective, gender does not affect the effectiveness of the board of directors. However, recent literature provides different results considering that gender can explain differences in </w:t>
      </w:r>
      <w:proofErr w:type="spellStart"/>
      <w:r w:rsidRPr="00FC59B5">
        <w:rPr>
          <w:rFonts w:asciiTheme="majorBidi" w:hAnsiTheme="majorBidi" w:cstheme="majorBidi"/>
          <w:color w:val="000000" w:themeColor="text1"/>
          <w:sz w:val="24"/>
          <w:szCs w:val="24"/>
        </w:rPr>
        <w:t>behavior</w:t>
      </w:r>
      <w:proofErr w:type="spellEnd"/>
      <w:r w:rsidRPr="00FC59B5">
        <w:rPr>
          <w:rFonts w:asciiTheme="majorBidi" w:hAnsiTheme="majorBidi" w:cstheme="majorBidi"/>
          <w:color w:val="000000" w:themeColor="text1"/>
          <w:sz w:val="24"/>
          <w:szCs w:val="24"/>
        </w:rPr>
        <w:t xml:space="preserve"> and skills.  Some studies have shown that female directors have a positive influence on board decisions </w:t>
      </w:r>
      <w:r w:rsidR="004D0CE8" w:rsidRPr="00FC59B5">
        <w:rPr>
          <w:rFonts w:asciiTheme="majorBidi" w:hAnsiTheme="majorBidi" w:cstheme="majorBidi"/>
          <w:color w:val="000000" w:themeColor="text1"/>
          <w:sz w:val="24"/>
          <w:szCs w:val="24"/>
        </w:rPr>
        <w:t xml:space="preserve">and financial performance </w:t>
      </w:r>
      <w:r w:rsidR="00A514CD" w:rsidRPr="00FC59B5">
        <w:rPr>
          <w:rFonts w:asciiTheme="majorBidi" w:hAnsiTheme="majorBidi" w:cstheme="majorBidi"/>
          <w:color w:val="000000" w:themeColor="text1"/>
          <w:sz w:val="24"/>
          <w:szCs w:val="24"/>
        </w:rPr>
        <w:t>(Adams and Ferreira 2009</w:t>
      </w:r>
      <w:r w:rsidR="003B2E9B" w:rsidRPr="00FC59B5">
        <w:rPr>
          <w:rFonts w:asciiTheme="majorBidi" w:hAnsiTheme="majorBidi" w:cstheme="majorBidi"/>
          <w:color w:val="000000" w:themeColor="text1"/>
          <w:sz w:val="24"/>
          <w:szCs w:val="24"/>
        </w:rPr>
        <w:t>; González</w:t>
      </w:r>
      <w:r w:rsidR="004D0CE8" w:rsidRPr="00FC59B5">
        <w:rPr>
          <w:rFonts w:asciiTheme="majorBidi" w:hAnsiTheme="majorBidi" w:cstheme="majorBidi"/>
          <w:color w:val="000000" w:themeColor="text1"/>
          <w:sz w:val="24"/>
          <w:szCs w:val="24"/>
        </w:rPr>
        <w:t xml:space="preserve"> et al., 2020</w:t>
      </w:r>
      <w:r w:rsidRPr="00FC59B5">
        <w:rPr>
          <w:rFonts w:asciiTheme="majorBidi" w:hAnsiTheme="majorBidi" w:cstheme="majorBidi"/>
          <w:color w:val="000000" w:themeColor="text1"/>
          <w:sz w:val="24"/>
          <w:szCs w:val="24"/>
        </w:rPr>
        <w:t>). In contrast, some studies question women’s ability to contr</w:t>
      </w:r>
      <w:r w:rsidR="00EE46F0" w:rsidRPr="00FC59B5">
        <w:rPr>
          <w:rFonts w:asciiTheme="majorBidi" w:hAnsiTheme="majorBidi" w:cstheme="majorBidi"/>
          <w:color w:val="000000" w:themeColor="text1"/>
          <w:sz w:val="24"/>
          <w:szCs w:val="24"/>
        </w:rPr>
        <w:t xml:space="preserve">ibute extra value to the board. </w:t>
      </w:r>
    </w:p>
    <w:p w14:paraId="03187352" w14:textId="7E89915C" w:rsidR="000E128B" w:rsidRPr="00FC59B5" w:rsidRDefault="008727C6">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Female directors support informational positions rather than opportunistic positions and have a low tolerance for opportunism during the reporting process. Having female directors as board members will improve reporting discipline and increase investor confidence in management communication. This is because women are believed to have a higher degree of moral maturity than men and a lower tolerance for opportunism (Srinidhi et al., 2011). According to the framework of </w:t>
      </w:r>
      <w:proofErr w:type="spellStart"/>
      <w:r w:rsidRPr="00FC59B5">
        <w:rPr>
          <w:rFonts w:asciiTheme="majorBidi" w:hAnsiTheme="majorBidi" w:cstheme="majorBidi"/>
          <w:color w:val="000000" w:themeColor="text1"/>
          <w:sz w:val="24"/>
          <w:szCs w:val="24"/>
        </w:rPr>
        <w:t>Merkl</w:t>
      </w:r>
      <w:proofErr w:type="spellEnd"/>
      <w:r w:rsidRPr="00FC59B5">
        <w:rPr>
          <w:rFonts w:asciiTheme="majorBidi" w:hAnsiTheme="majorBidi" w:cstheme="majorBidi"/>
          <w:color w:val="000000" w:themeColor="text1"/>
          <w:sz w:val="24"/>
          <w:szCs w:val="24"/>
        </w:rPr>
        <w:t>-Davies and Brennan (2007), the emphasis on good news is an opportunistic impression management strategy that supports agencies to make theoretical assumptions about their own interests. Previous accounting literature suggests that women on the board of directors are more effective in supervising managers and will need to take greater responsibility for management performance so if female directors provide better accountability and complexity of management communication</w:t>
      </w:r>
      <w:r w:rsidR="0001411C" w:rsidRPr="00FC59B5">
        <w:rPr>
          <w:rFonts w:asciiTheme="majorBidi" w:hAnsiTheme="majorBidi" w:cstheme="majorBidi"/>
          <w:color w:val="000000" w:themeColor="text1"/>
          <w:sz w:val="24"/>
          <w:szCs w:val="24"/>
        </w:rPr>
        <w:t xml:space="preserve"> (</w:t>
      </w:r>
      <w:proofErr w:type="spellStart"/>
      <w:r w:rsidR="0001411C" w:rsidRPr="00FC59B5">
        <w:rPr>
          <w:rFonts w:asciiTheme="majorBidi" w:hAnsiTheme="majorBidi" w:cstheme="majorBidi"/>
          <w:color w:val="000000" w:themeColor="text1"/>
          <w:sz w:val="24"/>
          <w:szCs w:val="24"/>
        </w:rPr>
        <w:t>Martikainen</w:t>
      </w:r>
      <w:proofErr w:type="spellEnd"/>
      <w:r w:rsidR="0001411C" w:rsidRPr="00FC59B5">
        <w:rPr>
          <w:rFonts w:asciiTheme="majorBidi" w:hAnsiTheme="majorBidi" w:cstheme="majorBidi"/>
          <w:color w:val="000000" w:themeColor="text1"/>
          <w:sz w:val="24"/>
          <w:szCs w:val="24"/>
        </w:rPr>
        <w:t xml:space="preserve"> et al, 2019)</w:t>
      </w:r>
      <w:r w:rsidRPr="00FC59B5">
        <w:rPr>
          <w:rFonts w:asciiTheme="majorBidi" w:hAnsiTheme="majorBidi" w:cstheme="majorBidi"/>
          <w:color w:val="000000" w:themeColor="text1"/>
          <w:sz w:val="24"/>
          <w:szCs w:val="24"/>
        </w:rPr>
        <w:t>.</w:t>
      </w:r>
      <w:r w:rsidR="0001411C" w:rsidRPr="00FC59B5">
        <w:rPr>
          <w:rFonts w:asciiTheme="majorBidi" w:hAnsiTheme="majorBidi" w:cstheme="majorBidi"/>
          <w:color w:val="000000" w:themeColor="text1"/>
          <w:sz w:val="24"/>
          <w:szCs w:val="24"/>
        </w:rPr>
        <w:t xml:space="preserve"> Therefore, i</w:t>
      </w:r>
      <w:r w:rsidR="00324858" w:rsidRPr="00FC59B5">
        <w:rPr>
          <w:rFonts w:asciiTheme="majorBidi" w:hAnsiTheme="majorBidi" w:cstheme="majorBidi"/>
          <w:color w:val="000000" w:themeColor="text1"/>
          <w:sz w:val="24"/>
          <w:szCs w:val="24"/>
        </w:rPr>
        <w:t>t</w:t>
      </w:r>
      <w:r w:rsidRPr="00FC59B5">
        <w:rPr>
          <w:rFonts w:asciiTheme="majorBidi" w:hAnsiTheme="majorBidi" w:cstheme="majorBidi"/>
          <w:color w:val="000000" w:themeColor="text1"/>
          <w:sz w:val="24"/>
          <w:szCs w:val="24"/>
        </w:rPr>
        <w:t xml:space="preserve"> is expected that companies with more female directors will have </w:t>
      </w:r>
      <w:r w:rsidR="0001411C" w:rsidRPr="00FC59B5">
        <w:rPr>
          <w:rFonts w:asciiTheme="majorBidi" w:hAnsiTheme="majorBidi" w:cstheme="majorBidi"/>
          <w:color w:val="000000" w:themeColor="text1"/>
          <w:sz w:val="24"/>
          <w:szCs w:val="24"/>
        </w:rPr>
        <w:t xml:space="preserve">less optimistic language </w:t>
      </w:r>
      <w:r w:rsidRPr="00FC59B5">
        <w:rPr>
          <w:rFonts w:asciiTheme="majorBidi" w:hAnsiTheme="majorBidi" w:cstheme="majorBidi"/>
          <w:color w:val="000000" w:themeColor="text1"/>
          <w:sz w:val="24"/>
          <w:szCs w:val="24"/>
        </w:rPr>
        <w:t xml:space="preserve">in </w:t>
      </w:r>
      <w:r w:rsidR="000E128B" w:rsidRPr="00FC59B5">
        <w:rPr>
          <w:rFonts w:asciiTheme="majorBidi" w:hAnsiTheme="majorBidi" w:cstheme="majorBidi"/>
          <w:color w:val="000000" w:themeColor="text1"/>
          <w:sz w:val="24"/>
          <w:szCs w:val="24"/>
        </w:rPr>
        <w:t xml:space="preserve">the CSR narrative. </w:t>
      </w:r>
    </w:p>
    <w:p w14:paraId="5C0CC217" w14:textId="0BF1B028" w:rsidR="006C1A32" w:rsidRPr="00FC59B5" w:rsidRDefault="006C1A32">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Nonetheless, Barber and </w:t>
      </w:r>
      <w:proofErr w:type="spellStart"/>
      <w:r w:rsidRPr="00FC59B5">
        <w:rPr>
          <w:rFonts w:asciiTheme="majorBidi" w:hAnsiTheme="majorBidi" w:cstheme="majorBidi"/>
          <w:color w:val="000000" w:themeColor="text1"/>
          <w:sz w:val="24"/>
          <w:szCs w:val="24"/>
        </w:rPr>
        <w:t>Odean</w:t>
      </w:r>
      <w:proofErr w:type="spellEnd"/>
      <w:r w:rsidRPr="00FC59B5">
        <w:rPr>
          <w:rFonts w:asciiTheme="majorBidi" w:hAnsiTheme="majorBidi" w:cstheme="majorBidi"/>
          <w:color w:val="000000" w:themeColor="text1"/>
          <w:sz w:val="24"/>
          <w:szCs w:val="24"/>
        </w:rPr>
        <w:t xml:space="preserve"> (2001) suggest that in the economic context, men are usually more confident than women. Similarly, gender diversity makes directors more likely </w:t>
      </w:r>
      <w:r w:rsidRPr="00FC59B5">
        <w:rPr>
          <w:rFonts w:asciiTheme="majorBidi" w:hAnsiTheme="majorBidi" w:cstheme="majorBidi"/>
          <w:color w:val="000000" w:themeColor="text1"/>
          <w:sz w:val="24"/>
          <w:szCs w:val="24"/>
        </w:rPr>
        <w:lastRenderedPageBreak/>
        <w:t xml:space="preserve">to bring various opinions, experiences, and skills to the board, thereby reducing collective thinking and making it more difficult to set a specific tone. However, some studies </w:t>
      </w:r>
      <w:r w:rsidR="009136DB" w:rsidRPr="00FC59B5">
        <w:rPr>
          <w:rFonts w:asciiTheme="majorBidi" w:hAnsiTheme="majorBidi" w:cstheme="majorBidi"/>
          <w:color w:val="000000" w:themeColor="text1"/>
          <w:sz w:val="24"/>
          <w:szCs w:val="24"/>
        </w:rPr>
        <w:t xml:space="preserve">such as </w:t>
      </w:r>
      <w:proofErr w:type="spellStart"/>
      <w:r w:rsidRPr="00FC59B5">
        <w:rPr>
          <w:rFonts w:asciiTheme="majorBidi" w:hAnsiTheme="majorBidi" w:cstheme="majorBidi"/>
          <w:color w:val="000000" w:themeColor="text1"/>
          <w:sz w:val="24"/>
          <w:szCs w:val="24"/>
        </w:rPr>
        <w:t>Ntim</w:t>
      </w:r>
      <w:proofErr w:type="spellEnd"/>
      <w:r w:rsidRPr="00FC59B5">
        <w:rPr>
          <w:rFonts w:asciiTheme="majorBidi" w:hAnsiTheme="majorBidi" w:cstheme="majorBidi"/>
          <w:color w:val="000000" w:themeColor="text1"/>
          <w:sz w:val="24"/>
          <w:szCs w:val="24"/>
        </w:rPr>
        <w:t xml:space="preserve"> et al.</w:t>
      </w:r>
      <w:r w:rsidR="00A514CD" w:rsidRPr="00FC59B5">
        <w:rPr>
          <w:rFonts w:asciiTheme="majorBidi" w:hAnsiTheme="majorBidi" w:cstheme="majorBidi"/>
          <w:color w:val="000000" w:themeColor="text1"/>
          <w:sz w:val="24"/>
          <w:szCs w:val="24"/>
        </w:rPr>
        <w:t xml:space="preserve"> </w:t>
      </w:r>
      <w:r w:rsidR="00324858"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2013) and </w:t>
      </w:r>
      <w:proofErr w:type="spellStart"/>
      <w:r w:rsidRPr="00FC59B5">
        <w:rPr>
          <w:rFonts w:asciiTheme="majorBidi" w:hAnsiTheme="majorBidi" w:cstheme="majorBidi"/>
          <w:color w:val="000000" w:themeColor="text1"/>
          <w:sz w:val="24"/>
          <w:szCs w:val="24"/>
        </w:rPr>
        <w:t>Allini</w:t>
      </w:r>
      <w:proofErr w:type="spellEnd"/>
      <w:r w:rsidR="00EE46F0" w:rsidRPr="00FC59B5">
        <w:rPr>
          <w:rFonts w:asciiTheme="majorBidi" w:hAnsiTheme="majorBidi" w:cstheme="majorBidi"/>
          <w:color w:val="000000" w:themeColor="text1"/>
          <w:sz w:val="24"/>
          <w:szCs w:val="24"/>
        </w:rPr>
        <w:t xml:space="preserve"> et al. </w:t>
      </w:r>
      <w:r w:rsidRPr="00FC59B5">
        <w:rPr>
          <w:rFonts w:asciiTheme="majorBidi" w:hAnsiTheme="majorBidi" w:cstheme="majorBidi"/>
          <w:color w:val="000000" w:themeColor="text1"/>
          <w:sz w:val="24"/>
          <w:szCs w:val="24"/>
        </w:rPr>
        <w:t xml:space="preserve">(2016) </w:t>
      </w:r>
      <w:r w:rsidR="00324858" w:rsidRPr="00FC59B5">
        <w:rPr>
          <w:rFonts w:asciiTheme="majorBidi" w:hAnsiTheme="majorBidi" w:cstheme="majorBidi"/>
          <w:color w:val="000000" w:themeColor="text1"/>
          <w:sz w:val="24"/>
          <w:szCs w:val="24"/>
        </w:rPr>
        <w:t xml:space="preserve">find </w:t>
      </w:r>
      <w:r w:rsidRPr="00FC59B5">
        <w:rPr>
          <w:rFonts w:asciiTheme="majorBidi" w:hAnsiTheme="majorBidi" w:cstheme="majorBidi"/>
          <w:color w:val="000000" w:themeColor="text1"/>
          <w:sz w:val="24"/>
          <w:szCs w:val="24"/>
        </w:rPr>
        <w:t xml:space="preserve">that the presence of women on the board of directors has a positive impact on risk disclosure. </w:t>
      </w:r>
      <w:proofErr w:type="spellStart"/>
      <w:r w:rsidR="00A5258E" w:rsidRPr="00FC59B5">
        <w:rPr>
          <w:rFonts w:asciiTheme="majorBidi" w:hAnsiTheme="majorBidi" w:cstheme="majorBidi"/>
          <w:color w:val="000000" w:themeColor="text1"/>
          <w:sz w:val="24"/>
          <w:szCs w:val="24"/>
        </w:rPr>
        <w:t>Bassyouny</w:t>
      </w:r>
      <w:proofErr w:type="spellEnd"/>
      <w:r w:rsidR="00A5258E" w:rsidRPr="00FC59B5">
        <w:rPr>
          <w:rFonts w:asciiTheme="majorBidi" w:hAnsiTheme="majorBidi" w:cstheme="majorBidi"/>
          <w:color w:val="000000" w:themeColor="text1"/>
          <w:sz w:val="24"/>
          <w:szCs w:val="24"/>
        </w:rPr>
        <w:t xml:space="preserve"> et al., 2020 conclude that more females on board increases the negative relationship between female CEOs and positive tone. </w:t>
      </w:r>
      <w:r w:rsidRPr="00FC59B5">
        <w:rPr>
          <w:rFonts w:asciiTheme="majorBidi" w:hAnsiTheme="majorBidi" w:cstheme="majorBidi"/>
          <w:color w:val="000000" w:themeColor="text1"/>
          <w:sz w:val="24"/>
          <w:szCs w:val="24"/>
        </w:rPr>
        <w:t xml:space="preserve">Therefore, this study believes that more women in the board of directors can improve the decision-making process, including </w:t>
      </w:r>
      <w:r w:rsidR="00324858" w:rsidRPr="00FC59B5">
        <w:rPr>
          <w:rFonts w:asciiTheme="majorBidi" w:hAnsiTheme="majorBidi" w:cstheme="majorBidi"/>
          <w:color w:val="000000" w:themeColor="text1"/>
          <w:sz w:val="24"/>
          <w:szCs w:val="24"/>
        </w:rPr>
        <w:t>disclosure practice decision</w:t>
      </w:r>
      <w:r w:rsidRPr="00FC59B5">
        <w:rPr>
          <w:rFonts w:asciiTheme="majorBidi" w:hAnsiTheme="majorBidi" w:cstheme="majorBidi"/>
          <w:color w:val="000000" w:themeColor="text1"/>
          <w:sz w:val="24"/>
          <w:szCs w:val="24"/>
        </w:rPr>
        <w:t xml:space="preserve">, and </w:t>
      </w:r>
      <w:r w:rsidR="00324858" w:rsidRPr="00FC59B5">
        <w:rPr>
          <w:rFonts w:asciiTheme="majorBidi" w:hAnsiTheme="majorBidi" w:cstheme="majorBidi"/>
          <w:color w:val="000000" w:themeColor="text1"/>
          <w:sz w:val="24"/>
          <w:szCs w:val="24"/>
        </w:rPr>
        <w:t xml:space="preserve">could </w:t>
      </w:r>
      <w:r w:rsidRPr="00FC59B5">
        <w:rPr>
          <w:rFonts w:asciiTheme="majorBidi" w:hAnsiTheme="majorBidi" w:cstheme="majorBidi"/>
          <w:color w:val="000000" w:themeColor="text1"/>
          <w:sz w:val="24"/>
          <w:szCs w:val="24"/>
        </w:rPr>
        <w:t xml:space="preserve">influence the tone of CSR reporting </w:t>
      </w:r>
      <w:r w:rsidR="00324858" w:rsidRPr="00FC59B5">
        <w:rPr>
          <w:rFonts w:asciiTheme="majorBidi" w:hAnsiTheme="majorBidi" w:cstheme="majorBidi"/>
          <w:color w:val="000000" w:themeColor="text1"/>
          <w:sz w:val="24"/>
          <w:szCs w:val="24"/>
        </w:rPr>
        <w:t>as</w:t>
      </w:r>
      <w:r w:rsidRPr="00FC59B5">
        <w:rPr>
          <w:rFonts w:asciiTheme="majorBidi" w:hAnsiTheme="majorBidi" w:cstheme="majorBidi"/>
          <w:color w:val="000000" w:themeColor="text1"/>
          <w:sz w:val="24"/>
          <w:szCs w:val="24"/>
        </w:rPr>
        <w:t xml:space="preserve"> more women </w:t>
      </w:r>
      <w:r w:rsidR="00324858" w:rsidRPr="00FC59B5">
        <w:rPr>
          <w:rFonts w:asciiTheme="majorBidi" w:hAnsiTheme="majorBidi" w:cstheme="majorBidi"/>
          <w:color w:val="000000" w:themeColor="text1"/>
          <w:sz w:val="24"/>
          <w:szCs w:val="24"/>
        </w:rPr>
        <w:t xml:space="preserve">on </w:t>
      </w:r>
      <w:r w:rsidRPr="00FC59B5">
        <w:rPr>
          <w:rFonts w:asciiTheme="majorBidi" w:hAnsiTheme="majorBidi" w:cstheme="majorBidi"/>
          <w:color w:val="000000" w:themeColor="text1"/>
          <w:sz w:val="24"/>
          <w:szCs w:val="24"/>
        </w:rPr>
        <w:t xml:space="preserve">the board of directors </w:t>
      </w:r>
      <w:r w:rsidR="00A5258E" w:rsidRPr="00FC59B5">
        <w:rPr>
          <w:rFonts w:asciiTheme="majorBidi" w:hAnsiTheme="majorBidi" w:cstheme="majorBidi"/>
          <w:color w:val="000000" w:themeColor="text1"/>
          <w:sz w:val="24"/>
          <w:szCs w:val="24"/>
        </w:rPr>
        <w:t xml:space="preserve">may decrease impression management as female directors disclose neutral information (García-Sánchez et al., 2019; </w:t>
      </w:r>
      <w:proofErr w:type="spellStart"/>
      <w:r w:rsidR="00A5258E" w:rsidRPr="00FC59B5">
        <w:rPr>
          <w:rFonts w:asciiTheme="majorBidi" w:hAnsiTheme="majorBidi" w:cstheme="majorBidi"/>
          <w:color w:val="000000" w:themeColor="text1"/>
          <w:sz w:val="24"/>
          <w:szCs w:val="24"/>
        </w:rPr>
        <w:t>Bassyouny</w:t>
      </w:r>
      <w:proofErr w:type="spellEnd"/>
      <w:r w:rsidR="00A5258E" w:rsidRPr="00FC59B5">
        <w:rPr>
          <w:rFonts w:asciiTheme="majorBidi" w:hAnsiTheme="majorBidi" w:cstheme="majorBidi"/>
          <w:color w:val="000000" w:themeColor="text1"/>
          <w:sz w:val="24"/>
          <w:szCs w:val="24"/>
        </w:rPr>
        <w:t xml:space="preserve"> et al., 2020).</w:t>
      </w:r>
      <w:r w:rsidR="00972801" w:rsidRPr="00FC59B5">
        <w:rPr>
          <w:rFonts w:asciiTheme="majorBidi" w:hAnsiTheme="majorBidi" w:cstheme="majorBidi"/>
          <w:color w:val="000000" w:themeColor="text1"/>
          <w:sz w:val="24"/>
          <w:szCs w:val="24"/>
        </w:rPr>
        <w:t xml:space="preserve"> </w:t>
      </w:r>
      <w:proofErr w:type="gramStart"/>
      <w:r w:rsidR="00972801" w:rsidRPr="00FC59B5">
        <w:rPr>
          <w:rFonts w:asciiTheme="majorBidi" w:hAnsiTheme="majorBidi" w:cstheme="majorBidi"/>
          <w:color w:val="000000" w:themeColor="text1"/>
          <w:sz w:val="24"/>
          <w:szCs w:val="24"/>
        </w:rPr>
        <w:t>Thus</w:t>
      </w:r>
      <w:proofErr w:type="gramEnd"/>
      <w:r w:rsidR="00972801" w:rsidRPr="00FC59B5">
        <w:rPr>
          <w:rFonts w:asciiTheme="majorBidi" w:hAnsiTheme="majorBidi" w:cstheme="majorBidi"/>
          <w:color w:val="000000" w:themeColor="text1"/>
          <w:sz w:val="24"/>
          <w:szCs w:val="24"/>
        </w:rPr>
        <w:t xml:space="preserve"> we </w:t>
      </w:r>
      <w:r w:rsidR="00324858" w:rsidRPr="00FC59B5">
        <w:rPr>
          <w:rFonts w:asciiTheme="majorBidi" w:hAnsiTheme="majorBidi" w:cstheme="majorBidi"/>
          <w:color w:val="000000" w:themeColor="text1"/>
          <w:sz w:val="24"/>
          <w:szCs w:val="24"/>
        </w:rPr>
        <w:t>hypothesise that:</w:t>
      </w:r>
    </w:p>
    <w:p w14:paraId="7BAD519E" w14:textId="6F1BE7D2" w:rsidR="00A5258E" w:rsidRPr="00FC59B5" w:rsidRDefault="00972801" w:rsidP="00A5258E">
      <w:pPr>
        <w:spacing w:after="120" w:line="360" w:lineRule="auto"/>
        <w:ind w:firstLine="720"/>
        <w:contextualSpacing/>
        <w:jc w:val="both"/>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H3: </w:t>
      </w:r>
      <w:r w:rsidR="00A5258E" w:rsidRPr="00FC59B5">
        <w:rPr>
          <w:rFonts w:asciiTheme="majorBidi" w:hAnsiTheme="majorBidi" w:cstheme="majorBidi"/>
          <w:b/>
          <w:bCs/>
          <w:color w:val="000000" w:themeColor="text1"/>
          <w:sz w:val="24"/>
          <w:szCs w:val="24"/>
        </w:rPr>
        <w:t>Companies with more board g</w:t>
      </w:r>
      <w:r w:rsidRPr="00FC59B5">
        <w:rPr>
          <w:rFonts w:asciiTheme="majorBidi" w:hAnsiTheme="majorBidi" w:cstheme="majorBidi"/>
          <w:b/>
          <w:bCs/>
          <w:color w:val="000000" w:themeColor="text1"/>
          <w:sz w:val="24"/>
          <w:szCs w:val="24"/>
        </w:rPr>
        <w:t xml:space="preserve">ender diversity </w:t>
      </w:r>
      <w:r w:rsidR="00696595" w:rsidRPr="00FC59B5">
        <w:rPr>
          <w:rFonts w:asciiTheme="majorBidi" w:hAnsiTheme="majorBidi" w:cstheme="majorBidi"/>
          <w:b/>
          <w:bCs/>
          <w:color w:val="000000" w:themeColor="text1"/>
          <w:sz w:val="24"/>
          <w:szCs w:val="24"/>
        </w:rPr>
        <w:t>have</w:t>
      </w:r>
      <w:r w:rsidR="00324858" w:rsidRPr="00FC59B5">
        <w:rPr>
          <w:rFonts w:asciiTheme="majorBidi" w:hAnsiTheme="majorBidi" w:cstheme="majorBidi"/>
          <w:b/>
          <w:bCs/>
          <w:color w:val="000000" w:themeColor="text1"/>
          <w:sz w:val="24"/>
          <w:szCs w:val="24"/>
        </w:rPr>
        <w:t xml:space="preserve"> </w:t>
      </w:r>
      <w:r w:rsidR="00A5258E" w:rsidRPr="00FC59B5">
        <w:rPr>
          <w:rFonts w:asciiTheme="majorBidi" w:hAnsiTheme="majorBidi" w:cstheme="majorBidi"/>
          <w:b/>
          <w:bCs/>
          <w:color w:val="000000" w:themeColor="text1"/>
          <w:sz w:val="24"/>
          <w:szCs w:val="24"/>
        </w:rPr>
        <w:t xml:space="preserve">less positive tone in CSR narrative </w:t>
      </w:r>
      <w:proofErr w:type="gramStart"/>
      <w:r w:rsidR="00A5258E" w:rsidRPr="00FC59B5">
        <w:rPr>
          <w:rFonts w:asciiTheme="majorBidi" w:hAnsiTheme="majorBidi" w:cstheme="majorBidi"/>
          <w:b/>
          <w:bCs/>
          <w:color w:val="000000" w:themeColor="text1"/>
          <w:sz w:val="24"/>
          <w:szCs w:val="24"/>
        </w:rPr>
        <w:t>reporting</w:t>
      </w:r>
      <w:proofErr w:type="gramEnd"/>
    </w:p>
    <w:p w14:paraId="4D82F270" w14:textId="6E959621" w:rsidR="00972801" w:rsidRPr="00FC59B5" w:rsidRDefault="00972801" w:rsidP="00A5258E">
      <w:pPr>
        <w:spacing w:after="120" w:line="360" w:lineRule="auto"/>
        <w:ind w:firstLine="720"/>
        <w:contextualSpacing/>
        <w:jc w:val="both"/>
        <w:rPr>
          <w:rFonts w:asciiTheme="majorBidi" w:hAnsiTheme="majorBidi" w:cstheme="majorBidi"/>
          <w:i/>
          <w:iCs/>
          <w:color w:val="000000" w:themeColor="text1"/>
          <w:sz w:val="24"/>
          <w:szCs w:val="24"/>
        </w:rPr>
      </w:pPr>
      <w:r w:rsidRPr="00FC59B5">
        <w:rPr>
          <w:rFonts w:asciiTheme="majorBidi" w:hAnsiTheme="majorBidi" w:cstheme="majorBidi"/>
          <w:color w:val="000000" w:themeColor="text1"/>
          <w:sz w:val="24"/>
          <w:szCs w:val="24"/>
        </w:rPr>
        <w:t xml:space="preserve">2.4 Audit </w:t>
      </w:r>
      <w:r w:rsidR="00DE65A1" w:rsidRPr="00FC59B5">
        <w:rPr>
          <w:rFonts w:asciiTheme="majorBidi" w:hAnsiTheme="majorBidi" w:cstheme="majorBidi"/>
          <w:color w:val="000000" w:themeColor="text1"/>
          <w:sz w:val="24"/>
          <w:szCs w:val="24"/>
        </w:rPr>
        <w:t>C</w:t>
      </w:r>
      <w:r w:rsidRPr="00FC59B5">
        <w:rPr>
          <w:rFonts w:asciiTheme="majorBidi" w:hAnsiTheme="majorBidi" w:cstheme="majorBidi"/>
          <w:color w:val="000000" w:themeColor="text1"/>
          <w:sz w:val="24"/>
          <w:szCs w:val="24"/>
        </w:rPr>
        <w:t xml:space="preserve">ommittee and </w:t>
      </w:r>
      <w:r w:rsidR="00833B54" w:rsidRPr="00FC59B5">
        <w:rPr>
          <w:rFonts w:asciiTheme="majorBidi" w:hAnsiTheme="majorBidi" w:cstheme="majorBidi"/>
          <w:color w:val="000000" w:themeColor="text1"/>
          <w:sz w:val="24"/>
          <w:szCs w:val="24"/>
        </w:rPr>
        <w:t xml:space="preserve">the </w:t>
      </w:r>
      <w:r w:rsidR="00DE65A1" w:rsidRPr="00FC59B5">
        <w:rPr>
          <w:rFonts w:asciiTheme="majorBidi" w:hAnsiTheme="majorBidi" w:cstheme="majorBidi"/>
          <w:color w:val="000000" w:themeColor="text1"/>
          <w:sz w:val="24"/>
          <w:szCs w:val="24"/>
        </w:rPr>
        <w:t>T</w:t>
      </w:r>
      <w:r w:rsidR="00833B54" w:rsidRPr="00FC59B5">
        <w:rPr>
          <w:rFonts w:asciiTheme="majorBidi" w:hAnsiTheme="majorBidi" w:cstheme="majorBidi"/>
          <w:color w:val="000000" w:themeColor="text1"/>
          <w:sz w:val="24"/>
          <w:szCs w:val="24"/>
        </w:rPr>
        <w:t xml:space="preserve">one of CSR </w:t>
      </w:r>
      <w:r w:rsidR="00DE65A1" w:rsidRPr="00FC59B5">
        <w:rPr>
          <w:rFonts w:asciiTheme="majorBidi" w:hAnsiTheme="majorBidi" w:cstheme="majorBidi"/>
          <w:color w:val="000000" w:themeColor="text1"/>
          <w:sz w:val="24"/>
          <w:szCs w:val="24"/>
        </w:rPr>
        <w:t>N</w:t>
      </w:r>
      <w:r w:rsidR="00833B54" w:rsidRPr="00FC59B5">
        <w:rPr>
          <w:rFonts w:asciiTheme="majorBidi" w:hAnsiTheme="majorBidi" w:cstheme="majorBidi"/>
          <w:color w:val="000000" w:themeColor="text1"/>
          <w:sz w:val="24"/>
          <w:szCs w:val="24"/>
        </w:rPr>
        <w:t>arrative</w:t>
      </w:r>
    </w:p>
    <w:p w14:paraId="4EBC9BCF" w14:textId="62FEB9A0" w:rsidR="000E128B" w:rsidRPr="00FC59B5" w:rsidRDefault="00972801">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 resource dependence theory holds that </w:t>
      </w:r>
      <w:r w:rsidR="00324858" w:rsidRPr="00FC59B5">
        <w:rPr>
          <w:rFonts w:asciiTheme="majorBidi" w:hAnsiTheme="majorBidi" w:cstheme="majorBidi"/>
          <w:color w:val="000000" w:themeColor="text1"/>
          <w:sz w:val="24"/>
          <w:szCs w:val="24"/>
        </w:rPr>
        <w:t>large-size</w:t>
      </w:r>
      <w:r w:rsidRPr="00FC59B5">
        <w:rPr>
          <w:rFonts w:asciiTheme="majorBidi" w:hAnsiTheme="majorBidi" w:cstheme="majorBidi"/>
          <w:color w:val="000000" w:themeColor="text1"/>
          <w:sz w:val="24"/>
          <w:szCs w:val="24"/>
        </w:rPr>
        <w:t xml:space="preserve"> audit committee is willing to invest more resources and power to effectively perform its duties (</w:t>
      </w:r>
      <w:proofErr w:type="spellStart"/>
      <w:r w:rsidRPr="00FC59B5">
        <w:rPr>
          <w:rFonts w:asciiTheme="majorBidi" w:hAnsiTheme="majorBidi" w:cstheme="majorBidi"/>
          <w:color w:val="000000" w:themeColor="text1"/>
          <w:sz w:val="24"/>
          <w:szCs w:val="24"/>
        </w:rPr>
        <w:t>Al</w:t>
      </w:r>
      <w:r w:rsidR="00FC17D8" w:rsidRPr="00FC59B5">
        <w:rPr>
          <w:rFonts w:asciiTheme="majorBidi" w:hAnsiTheme="majorBidi" w:cstheme="majorBidi"/>
          <w:color w:val="000000" w:themeColor="text1"/>
          <w:sz w:val="24"/>
          <w:szCs w:val="24"/>
        </w:rPr>
        <w:t>legrini</w:t>
      </w:r>
      <w:proofErr w:type="spellEnd"/>
      <w:r w:rsidR="00FC17D8" w:rsidRPr="00FC59B5">
        <w:rPr>
          <w:rFonts w:asciiTheme="majorBidi" w:hAnsiTheme="majorBidi" w:cstheme="majorBidi"/>
          <w:color w:val="000000" w:themeColor="text1"/>
          <w:sz w:val="24"/>
          <w:szCs w:val="24"/>
        </w:rPr>
        <w:t xml:space="preserve"> &amp; Greco, 2011). More </w:t>
      </w:r>
      <w:r w:rsidR="00AC5B75" w:rsidRPr="00FC59B5">
        <w:rPr>
          <w:rFonts w:asciiTheme="majorBidi" w:hAnsiTheme="majorBidi" w:cstheme="majorBidi"/>
          <w:color w:val="000000" w:themeColor="text1"/>
          <w:sz w:val="24"/>
          <w:szCs w:val="24"/>
        </w:rPr>
        <w:t xml:space="preserve">audit committee </w:t>
      </w:r>
      <w:r w:rsidRPr="00FC59B5">
        <w:rPr>
          <w:rFonts w:asciiTheme="majorBidi" w:hAnsiTheme="majorBidi" w:cstheme="majorBidi"/>
          <w:color w:val="000000" w:themeColor="text1"/>
          <w:sz w:val="24"/>
          <w:szCs w:val="24"/>
        </w:rPr>
        <w:t>directors are more likely to bring a variety of opinions, expertise, experience</w:t>
      </w:r>
      <w:r w:rsidR="00324858"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and skills to ensure effective monitoring (</w:t>
      </w:r>
      <w:r w:rsidR="00AC5B75" w:rsidRPr="00FC59B5">
        <w:rPr>
          <w:rFonts w:asciiTheme="majorBidi" w:hAnsiTheme="majorBidi" w:cstheme="majorBidi"/>
          <w:color w:val="000000" w:themeColor="text1"/>
          <w:sz w:val="24"/>
          <w:szCs w:val="24"/>
        </w:rPr>
        <w:t xml:space="preserve">Li et al., 2012; </w:t>
      </w:r>
      <w:r w:rsidR="008E753F" w:rsidRPr="00FC59B5">
        <w:rPr>
          <w:rFonts w:asciiTheme="majorBidi" w:hAnsiTheme="majorBidi" w:cstheme="majorBidi"/>
          <w:color w:val="000000" w:themeColor="text1"/>
          <w:sz w:val="24"/>
          <w:szCs w:val="24"/>
        </w:rPr>
        <w:t xml:space="preserve">Haj </w:t>
      </w:r>
      <w:r w:rsidR="00AC5B75" w:rsidRPr="00FC59B5">
        <w:rPr>
          <w:rFonts w:asciiTheme="majorBidi" w:hAnsiTheme="majorBidi" w:cstheme="majorBidi"/>
          <w:color w:val="000000" w:themeColor="text1"/>
          <w:sz w:val="24"/>
          <w:szCs w:val="24"/>
        </w:rPr>
        <w:t>Salem et al., 2019</w:t>
      </w:r>
      <w:r w:rsidR="00FC17D8" w:rsidRPr="00FC59B5">
        <w:rPr>
          <w:rFonts w:asciiTheme="majorBidi" w:hAnsiTheme="majorBidi" w:cstheme="majorBidi"/>
          <w:color w:val="000000" w:themeColor="text1"/>
          <w:sz w:val="24"/>
          <w:szCs w:val="24"/>
        </w:rPr>
        <w:t xml:space="preserve">). Therefore, more </w:t>
      </w:r>
      <w:r w:rsidR="00AC5B75" w:rsidRPr="00FC59B5">
        <w:rPr>
          <w:rFonts w:asciiTheme="majorBidi" w:hAnsiTheme="majorBidi" w:cstheme="majorBidi"/>
          <w:color w:val="000000" w:themeColor="text1"/>
          <w:sz w:val="24"/>
          <w:szCs w:val="24"/>
        </w:rPr>
        <w:t xml:space="preserve">audit committee </w:t>
      </w:r>
      <w:r w:rsidRPr="00FC59B5">
        <w:rPr>
          <w:rFonts w:asciiTheme="majorBidi" w:hAnsiTheme="majorBidi" w:cstheme="majorBidi"/>
          <w:color w:val="000000" w:themeColor="text1"/>
          <w:sz w:val="24"/>
          <w:szCs w:val="24"/>
        </w:rPr>
        <w:t xml:space="preserve">members may help such committees to identify and resolve </w:t>
      </w:r>
      <w:r w:rsidR="00AC5B75" w:rsidRPr="00FC59B5">
        <w:rPr>
          <w:rFonts w:asciiTheme="majorBidi" w:hAnsiTheme="majorBidi" w:cstheme="majorBidi"/>
          <w:color w:val="000000" w:themeColor="text1"/>
          <w:sz w:val="24"/>
          <w:szCs w:val="24"/>
        </w:rPr>
        <w:t>potential issues in the company</w:t>
      </w:r>
      <w:r w:rsidRPr="00FC59B5">
        <w:rPr>
          <w:rFonts w:asciiTheme="majorBidi" w:hAnsiTheme="majorBidi" w:cstheme="majorBidi"/>
          <w:color w:val="000000" w:themeColor="text1"/>
          <w:sz w:val="24"/>
          <w:szCs w:val="24"/>
        </w:rPr>
        <w:t xml:space="preserve">’s reporting process (Li et al., 2012). </w:t>
      </w:r>
      <w:r w:rsidR="00324858" w:rsidRPr="00FC59B5">
        <w:rPr>
          <w:rFonts w:asciiTheme="majorBidi" w:hAnsiTheme="majorBidi" w:cstheme="majorBidi"/>
          <w:color w:val="000000" w:themeColor="text1"/>
          <w:sz w:val="24"/>
          <w:szCs w:val="24"/>
        </w:rPr>
        <w:t>Audit committee</w:t>
      </w:r>
      <w:r w:rsidRPr="00FC59B5">
        <w:rPr>
          <w:rFonts w:asciiTheme="majorBidi" w:hAnsiTheme="majorBidi" w:cstheme="majorBidi"/>
          <w:color w:val="000000" w:themeColor="text1"/>
          <w:sz w:val="24"/>
          <w:szCs w:val="24"/>
        </w:rPr>
        <w:t xml:space="preserve"> scale is an important factor for </w:t>
      </w:r>
      <w:r w:rsidR="00324858" w:rsidRPr="00FC59B5">
        <w:rPr>
          <w:rFonts w:asciiTheme="majorBidi" w:hAnsiTheme="majorBidi" w:cstheme="majorBidi"/>
          <w:color w:val="000000" w:themeColor="text1"/>
          <w:sz w:val="24"/>
          <w:szCs w:val="24"/>
        </w:rPr>
        <w:t>audit committee</w:t>
      </w:r>
      <w:r w:rsidRPr="00FC59B5">
        <w:rPr>
          <w:rFonts w:asciiTheme="majorBidi" w:hAnsiTheme="majorBidi" w:cstheme="majorBidi"/>
          <w:color w:val="000000" w:themeColor="text1"/>
          <w:sz w:val="24"/>
          <w:szCs w:val="24"/>
        </w:rPr>
        <w:t xml:space="preserve"> to fully monitor the company's disclosure </w:t>
      </w:r>
      <w:proofErr w:type="spellStart"/>
      <w:r w:rsidRPr="00FC59B5">
        <w:rPr>
          <w:rFonts w:asciiTheme="majorBidi" w:hAnsiTheme="majorBidi" w:cstheme="majorBidi"/>
          <w:color w:val="000000" w:themeColor="text1"/>
          <w:sz w:val="24"/>
          <w:szCs w:val="24"/>
        </w:rPr>
        <w:t>behavior</w:t>
      </w:r>
      <w:proofErr w:type="spellEnd"/>
      <w:r w:rsidRPr="00FC59B5">
        <w:rPr>
          <w:rFonts w:asciiTheme="majorBidi" w:hAnsiTheme="majorBidi" w:cstheme="majorBidi"/>
          <w:color w:val="000000" w:themeColor="text1"/>
          <w:sz w:val="24"/>
          <w:szCs w:val="24"/>
        </w:rPr>
        <w:t xml:space="preserve"> (Persons, 2009). Persons (2009) </w:t>
      </w:r>
      <w:r w:rsidR="00E50C1D" w:rsidRPr="00FC59B5">
        <w:rPr>
          <w:rFonts w:asciiTheme="majorBidi" w:hAnsiTheme="majorBidi" w:cstheme="majorBidi"/>
          <w:color w:val="000000" w:themeColor="text1"/>
          <w:sz w:val="24"/>
          <w:szCs w:val="24"/>
        </w:rPr>
        <w:t xml:space="preserve">provides </w:t>
      </w:r>
      <w:r w:rsidRPr="00FC59B5">
        <w:rPr>
          <w:rFonts w:asciiTheme="majorBidi" w:hAnsiTheme="majorBidi" w:cstheme="majorBidi"/>
          <w:color w:val="000000" w:themeColor="text1"/>
          <w:sz w:val="24"/>
          <w:szCs w:val="24"/>
        </w:rPr>
        <w:t xml:space="preserve">empirical evidence that many </w:t>
      </w:r>
      <w:r w:rsidR="00E50C1D" w:rsidRPr="00FC59B5">
        <w:rPr>
          <w:rFonts w:asciiTheme="majorBidi" w:hAnsiTheme="majorBidi" w:cstheme="majorBidi"/>
          <w:color w:val="000000" w:themeColor="text1"/>
          <w:sz w:val="24"/>
          <w:szCs w:val="24"/>
        </w:rPr>
        <w:t>audit committee</w:t>
      </w:r>
      <w:r w:rsidRPr="00FC59B5">
        <w:rPr>
          <w:rFonts w:asciiTheme="majorBidi" w:hAnsiTheme="majorBidi" w:cstheme="majorBidi"/>
          <w:color w:val="000000" w:themeColor="text1"/>
          <w:sz w:val="24"/>
          <w:szCs w:val="24"/>
        </w:rPr>
        <w:t xml:space="preserve"> directors seem to have </w:t>
      </w:r>
      <w:r w:rsidR="00324858" w:rsidRPr="00FC59B5">
        <w:rPr>
          <w:rFonts w:asciiTheme="majorBidi" w:hAnsiTheme="majorBidi" w:cstheme="majorBidi"/>
          <w:color w:val="000000" w:themeColor="text1"/>
          <w:sz w:val="24"/>
          <w:szCs w:val="24"/>
        </w:rPr>
        <w:t xml:space="preserve">a positive impact </w:t>
      </w:r>
      <w:proofErr w:type="gramStart"/>
      <w:r w:rsidR="00324858" w:rsidRPr="00FC59B5">
        <w:rPr>
          <w:rFonts w:asciiTheme="majorBidi" w:hAnsiTheme="majorBidi" w:cstheme="majorBidi"/>
          <w:color w:val="000000" w:themeColor="text1"/>
          <w:sz w:val="24"/>
          <w:szCs w:val="24"/>
        </w:rPr>
        <w:t xml:space="preserve">on </w:t>
      </w:r>
      <w:r w:rsidRPr="00FC59B5">
        <w:rPr>
          <w:rFonts w:asciiTheme="majorBidi" w:hAnsiTheme="majorBidi" w:cstheme="majorBidi"/>
          <w:color w:val="000000" w:themeColor="text1"/>
          <w:sz w:val="24"/>
          <w:szCs w:val="24"/>
        </w:rPr>
        <w:t xml:space="preserve"> the</w:t>
      </w:r>
      <w:proofErr w:type="gramEnd"/>
      <w:r w:rsidRPr="00FC59B5">
        <w:rPr>
          <w:rFonts w:asciiTheme="majorBidi" w:hAnsiTheme="majorBidi" w:cstheme="majorBidi"/>
          <w:color w:val="000000" w:themeColor="text1"/>
          <w:sz w:val="24"/>
          <w:szCs w:val="24"/>
        </w:rPr>
        <w:t xml:space="preserve"> level of voluntary disclosure. Many studies have examined the impact of audit</w:t>
      </w:r>
      <w:r w:rsidR="00C15BFF" w:rsidRPr="00FC59B5">
        <w:rPr>
          <w:rFonts w:asciiTheme="majorBidi" w:hAnsiTheme="majorBidi" w:cstheme="majorBidi"/>
          <w:color w:val="000000" w:themeColor="text1"/>
          <w:sz w:val="24"/>
          <w:szCs w:val="24"/>
        </w:rPr>
        <w:t xml:space="preserve"> committee size on disclosure (</w:t>
      </w:r>
      <w:r w:rsidRPr="00FC59B5">
        <w:rPr>
          <w:rFonts w:asciiTheme="majorBidi" w:hAnsiTheme="majorBidi" w:cstheme="majorBidi"/>
          <w:color w:val="000000" w:themeColor="text1"/>
          <w:sz w:val="24"/>
          <w:szCs w:val="24"/>
        </w:rPr>
        <w:t>Barako et al., 2006</w:t>
      </w:r>
      <w:r w:rsidR="005F6563" w:rsidRPr="00FC59B5">
        <w:rPr>
          <w:rFonts w:asciiTheme="majorBidi" w:hAnsiTheme="majorBidi" w:cstheme="majorBidi"/>
          <w:color w:val="000000" w:themeColor="text1"/>
          <w:sz w:val="24"/>
          <w:szCs w:val="24"/>
        </w:rPr>
        <w:t xml:space="preserve">; </w:t>
      </w:r>
      <w:proofErr w:type="spellStart"/>
      <w:r w:rsidR="005F6563" w:rsidRPr="00FC59B5">
        <w:rPr>
          <w:rFonts w:asciiTheme="majorBidi" w:hAnsiTheme="majorBidi" w:cstheme="majorBidi"/>
          <w:color w:val="000000" w:themeColor="text1"/>
          <w:sz w:val="24"/>
          <w:szCs w:val="24"/>
        </w:rPr>
        <w:t>Albitar</w:t>
      </w:r>
      <w:proofErr w:type="spellEnd"/>
      <w:r w:rsidR="005F6563" w:rsidRPr="00FC59B5">
        <w:rPr>
          <w:rFonts w:asciiTheme="majorBidi" w:hAnsiTheme="majorBidi" w:cstheme="majorBidi"/>
          <w:color w:val="000000" w:themeColor="text1"/>
          <w:sz w:val="24"/>
          <w:szCs w:val="24"/>
        </w:rPr>
        <w:t>, 2015</w:t>
      </w:r>
      <w:r w:rsidRPr="00FC59B5">
        <w:rPr>
          <w:rFonts w:asciiTheme="majorBidi" w:hAnsiTheme="majorBidi" w:cstheme="majorBidi"/>
          <w:color w:val="000000" w:themeColor="text1"/>
          <w:sz w:val="24"/>
          <w:szCs w:val="24"/>
        </w:rPr>
        <w:t>). In addition, it is more likely to discover potential problems through knowledge sharing and improve the quality of internal control which will enable the audit committee to perform its supervisory responsibilities more e</w:t>
      </w:r>
      <w:r w:rsidR="00AA747F" w:rsidRPr="00FC59B5">
        <w:rPr>
          <w:rFonts w:asciiTheme="majorBidi" w:hAnsiTheme="majorBidi" w:cstheme="majorBidi"/>
          <w:color w:val="000000" w:themeColor="text1"/>
          <w:sz w:val="24"/>
          <w:szCs w:val="24"/>
        </w:rPr>
        <w:t>ffectively (Barako et al., 2006</w:t>
      </w:r>
      <w:r w:rsidRPr="00FC59B5">
        <w:rPr>
          <w:rFonts w:asciiTheme="majorBidi" w:hAnsiTheme="majorBidi" w:cstheme="majorBidi"/>
          <w:color w:val="000000" w:themeColor="text1"/>
          <w:sz w:val="24"/>
          <w:szCs w:val="24"/>
        </w:rPr>
        <w:t xml:space="preserve">). </w:t>
      </w:r>
      <w:r w:rsidR="000E128B" w:rsidRPr="00FC59B5">
        <w:rPr>
          <w:rFonts w:asciiTheme="majorBidi" w:hAnsiTheme="majorBidi" w:cstheme="majorBidi"/>
          <w:color w:val="000000" w:themeColor="text1"/>
          <w:sz w:val="24"/>
          <w:szCs w:val="24"/>
        </w:rPr>
        <w:t xml:space="preserve">The audit committee is directly responsible for the process of </w:t>
      </w:r>
      <w:proofErr w:type="gramStart"/>
      <w:r w:rsidR="000E128B" w:rsidRPr="00FC59B5">
        <w:rPr>
          <w:rFonts w:asciiTheme="majorBidi" w:hAnsiTheme="majorBidi" w:cstheme="majorBidi"/>
          <w:color w:val="000000" w:themeColor="text1"/>
          <w:sz w:val="24"/>
          <w:szCs w:val="24"/>
        </w:rPr>
        <w:t>reporting</w:t>
      </w:r>
      <w:proofErr w:type="gramEnd"/>
      <w:r w:rsidR="000E128B" w:rsidRPr="00FC59B5">
        <w:rPr>
          <w:rFonts w:asciiTheme="majorBidi" w:hAnsiTheme="majorBidi" w:cstheme="majorBidi"/>
          <w:color w:val="000000" w:themeColor="text1"/>
          <w:sz w:val="24"/>
          <w:szCs w:val="24"/>
        </w:rPr>
        <w:t xml:space="preserve"> so the size of the audit committee </w:t>
      </w:r>
      <w:r w:rsidR="001F51ED" w:rsidRPr="00FC59B5">
        <w:rPr>
          <w:rFonts w:asciiTheme="majorBidi" w:hAnsiTheme="majorBidi" w:cstheme="majorBidi"/>
          <w:color w:val="000000" w:themeColor="text1"/>
          <w:sz w:val="24"/>
          <w:szCs w:val="24"/>
        </w:rPr>
        <w:t xml:space="preserve">is </w:t>
      </w:r>
      <w:r w:rsidR="000E128B" w:rsidRPr="00FC59B5">
        <w:rPr>
          <w:rFonts w:asciiTheme="majorBidi" w:hAnsiTheme="majorBidi" w:cstheme="majorBidi"/>
          <w:color w:val="000000" w:themeColor="text1"/>
          <w:sz w:val="24"/>
          <w:szCs w:val="24"/>
        </w:rPr>
        <w:t xml:space="preserve">more likely to improve the integrity of the financial reporting process. However, the size of the audit committee may prevent an effective decision-making process. The benefits of monitoring gained from a </w:t>
      </w:r>
      <w:r w:rsidR="00051F28" w:rsidRPr="00FC59B5">
        <w:rPr>
          <w:rFonts w:asciiTheme="majorBidi" w:hAnsiTheme="majorBidi" w:cstheme="majorBidi"/>
          <w:color w:val="000000" w:themeColor="text1"/>
          <w:sz w:val="24"/>
          <w:szCs w:val="24"/>
        </w:rPr>
        <w:t xml:space="preserve">large </w:t>
      </w:r>
      <w:r w:rsidR="000E128B" w:rsidRPr="00FC59B5">
        <w:rPr>
          <w:rFonts w:asciiTheme="majorBidi" w:hAnsiTheme="majorBidi" w:cstheme="majorBidi"/>
          <w:color w:val="000000" w:themeColor="text1"/>
          <w:sz w:val="24"/>
          <w:szCs w:val="24"/>
        </w:rPr>
        <w:t xml:space="preserve">audit committee size could be reduced by the cost of slow decision-making and less frank discussions making </w:t>
      </w:r>
      <w:r w:rsidR="001F51ED" w:rsidRPr="00FC59B5">
        <w:rPr>
          <w:rFonts w:asciiTheme="majorBidi" w:hAnsiTheme="majorBidi" w:cstheme="majorBidi"/>
          <w:color w:val="000000" w:themeColor="text1"/>
          <w:sz w:val="24"/>
          <w:szCs w:val="24"/>
        </w:rPr>
        <w:t xml:space="preserve">it </w:t>
      </w:r>
      <w:r w:rsidR="000E128B" w:rsidRPr="00FC59B5">
        <w:rPr>
          <w:rFonts w:asciiTheme="majorBidi" w:hAnsiTheme="majorBidi" w:cstheme="majorBidi"/>
          <w:color w:val="000000" w:themeColor="text1"/>
          <w:sz w:val="24"/>
          <w:szCs w:val="24"/>
        </w:rPr>
        <w:t xml:space="preserve">easier for a dominant individual to control. </w:t>
      </w:r>
      <w:proofErr w:type="spellStart"/>
      <w:r w:rsidR="00696595" w:rsidRPr="00FC59B5">
        <w:rPr>
          <w:rFonts w:asciiTheme="majorBidi" w:hAnsiTheme="majorBidi" w:cstheme="majorBidi"/>
          <w:color w:val="000000" w:themeColor="text1"/>
          <w:sz w:val="24"/>
          <w:szCs w:val="24"/>
        </w:rPr>
        <w:t>Bassyouny</w:t>
      </w:r>
      <w:proofErr w:type="spellEnd"/>
      <w:r w:rsidR="00696595" w:rsidRPr="00FC59B5">
        <w:rPr>
          <w:rFonts w:asciiTheme="majorBidi" w:hAnsiTheme="majorBidi" w:cstheme="majorBidi"/>
          <w:color w:val="000000" w:themeColor="text1"/>
          <w:sz w:val="24"/>
          <w:szCs w:val="24"/>
        </w:rPr>
        <w:t xml:space="preserve"> et al., 2020 find that companies with a high independence level of audit committee have less positive tone. </w:t>
      </w:r>
      <w:proofErr w:type="spellStart"/>
      <w:r w:rsidR="00696595" w:rsidRPr="00FC59B5">
        <w:rPr>
          <w:rFonts w:asciiTheme="majorBidi" w:hAnsiTheme="majorBidi" w:cstheme="majorBidi"/>
          <w:color w:val="000000" w:themeColor="text1"/>
          <w:sz w:val="24"/>
          <w:szCs w:val="24"/>
        </w:rPr>
        <w:t>Melloni</w:t>
      </w:r>
      <w:proofErr w:type="spellEnd"/>
      <w:r w:rsidR="00696595" w:rsidRPr="00FC59B5">
        <w:rPr>
          <w:rFonts w:asciiTheme="majorBidi" w:hAnsiTheme="majorBidi" w:cstheme="majorBidi"/>
          <w:color w:val="000000" w:themeColor="text1"/>
          <w:sz w:val="24"/>
          <w:szCs w:val="24"/>
        </w:rPr>
        <w:t xml:space="preserve"> et al. (2016) </w:t>
      </w:r>
      <w:proofErr w:type="gramStart"/>
      <w:r w:rsidR="00696595" w:rsidRPr="00FC59B5">
        <w:rPr>
          <w:rFonts w:asciiTheme="majorBidi" w:hAnsiTheme="majorBidi" w:cstheme="majorBidi"/>
          <w:color w:val="000000" w:themeColor="text1"/>
          <w:sz w:val="24"/>
          <w:szCs w:val="24"/>
        </w:rPr>
        <w:t>conclude</w:t>
      </w:r>
      <w:proofErr w:type="gramEnd"/>
      <w:r w:rsidR="00696595" w:rsidRPr="00FC59B5">
        <w:rPr>
          <w:rFonts w:asciiTheme="majorBidi" w:hAnsiTheme="majorBidi" w:cstheme="majorBidi"/>
          <w:color w:val="000000" w:themeColor="text1"/>
          <w:sz w:val="24"/>
          <w:szCs w:val="24"/>
        </w:rPr>
        <w:t xml:space="preserve"> that there is a negative association between audit committee and impression management in business reports. </w:t>
      </w:r>
      <w:r w:rsidR="000E128B" w:rsidRPr="00FC59B5">
        <w:rPr>
          <w:rFonts w:asciiTheme="majorBidi" w:hAnsiTheme="majorBidi" w:cstheme="majorBidi"/>
          <w:color w:val="000000" w:themeColor="text1"/>
          <w:sz w:val="24"/>
          <w:szCs w:val="24"/>
        </w:rPr>
        <w:t xml:space="preserve">Therefore, if a larger audit </w:t>
      </w:r>
      <w:r w:rsidR="000E128B" w:rsidRPr="00FC59B5">
        <w:rPr>
          <w:rFonts w:asciiTheme="majorBidi" w:hAnsiTheme="majorBidi" w:cstheme="majorBidi"/>
          <w:color w:val="000000" w:themeColor="text1"/>
          <w:sz w:val="24"/>
          <w:szCs w:val="24"/>
        </w:rPr>
        <w:lastRenderedPageBreak/>
        <w:t xml:space="preserve">committee is more effective in monitoring financial reports, annual report communication should benefit from more transparent and simpler communication. Therefore, companies with larger audit committees will seek to provide a balanced view of the company on CSR narrative tone. Thus, this study </w:t>
      </w:r>
      <w:r w:rsidR="00051F28" w:rsidRPr="00FC59B5">
        <w:rPr>
          <w:rFonts w:asciiTheme="majorBidi" w:hAnsiTheme="majorBidi" w:cstheme="majorBidi"/>
          <w:color w:val="000000" w:themeColor="text1"/>
          <w:sz w:val="24"/>
          <w:szCs w:val="24"/>
        </w:rPr>
        <w:t>hypothesised that:</w:t>
      </w:r>
    </w:p>
    <w:p w14:paraId="59D5C929" w14:textId="5614A920" w:rsidR="00696595" w:rsidRPr="00FC59B5" w:rsidRDefault="00974BDE" w:rsidP="00696595">
      <w:pPr>
        <w:spacing w:after="120" w:line="360" w:lineRule="auto"/>
        <w:ind w:firstLine="720"/>
        <w:contextualSpacing/>
        <w:jc w:val="both"/>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H4: </w:t>
      </w:r>
      <w:r w:rsidR="00696595" w:rsidRPr="00FC59B5">
        <w:rPr>
          <w:rFonts w:asciiTheme="majorBidi" w:hAnsiTheme="majorBidi" w:cstheme="majorBidi"/>
          <w:b/>
          <w:bCs/>
          <w:color w:val="000000" w:themeColor="text1"/>
          <w:sz w:val="24"/>
          <w:szCs w:val="24"/>
        </w:rPr>
        <w:t xml:space="preserve">Companies with more </w:t>
      </w:r>
      <w:r w:rsidR="003224FF" w:rsidRPr="00FC59B5">
        <w:rPr>
          <w:rFonts w:asciiTheme="majorBidi" w:hAnsiTheme="majorBidi" w:cstheme="majorBidi"/>
          <w:b/>
          <w:bCs/>
          <w:color w:val="000000" w:themeColor="text1"/>
          <w:sz w:val="24"/>
          <w:szCs w:val="24"/>
        </w:rPr>
        <w:t>a</w:t>
      </w:r>
      <w:r w:rsidR="00696595" w:rsidRPr="00FC59B5">
        <w:rPr>
          <w:rFonts w:asciiTheme="majorBidi" w:hAnsiTheme="majorBidi" w:cstheme="majorBidi"/>
          <w:b/>
          <w:bCs/>
          <w:color w:val="000000" w:themeColor="text1"/>
          <w:sz w:val="24"/>
          <w:szCs w:val="24"/>
        </w:rPr>
        <w:t xml:space="preserve">udit committee size have less positive tone in CSR narrative </w:t>
      </w:r>
      <w:proofErr w:type="gramStart"/>
      <w:r w:rsidR="00696595" w:rsidRPr="00FC59B5">
        <w:rPr>
          <w:rFonts w:asciiTheme="majorBidi" w:hAnsiTheme="majorBidi" w:cstheme="majorBidi"/>
          <w:b/>
          <w:bCs/>
          <w:color w:val="000000" w:themeColor="text1"/>
          <w:sz w:val="24"/>
          <w:szCs w:val="24"/>
        </w:rPr>
        <w:t>reporting</w:t>
      </w:r>
      <w:proofErr w:type="gramEnd"/>
    </w:p>
    <w:p w14:paraId="3D0A93D3" w14:textId="77777777" w:rsidR="00696595" w:rsidRPr="00FC59B5" w:rsidRDefault="00696595" w:rsidP="006615BF">
      <w:pPr>
        <w:spacing w:after="120" w:line="360" w:lineRule="auto"/>
        <w:ind w:firstLine="720"/>
        <w:contextualSpacing/>
        <w:jc w:val="both"/>
        <w:rPr>
          <w:rFonts w:asciiTheme="majorBidi" w:hAnsiTheme="majorBidi" w:cstheme="majorBidi"/>
          <w:b/>
          <w:bCs/>
          <w:color w:val="000000" w:themeColor="text1"/>
          <w:sz w:val="24"/>
          <w:szCs w:val="24"/>
        </w:rPr>
      </w:pPr>
    </w:p>
    <w:p w14:paraId="1D58A745" w14:textId="77777777" w:rsidR="00062761" w:rsidRPr="00FC59B5" w:rsidRDefault="00062761" w:rsidP="00DE65A1">
      <w:pPr>
        <w:pStyle w:val="Heading2"/>
        <w:rPr>
          <w:rFonts w:asciiTheme="majorBidi" w:hAnsiTheme="majorBidi" w:cstheme="majorBidi"/>
          <w:i w:val="0"/>
          <w:iCs w:val="0"/>
          <w:color w:val="000000" w:themeColor="text1"/>
          <w:sz w:val="24"/>
          <w:szCs w:val="24"/>
          <w:u w:val="none"/>
        </w:rPr>
      </w:pPr>
      <w:r w:rsidRPr="00FC59B5">
        <w:rPr>
          <w:rFonts w:asciiTheme="majorBidi" w:hAnsiTheme="majorBidi" w:cstheme="majorBidi"/>
          <w:i w:val="0"/>
          <w:iCs w:val="0"/>
          <w:color w:val="000000" w:themeColor="text1"/>
          <w:sz w:val="24"/>
          <w:szCs w:val="24"/>
          <w:u w:val="none"/>
        </w:rPr>
        <w:t xml:space="preserve">2.5 ESG </w:t>
      </w:r>
      <w:r w:rsidR="00DE65A1" w:rsidRPr="00FC59B5">
        <w:rPr>
          <w:rFonts w:asciiTheme="majorBidi" w:hAnsiTheme="majorBidi" w:cstheme="majorBidi"/>
          <w:i w:val="0"/>
          <w:iCs w:val="0"/>
          <w:color w:val="000000" w:themeColor="text1"/>
          <w:sz w:val="24"/>
          <w:szCs w:val="24"/>
          <w:u w:val="none"/>
        </w:rPr>
        <w:t>D</w:t>
      </w:r>
      <w:r w:rsidRPr="00FC59B5">
        <w:rPr>
          <w:rFonts w:asciiTheme="majorBidi" w:hAnsiTheme="majorBidi" w:cstheme="majorBidi"/>
          <w:i w:val="0"/>
          <w:iCs w:val="0"/>
          <w:color w:val="000000" w:themeColor="text1"/>
          <w:sz w:val="24"/>
          <w:szCs w:val="24"/>
          <w:u w:val="none"/>
        </w:rPr>
        <w:t>isclosure</w:t>
      </w:r>
      <w:r w:rsidR="00833B54" w:rsidRPr="00FC59B5">
        <w:rPr>
          <w:rFonts w:asciiTheme="majorBidi" w:hAnsiTheme="majorBidi" w:cstheme="majorBidi"/>
          <w:i w:val="0"/>
          <w:iCs w:val="0"/>
          <w:color w:val="000000" w:themeColor="text1"/>
          <w:sz w:val="24"/>
          <w:szCs w:val="24"/>
          <w:u w:val="none"/>
        </w:rPr>
        <w:t xml:space="preserve"> and the </w:t>
      </w:r>
      <w:r w:rsidR="00DE65A1" w:rsidRPr="00FC59B5">
        <w:rPr>
          <w:rFonts w:asciiTheme="majorBidi" w:hAnsiTheme="majorBidi" w:cstheme="majorBidi"/>
          <w:i w:val="0"/>
          <w:iCs w:val="0"/>
          <w:color w:val="000000" w:themeColor="text1"/>
          <w:sz w:val="24"/>
          <w:szCs w:val="24"/>
          <w:u w:val="none"/>
        </w:rPr>
        <w:t>T</w:t>
      </w:r>
      <w:r w:rsidR="00833B54" w:rsidRPr="00FC59B5">
        <w:rPr>
          <w:rFonts w:asciiTheme="majorBidi" w:hAnsiTheme="majorBidi" w:cstheme="majorBidi"/>
          <w:i w:val="0"/>
          <w:iCs w:val="0"/>
          <w:color w:val="000000" w:themeColor="text1"/>
          <w:sz w:val="24"/>
          <w:szCs w:val="24"/>
          <w:u w:val="none"/>
        </w:rPr>
        <w:t xml:space="preserve">one of CSR </w:t>
      </w:r>
      <w:r w:rsidR="00DE65A1" w:rsidRPr="00FC59B5">
        <w:rPr>
          <w:rFonts w:asciiTheme="majorBidi" w:hAnsiTheme="majorBidi" w:cstheme="majorBidi"/>
          <w:i w:val="0"/>
          <w:iCs w:val="0"/>
          <w:color w:val="000000" w:themeColor="text1"/>
          <w:sz w:val="24"/>
          <w:szCs w:val="24"/>
          <w:u w:val="none"/>
        </w:rPr>
        <w:t>N</w:t>
      </w:r>
      <w:r w:rsidR="00833B54" w:rsidRPr="00FC59B5">
        <w:rPr>
          <w:rFonts w:asciiTheme="majorBidi" w:hAnsiTheme="majorBidi" w:cstheme="majorBidi"/>
          <w:i w:val="0"/>
          <w:iCs w:val="0"/>
          <w:color w:val="000000" w:themeColor="text1"/>
          <w:sz w:val="24"/>
          <w:szCs w:val="24"/>
          <w:u w:val="none"/>
        </w:rPr>
        <w:t>arrative</w:t>
      </w:r>
    </w:p>
    <w:p w14:paraId="6D15CFD7" w14:textId="288D052A" w:rsidR="000C5DA7" w:rsidRPr="00FC59B5" w:rsidRDefault="00062761" w:rsidP="00BD4020">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Stakeholders mainly investors have demanded extensive disclosure on ESG related issues, thus firms in the UK have enough incentive to engage in ESG disclosure to meet the demands of stakeholders (</w:t>
      </w:r>
      <w:proofErr w:type="spellStart"/>
      <w:r w:rsidRPr="00FC59B5">
        <w:rPr>
          <w:rFonts w:asciiTheme="majorBidi" w:hAnsiTheme="majorBidi" w:cstheme="majorBidi"/>
          <w:color w:val="000000" w:themeColor="text1"/>
          <w:sz w:val="24"/>
          <w:szCs w:val="24"/>
        </w:rPr>
        <w:t>Albitar</w:t>
      </w:r>
      <w:proofErr w:type="spellEnd"/>
      <w:r w:rsidRPr="00FC59B5">
        <w:rPr>
          <w:rFonts w:asciiTheme="majorBidi" w:hAnsiTheme="majorBidi" w:cstheme="majorBidi"/>
          <w:color w:val="000000" w:themeColor="text1"/>
          <w:sz w:val="24"/>
          <w:szCs w:val="24"/>
        </w:rPr>
        <w:t xml:space="preserve"> et al, 2020). Thus, linking ESG disclosure with CSR tone provides stakeholders with an improved understanding of the firm and its future. Further to this, there is a potential link between ESG disclosure and firm performance (Yoon et al., 2018; </w:t>
      </w:r>
      <w:proofErr w:type="spellStart"/>
      <w:r w:rsidRPr="00FC59B5">
        <w:rPr>
          <w:rFonts w:asciiTheme="majorBidi" w:hAnsiTheme="majorBidi" w:cstheme="majorBidi"/>
          <w:color w:val="000000" w:themeColor="text1"/>
          <w:sz w:val="24"/>
          <w:szCs w:val="24"/>
        </w:rPr>
        <w:t>Aboud</w:t>
      </w:r>
      <w:proofErr w:type="spellEnd"/>
      <w:r w:rsidRPr="00FC59B5">
        <w:rPr>
          <w:rFonts w:asciiTheme="majorBidi" w:hAnsiTheme="majorBidi" w:cstheme="majorBidi"/>
          <w:color w:val="000000" w:themeColor="text1"/>
          <w:sz w:val="24"/>
          <w:szCs w:val="24"/>
        </w:rPr>
        <w:t xml:space="preserve"> and Diab, 2018; Brooks and </w:t>
      </w:r>
      <w:proofErr w:type="spellStart"/>
      <w:r w:rsidRPr="00FC59B5">
        <w:rPr>
          <w:rFonts w:asciiTheme="majorBidi" w:hAnsiTheme="majorBidi" w:cstheme="majorBidi"/>
          <w:color w:val="000000" w:themeColor="text1"/>
          <w:sz w:val="24"/>
          <w:szCs w:val="24"/>
        </w:rPr>
        <w:t>Oikonomou</w:t>
      </w:r>
      <w:proofErr w:type="spellEnd"/>
      <w:r w:rsidRPr="00FC59B5">
        <w:rPr>
          <w:rFonts w:asciiTheme="majorBidi" w:hAnsiTheme="majorBidi" w:cstheme="majorBidi"/>
          <w:color w:val="000000" w:themeColor="text1"/>
          <w:sz w:val="24"/>
          <w:szCs w:val="24"/>
        </w:rPr>
        <w:t xml:space="preserve">, 2018) and CSR tone may help </w:t>
      </w:r>
      <w:r w:rsidR="00891BCC" w:rsidRPr="00FC59B5">
        <w:rPr>
          <w:rFonts w:asciiTheme="majorBidi" w:hAnsiTheme="majorBidi" w:cstheme="majorBidi"/>
          <w:color w:val="000000" w:themeColor="text1"/>
          <w:sz w:val="24"/>
          <w:szCs w:val="24"/>
        </w:rPr>
        <w:t xml:space="preserve">to </w:t>
      </w:r>
      <w:r w:rsidRPr="00FC59B5">
        <w:rPr>
          <w:rFonts w:asciiTheme="majorBidi" w:hAnsiTheme="majorBidi" w:cstheme="majorBidi"/>
          <w:color w:val="000000" w:themeColor="text1"/>
          <w:sz w:val="24"/>
          <w:szCs w:val="24"/>
        </w:rPr>
        <w:t xml:space="preserve">show it more visible. </w:t>
      </w:r>
      <w:r w:rsidR="000C5DA7" w:rsidRPr="00FC59B5">
        <w:rPr>
          <w:rFonts w:asciiTheme="majorBidi" w:hAnsiTheme="majorBidi" w:cstheme="majorBidi"/>
          <w:color w:val="000000" w:themeColor="text1"/>
          <w:sz w:val="24"/>
          <w:szCs w:val="24"/>
        </w:rPr>
        <w:t xml:space="preserve">According to signalling theory, managers could have </w:t>
      </w:r>
      <w:r w:rsidR="00891BCC" w:rsidRPr="00FC59B5">
        <w:rPr>
          <w:rFonts w:asciiTheme="majorBidi" w:hAnsiTheme="majorBidi" w:cstheme="majorBidi"/>
          <w:color w:val="000000" w:themeColor="text1"/>
          <w:sz w:val="24"/>
          <w:szCs w:val="24"/>
        </w:rPr>
        <w:t xml:space="preserve">a </w:t>
      </w:r>
      <w:r w:rsidR="000C5DA7" w:rsidRPr="00FC59B5">
        <w:rPr>
          <w:rFonts w:asciiTheme="majorBidi" w:hAnsiTheme="majorBidi" w:cstheme="majorBidi"/>
          <w:color w:val="000000" w:themeColor="text1"/>
          <w:sz w:val="24"/>
          <w:szCs w:val="24"/>
        </w:rPr>
        <w:t xml:space="preserve">more positive tone in their CSR report to signal a greater ability to engage in corporate social responsibility </w:t>
      </w:r>
      <w:proofErr w:type="gramStart"/>
      <w:r w:rsidR="000C5DA7" w:rsidRPr="00FC59B5">
        <w:rPr>
          <w:rFonts w:asciiTheme="majorBidi" w:hAnsiTheme="majorBidi" w:cstheme="majorBidi"/>
          <w:color w:val="000000" w:themeColor="text1"/>
          <w:sz w:val="24"/>
          <w:szCs w:val="24"/>
        </w:rPr>
        <w:t>and also</w:t>
      </w:r>
      <w:proofErr w:type="gramEnd"/>
      <w:r w:rsidR="000C5DA7" w:rsidRPr="00FC59B5">
        <w:rPr>
          <w:rFonts w:asciiTheme="majorBidi" w:hAnsiTheme="majorBidi" w:cstheme="majorBidi"/>
          <w:color w:val="000000" w:themeColor="text1"/>
          <w:sz w:val="24"/>
          <w:szCs w:val="24"/>
        </w:rPr>
        <w:t xml:space="preserve"> to signal their company’s good performance and thus enhance their reputation. Therefore</w:t>
      </w:r>
      <w:r w:rsidRPr="00FC59B5">
        <w:rPr>
          <w:rFonts w:asciiTheme="majorBidi" w:hAnsiTheme="majorBidi" w:cstheme="majorBidi"/>
          <w:color w:val="000000" w:themeColor="text1"/>
          <w:sz w:val="24"/>
          <w:szCs w:val="24"/>
        </w:rPr>
        <w:t>,</w:t>
      </w:r>
      <w:r w:rsidR="000C5DA7" w:rsidRPr="00FC59B5">
        <w:rPr>
          <w:rFonts w:asciiTheme="majorBidi" w:hAnsiTheme="majorBidi" w:cstheme="majorBidi"/>
          <w:color w:val="000000" w:themeColor="text1"/>
          <w:sz w:val="24"/>
          <w:szCs w:val="24"/>
        </w:rPr>
        <w:t xml:space="preserve"> we argue that ESG disclosure is correlated with </w:t>
      </w:r>
      <w:r w:rsidR="00891BCC" w:rsidRPr="00FC59B5">
        <w:rPr>
          <w:rFonts w:asciiTheme="majorBidi" w:hAnsiTheme="majorBidi" w:cstheme="majorBidi"/>
          <w:color w:val="000000" w:themeColor="text1"/>
          <w:sz w:val="24"/>
          <w:szCs w:val="24"/>
        </w:rPr>
        <w:t xml:space="preserve">a </w:t>
      </w:r>
      <w:r w:rsidR="000C5DA7" w:rsidRPr="00FC59B5">
        <w:rPr>
          <w:rFonts w:asciiTheme="majorBidi" w:hAnsiTheme="majorBidi" w:cstheme="majorBidi"/>
          <w:color w:val="000000" w:themeColor="text1"/>
          <w:sz w:val="24"/>
          <w:szCs w:val="24"/>
        </w:rPr>
        <w:t xml:space="preserve">positive CSR tone. Thus, </w:t>
      </w:r>
      <w:r w:rsidR="001F51ED" w:rsidRPr="00FC59B5">
        <w:rPr>
          <w:rFonts w:asciiTheme="majorBidi" w:hAnsiTheme="majorBidi" w:cstheme="majorBidi"/>
          <w:color w:val="000000" w:themeColor="text1"/>
          <w:sz w:val="24"/>
          <w:szCs w:val="24"/>
        </w:rPr>
        <w:t xml:space="preserve">we hypothesise </w:t>
      </w:r>
      <w:proofErr w:type="gramStart"/>
      <w:r w:rsidR="001F51ED" w:rsidRPr="00FC59B5">
        <w:rPr>
          <w:rFonts w:asciiTheme="majorBidi" w:hAnsiTheme="majorBidi" w:cstheme="majorBidi"/>
          <w:color w:val="000000" w:themeColor="text1"/>
          <w:sz w:val="24"/>
          <w:szCs w:val="24"/>
        </w:rPr>
        <w:t>that:</w:t>
      </w:r>
      <w:r w:rsidR="000C5DA7" w:rsidRPr="00FC59B5">
        <w:rPr>
          <w:rFonts w:asciiTheme="majorBidi" w:hAnsiTheme="majorBidi" w:cstheme="majorBidi"/>
          <w:color w:val="000000" w:themeColor="text1"/>
          <w:sz w:val="24"/>
          <w:szCs w:val="24"/>
        </w:rPr>
        <w:t>.</w:t>
      </w:r>
      <w:proofErr w:type="gramEnd"/>
    </w:p>
    <w:p w14:paraId="2E77D5A4" w14:textId="313D3A7A" w:rsidR="003224FF" w:rsidRPr="00FC59B5" w:rsidRDefault="00062761" w:rsidP="003224FF">
      <w:pPr>
        <w:spacing w:after="120" w:line="360" w:lineRule="auto"/>
        <w:ind w:firstLine="720"/>
        <w:contextualSpacing/>
        <w:jc w:val="both"/>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H5: </w:t>
      </w:r>
      <w:r w:rsidR="003224FF" w:rsidRPr="00FC59B5">
        <w:rPr>
          <w:rFonts w:asciiTheme="majorBidi" w:hAnsiTheme="majorBidi" w:cstheme="majorBidi"/>
          <w:b/>
          <w:bCs/>
          <w:color w:val="000000" w:themeColor="text1"/>
          <w:sz w:val="24"/>
          <w:szCs w:val="24"/>
        </w:rPr>
        <w:t xml:space="preserve">Companies with higher ESG score have more positive tone in CSR narrative </w:t>
      </w:r>
      <w:proofErr w:type="gramStart"/>
      <w:r w:rsidR="003224FF" w:rsidRPr="00FC59B5">
        <w:rPr>
          <w:rFonts w:asciiTheme="majorBidi" w:hAnsiTheme="majorBidi" w:cstheme="majorBidi"/>
          <w:b/>
          <w:bCs/>
          <w:color w:val="000000" w:themeColor="text1"/>
          <w:sz w:val="24"/>
          <w:szCs w:val="24"/>
        </w:rPr>
        <w:t>reporting</w:t>
      </w:r>
      <w:proofErr w:type="gramEnd"/>
    </w:p>
    <w:p w14:paraId="5F27E5B5" w14:textId="77777777" w:rsidR="000A1C9F" w:rsidRPr="00FC59B5" w:rsidRDefault="000A1C9F" w:rsidP="000A1C9F">
      <w:pPr>
        <w:spacing w:after="120" w:line="360" w:lineRule="auto"/>
        <w:contextualSpacing/>
        <w:jc w:val="both"/>
        <w:rPr>
          <w:rFonts w:asciiTheme="majorBidi" w:hAnsiTheme="majorBidi" w:cstheme="majorBidi"/>
          <w:color w:val="000000" w:themeColor="text1"/>
          <w:sz w:val="24"/>
          <w:szCs w:val="24"/>
        </w:rPr>
      </w:pPr>
    </w:p>
    <w:p w14:paraId="18A4366F" w14:textId="77777777" w:rsidR="009226BE" w:rsidRPr="00FC59B5" w:rsidRDefault="009226BE" w:rsidP="0032728F">
      <w:pPr>
        <w:pStyle w:val="Heading1"/>
        <w:numPr>
          <w:ilvl w:val="0"/>
          <w:numId w:val="6"/>
        </w:numP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Research </w:t>
      </w:r>
      <w:r w:rsidR="00DE65A1" w:rsidRPr="00FC59B5">
        <w:rPr>
          <w:rFonts w:asciiTheme="majorBidi" w:hAnsiTheme="majorBidi" w:cstheme="majorBidi"/>
          <w:b/>
          <w:bCs/>
          <w:color w:val="000000" w:themeColor="text1"/>
          <w:sz w:val="24"/>
          <w:szCs w:val="24"/>
        </w:rPr>
        <w:t>D</w:t>
      </w:r>
      <w:r w:rsidRPr="00FC59B5">
        <w:rPr>
          <w:rFonts w:asciiTheme="majorBidi" w:hAnsiTheme="majorBidi" w:cstheme="majorBidi"/>
          <w:b/>
          <w:bCs/>
          <w:color w:val="000000" w:themeColor="text1"/>
          <w:sz w:val="24"/>
          <w:szCs w:val="24"/>
        </w:rPr>
        <w:t>esign</w:t>
      </w:r>
    </w:p>
    <w:p w14:paraId="6EC90674" w14:textId="77777777" w:rsidR="009226BE" w:rsidRPr="00FC59B5" w:rsidRDefault="00395A31" w:rsidP="00DE65A1">
      <w:pPr>
        <w:pStyle w:val="Heading2"/>
        <w:rPr>
          <w:rFonts w:asciiTheme="majorBidi" w:hAnsiTheme="majorBidi" w:cstheme="majorBidi"/>
          <w:i w:val="0"/>
          <w:iCs w:val="0"/>
          <w:color w:val="000000" w:themeColor="text1"/>
          <w:sz w:val="24"/>
          <w:szCs w:val="24"/>
          <w:u w:val="none"/>
        </w:rPr>
      </w:pPr>
      <w:r w:rsidRPr="00FC59B5">
        <w:rPr>
          <w:rFonts w:asciiTheme="majorBidi" w:hAnsiTheme="majorBidi" w:cstheme="majorBidi"/>
          <w:i w:val="0"/>
          <w:iCs w:val="0"/>
          <w:color w:val="000000" w:themeColor="text1"/>
          <w:sz w:val="24"/>
          <w:szCs w:val="24"/>
          <w:u w:val="none"/>
        </w:rPr>
        <w:t xml:space="preserve">3.1 </w:t>
      </w:r>
      <w:r w:rsidR="009226BE" w:rsidRPr="00FC59B5">
        <w:rPr>
          <w:rFonts w:asciiTheme="majorBidi" w:hAnsiTheme="majorBidi" w:cstheme="majorBidi"/>
          <w:i w:val="0"/>
          <w:iCs w:val="0"/>
          <w:color w:val="000000" w:themeColor="text1"/>
          <w:sz w:val="24"/>
          <w:szCs w:val="24"/>
          <w:u w:val="none"/>
        </w:rPr>
        <w:t xml:space="preserve">Sample and </w:t>
      </w:r>
      <w:r w:rsidR="00DE65A1" w:rsidRPr="00FC59B5">
        <w:rPr>
          <w:rFonts w:asciiTheme="majorBidi" w:hAnsiTheme="majorBidi" w:cstheme="majorBidi"/>
          <w:i w:val="0"/>
          <w:iCs w:val="0"/>
          <w:color w:val="000000" w:themeColor="text1"/>
          <w:sz w:val="24"/>
          <w:szCs w:val="24"/>
          <w:u w:val="none"/>
        </w:rPr>
        <w:t>D</w:t>
      </w:r>
      <w:r w:rsidR="009226BE" w:rsidRPr="00FC59B5">
        <w:rPr>
          <w:rFonts w:asciiTheme="majorBidi" w:hAnsiTheme="majorBidi" w:cstheme="majorBidi"/>
          <w:i w:val="0"/>
          <w:iCs w:val="0"/>
          <w:color w:val="000000" w:themeColor="text1"/>
          <w:sz w:val="24"/>
          <w:szCs w:val="24"/>
          <w:u w:val="none"/>
        </w:rPr>
        <w:t xml:space="preserve">ata </w:t>
      </w:r>
      <w:r w:rsidR="00DE65A1" w:rsidRPr="00FC59B5">
        <w:rPr>
          <w:rFonts w:asciiTheme="majorBidi" w:hAnsiTheme="majorBidi" w:cstheme="majorBidi"/>
          <w:i w:val="0"/>
          <w:iCs w:val="0"/>
          <w:color w:val="000000" w:themeColor="text1"/>
          <w:sz w:val="24"/>
          <w:szCs w:val="24"/>
          <w:u w:val="none"/>
        </w:rPr>
        <w:t>C</w:t>
      </w:r>
      <w:r w:rsidR="009226BE" w:rsidRPr="00FC59B5">
        <w:rPr>
          <w:rFonts w:asciiTheme="majorBidi" w:hAnsiTheme="majorBidi" w:cstheme="majorBidi"/>
          <w:i w:val="0"/>
          <w:iCs w:val="0"/>
          <w:color w:val="000000" w:themeColor="text1"/>
          <w:sz w:val="24"/>
          <w:szCs w:val="24"/>
          <w:u w:val="none"/>
        </w:rPr>
        <w:t>ollection</w:t>
      </w:r>
    </w:p>
    <w:p w14:paraId="310990F2" w14:textId="0062A1A2" w:rsidR="009226BE" w:rsidRPr="00FC59B5" w:rsidRDefault="009226BE" w:rsidP="0016293B">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This paper uses an automated content analysis method by using a computerised software developed by </w:t>
      </w:r>
      <w:r w:rsidR="00D23FFF" w:rsidRPr="00FC59B5">
        <w:rPr>
          <w:rFonts w:asciiTheme="majorBidi" w:hAnsiTheme="majorBidi" w:cstheme="majorBidi"/>
          <w:color w:val="000000" w:themeColor="text1"/>
          <w:sz w:val="24"/>
          <w:szCs w:val="24"/>
        </w:rPr>
        <w:t>Lancaster University</w:t>
      </w:r>
      <w:r w:rsidRPr="00FC59B5">
        <w:rPr>
          <w:rFonts w:asciiTheme="majorBidi" w:hAnsiTheme="majorBidi" w:cstheme="majorBidi"/>
          <w:color w:val="000000" w:themeColor="text1"/>
          <w:sz w:val="24"/>
          <w:szCs w:val="24"/>
        </w:rPr>
        <w:t xml:space="preserve"> called </w:t>
      </w:r>
      <w:r w:rsidR="009C5B9F" w:rsidRPr="00FC59B5">
        <w:rPr>
          <w:rFonts w:asciiTheme="majorBidi" w:hAnsiTheme="majorBidi" w:cstheme="majorBidi"/>
          <w:color w:val="000000" w:themeColor="text1"/>
          <w:sz w:val="24"/>
          <w:szCs w:val="24"/>
        </w:rPr>
        <w:t>(CFIE-FRSE app)</w:t>
      </w:r>
      <w:r w:rsidR="00F04D3C" w:rsidRPr="00FC59B5">
        <w:rPr>
          <w:rFonts w:asciiTheme="majorBidi" w:hAnsiTheme="majorBidi" w:cstheme="majorBidi"/>
          <w:color w:val="000000" w:themeColor="text1"/>
          <w:sz w:val="24"/>
          <w:szCs w:val="24"/>
        </w:rPr>
        <w:footnoteReference w:id="1"/>
      </w:r>
      <w:r w:rsidR="00D23FFF" w:rsidRPr="00FC59B5">
        <w:rPr>
          <w:rFonts w:asciiTheme="majorBidi" w:hAnsiTheme="majorBidi" w:cstheme="majorBidi"/>
          <w:color w:val="000000" w:themeColor="text1"/>
          <w:sz w:val="24"/>
          <w:szCs w:val="24"/>
        </w:rPr>
        <w:t>.</w:t>
      </w:r>
      <w:r w:rsidR="00CC6F07" w:rsidRPr="00FC59B5">
        <w:rPr>
          <w:rFonts w:asciiTheme="majorBidi" w:hAnsiTheme="majorBidi" w:cstheme="majorBidi"/>
          <w:color w:val="000000" w:themeColor="text1"/>
          <w:sz w:val="24"/>
          <w:szCs w:val="24"/>
        </w:rPr>
        <w:t xml:space="preserve"> Further, this paper only focuses on the narrative sections that related CSR and sustainability reporting that available in the annual reports as each part of the annual report's narrative has a specific purpose of communication and displays similar content and style (Swales, 1990). </w:t>
      </w:r>
      <w:r w:rsidRPr="00FC59B5">
        <w:rPr>
          <w:rFonts w:asciiTheme="majorBidi" w:hAnsiTheme="majorBidi" w:cstheme="majorBidi"/>
          <w:color w:val="000000" w:themeColor="text1"/>
          <w:sz w:val="24"/>
          <w:szCs w:val="24"/>
        </w:rPr>
        <w:t xml:space="preserve">The initial sample of this paper includes all firms that made up the FTSE 100 over the period 2008-2017. We exclude firm-years that are missing the necessary data for the variables used in our analysis. Further, </w:t>
      </w:r>
      <w:r w:rsidR="00F04D3C" w:rsidRPr="00FC59B5">
        <w:rPr>
          <w:rFonts w:asciiTheme="majorBidi" w:hAnsiTheme="majorBidi" w:cstheme="majorBidi"/>
          <w:color w:val="000000" w:themeColor="text1"/>
          <w:sz w:val="24"/>
          <w:szCs w:val="24"/>
        </w:rPr>
        <w:lastRenderedPageBreak/>
        <w:t xml:space="preserve">Companies’ reports and other related </w:t>
      </w:r>
      <w:r w:rsidRPr="00FC59B5">
        <w:rPr>
          <w:rFonts w:asciiTheme="majorBidi" w:hAnsiTheme="majorBidi" w:cstheme="majorBidi"/>
          <w:color w:val="000000" w:themeColor="text1"/>
          <w:sz w:val="24"/>
          <w:szCs w:val="24"/>
        </w:rPr>
        <w:t xml:space="preserve">data </w:t>
      </w:r>
      <w:r w:rsidR="00F04D3C" w:rsidRPr="00FC59B5">
        <w:rPr>
          <w:rFonts w:asciiTheme="majorBidi" w:hAnsiTheme="majorBidi" w:cstheme="majorBidi"/>
          <w:color w:val="000000" w:themeColor="text1"/>
          <w:sz w:val="24"/>
          <w:szCs w:val="24"/>
        </w:rPr>
        <w:t>have</w:t>
      </w:r>
      <w:r w:rsidRPr="00FC59B5">
        <w:rPr>
          <w:rFonts w:asciiTheme="majorBidi" w:hAnsiTheme="majorBidi" w:cstheme="majorBidi"/>
          <w:color w:val="000000" w:themeColor="text1"/>
          <w:sz w:val="24"/>
          <w:szCs w:val="24"/>
        </w:rPr>
        <w:t xml:space="preserve"> been collected from </w:t>
      </w:r>
      <w:r w:rsidR="00891BCC" w:rsidRPr="00FC59B5">
        <w:rPr>
          <w:rFonts w:asciiTheme="majorBidi" w:hAnsiTheme="majorBidi" w:cstheme="majorBidi"/>
          <w:color w:val="000000" w:themeColor="text1"/>
          <w:sz w:val="24"/>
          <w:szCs w:val="24"/>
        </w:rPr>
        <w:t xml:space="preserve">the </w:t>
      </w:r>
      <w:r w:rsidRPr="00FC59B5">
        <w:rPr>
          <w:rFonts w:asciiTheme="majorBidi" w:hAnsiTheme="majorBidi" w:cstheme="majorBidi"/>
          <w:color w:val="000000" w:themeColor="text1"/>
          <w:sz w:val="24"/>
          <w:szCs w:val="24"/>
        </w:rPr>
        <w:t>Bloomberg</w:t>
      </w:r>
      <w:r w:rsidR="00F04D3C" w:rsidRPr="00FC59B5">
        <w:rPr>
          <w:rFonts w:asciiTheme="majorBidi" w:hAnsiTheme="majorBidi" w:cstheme="majorBidi"/>
          <w:color w:val="000000" w:themeColor="text1"/>
          <w:sz w:val="24"/>
          <w:szCs w:val="24"/>
        </w:rPr>
        <w:t xml:space="preserve"> database and companies’ websites</w:t>
      </w:r>
      <w:r w:rsidRPr="00FC59B5">
        <w:rPr>
          <w:rFonts w:asciiTheme="majorBidi" w:hAnsiTheme="majorBidi" w:cstheme="majorBidi"/>
          <w:color w:val="000000" w:themeColor="text1"/>
          <w:sz w:val="24"/>
          <w:szCs w:val="24"/>
        </w:rPr>
        <w:t xml:space="preserve">. UK was chosen because it has experienced high levels of </w:t>
      </w:r>
      <w:r w:rsidR="00F04D3C" w:rsidRPr="00FC59B5">
        <w:rPr>
          <w:rFonts w:asciiTheme="majorBidi" w:hAnsiTheme="majorBidi" w:cstheme="majorBidi"/>
          <w:color w:val="000000" w:themeColor="text1"/>
          <w:sz w:val="24"/>
          <w:szCs w:val="24"/>
        </w:rPr>
        <w:t xml:space="preserve">CSR disclosure and </w:t>
      </w:r>
      <w:r w:rsidRPr="00FC59B5">
        <w:rPr>
          <w:rFonts w:asciiTheme="majorBidi" w:hAnsiTheme="majorBidi" w:cstheme="majorBidi"/>
          <w:color w:val="000000" w:themeColor="text1"/>
          <w:sz w:val="24"/>
          <w:szCs w:val="24"/>
        </w:rPr>
        <w:t>ESG practices (</w:t>
      </w:r>
      <w:proofErr w:type="spellStart"/>
      <w:r w:rsidRPr="00FC59B5">
        <w:rPr>
          <w:rFonts w:asciiTheme="majorBidi" w:hAnsiTheme="majorBidi" w:cstheme="majorBidi"/>
          <w:color w:val="000000" w:themeColor="text1"/>
          <w:sz w:val="24"/>
          <w:szCs w:val="24"/>
        </w:rPr>
        <w:t>Michelon</w:t>
      </w:r>
      <w:proofErr w:type="spellEnd"/>
      <w:r w:rsidRPr="00FC59B5">
        <w:rPr>
          <w:rFonts w:asciiTheme="majorBidi" w:hAnsiTheme="majorBidi" w:cstheme="majorBidi"/>
          <w:color w:val="000000" w:themeColor="text1"/>
          <w:sz w:val="24"/>
          <w:szCs w:val="24"/>
        </w:rPr>
        <w:t xml:space="preserve"> et al., 2015; </w:t>
      </w:r>
      <w:proofErr w:type="spellStart"/>
      <w:r w:rsidRPr="00FC59B5">
        <w:rPr>
          <w:rFonts w:asciiTheme="majorBidi" w:hAnsiTheme="majorBidi" w:cstheme="majorBidi"/>
          <w:color w:val="000000" w:themeColor="text1"/>
          <w:sz w:val="24"/>
          <w:szCs w:val="24"/>
        </w:rPr>
        <w:t>Helfaya</w:t>
      </w:r>
      <w:proofErr w:type="spellEnd"/>
      <w:r w:rsidRPr="00FC59B5">
        <w:rPr>
          <w:rFonts w:asciiTheme="majorBidi" w:hAnsiTheme="majorBidi" w:cstheme="majorBidi"/>
          <w:color w:val="000000" w:themeColor="text1"/>
          <w:sz w:val="24"/>
          <w:szCs w:val="24"/>
        </w:rPr>
        <w:t xml:space="preserve"> and Moussa, 2017). Bloomberg ESG disclosure scores have been commonly used in the academic literature (</w:t>
      </w:r>
      <w:proofErr w:type="spellStart"/>
      <w:r w:rsidRPr="00FC59B5">
        <w:rPr>
          <w:rFonts w:asciiTheme="majorBidi" w:hAnsiTheme="majorBidi" w:cstheme="majorBidi"/>
          <w:color w:val="000000" w:themeColor="text1"/>
          <w:sz w:val="24"/>
          <w:szCs w:val="24"/>
        </w:rPr>
        <w:t>Nollet</w:t>
      </w:r>
      <w:proofErr w:type="spellEnd"/>
      <w:r w:rsidRPr="00FC59B5">
        <w:rPr>
          <w:rFonts w:asciiTheme="majorBidi" w:hAnsiTheme="majorBidi" w:cstheme="majorBidi"/>
          <w:color w:val="000000" w:themeColor="text1"/>
          <w:sz w:val="24"/>
          <w:szCs w:val="24"/>
        </w:rPr>
        <w:t xml:space="preserve"> et al., 2016, Manita et al., 2018).</w:t>
      </w:r>
    </w:p>
    <w:p w14:paraId="570A50AE" w14:textId="77777777" w:rsidR="00861687" w:rsidRPr="00FC59B5" w:rsidRDefault="00861687" w:rsidP="00CC02DE">
      <w:pPr>
        <w:pStyle w:val="Default"/>
        <w:spacing w:after="120" w:line="360" w:lineRule="auto"/>
        <w:contextualSpacing/>
        <w:jc w:val="both"/>
        <w:rPr>
          <w:rFonts w:asciiTheme="majorBidi" w:hAnsiTheme="majorBidi" w:cstheme="majorBidi"/>
          <w:color w:val="000000" w:themeColor="text1"/>
        </w:rPr>
      </w:pPr>
    </w:p>
    <w:p w14:paraId="41C608F7" w14:textId="0A6D738F" w:rsidR="00DC3064" w:rsidRPr="00FC59B5" w:rsidRDefault="00395A31" w:rsidP="003F204E">
      <w:pPr>
        <w:spacing w:after="120" w:line="360" w:lineRule="auto"/>
        <w:contextualSpacing/>
        <w:jc w:val="both"/>
        <w:rPr>
          <w:rFonts w:asciiTheme="majorBidi" w:hAnsiTheme="majorBidi" w:cstheme="majorBidi"/>
          <w:color w:val="000000" w:themeColor="text1"/>
          <w:sz w:val="24"/>
          <w:szCs w:val="24"/>
        </w:rPr>
      </w:pPr>
      <w:r w:rsidRPr="00FC59B5">
        <w:rPr>
          <w:rFonts w:asciiTheme="majorBidi" w:hAnsiTheme="majorBidi" w:cstheme="majorBidi"/>
          <w:i/>
          <w:iCs/>
          <w:color w:val="000000" w:themeColor="text1"/>
          <w:sz w:val="24"/>
          <w:szCs w:val="24"/>
        </w:rPr>
        <w:t xml:space="preserve">3.2. </w:t>
      </w:r>
      <w:r w:rsidR="00463D43" w:rsidRPr="00FC59B5">
        <w:rPr>
          <w:rFonts w:asciiTheme="majorBidi" w:eastAsiaTheme="majorEastAsia" w:hAnsiTheme="majorBidi" w:cstheme="majorBidi"/>
          <w:color w:val="000000" w:themeColor="text1"/>
          <w:sz w:val="24"/>
          <w:szCs w:val="24"/>
        </w:rPr>
        <w:t xml:space="preserve">Research </w:t>
      </w:r>
      <w:r w:rsidR="00DE65A1" w:rsidRPr="00FC59B5">
        <w:rPr>
          <w:rFonts w:asciiTheme="majorBidi" w:eastAsiaTheme="majorEastAsia" w:hAnsiTheme="majorBidi" w:cstheme="majorBidi"/>
          <w:color w:val="000000" w:themeColor="text1"/>
          <w:sz w:val="24"/>
          <w:szCs w:val="24"/>
        </w:rPr>
        <w:t>M</w:t>
      </w:r>
      <w:r w:rsidR="00463D43" w:rsidRPr="00FC59B5">
        <w:rPr>
          <w:rFonts w:asciiTheme="majorBidi" w:eastAsiaTheme="majorEastAsia" w:hAnsiTheme="majorBidi" w:cstheme="majorBidi"/>
          <w:color w:val="000000" w:themeColor="text1"/>
          <w:sz w:val="24"/>
          <w:szCs w:val="24"/>
        </w:rPr>
        <w:t xml:space="preserve">odels and </w:t>
      </w:r>
      <w:r w:rsidR="00DE65A1" w:rsidRPr="00FC59B5">
        <w:rPr>
          <w:rFonts w:asciiTheme="majorBidi" w:eastAsiaTheme="majorEastAsia" w:hAnsiTheme="majorBidi" w:cstheme="majorBidi"/>
          <w:color w:val="000000" w:themeColor="text1"/>
          <w:sz w:val="24"/>
          <w:szCs w:val="24"/>
        </w:rPr>
        <w:t>V</w:t>
      </w:r>
      <w:r w:rsidR="00463D43" w:rsidRPr="00FC59B5">
        <w:rPr>
          <w:rFonts w:asciiTheme="majorBidi" w:eastAsiaTheme="majorEastAsia" w:hAnsiTheme="majorBidi" w:cstheme="majorBidi"/>
          <w:color w:val="000000" w:themeColor="text1"/>
          <w:sz w:val="24"/>
          <w:szCs w:val="24"/>
        </w:rPr>
        <w:t xml:space="preserve">ariables </w:t>
      </w:r>
      <w:r w:rsidR="00DE65A1" w:rsidRPr="00FC59B5">
        <w:rPr>
          <w:rFonts w:asciiTheme="majorBidi" w:eastAsiaTheme="majorEastAsia" w:hAnsiTheme="majorBidi" w:cstheme="majorBidi"/>
          <w:color w:val="000000" w:themeColor="text1"/>
          <w:sz w:val="24"/>
          <w:szCs w:val="24"/>
        </w:rPr>
        <w:t>M</w:t>
      </w:r>
      <w:r w:rsidR="00463D43" w:rsidRPr="00FC59B5">
        <w:rPr>
          <w:rFonts w:asciiTheme="majorBidi" w:eastAsiaTheme="majorEastAsia" w:hAnsiTheme="majorBidi" w:cstheme="majorBidi"/>
          <w:color w:val="000000" w:themeColor="text1"/>
          <w:sz w:val="24"/>
          <w:szCs w:val="24"/>
        </w:rPr>
        <w:t>easurement</w:t>
      </w:r>
      <w:r w:rsidR="00463D43" w:rsidRPr="00FC59B5">
        <w:rPr>
          <w:rFonts w:asciiTheme="majorBidi" w:hAnsiTheme="majorBidi" w:cstheme="majorBidi"/>
          <w:i/>
          <w:iCs/>
          <w:color w:val="000000" w:themeColor="text1"/>
          <w:sz w:val="24"/>
          <w:szCs w:val="24"/>
        </w:rPr>
        <w:cr/>
      </w:r>
      <w:r w:rsidR="00280AFA" w:rsidRPr="00FC59B5">
        <w:rPr>
          <w:rFonts w:asciiTheme="majorBidi" w:hAnsiTheme="majorBidi" w:cstheme="majorBidi"/>
          <w:color w:val="000000" w:themeColor="text1"/>
          <w:sz w:val="24"/>
          <w:szCs w:val="24"/>
        </w:rPr>
        <w:t xml:space="preserve"> This paper uses different regression models to test the hypotheses using CSR tone measured by wordlists following Henry (2008) </w:t>
      </w:r>
      <w:r w:rsidR="001F51ED" w:rsidRPr="00FC59B5">
        <w:rPr>
          <w:rFonts w:asciiTheme="majorBidi" w:hAnsiTheme="majorBidi" w:cstheme="majorBidi"/>
          <w:color w:val="000000" w:themeColor="text1"/>
          <w:sz w:val="24"/>
          <w:szCs w:val="24"/>
        </w:rPr>
        <w:t xml:space="preserve">(H08) </w:t>
      </w:r>
      <w:r w:rsidR="00280AFA" w:rsidRPr="00FC59B5">
        <w:rPr>
          <w:rFonts w:asciiTheme="majorBidi" w:hAnsiTheme="majorBidi" w:cstheme="majorBidi"/>
          <w:color w:val="000000" w:themeColor="text1"/>
          <w:sz w:val="24"/>
          <w:szCs w:val="24"/>
        </w:rPr>
        <w:t xml:space="preserve">and Loughran and </w:t>
      </w:r>
      <w:proofErr w:type="spellStart"/>
      <w:r w:rsidR="00280AFA" w:rsidRPr="00FC59B5">
        <w:rPr>
          <w:rFonts w:asciiTheme="majorBidi" w:hAnsiTheme="majorBidi" w:cstheme="majorBidi"/>
          <w:color w:val="000000" w:themeColor="text1"/>
          <w:sz w:val="24"/>
          <w:szCs w:val="24"/>
        </w:rPr>
        <w:t>Mcdonald</w:t>
      </w:r>
      <w:proofErr w:type="spellEnd"/>
      <w:r w:rsidR="00280AFA" w:rsidRPr="00FC59B5">
        <w:rPr>
          <w:rFonts w:asciiTheme="majorBidi" w:hAnsiTheme="majorBidi" w:cstheme="majorBidi"/>
          <w:color w:val="000000" w:themeColor="text1"/>
          <w:sz w:val="24"/>
          <w:szCs w:val="24"/>
        </w:rPr>
        <w:t xml:space="preserve"> (2011) </w:t>
      </w:r>
      <w:r w:rsidR="001F51ED" w:rsidRPr="00FC59B5">
        <w:rPr>
          <w:rFonts w:asciiTheme="majorBidi" w:hAnsiTheme="majorBidi" w:cstheme="majorBidi"/>
          <w:color w:val="000000" w:themeColor="text1"/>
          <w:sz w:val="24"/>
          <w:szCs w:val="24"/>
        </w:rPr>
        <w:t xml:space="preserve">(LM11) </w:t>
      </w:r>
      <w:r w:rsidR="00BD4020" w:rsidRPr="00FC59B5">
        <w:rPr>
          <w:rFonts w:asciiTheme="majorBidi" w:hAnsiTheme="majorBidi" w:cstheme="majorBidi"/>
          <w:color w:val="000000" w:themeColor="text1"/>
          <w:sz w:val="24"/>
          <w:szCs w:val="24"/>
        </w:rPr>
        <w:t>dictionaries</w:t>
      </w:r>
      <w:r w:rsidR="00280AFA" w:rsidRPr="00FC59B5">
        <w:rPr>
          <w:rFonts w:asciiTheme="majorBidi" w:hAnsiTheme="majorBidi" w:cstheme="majorBidi"/>
          <w:color w:val="000000" w:themeColor="text1"/>
          <w:sz w:val="24"/>
          <w:szCs w:val="24"/>
        </w:rPr>
        <w:t xml:space="preserve"> and the</w:t>
      </w:r>
      <w:r w:rsidR="003F204E" w:rsidRPr="00FC59B5">
        <w:rPr>
          <w:rFonts w:asciiTheme="majorBidi" w:hAnsiTheme="majorBidi" w:cstheme="majorBidi"/>
          <w:color w:val="000000" w:themeColor="text1"/>
          <w:sz w:val="24"/>
          <w:szCs w:val="24"/>
        </w:rPr>
        <w:t xml:space="preserve"> models</w:t>
      </w:r>
      <w:r w:rsidR="00280AFA" w:rsidRPr="00FC59B5">
        <w:rPr>
          <w:rFonts w:asciiTheme="majorBidi" w:hAnsiTheme="majorBidi" w:cstheme="majorBidi"/>
          <w:color w:val="000000" w:themeColor="text1"/>
          <w:sz w:val="24"/>
          <w:szCs w:val="24"/>
        </w:rPr>
        <w:t xml:space="preserve"> are as follow:</w:t>
      </w:r>
    </w:p>
    <w:p w14:paraId="4BB2BBA5" w14:textId="4B82F27F" w:rsidR="00F70035" w:rsidRPr="00FC59B5" w:rsidRDefault="00F70035" w:rsidP="00BD4020">
      <w:pPr>
        <w:spacing w:after="120" w:line="360" w:lineRule="auto"/>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The first model examines the relationship between corporate governance and CSR net tone, as a percentage, based on Loughran and </w:t>
      </w:r>
      <w:proofErr w:type="spellStart"/>
      <w:r w:rsidRPr="00FC59B5">
        <w:rPr>
          <w:rFonts w:asciiTheme="majorBidi" w:hAnsiTheme="majorBidi" w:cstheme="majorBidi"/>
          <w:color w:val="000000" w:themeColor="text1"/>
          <w:sz w:val="24"/>
          <w:szCs w:val="24"/>
        </w:rPr>
        <w:t>Mcdonald</w:t>
      </w:r>
      <w:proofErr w:type="spellEnd"/>
      <w:r w:rsidRPr="00FC59B5">
        <w:rPr>
          <w:rFonts w:asciiTheme="majorBidi" w:hAnsiTheme="majorBidi" w:cstheme="majorBidi"/>
          <w:color w:val="000000" w:themeColor="text1"/>
          <w:sz w:val="24"/>
          <w:szCs w:val="24"/>
        </w:rPr>
        <w:t xml:space="preserve"> (2011), while the second model uses CSR net tone as a dummy variable (-1 if the net tone is less than -0.01, 1 if the net tone is more than +0.01, and 0 if the net tone between -0.01 and 0.01). In the third model, we have </w:t>
      </w:r>
      <w:proofErr w:type="gramStart"/>
      <w:r w:rsidRPr="00FC59B5">
        <w:rPr>
          <w:rFonts w:asciiTheme="majorBidi" w:hAnsiTheme="majorBidi" w:cstheme="majorBidi"/>
          <w:color w:val="000000" w:themeColor="text1"/>
          <w:sz w:val="24"/>
          <w:szCs w:val="24"/>
        </w:rPr>
        <w:t>examine</w:t>
      </w:r>
      <w:proofErr w:type="gramEnd"/>
      <w:r w:rsidRPr="00FC59B5">
        <w:rPr>
          <w:rFonts w:asciiTheme="majorBidi" w:hAnsiTheme="majorBidi" w:cstheme="majorBidi"/>
          <w:color w:val="000000" w:themeColor="text1"/>
          <w:sz w:val="24"/>
          <w:szCs w:val="24"/>
        </w:rPr>
        <w:t xml:space="preserve"> this relationship using CSR net tone based on Henry (2008)</w:t>
      </w:r>
      <w:r w:rsidR="00FC7AE0" w:rsidRPr="00FC59B5">
        <w:rPr>
          <w:rFonts w:asciiTheme="majorBidi" w:hAnsiTheme="majorBidi" w:cstheme="majorBidi"/>
          <w:color w:val="000000" w:themeColor="text1"/>
          <w:sz w:val="24"/>
          <w:szCs w:val="24"/>
        </w:rPr>
        <w:t>. The last two models, four and five, explore the impact of corporate governance on CSR positive tone and negative tone respectively.</w:t>
      </w:r>
    </w:p>
    <w:p w14:paraId="6552B8D4" w14:textId="77777777" w:rsidR="00DE65A1" w:rsidRPr="00FC59B5" w:rsidRDefault="00DE65A1" w:rsidP="00DE65A1">
      <w:pPr>
        <w:spacing w:after="120" w:line="360" w:lineRule="auto"/>
        <w:contextualSpacing/>
        <w:jc w:val="both"/>
        <w:rPr>
          <w:rFonts w:asciiTheme="majorBidi" w:hAnsiTheme="majorBidi" w:cstheme="majorBidi"/>
          <w:color w:val="000000" w:themeColor="text1"/>
          <w:sz w:val="24"/>
          <w:szCs w:val="24"/>
        </w:rPr>
      </w:pPr>
    </w:p>
    <w:tbl>
      <w:tblPr>
        <w:tblW w:w="0" w:type="auto"/>
        <w:tblLook w:val="04A0" w:firstRow="1" w:lastRow="0" w:firstColumn="1" w:lastColumn="0" w:noHBand="0" w:noVBand="1"/>
      </w:tblPr>
      <w:tblGrid>
        <w:gridCol w:w="8217"/>
        <w:gridCol w:w="786"/>
      </w:tblGrid>
      <w:tr w:rsidR="00553957" w:rsidRPr="00FC59B5" w14:paraId="6AD65429" w14:textId="77777777" w:rsidTr="00DE65A1">
        <w:trPr>
          <w:cantSplit/>
          <w:trHeight w:val="1129"/>
        </w:trPr>
        <w:tc>
          <w:tcPr>
            <w:tcW w:w="8217" w:type="dxa"/>
            <w:shd w:val="clear" w:color="auto" w:fill="auto"/>
          </w:tcPr>
          <w:p w14:paraId="318999B3" w14:textId="77777777" w:rsidR="00B726E2" w:rsidRPr="00FC59B5" w:rsidRDefault="00B726E2" w:rsidP="00CC02DE">
            <w:pPr>
              <w:spacing w:after="120" w:line="360" w:lineRule="auto"/>
              <w:ind w:left="284"/>
              <w:contextualSpacing/>
              <w:jc w:val="both"/>
              <w:rPr>
                <w:rFonts w:asciiTheme="majorBidi" w:hAnsiTheme="majorBidi" w:cstheme="majorBidi"/>
                <w:color w:val="000000" w:themeColor="text1"/>
                <w:sz w:val="24"/>
                <w:szCs w:val="24"/>
              </w:rPr>
            </w:pPr>
          </w:p>
          <w:p w14:paraId="06DA2519" w14:textId="26BA8DD5" w:rsidR="00B726E2" w:rsidRPr="00FC59B5" w:rsidRDefault="00DE65A1" w:rsidP="00CC02DE">
            <w:pPr>
              <w:spacing w:after="120" w:line="360" w:lineRule="auto"/>
              <w:ind w:left="284"/>
              <w:contextualSpacing/>
              <w:jc w:val="both"/>
              <w:rPr>
                <w:rFonts w:asciiTheme="majorBidi" w:hAnsiTheme="majorBidi" w:cstheme="majorBidi"/>
                <w:i/>
                <w:iCs/>
                <w:color w:val="000000" w:themeColor="text1"/>
                <w:sz w:val="24"/>
                <w:szCs w:val="24"/>
                <w:vertAlign w:val="subscript"/>
              </w:rPr>
            </w:pPr>
            <w:r w:rsidRPr="00FC59B5">
              <w:rPr>
                <w:rFonts w:asciiTheme="majorBidi" w:hAnsiTheme="majorBidi" w:cstheme="majorBidi"/>
                <w:color w:val="000000" w:themeColor="text1"/>
                <w:sz w:val="24"/>
                <w:szCs w:val="24"/>
              </w:rPr>
              <w:t xml:space="preserve">CSR </w:t>
            </w:r>
            <w:r w:rsidR="00B726E2" w:rsidRPr="00FC59B5">
              <w:rPr>
                <w:rFonts w:asciiTheme="majorBidi" w:hAnsiTheme="majorBidi" w:cstheme="majorBidi"/>
                <w:color w:val="000000" w:themeColor="text1"/>
                <w:sz w:val="24"/>
                <w:szCs w:val="24"/>
              </w:rPr>
              <w:t>Net Tone (LM</w:t>
            </w:r>
            <w:r w:rsidR="001F51ED" w:rsidRPr="00FC59B5">
              <w:rPr>
                <w:rFonts w:asciiTheme="majorBidi" w:hAnsiTheme="majorBidi" w:cstheme="majorBidi"/>
                <w:color w:val="000000" w:themeColor="text1"/>
                <w:sz w:val="24"/>
                <w:szCs w:val="24"/>
              </w:rPr>
              <w:t>11</w:t>
            </w:r>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 xml:space="preserve">0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1</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Bsize</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2</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IND+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3</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Women%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4</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ACsize</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5</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ESG-Score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6</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ROA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7</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Lev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8</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LogFS</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i/>
                <w:iCs/>
                <w:color w:val="000000" w:themeColor="text1"/>
                <w:sz w:val="24"/>
                <w:szCs w:val="24"/>
              </w:rPr>
              <w:t xml:space="preserve">α </w:t>
            </w:r>
            <w:r w:rsidR="00B726E2" w:rsidRPr="00FC59B5">
              <w:rPr>
                <w:rFonts w:asciiTheme="majorBidi" w:hAnsiTheme="majorBidi" w:cstheme="majorBidi"/>
                <w:color w:val="000000" w:themeColor="text1"/>
                <w:sz w:val="24"/>
                <w:szCs w:val="24"/>
              </w:rPr>
              <w:t>+</w:t>
            </w:r>
            <w:r w:rsidR="00B726E2" w:rsidRPr="00FC59B5">
              <w:rPr>
                <w:rFonts w:asciiTheme="majorBidi" w:hAnsiTheme="majorBidi" w:cstheme="majorBidi"/>
                <w:i/>
                <w:iCs/>
                <w:color w:val="000000" w:themeColor="text1"/>
                <w:sz w:val="24"/>
                <w:szCs w:val="24"/>
              </w:rPr>
              <w:t xml:space="preserve"> µ</w:t>
            </w:r>
            <w:proofErr w:type="spellStart"/>
            <w:r w:rsidR="00B726E2" w:rsidRPr="00FC59B5">
              <w:rPr>
                <w:rFonts w:asciiTheme="majorBidi" w:hAnsiTheme="majorBidi" w:cstheme="majorBidi"/>
                <w:i/>
                <w:iCs/>
                <w:color w:val="000000" w:themeColor="text1"/>
                <w:sz w:val="24"/>
                <w:szCs w:val="24"/>
                <w:vertAlign w:val="subscript"/>
              </w:rPr>
              <w:t>i</w:t>
            </w:r>
            <w:proofErr w:type="spellEnd"/>
            <w:r w:rsidR="00B726E2" w:rsidRPr="00FC59B5">
              <w:rPr>
                <w:rFonts w:asciiTheme="majorBidi" w:hAnsiTheme="majorBidi" w:cstheme="majorBidi"/>
                <w:i/>
                <w:iCs/>
                <w:color w:val="000000" w:themeColor="text1"/>
                <w:sz w:val="24"/>
                <w:szCs w:val="24"/>
              </w:rPr>
              <w:t xml:space="preserve"> </w:t>
            </w:r>
            <w:r w:rsidR="00B726E2" w:rsidRPr="00FC59B5">
              <w:rPr>
                <w:rFonts w:asciiTheme="majorBidi" w:hAnsiTheme="majorBidi" w:cstheme="majorBidi"/>
                <w:color w:val="000000" w:themeColor="text1"/>
                <w:sz w:val="24"/>
                <w:szCs w:val="24"/>
              </w:rPr>
              <w:t>+</w:t>
            </w:r>
            <w:r w:rsidR="00B726E2" w:rsidRPr="00FC59B5">
              <w:rPr>
                <w:rFonts w:asciiTheme="majorBidi" w:hAnsiTheme="majorBidi" w:cstheme="majorBidi"/>
                <w:i/>
                <w:iCs/>
                <w:color w:val="000000" w:themeColor="text1"/>
                <w:sz w:val="24"/>
                <w:szCs w:val="24"/>
              </w:rPr>
              <w:t xml:space="preserve"> </w:t>
            </w:r>
            <w:proofErr w:type="spellStart"/>
            <w:r w:rsidR="00B726E2" w:rsidRPr="00FC59B5">
              <w:rPr>
                <w:rFonts w:asciiTheme="majorBidi" w:hAnsiTheme="majorBidi" w:cstheme="majorBidi"/>
                <w:i/>
                <w:iCs/>
                <w:color w:val="000000" w:themeColor="text1"/>
                <w:sz w:val="24"/>
                <w:szCs w:val="24"/>
              </w:rPr>
              <w:t>ε</w:t>
            </w:r>
            <w:r w:rsidR="00B726E2" w:rsidRPr="00FC59B5">
              <w:rPr>
                <w:rFonts w:asciiTheme="majorBidi" w:hAnsiTheme="majorBidi" w:cstheme="majorBidi"/>
                <w:i/>
                <w:iCs/>
                <w:color w:val="000000" w:themeColor="text1"/>
                <w:sz w:val="24"/>
                <w:szCs w:val="24"/>
                <w:vertAlign w:val="subscript"/>
              </w:rPr>
              <w:t>it</w:t>
            </w:r>
            <w:proofErr w:type="spellEnd"/>
          </w:p>
        </w:tc>
        <w:tc>
          <w:tcPr>
            <w:tcW w:w="786" w:type="dxa"/>
            <w:shd w:val="clear" w:color="auto" w:fill="auto"/>
            <w:textDirection w:val="btLr"/>
            <w:vAlign w:val="center"/>
          </w:tcPr>
          <w:p w14:paraId="79CDE4FA" w14:textId="77777777" w:rsidR="00B726E2" w:rsidRPr="00FC59B5" w:rsidRDefault="00B726E2" w:rsidP="00CC02DE">
            <w:pPr>
              <w:spacing w:after="120" w:line="360" w:lineRule="auto"/>
              <w:ind w:left="113" w:right="113"/>
              <w:contextualSpacing/>
              <w:jc w:val="cente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Model 01 - RE</w:t>
            </w:r>
          </w:p>
        </w:tc>
      </w:tr>
      <w:tr w:rsidR="00553957" w:rsidRPr="00FC59B5" w14:paraId="1F7055B6" w14:textId="77777777" w:rsidTr="00DE65A1">
        <w:trPr>
          <w:cantSplit/>
          <w:trHeight w:val="1117"/>
        </w:trPr>
        <w:tc>
          <w:tcPr>
            <w:tcW w:w="8217" w:type="dxa"/>
            <w:shd w:val="clear" w:color="auto" w:fill="auto"/>
          </w:tcPr>
          <w:p w14:paraId="3B67A726" w14:textId="77777777" w:rsidR="00B726E2" w:rsidRPr="00FC59B5" w:rsidRDefault="00B726E2" w:rsidP="00CC02DE">
            <w:pPr>
              <w:spacing w:after="120" w:line="360" w:lineRule="auto"/>
              <w:ind w:left="284"/>
              <w:contextualSpacing/>
              <w:jc w:val="both"/>
              <w:rPr>
                <w:rFonts w:asciiTheme="majorBidi" w:hAnsiTheme="majorBidi" w:cstheme="majorBidi"/>
                <w:color w:val="000000" w:themeColor="text1"/>
                <w:sz w:val="24"/>
                <w:szCs w:val="24"/>
              </w:rPr>
            </w:pPr>
          </w:p>
          <w:p w14:paraId="12843932" w14:textId="26C17192" w:rsidR="00B726E2" w:rsidRPr="00FC59B5" w:rsidRDefault="00DE65A1" w:rsidP="00CC02DE">
            <w:pPr>
              <w:spacing w:after="120" w:line="360" w:lineRule="auto"/>
              <w:ind w:left="284"/>
              <w:contextualSpacing/>
              <w:jc w:val="both"/>
              <w:rPr>
                <w:rFonts w:asciiTheme="majorBidi" w:hAnsiTheme="majorBidi" w:cstheme="majorBidi"/>
                <w:i/>
                <w:iCs/>
                <w:color w:val="000000" w:themeColor="text1"/>
                <w:sz w:val="24"/>
                <w:szCs w:val="24"/>
                <w:vertAlign w:val="subscript"/>
              </w:rPr>
            </w:pPr>
            <w:r w:rsidRPr="00FC59B5">
              <w:rPr>
                <w:rFonts w:asciiTheme="majorBidi" w:hAnsiTheme="majorBidi" w:cstheme="majorBidi"/>
                <w:color w:val="000000" w:themeColor="text1"/>
                <w:sz w:val="24"/>
                <w:szCs w:val="24"/>
              </w:rPr>
              <w:t xml:space="preserve">CSR </w:t>
            </w:r>
            <w:r w:rsidR="00B726E2" w:rsidRPr="00FC59B5">
              <w:rPr>
                <w:rFonts w:asciiTheme="majorBidi" w:hAnsiTheme="majorBidi" w:cstheme="majorBidi"/>
                <w:color w:val="000000" w:themeColor="text1"/>
                <w:sz w:val="24"/>
                <w:szCs w:val="24"/>
              </w:rPr>
              <w:t>Net Tone (LM</w:t>
            </w:r>
            <w:r w:rsidR="001F51ED" w:rsidRPr="00FC59B5">
              <w:rPr>
                <w:rFonts w:asciiTheme="majorBidi" w:hAnsiTheme="majorBidi" w:cstheme="majorBidi"/>
                <w:color w:val="000000" w:themeColor="text1"/>
                <w:sz w:val="24"/>
                <w:szCs w:val="24"/>
              </w:rPr>
              <w:t>11</w:t>
            </w:r>
            <w:r w:rsidR="00B726E2" w:rsidRPr="00FC59B5">
              <w:rPr>
                <w:rFonts w:asciiTheme="majorBidi" w:hAnsiTheme="majorBidi" w:cstheme="majorBidi"/>
                <w:color w:val="000000" w:themeColor="text1"/>
                <w:sz w:val="24"/>
                <w:szCs w:val="24"/>
              </w:rPr>
              <w:t xml:space="preserve">) Dummy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 xml:space="preserve">0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1</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Bsize</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2</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IND+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3</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Women%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4</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ACsize</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5</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ESG-Score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6</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ROA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7</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Lev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8</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LogFS</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i/>
                <w:iCs/>
                <w:color w:val="000000" w:themeColor="text1"/>
                <w:sz w:val="24"/>
                <w:szCs w:val="24"/>
              </w:rPr>
              <w:t xml:space="preserve">α </w:t>
            </w:r>
            <w:r w:rsidR="00B726E2" w:rsidRPr="00FC59B5">
              <w:rPr>
                <w:rFonts w:asciiTheme="majorBidi" w:hAnsiTheme="majorBidi" w:cstheme="majorBidi"/>
                <w:color w:val="000000" w:themeColor="text1"/>
                <w:sz w:val="24"/>
                <w:szCs w:val="24"/>
              </w:rPr>
              <w:t>+</w:t>
            </w:r>
            <w:r w:rsidR="00B726E2" w:rsidRPr="00FC59B5">
              <w:rPr>
                <w:rFonts w:asciiTheme="majorBidi" w:hAnsiTheme="majorBidi" w:cstheme="majorBidi"/>
                <w:i/>
                <w:iCs/>
                <w:color w:val="000000" w:themeColor="text1"/>
                <w:sz w:val="24"/>
                <w:szCs w:val="24"/>
              </w:rPr>
              <w:t xml:space="preserve"> </w:t>
            </w:r>
            <w:proofErr w:type="spellStart"/>
            <w:r w:rsidR="00B726E2" w:rsidRPr="00FC59B5">
              <w:rPr>
                <w:rFonts w:asciiTheme="majorBidi" w:hAnsiTheme="majorBidi" w:cstheme="majorBidi"/>
                <w:i/>
                <w:iCs/>
                <w:color w:val="000000" w:themeColor="text1"/>
                <w:sz w:val="24"/>
                <w:szCs w:val="24"/>
              </w:rPr>
              <w:t>ε</w:t>
            </w:r>
            <w:r w:rsidR="00B726E2" w:rsidRPr="00FC59B5">
              <w:rPr>
                <w:rFonts w:asciiTheme="majorBidi" w:hAnsiTheme="majorBidi" w:cstheme="majorBidi"/>
                <w:i/>
                <w:iCs/>
                <w:color w:val="000000" w:themeColor="text1"/>
                <w:sz w:val="24"/>
                <w:szCs w:val="24"/>
                <w:vertAlign w:val="subscript"/>
              </w:rPr>
              <w:t>it</w:t>
            </w:r>
            <w:proofErr w:type="spellEnd"/>
          </w:p>
        </w:tc>
        <w:tc>
          <w:tcPr>
            <w:tcW w:w="786" w:type="dxa"/>
            <w:shd w:val="clear" w:color="auto" w:fill="auto"/>
            <w:textDirection w:val="btLr"/>
            <w:vAlign w:val="center"/>
          </w:tcPr>
          <w:p w14:paraId="7592E537" w14:textId="77777777" w:rsidR="00B726E2" w:rsidRPr="00FC59B5" w:rsidRDefault="00B726E2" w:rsidP="00CC02DE">
            <w:pPr>
              <w:spacing w:after="120" w:line="360" w:lineRule="auto"/>
              <w:ind w:left="113" w:right="113"/>
              <w:contextualSpacing/>
              <w:jc w:val="cente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Model 02 - FE</w:t>
            </w:r>
          </w:p>
        </w:tc>
      </w:tr>
      <w:tr w:rsidR="00553957" w:rsidRPr="00FC59B5" w14:paraId="22E943E4" w14:textId="77777777" w:rsidTr="00DE65A1">
        <w:trPr>
          <w:cantSplit/>
          <w:trHeight w:val="1133"/>
        </w:trPr>
        <w:tc>
          <w:tcPr>
            <w:tcW w:w="8217" w:type="dxa"/>
            <w:shd w:val="clear" w:color="auto" w:fill="auto"/>
          </w:tcPr>
          <w:p w14:paraId="3394DBCB" w14:textId="77777777" w:rsidR="00B726E2" w:rsidRPr="00FC59B5" w:rsidRDefault="00B726E2" w:rsidP="00CC02DE">
            <w:pPr>
              <w:spacing w:after="120" w:line="360" w:lineRule="auto"/>
              <w:ind w:left="284"/>
              <w:contextualSpacing/>
              <w:jc w:val="both"/>
              <w:rPr>
                <w:rFonts w:asciiTheme="majorBidi" w:hAnsiTheme="majorBidi" w:cstheme="majorBidi"/>
                <w:color w:val="000000" w:themeColor="text1"/>
                <w:sz w:val="24"/>
                <w:szCs w:val="24"/>
              </w:rPr>
            </w:pPr>
          </w:p>
          <w:p w14:paraId="70C0C8D2" w14:textId="648B376A" w:rsidR="00B726E2" w:rsidRPr="00FC59B5" w:rsidRDefault="00DE65A1" w:rsidP="00CC02DE">
            <w:pPr>
              <w:spacing w:after="120" w:line="360" w:lineRule="auto"/>
              <w:ind w:left="284"/>
              <w:contextualSpacing/>
              <w:jc w:val="both"/>
              <w:rPr>
                <w:rFonts w:asciiTheme="majorBidi" w:hAnsiTheme="majorBidi" w:cstheme="majorBidi"/>
                <w:b/>
                <w:bCs/>
                <w:i/>
                <w:iCs/>
                <w:color w:val="000000" w:themeColor="text1"/>
                <w:sz w:val="24"/>
                <w:szCs w:val="24"/>
              </w:rPr>
            </w:pPr>
            <w:r w:rsidRPr="00FC59B5">
              <w:rPr>
                <w:rFonts w:asciiTheme="majorBidi" w:hAnsiTheme="majorBidi" w:cstheme="majorBidi"/>
                <w:color w:val="000000" w:themeColor="text1"/>
                <w:sz w:val="24"/>
                <w:szCs w:val="24"/>
              </w:rPr>
              <w:t xml:space="preserve">CSR </w:t>
            </w:r>
            <w:r w:rsidR="00B726E2" w:rsidRPr="00FC59B5">
              <w:rPr>
                <w:rFonts w:asciiTheme="majorBidi" w:hAnsiTheme="majorBidi" w:cstheme="majorBidi"/>
                <w:color w:val="000000" w:themeColor="text1"/>
                <w:sz w:val="24"/>
                <w:szCs w:val="24"/>
              </w:rPr>
              <w:t>Net Tone (H</w:t>
            </w:r>
            <w:r w:rsidR="001F51ED" w:rsidRPr="00FC59B5">
              <w:rPr>
                <w:rFonts w:asciiTheme="majorBidi" w:hAnsiTheme="majorBidi" w:cstheme="majorBidi"/>
                <w:color w:val="000000" w:themeColor="text1"/>
                <w:sz w:val="24"/>
                <w:szCs w:val="24"/>
              </w:rPr>
              <w:t>0</w:t>
            </w:r>
            <w:r w:rsidR="00B726E2" w:rsidRPr="00FC59B5">
              <w:rPr>
                <w:rFonts w:asciiTheme="majorBidi" w:hAnsiTheme="majorBidi" w:cstheme="majorBidi"/>
                <w:color w:val="000000" w:themeColor="text1"/>
                <w:sz w:val="24"/>
                <w:szCs w:val="24"/>
              </w:rPr>
              <w:t xml:space="preserve">8)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 xml:space="preserve">0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1</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Bsize</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2</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IND+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3</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Women%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4</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ACsize</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5</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ESG-Score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6</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ROA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7</w:t>
            </w:r>
            <w:r w:rsidR="00B726E2" w:rsidRPr="00FC59B5">
              <w:rPr>
                <w:rFonts w:asciiTheme="majorBidi" w:hAnsiTheme="majorBidi" w:cstheme="majorBidi"/>
                <w:i/>
                <w:iCs/>
                <w:color w:val="000000" w:themeColor="text1"/>
                <w:sz w:val="24"/>
                <w:szCs w:val="24"/>
              </w:rPr>
              <w:t>*</w:t>
            </w:r>
            <w:r w:rsidR="00B726E2" w:rsidRPr="00FC59B5">
              <w:rPr>
                <w:rFonts w:asciiTheme="majorBidi" w:hAnsiTheme="majorBidi" w:cstheme="majorBidi"/>
                <w:color w:val="000000" w:themeColor="text1"/>
                <w:sz w:val="24"/>
                <w:szCs w:val="24"/>
              </w:rPr>
              <w:t xml:space="preserve">Lev + </w:t>
            </w:r>
            <w:r w:rsidR="00B726E2" w:rsidRPr="00FC59B5">
              <w:rPr>
                <w:rFonts w:asciiTheme="majorBidi" w:hAnsiTheme="majorBidi" w:cstheme="majorBidi"/>
                <w:color w:val="000000" w:themeColor="text1"/>
                <w:sz w:val="24"/>
                <w:szCs w:val="24"/>
              </w:rPr>
              <w:sym w:font="Symbol" w:char="F062"/>
            </w:r>
            <w:r w:rsidR="00B726E2" w:rsidRPr="00FC59B5">
              <w:rPr>
                <w:rFonts w:asciiTheme="majorBidi" w:hAnsiTheme="majorBidi" w:cstheme="majorBidi"/>
                <w:color w:val="000000" w:themeColor="text1"/>
                <w:sz w:val="24"/>
                <w:szCs w:val="24"/>
              </w:rPr>
              <w:t>8</w:t>
            </w:r>
            <w:r w:rsidR="00B726E2" w:rsidRPr="00FC59B5">
              <w:rPr>
                <w:rFonts w:asciiTheme="majorBidi" w:hAnsiTheme="majorBidi" w:cstheme="majorBidi"/>
                <w:i/>
                <w:iCs/>
                <w:color w:val="000000" w:themeColor="text1"/>
                <w:sz w:val="24"/>
                <w:szCs w:val="24"/>
              </w:rPr>
              <w:t>*</w:t>
            </w:r>
            <w:proofErr w:type="spellStart"/>
            <w:r w:rsidR="00B726E2" w:rsidRPr="00FC59B5">
              <w:rPr>
                <w:rFonts w:asciiTheme="majorBidi" w:hAnsiTheme="majorBidi" w:cstheme="majorBidi"/>
                <w:color w:val="000000" w:themeColor="text1"/>
                <w:sz w:val="24"/>
                <w:szCs w:val="24"/>
              </w:rPr>
              <w:t>LogFS</w:t>
            </w:r>
            <w:proofErr w:type="spellEnd"/>
            <w:r w:rsidR="00B726E2" w:rsidRPr="00FC59B5">
              <w:rPr>
                <w:rFonts w:asciiTheme="majorBidi" w:hAnsiTheme="majorBidi" w:cstheme="majorBidi"/>
                <w:color w:val="000000" w:themeColor="text1"/>
                <w:sz w:val="24"/>
                <w:szCs w:val="24"/>
              </w:rPr>
              <w:t xml:space="preserve"> + </w:t>
            </w:r>
            <w:r w:rsidR="00B726E2" w:rsidRPr="00FC59B5">
              <w:rPr>
                <w:rFonts w:asciiTheme="majorBidi" w:hAnsiTheme="majorBidi" w:cstheme="majorBidi"/>
                <w:i/>
                <w:iCs/>
                <w:color w:val="000000" w:themeColor="text1"/>
                <w:sz w:val="24"/>
                <w:szCs w:val="24"/>
              </w:rPr>
              <w:t xml:space="preserve">α </w:t>
            </w:r>
            <w:r w:rsidR="00B726E2" w:rsidRPr="00FC59B5">
              <w:rPr>
                <w:rFonts w:asciiTheme="majorBidi" w:hAnsiTheme="majorBidi" w:cstheme="majorBidi"/>
                <w:color w:val="000000" w:themeColor="text1"/>
                <w:sz w:val="24"/>
                <w:szCs w:val="24"/>
              </w:rPr>
              <w:t>+</w:t>
            </w:r>
            <w:r w:rsidR="00B726E2" w:rsidRPr="00FC59B5">
              <w:rPr>
                <w:rFonts w:asciiTheme="majorBidi" w:hAnsiTheme="majorBidi" w:cstheme="majorBidi"/>
                <w:i/>
                <w:iCs/>
                <w:color w:val="000000" w:themeColor="text1"/>
                <w:sz w:val="24"/>
                <w:szCs w:val="24"/>
              </w:rPr>
              <w:t xml:space="preserve"> µ</w:t>
            </w:r>
            <w:proofErr w:type="spellStart"/>
            <w:r w:rsidR="00B726E2" w:rsidRPr="00FC59B5">
              <w:rPr>
                <w:rFonts w:asciiTheme="majorBidi" w:hAnsiTheme="majorBidi" w:cstheme="majorBidi"/>
                <w:i/>
                <w:iCs/>
                <w:color w:val="000000" w:themeColor="text1"/>
                <w:sz w:val="24"/>
                <w:szCs w:val="24"/>
                <w:vertAlign w:val="subscript"/>
              </w:rPr>
              <w:t>i</w:t>
            </w:r>
            <w:proofErr w:type="spellEnd"/>
            <w:r w:rsidR="00B726E2" w:rsidRPr="00FC59B5">
              <w:rPr>
                <w:rFonts w:asciiTheme="majorBidi" w:hAnsiTheme="majorBidi" w:cstheme="majorBidi"/>
                <w:i/>
                <w:iCs/>
                <w:color w:val="000000" w:themeColor="text1"/>
                <w:sz w:val="24"/>
                <w:szCs w:val="24"/>
              </w:rPr>
              <w:t xml:space="preserve"> </w:t>
            </w:r>
            <w:r w:rsidR="00B726E2" w:rsidRPr="00FC59B5">
              <w:rPr>
                <w:rFonts w:asciiTheme="majorBidi" w:hAnsiTheme="majorBidi" w:cstheme="majorBidi"/>
                <w:color w:val="000000" w:themeColor="text1"/>
                <w:sz w:val="24"/>
                <w:szCs w:val="24"/>
              </w:rPr>
              <w:t>+</w:t>
            </w:r>
            <w:r w:rsidR="00B726E2" w:rsidRPr="00FC59B5">
              <w:rPr>
                <w:rFonts w:asciiTheme="majorBidi" w:hAnsiTheme="majorBidi" w:cstheme="majorBidi"/>
                <w:i/>
                <w:iCs/>
                <w:color w:val="000000" w:themeColor="text1"/>
                <w:sz w:val="24"/>
                <w:szCs w:val="24"/>
              </w:rPr>
              <w:t xml:space="preserve"> </w:t>
            </w:r>
            <w:proofErr w:type="spellStart"/>
            <w:r w:rsidR="00B726E2" w:rsidRPr="00FC59B5">
              <w:rPr>
                <w:rFonts w:asciiTheme="majorBidi" w:hAnsiTheme="majorBidi" w:cstheme="majorBidi"/>
                <w:i/>
                <w:iCs/>
                <w:color w:val="000000" w:themeColor="text1"/>
                <w:sz w:val="24"/>
                <w:szCs w:val="24"/>
              </w:rPr>
              <w:t>ε</w:t>
            </w:r>
            <w:r w:rsidR="00B726E2" w:rsidRPr="00FC59B5">
              <w:rPr>
                <w:rFonts w:asciiTheme="majorBidi" w:hAnsiTheme="majorBidi" w:cstheme="majorBidi"/>
                <w:i/>
                <w:iCs/>
                <w:color w:val="000000" w:themeColor="text1"/>
                <w:sz w:val="24"/>
                <w:szCs w:val="24"/>
                <w:vertAlign w:val="subscript"/>
              </w:rPr>
              <w:t>it</w:t>
            </w:r>
            <w:proofErr w:type="spellEnd"/>
          </w:p>
        </w:tc>
        <w:tc>
          <w:tcPr>
            <w:tcW w:w="786" w:type="dxa"/>
            <w:shd w:val="clear" w:color="auto" w:fill="auto"/>
            <w:textDirection w:val="btLr"/>
            <w:vAlign w:val="center"/>
          </w:tcPr>
          <w:p w14:paraId="2EE50478" w14:textId="77777777" w:rsidR="00B726E2" w:rsidRPr="00FC59B5" w:rsidRDefault="00B726E2" w:rsidP="00CC02DE">
            <w:pPr>
              <w:spacing w:after="120" w:line="360" w:lineRule="auto"/>
              <w:ind w:left="113" w:right="113"/>
              <w:contextualSpacing/>
              <w:jc w:val="cente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Model 03 - RE</w:t>
            </w:r>
          </w:p>
        </w:tc>
      </w:tr>
      <w:tr w:rsidR="00553957" w:rsidRPr="00FC59B5" w14:paraId="6036AA03" w14:textId="77777777" w:rsidTr="00DE65A1">
        <w:trPr>
          <w:cantSplit/>
          <w:trHeight w:val="1121"/>
        </w:trPr>
        <w:tc>
          <w:tcPr>
            <w:tcW w:w="8217" w:type="dxa"/>
            <w:shd w:val="clear" w:color="auto" w:fill="auto"/>
          </w:tcPr>
          <w:p w14:paraId="69DE4290" w14:textId="77777777" w:rsidR="00DE65A1" w:rsidRPr="00FC59B5" w:rsidRDefault="00DE65A1" w:rsidP="00DE65A1">
            <w:pPr>
              <w:spacing w:after="120" w:line="360" w:lineRule="auto"/>
              <w:ind w:left="284"/>
              <w:contextualSpacing/>
              <w:jc w:val="both"/>
              <w:rPr>
                <w:rFonts w:asciiTheme="majorBidi" w:hAnsiTheme="majorBidi" w:cstheme="majorBidi"/>
                <w:color w:val="000000" w:themeColor="text1"/>
                <w:sz w:val="24"/>
                <w:szCs w:val="24"/>
              </w:rPr>
            </w:pPr>
          </w:p>
          <w:p w14:paraId="0EAC8C1F" w14:textId="7356D0F7" w:rsidR="00DE65A1" w:rsidRPr="00FC59B5" w:rsidRDefault="00DE65A1" w:rsidP="00DE65A1">
            <w:pPr>
              <w:spacing w:after="120" w:line="360" w:lineRule="auto"/>
              <w:ind w:left="284"/>
              <w:contextualSpacing/>
              <w:jc w:val="both"/>
              <w:rPr>
                <w:rFonts w:asciiTheme="majorBidi" w:hAnsiTheme="majorBidi" w:cstheme="majorBidi"/>
                <w:i/>
                <w:iCs/>
                <w:color w:val="000000" w:themeColor="text1"/>
                <w:sz w:val="24"/>
                <w:szCs w:val="24"/>
                <w:vertAlign w:val="subscript"/>
              </w:rPr>
            </w:pPr>
            <w:r w:rsidRPr="00FC59B5">
              <w:rPr>
                <w:rFonts w:asciiTheme="majorBidi" w:hAnsiTheme="majorBidi" w:cstheme="majorBidi"/>
                <w:color w:val="000000" w:themeColor="text1"/>
                <w:sz w:val="24"/>
                <w:szCs w:val="24"/>
              </w:rPr>
              <w:t>CSR Positive Tone (LM</w:t>
            </w:r>
            <w:r w:rsidR="001F51ED" w:rsidRPr="00FC59B5">
              <w:rPr>
                <w:rFonts w:asciiTheme="majorBidi" w:hAnsiTheme="majorBidi" w:cstheme="majorBidi"/>
                <w:color w:val="000000" w:themeColor="text1"/>
                <w:sz w:val="24"/>
                <w:szCs w:val="24"/>
              </w:rPr>
              <w:t>11</w:t>
            </w:r>
            <w:r w:rsidRPr="00FC59B5">
              <w:rPr>
                <w:rFonts w:asciiTheme="majorBidi" w:hAnsiTheme="majorBidi" w:cstheme="majorBidi"/>
                <w:color w:val="000000" w:themeColor="text1"/>
                <w:sz w:val="24"/>
                <w:szCs w:val="24"/>
              </w:rPr>
              <w:t xml:space="preserv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 xml:space="preserve">0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1</w:t>
            </w:r>
            <w:r w:rsidRPr="00FC59B5">
              <w:rPr>
                <w:rFonts w:asciiTheme="majorBidi" w:hAnsiTheme="majorBidi" w:cstheme="majorBidi"/>
                <w:i/>
                <w:iCs/>
                <w:color w:val="000000" w:themeColor="text1"/>
                <w:sz w:val="24"/>
                <w:szCs w:val="24"/>
              </w:rPr>
              <w:t>*</w:t>
            </w:r>
            <w:proofErr w:type="spellStart"/>
            <w:r w:rsidRPr="00FC59B5">
              <w:rPr>
                <w:rFonts w:asciiTheme="majorBidi" w:hAnsiTheme="majorBidi" w:cstheme="majorBidi"/>
                <w:color w:val="000000" w:themeColor="text1"/>
                <w:sz w:val="24"/>
                <w:szCs w:val="24"/>
              </w:rPr>
              <w:t>Bsize</w:t>
            </w:r>
            <w:proofErr w:type="spellEnd"/>
            <w:r w:rsidRPr="00FC59B5">
              <w:rPr>
                <w:rFonts w:asciiTheme="majorBidi" w:hAnsiTheme="majorBidi" w:cstheme="majorBidi"/>
                <w:color w:val="000000" w:themeColor="text1"/>
                <w:sz w:val="24"/>
                <w:szCs w:val="24"/>
              </w:rPr>
              <w:t xml:space="preserv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2</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IND+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3</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Women%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4</w:t>
            </w:r>
            <w:r w:rsidRPr="00FC59B5">
              <w:rPr>
                <w:rFonts w:asciiTheme="majorBidi" w:hAnsiTheme="majorBidi" w:cstheme="majorBidi"/>
                <w:i/>
                <w:iCs/>
                <w:color w:val="000000" w:themeColor="text1"/>
                <w:sz w:val="24"/>
                <w:szCs w:val="24"/>
              </w:rPr>
              <w:t>*</w:t>
            </w:r>
            <w:proofErr w:type="spellStart"/>
            <w:r w:rsidRPr="00FC59B5">
              <w:rPr>
                <w:rFonts w:asciiTheme="majorBidi" w:hAnsiTheme="majorBidi" w:cstheme="majorBidi"/>
                <w:color w:val="000000" w:themeColor="text1"/>
                <w:sz w:val="24"/>
                <w:szCs w:val="24"/>
              </w:rPr>
              <w:t>ACsize</w:t>
            </w:r>
            <w:proofErr w:type="spellEnd"/>
            <w:r w:rsidRPr="00FC59B5">
              <w:rPr>
                <w:rFonts w:asciiTheme="majorBidi" w:hAnsiTheme="majorBidi" w:cstheme="majorBidi"/>
                <w:color w:val="000000" w:themeColor="text1"/>
                <w:sz w:val="24"/>
                <w:szCs w:val="24"/>
              </w:rPr>
              <w:t xml:space="preserv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5</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ESG-Score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6</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ROA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7</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Lev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8</w:t>
            </w:r>
            <w:r w:rsidRPr="00FC59B5">
              <w:rPr>
                <w:rFonts w:asciiTheme="majorBidi" w:hAnsiTheme="majorBidi" w:cstheme="majorBidi"/>
                <w:i/>
                <w:iCs/>
                <w:color w:val="000000" w:themeColor="text1"/>
                <w:sz w:val="24"/>
                <w:szCs w:val="24"/>
              </w:rPr>
              <w:t>*</w:t>
            </w:r>
            <w:r w:rsidR="00970D65" w:rsidRPr="00FC59B5">
              <w:rPr>
                <w:rFonts w:asciiTheme="majorBidi" w:hAnsiTheme="majorBidi" w:cstheme="majorBidi"/>
                <w:color w:val="000000" w:themeColor="text1"/>
                <w:sz w:val="24"/>
                <w:szCs w:val="24"/>
              </w:rPr>
              <w:t xml:space="preserve"> </w:t>
            </w:r>
            <w:r w:rsidR="00970D65" w:rsidRPr="00FC59B5">
              <w:rPr>
                <w:rFonts w:asciiTheme="majorBidi" w:hAnsiTheme="majorBidi" w:cstheme="majorBidi"/>
                <w:i/>
                <w:iCs/>
                <w:color w:val="000000" w:themeColor="text1"/>
                <w:sz w:val="24"/>
                <w:szCs w:val="24"/>
              </w:rPr>
              <w:t xml:space="preserve">LN_TRNOVR </w:t>
            </w:r>
            <w:r w:rsidRPr="00FC59B5">
              <w:rPr>
                <w:rFonts w:asciiTheme="majorBidi" w:hAnsiTheme="majorBidi" w:cstheme="majorBidi"/>
                <w:color w:val="000000" w:themeColor="text1"/>
                <w:sz w:val="24"/>
                <w:szCs w:val="24"/>
              </w:rPr>
              <w:t xml:space="preserve">+ </w:t>
            </w:r>
            <w:r w:rsidRPr="00FC59B5">
              <w:rPr>
                <w:rFonts w:asciiTheme="majorBidi" w:hAnsiTheme="majorBidi" w:cstheme="majorBidi"/>
                <w:i/>
                <w:iCs/>
                <w:color w:val="000000" w:themeColor="text1"/>
                <w:sz w:val="24"/>
                <w:szCs w:val="24"/>
              </w:rPr>
              <w:t xml:space="preserve">α </w:t>
            </w:r>
            <w:r w:rsidRPr="00FC59B5">
              <w:rPr>
                <w:rFonts w:asciiTheme="majorBidi" w:hAnsiTheme="majorBidi" w:cstheme="majorBidi"/>
                <w:color w:val="000000" w:themeColor="text1"/>
                <w:sz w:val="24"/>
                <w:szCs w:val="24"/>
              </w:rPr>
              <w:t>+</w:t>
            </w:r>
            <w:r w:rsidRPr="00FC59B5">
              <w:rPr>
                <w:rFonts w:asciiTheme="majorBidi" w:hAnsiTheme="majorBidi" w:cstheme="majorBidi"/>
                <w:i/>
                <w:iCs/>
                <w:color w:val="000000" w:themeColor="text1"/>
                <w:sz w:val="24"/>
                <w:szCs w:val="24"/>
              </w:rPr>
              <w:t xml:space="preserve"> µ</w:t>
            </w:r>
            <w:proofErr w:type="spellStart"/>
            <w:r w:rsidRPr="00FC59B5">
              <w:rPr>
                <w:rFonts w:asciiTheme="majorBidi" w:hAnsiTheme="majorBidi" w:cstheme="majorBidi"/>
                <w:i/>
                <w:iCs/>
                <w:color w:val="000000" w:themeColor="text1"/>
                <w:sz w:val="24"/>
                <w:szCs w:val="24"/>
                <w:vertAlign w:val="subscript"/>
              </w:rPr>
              <w:t>i</w:t>
            </w:r>
            <w:proofErr w:type="spellEnd"/>
            <w:r w:rsidRPr="00FC59B5">
              <w:rPr>
                <w:rFonts w:asciiTheme="majorBidi" w:hAnsiTheme="majorBidi" w:cstheme="majorBidi"/>
                <w:i/>
                <w:iCs/>
                <w:color w:val="000000" w:themeColor="text1"/>
                <w:sz w:val="24"/>
                <w:szCs w:val="24"/>
              </w:rPr>
              <w:t xml:space="preserve"> </w:t>
            </w:r>
            <w:r w:rsidRPr="00FC59B5">
              <w:rPr>
                <w:rFonts w:asciiTheme="majorBidi" w:hAnsiTheme="majorBidi" w:cstheme="majorBidi"/>
                <w:color w:val="000000" w:themeColor="text1"/>
                <w:sz w:val="24"/>
                <w:szCs w:val="24"/>
              </w:rPr>
              <w:t>+</w:t>
            </w:r>
            <w:r w:rsidRPr="00FC59B5">
              <w:rPr>
                <w:rFonts w:asciiTheme="majorBidi" w:hAnsiTheme="majorBidi" w:cstheme="majorBidi"/>
                <w:i/>
                <w:iCs/>
                <w:color w:val="000000" w:themeColor="text1"/>
                <w:sz w:val="24"/>
                <w:szCs w:val="24"/>
              </w:rPr>
              <w:t xml:space="preserve"> </w:t>
            </w:r>
            <w:proofErr w:type="spellStart"/>
            <w:r w:rsidRPr="00FC59B5">
              <w:rPr>
                <w:rFonts w:asciiTheme="majorBidi" w:hAnsiTheme="majorBidi" w:cstheme="majorBidi"/>
                <w:i/>
                <w:iCs/>
                <w:color w:val="000000" w:themeColor="text1"/>
                <w:sz w:val="24"/>
                <w:szCs w:val="24"/>
              </w:rPr>
              <w:t>ε</w:t>
            </w:r>
            <w:r w:rsidRPr="00FC59B5">
              <w:rPr>
                <w:rFonts w:asciiTheme="majorBidi" w:hAnsiTheme="majorBidi" w:cstheme="majorBidi"/>
                <w:i/>
                <w:iCs/>
                <w:color w:val="000000" w:themeColor="text1"/>
                <w:sz w:val="24"/>
                <w:szCs w:val="24"/>
                <w:vertAlign w:val="subscript"/>
              </w:rPr>
              <w:t>it</w:t>
            </w:r>
            <w:proofErr w:type="spellEnd"/>
          </w:p>
        </w:tc>
        <w:tc>
          <w:tcPr>
            <w:tcW w:w="786" w:type="dxa"/>
            <w:shd w:val="clear" w:color="auto" w:fill="auto"/>
            <w:textDirection w:val="btLr"/>
            <w:vAlign w:val="center"/>
          </w:tcPr>
          <w:p w14:paraId="0C8833C4" w14:textId="77777777" w:rsidR="00DE65A1" w:rsidRPr="00FC59B5" w:rsidRDefault="00DE65A1" w:rsidP="00DE65A1">
            <w:pPr>
              <w:spacing w:after="120" w:line="360" w:lineRule="auto"/>
              <w:ind w:left="113" w:right="113"/>
              <w:contextualSpacing/>
              <w:jc w:val="cente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Model 04 - RE</w:t>
            </w:r>
          </w:p>
        </w:tc>
      </w:tr>
      <w:tr w:rsidR="00553957" w:rsidRPr="00FC59B5" w14:paraId="26742E32" w14:textId="77777777" w:rsidTr="00DE65A1">
        <w:trPr>
          <w:cantSplit/>
          <w:trHeight w:val="1121"/>
        </w:trPr>
        <w:tc>
          <w:tcPr>
            <w:tcW w:w="8217" w:type="dxa"/>
            <w:shd w:val="clear" w:color="auto" w:fill="auto"/>
          </w:tcPr>
          <w:p w14:paraId="2C251DB1" w14:textId="77777777" w:rsidR="00DE65A1" w:rsidRPr="00FC59B5" w:rsidRDefault="00DE65A1" w:rsidP="00DE65A1">
            <w:pPr>
              <w:spacing w:after="120" w:line="360" w:lineRule="auto"/>
              <w:ind w:left="284"/>
              <w:contextualSpacing/>
              <w:jc w:val="both"/>
              <w:rPr>
                <w:rFonts w:asciiTheme="majorBidi" w:hAnsiTheme="majorBidi" w:cstheme="majorBidi"/>
                <w:color w:val="000000" w:themeColor="text1"/>
                <w:sz w:val="24"/>
                <w:szCs w:val="24"/>
              </w:rPr>
            </w:pPr>
          </w:p>
          <w:p w14:paraId="26F0D8A8" w14:textId="3C0631EC" w:rsidR="00DE65A1" w:rsidRPr="00FC59B5" w:rsidRDefault="00DE65A1" w:rsidP="00DE65A1">
            <w:pPr>
              <w:spacing w:after="120" w:line="360" w:lineRule="auto"/>
              <w:ind w:left="284"/>
              <w:contextualSpacing/>
              <w:jc w:val="both"/>
              <w:rPr>
                <w:rFonts w:asciiTheme="majorBidi" w:hAnsiTheme="majorBidi" w:cstheme="majorBidi"/>
                <w:i/>
                <w:iCs/>
                <w:color w:val="000000" w:themeColor="text1"/>
                <w:sz w:val="24"/>
                <w:szCs w:val="24"/>
                <w:vertAlign w:val="subscript"/>
              </w:rPr>
            </w:pPr>
            <w:r w:rsidRPr="00FC59B5">
              <w:rPr>
                <w:rFonts w:asciiTheme="majorBidi" w:hAnsiTheme="majorBidi" w:cstheme="majorBidi"/>
                <w:color w:val="000000" w:themeColor="text1"/>
                <w:sz w:val="24"/>
                <w:szCs w:val="24"/>
              </w:rPr>
              <w:t>CSR Negative Tone (LM</w:t>
            </w:r>
            <w:r w:rsidR="001F51ED" w:rsidRPr="00FC59B5">
              <w:rPr>
                <w:rFonts w:asciiTheme="majorBidi" w:hAnsiTheme="majorBidi" w:cstheme="majorBidi"/>
                <w:color w:val="000000" w:themeColor="text1"/>
                <w:sz w:val="24"/>
                <w:szCs w:val="24"/>
              </w:rPr>
              <w:t>11</w:t>
            </w:r>
            <w:r w:rsidRPr="00FC59B5">
              <w:rPr>
                <w:rFonts w:asciiTheme="majorBidi" w:hAnsiTheme="majorBidi" w:cstheme="majorBidi"/>
                <w:color w:val="000000" w:themeColor="text1"/>
                <w:sz w:val="24"/>
                <w:szCs w:val="24"/>
              </w:rPr>
              <w:t xml:space="preserv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 xml:space="preserve">0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1</w:t>
            </w:r>
            <w:r w:rsidRPr="00FC59B5">
              <w:rPr>
                <w:rFonts w:asciiTheme="majorBidi" w:hAnsiTheme="majorBidi" w:cstheme="majorBidi"/>
                <w:i/>
                <w:iCs/>
                <w:color w:val="000000" w:themeColor="text1"/>
                <w:sz w:val="24"/>
                <w:szCs w:val="24"/>
              </w:rPr>
              <w:t>*</w:t>
            </w:r>
            <w:proofErr w:type="spellStart"/>
            <w:r w:rsidRPr="00FC59B5">
              <w:rPr>
                <w:rFonts w:asciiTheme="majorBidi" w:hAnsiTheme="majorBidi" w:cstheme="majorBidi"/>
                <w:color w:val="000000" w:themeColor="text1"/>
                <w:sz w:val="24"/>
                <w:szCs w:val="24"/>
              </w:rPr>
              <w:t>Bsize</w:t>
            </w:r>
            <w:proofErr w:type="spellEnd"/>
            <w:r w:rsidRPr="00FC59B5">
              <w:rPr>
                <w:rFonts w:asciiTheme="majorBidi" w:hAnsiTheme="majorBidi" w:cstheme="majorBidi"/>
                <w:color w:val="000000" w:themeColor="text1"/>
                <w:sz w:val="24"/>
                <w:szCs w:val="24"/>
              </w:rPr>
              <w:t xml:space="preserv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2</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IND+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3</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Women%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4</w:t>
            </w:r>
            <w:r w:rsidRPr="00FC59B5">
              <w:rPr>
                <w:rFonts w:asciiTheme="majorBidi" w:hAnsiTheme="majorBidi" w:cstheme="majorBidi"/>
                <w:i/>
                <w:iCs/>
                <w:color w:val="000000" w:themeColor="text1"/>
                <w:sz w:val="24"/>
                <w:szCs w:val="24"/>
              </w:rPr>
              <w:t>*</w:t>
            </w:r>
            <w:proofErr w:type="spellStart"/>
            <w:r w:rsidRPr="00FC59B5">
              <w:rPr>
                <w:rFonts w:asciiTheme="majorBidi" w:hAnsiTheme="majorBidi" w:cstheme="majorBidi"/>
                <w:color w:val="000000" w:themeColor="text1"/>
                <w:sz w:val="24"/>
                <w:szCs w:val="24"/>
              </w:rPr>
              <w:t>ACsize</w:t>
            </w:r>
            <w:proofErr w:type="spellEnd"/>
            <w:r w:rsidRPr="00FC59B5">
              <w:rPr>
                <w:rFonts w:asciiTheme="majorBidi" w:hAnsiTheme="majorBidi" w:cstheme="majorBidi"/>
                <w:color w:val="000000" w:themeColor="text1"/>
                <w:sz w:val="24"/>
                <w:szCs w:val="24"/>
              </w:rPr>
              <w:t xml:space="preserv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5</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ESG-Score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6</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ROA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7</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Lev + </w:t>
            </w:r>
            <w:r w:rsidRPr="00FC59B5">
              <w:rPr>
                <w:rFonts w:asciiTheme="majorBidi" w:hAnsiTheme="majorBidi" w:cstheme="majorBidi"/>
                <w:color w:val="000000" w:themeColor="text1"/>
                <w:sz w:val="24"/>
                <w:szCs w:val="24"/>
              </w:rPr>
              <w:sym w:font="Symbol" w:char="F062"/>
            </w:r>
            <w:r w:rsidRPr="00FC59B5">
              <w:rPr>
                <w:rFonts w:asciiTheme="majorBidi" w:hAnsiTheme="majorBidi" w:cstheme="majorBidi"/>
                <w:color w:val="000000" w:themeColor="text1"/>
                <w:sz w:val="24"/>
                <w:szCs w:val="24"/>
              </w:rPr>
              <w:t>8</w:t>
            </w:r>
            <w:r w:rsidRPr="00FC59B5">
              <w:rPr>
                <w:rFonts w:asciiTheme="majorBidi" w:hAnsiTheme="majorBidi" w:cstheme="majorBidi"/>
                <w:i/>
                <w:iCs/>
                <w:color w:val="000000" w:themeColor="text1"/>
                <w:sz w:val="24"/>
                <w:szCs w:val="24"/>
              </w:rPr>
              <w:t>*</w:t>
            </w:r>
            <w:r w:rsidRPr="00FC59B5">
              <w:rPr>
                <w:rFonts w:asciiTheme="majorBidi" w:hAnsiTheme="majorBidi" w:cstheme="majorBidi"/>
                <w:color w:val="000000" w:themeColor="text1"/>
                <w:sz w:val="24"/>
                <w:szCs w:val="24"/>
              </w:rPr>
              <w:t xml:space="preserve"> </w:t>
            </w:r>
            <w:r w:rsidR="00970D65" w:rsidRPr="00FC59B5">
              <w:rPr>
                <w:rFonts w:asciiTheme="majorBidi" w:hAnsiTheme="majorBidi" w:cstheme="majorBidi"/>
                <w:color w:val="000000" w:themeColor="text1"/>
                <w:sz w:val="24"/>
                <w:szCs w:val="24"/>
              </w:rPr>
              <w:t>LN_TRNOVR</w:t>
            </w:r>
            <w:r w:rsidRPr="00FC59B5">
              <w:rPr>
                <w:rFonts w:asciiTheme="majorBidi" w:hAnsiTheme="majorBidi" w:cstheme="majorBidi"/>
                <w:color w:val="000000" w:themeColor="text1"/>
                <w:sz w:val="24"/>
                <w:szCs w:val="24"/>
              </w:rPr>
              <w:t xml:space="preserve">+ </w:t>
            </w:r>
            <w:r w:rsidRPr="00FC59B5">
              <w:rPr>
                <w:rFonts w:asciiTheme="majorBidi" w:hAnsiTheme="majorBidi" w:cstheme="majorBidi"/>
                <w:i/>
                <w:iCs/>
                <w:color w:val="000000" w:themeColor="text1"/>
                <w:sz w:val="24"/>
                <w:szCs w:val="24"/>
              </w:rPr>
              <w:t xml:space="preserve">α </w:t>
            </w:r>
            <w:r w:rsidRPr="00FC59B5">
              <w:rPr>
                <w:rFonts w:asciiTheme="majorBidi" w:hAnsiTheme="majorBidi" w:cstheme="majorBidi"/>
                <w:color w:val="000000" w:themeColor="text1"/>
                <w:sz w:val="24"/>
                <w:szCs w:val="24"/>
              </w:rPr>
              <w:t>+</w:t>
            </w:r>
            <w:r w:rsidRPr="00FC59B5">
              <w:rPr>
                <w:rFonts w:asciiTheme="majorBidi" w:hAnsiTheme="majorBidi" w:cstheme="majorBidi"/>
                <w:i/>
                <w:iCs/>
                <w:color w:val="000000" w:themeColor="text1"/>
                <w:sz w:val="24"/>
                <w:szCs w:val="24"/>
              </w:rPr>
              <w:t xml:space="preserve"> µ</w:t>
            </w:r>
            <w:proofErr w:type="spellStart"/>
            <w:r w:rsidRPr="00FC59B5">
              <w:rPr>
                <w:rFonts w:asciiTheme="majorBidi" w:hAnsiTheme="majorBidi" w:cstheme="majorBidi"/>
                <w:i/>
                <w:iCs/>
                <w:color w:val="000000" w:themeColor="text1"/>
                <w:sz w:val="24"/>
                <w:szCs w:val="24"/>
                <w:vertAlign w:val="subscript"/>
              </w:rPr>
              <w:t>i</w:t>
            </w:r>
            <w:proofErr w:type="spellEnd"/>
            <w:r w:rsidRPr="00FC59B5">
              <w:rPr>
                <w:rFonts w:asciiTheme="majorBidi" w:hAnsiTheme="majorBidi" w:cstheme="majorBidi"/>
                <w:i/>
                <w:iCs/>
                <w:color w:val="000000" w:themeColor="text1"/>
                <w:sz w:val="24"/>
                <w:szCs w:val="24"/>
              </w:rPr>
              <w:t xml:space="preserve"> </w:t>
            </w:r>
            <w:r w:rsidRPr="00FC59B5">
              <w:rPr>
                <w:rFonts w:asciiTheme="majorBidi" w:hAnsiTheme="majorBidi" w:cstheme="majorBidi"/>
                <w:color w:val="000000" w:themeColor="text1"/>
                <w:sz w:val="24"/>
                <w:szCs w:val="24"/>
              </w:rPr>
              <w:t>+</w:t>
            </w:r>
            <w:r w:rsidRPr="00FC59B5">
              <w:rPr>
                <w:rFonts w:asciiTheme="majorBidi" w:hAnsiTheme="majorBidi" w:cstheme="majorBidi"/>
                <w:i/>
                <w:iCs/>
                <w:color w:val="000000" w:themeColor="text1"/>
                <w:sz w:val="24"/>
                <w:szCs w:val="24"/>
              </w:rPr>
              <w:t xml:space="preserve"> </w:t>
            </w:r>
            <w:proofErr w:type="spellStart"/>
            <w:r w:rsidRPr="00FC59B5">
              <w:rPr>
                <w:rFonts w:asciiTheme="majorBidi" w:hAnsiTheme="majorBidi" w:cstheme="majorBidi"/>
                <w:i/>
                <w:iCs/>
                <w:color w:val="000000" w:themeColor="text1"/>
                <w:sz w:val="24"/>
                <w:szCs w:val="24"/>
              </w:rPr>
              <w:t>ε</w:t>
            </w:r>
            <w:r w:rsidRPr="00FC59B5">
              <w:rPr>
                <w:rFonts w:asciiTheme="majorBidi" w:hAnsiTheme="majorBidi" w:cstheme="majorBidi"/>
                <w:i/>
                <w:iCs/>
                <w:color w:val="000000" w:themeColor="text1"/>
                <w:sz w:val="24"/>
                <w:szCs w:val="24"/>
                <w:vertAlign w:val="subscript"/>
              </w:rPr>
              <w:t>it</w:t>
            </w:r>
            <w:proofErr w:type="spellEnd"/>
          </w:p>
        </w:tc>
        <w:tc>
          <w:tcPr>
            <w:tcW w:w="786" w:type="dxa"/>
            <w:shd w:val="clear" w:color="auto" w:fill="auto"/>
            <w:textDirection w:val="btLr"/>
            <w:vAlign w:val="center"/>
          </w:tcPr>
          <w:p w14:paraId="00B47835" w14:textId="77777777" w:rsidR="00DE65A1" w:rsidRPr="00FC59B5" w:rsidRDefault="00DE65A1" w:rsidP="00DE65A1">
            <w:pPr>
              <w:spacing w:after="120" w:line="360" w:lineRule="auto"/>
              <w:ind w:left="113" w:right="113"/>
              <w:contextualSpacing/>
              <w:jc w:val="cente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Model 05 - RE</w:t>
            </w:r>
          </w:p>
        </w:tc>
      </w:tr>
    </w:tbl>
    <w:p w14:paraId="65E6F9EC" w14:textId="77777777" w:rsidR="009736DB" w:rsidRPr="00FC59B5" w:rsidRDefault="009736DB" w:rsidP="00380F9B">
      <w:pPr>
        <w:tabs>
          <w:tab w:val="left" w:pos="1083"/>
        </w:tabs>
        <w:spacing w:after="120" w:line="360" w:lineRule="auto"/>
        <w:contextualSpacing/>
        <w:jc w:val="both"/>
        <w:rPr>
          <w:rFonts w:asciiTheme="majorBidi" w:hAnsiTheme="majorBidi" w:cstheme="majorBidi"/>
          <w:color w:val="000000" w:themeColor="text1"/>
          <w:sz w:val="24"/>
          <w:szCs w:val="24"/>
        </w:rPr>
      </w:pPr>
    </w:p>
    <w:p w14:paraId="2BF89044" w14:textId="1609BA83" w:rsidR="009736DB" w:rsidRPr="00FC59B5" w:rsidRDefault="00745CF4" w:rsidP="00380F9B">
      <w:pPr>
        <w:spacing w:after="120" w:line="360" w:lineRule="auto"/>
        <w:ind w:firstLine="720"/>
        <w:contextualSpacing/>
        <w:jc w:val="center"/>
        <w:rPr>
          <w:rFonts w:asciiTheme="majorBidi" w:hAnsiTheme="majorBidi" w:cstheme="majorBidi"/>
          <w:color w:val="000000" w:themeColor="text1"/>
          <w:sz w:val="24"/>
          <w:szCs w:val="24"/>
        </w:rPr>
      </w:pPr>
      <w:r w:rsidRPr="00FC59B5">
        <w:rPr>
          <w:rFonts w:ascii="Times New Roman" w:hAnsi="Times New Roman" w:cs="Times New Roman"/>
          <w:color w:val="000000" w:themeColor="text1"/>
          <w:sz w:val="28"/>
          <w:szCs w:val="28"/>
        </w:rPr>
        <w:t>Insert Table 1</w:t>
      </w:r>
    </w:p>
    <w:p w14:paraId="0E44E1D3" w14:textId="77777777" w:rsidR="002D154D" w:rsidRPr="00FC59B5" w:rsidRDefault="002D154D" w:rsidP="002D154D">
      <w:pPr>
        <w:spacing w:after="120" w:line="360" w:lineRule="auto"/>
        <w:contextualSpacing/>
        <w:rPr>
          <w:rFonts w:asciiTheme="majorBidi" w:hAnsiTheme="majorBidi" w:cstheme="majorBidi"/>
          <w:color w:val="000000" w:themeColor="text1"/>
          <w:sz w:val="24"/>
          <w:szCs w:val="24"/>
        </w:rPr>
      </w:pPr>
    </w:p>
    <w:p w14:paraId="17179F88" w14:textId="77777777" w:rsidR="00B75ACB" w:rsidRPr="00FC59B5" w:rsidRDefault="00B75ACB" w:rsidP="00DB5EC8">
      <w:pPr>
        <w:pStyle w:val="Heading1"/>
        <w:numPr>
          <w:ilvl w:val="0"/>
          <w:numId w:val="6"/>
        </w:numP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Empirical results</w:t>
      </w:r>
    </w:p>
    <w:p w14:paraId="004FE1C7" w14:textId="3231E6E6" w:rsidR="00A009B9" w:rsidRPr="00FC59B5" w:rsidRDefault="003F204E" w:rsidP="00380F9B">
      <w:pPr>
        <w:spacing w:after="120" w:line="360" w:lineRule="auto"/>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As discussed in the methodology, several regression models were run to investigate the impact of various corporate governance variables and ESG disclosure score on different measures of CSR Tone within FTSE100 companies. </w:t>
      </w:r>
      <w:r w:rsidR="00310D04" w:rsidRPr="00FC59B5">
        <w:rPr>
          <w:rFonts w:asciiTheme="majorBidi" w:hAnsiTheme="majorBidi" w:cstheme="majorBidi"/>
          <w:color w:val="000000" w:themeColor="text1"/>
          <w:sz w:val="24"/>
          <w:szCs w:val="24"/>
        </w:rPr>
        <w:t>Table</w:t>
      </w:r>
      <w:r w:rsidR="00107083" w:rsidRPr="00FC59B5">
        <w:rPr>
          <w:rFonts w:asciiTheme="majorBidi" w:hAnsiTheme="majorBidi" w:cstheme="majorBidi"/>
          <w:sz w:val="24"/>
          <w:szCs w:val="24"/>
        </w:rPr>
        <w:t xml:space="preserve"> </w:t>
      </w:r>
      <w:r w:rsidR="00F73680" w:rsidRPr="00FC59B5">
        <w:rPr>
          <w:rFonts w:asciiTheme="majorBidi" w:hAnsiTheme="majorBidi" w:cstheme="majorBidi"/>
          <w:sz w:val="24"/>
          <w:szCs w:val="24"/>
        </w:rPr>
        <w:t>2</w:t>
      </w:r>
      <w:r w:rsidR="00107083" w:rsidRPr="00FC59B5">
        <w:rPr>
          <w:rFonts w:asciiTheme="majorBidi" w:hAnsiTheme="majorBidi" w:cstheme="majorBidi"/>
          <w:color w:val="000000" w:themeColor="text1"/>
          <w:sz w:val="24"/>
          <w:szCs w:val="24"/>
        </w:rPr>
        <w:t xml:space="preserve"> </w:t>
      </w:r>
      <w:r w:rsidR="00310D04" w:rsidRPr="00FC59B5">
        <w:rPr>
          <w:rFonts w:asciiTheme="majorBidi" w:hAnsiTheme="majorBidi" w:cstheme="majorBidi"/>
          <w:color w:val="000000" w:themeColor="text1"/>
          <w:sz w:val="24"/>
          <w:szCs w:val="24"/>
        </w:rPr>
        <w:t>provides the descriptive statistics</w:t>
      </w:r>
      <w:r w:rsidR="008B4760" w:rsidRPr="00FC59B5">
        <w:rPr>
          <w:rFonts w:asciiTheme="majorBidi" w:hAnsiTheme="majorBidi" w:cstheme="majorBidi"/>
          <w:color w:val="000000" w:themeColor="text1"/>
          <w:sz w:val="24"/>
          <w:szCs w:val="24"/>
        </w:rPr>
        <w:t xml:space="preserve">. </w:t>
      </w:r>
      <w:r w:rsidR="00B60C6F" w:rsidRPr="00FC59B5">
        <w:rPr>
          <w:rFonts w:asciiTheme="majorBidi" w:hAnsiTheme="majorBidi" w:cstheme="majorBidi"/>
          <w:color w:val="000000" w:themeColor="text1"/>
          <w:sz w:val="24"/>
          <w:szCs w:val="24"/>
        </w:rPr>
        <w:t>The table shows that the</w:t>
      </w:r>
      <w:r w:rsidR="00310D04" w:rsidRPr="00FC59B5">
        <w:rPr>
          <w:rFonts w:asciiTheme="majorBidi" w:hAnsiTheme="majorBidi" w:cstheme="majorBidi"/>
          <w:color w:val="000000" w:themeColor="text1"/>
          <w:sz w:val="24"/>
          <w:szCs w:val="24"/>
        </w:rPr>
        <w:t xml:space="preserve"> mean net tone of CSR using</w:t>
      </w:r>
      <w:r w:rsidR="00B60C6F" w:rsidRPr="00FC59B5">
        <w:rPr>
          <w:rFonts w:asciiTheme="majorBidi" w:hAnsiTheme="majorBidi" w:cstheme="majorBidi"/>
          <w:color w:val="000000" w:themeColor="text1"/>
          <w:sz w:val="24"/>
          <w:szCs w:val="24"/>
        </w:rPr>
        <w:t xml:space="preserve"> both Loughran and </w:t>
      </w:r>
      <w:proofErr w:type="spellStart"/>
      <w:r w:rsidR="00B60C6F" w:rsidRPr="00FC59B5">
        <w:rPr>
          <w:rFonts w:asciiTheme="majorBidi" w:hAnsiTheme="majorBidi" w:cstheme="majorBidi"/>
          <w:color w:val="000000" w:themeColor="text1"/>
          <w:sz w:val="24"/>
          <w:szCs w:val="24"/>
        </w:rPr>
        <w:t>Mcdonald</w:t>
      </w:r>
      <w:proofErr w:type="spellEnd"/>
      <w:r w:rsidR="00B60C6F" w:rsidRPr="00FC59B5">
        <w:rPr>
          <w:rFonts w:asciiTheme="majorBidi" w:hAnsiTheme="majorBidi" w:cstheme="majorBidi"/>
          <w:color w:val="000000" w:themeColor="text1"/>
          <w:sz w:val="24"/>
          <w:szCs w:val="24"/>
        </w:rPr>
        <w:t xml:space="preserve"> (2011) and Henry (2008) measurements are 0.21, 0.56 respectively. Further, the mean for positive tone according to LM 2011 wordlist is 0.61 and the mean for negative tone is -0.39. The mean ESG disclosure score for the sample is 41% which reflect</w:t>
      </w:r>
      <w:r w:rsidR="001C7025" w:rsidRPr="00FC59B5">
        <w:rPr>
          <w:rFonts w:asciiTheme="majorBidi" w:hAnsiTheme="majorBidi" w:cstheme="majorBidi"/>
          <w:color w:val="000000" w:themeColor="text1"/>
          <w:sz w:val="24"/>
          <w:szCs w:val="24"/>
        </w:rPr>
        <w:t>s</w:t>
      </w:r>
      <w:r w:rsidR="00B60C6F" w:rsidRPr="00FC59B5">
        <w:rPr>
          <w:rFonts w:asciiTheme="majorBidi" w:hAnsiTheme="majorBidi" w:cstheme="majorBidi"/>
          <w:color w:val="000000" w:themeColor="text1"/>
          <w:sz w:val="24"/>
          <w:szCs w:val="24"/>
        </w:rPr>
        <w:t xml:space="preserve"> that many firms don’t provide high ESG information. In addition to this, the results clearly show that no company fully obtained an overall score of more than 70% according to the ESG score from Bloomberg.</w:t>
      </w:r>
    </w:p>
    <w:p w14:paraId="3F73D009" w14:textId="77777777" w:rsidR="002D154D" w:rsidRPr="00FC59B5" w:rsidRDefault="002D154D" w:rsidP="00380F9B">
      <w:pPr>
        <w:spacing w:after="120" w:line="360" w:lineRule="auto"/>
        <w:jc w:val="both"/>
        <w:rPr>
          <w:rFonts w:asciiTheme="majorBidi" w:hAnsiTheme="majorBidi" w:cstheme="majorBidi"/>
          <w:color w:val="000000" w:themeColor="text1"/>
          <w:sz w:val="24"/>
          <w:szCs w:val="24"/>
        </w:rPr>
      </w:pPr>
    </w:p>
    <w:p w14:paraId="03B4F894" w14:textId="5900B1E0" w:rsidR="00745CF4" w:rsidRPr="00FC59B5" w:rsidRDefault="00745CF4" w:rsidP="00380F9B">
      <w:pPr>
        <w:spacing w:after="120" w:line="360" w:lineRule="auto"/>
        <w:ind w:firstLine="720"/>
        <w:contextualSpacing/>
        <w:jc w:val="center"/>
        <w:rPr>
          <w:rFonts w:ascii="Times New Roman" w:hAnsi="Times New Roman" w:cs="Times New Roman"/>
          <w:color w:val="000000" w:themeColor="text1"/>
          <w:sz w:val="28"/>
          <w:szCs w:val="28"/>
        </w:rPr>
      </w:pPr>
      <w:r w:rsidRPr="00FC59B5">
        <w:rPr>
          <w:rFonts w:ascii="Times New Roman" w:hAnsi="Times New Roman" w:cs="Times New Roman"/>
          <w:color w:val="000000" w:themeColor="text1"/>
          <w:sz w:val="28"/>
          <w:szCs w:val="28"/>
        </w:rPr>
        <w:t>Insert Table 2</w:t>
      </w:r>
    </w:p>
    <w:p w14:paraId="0AB4B898" w14:textId="77777777" w:rsidR="002D154D" w:rsidRPr="00FC59B5" w:rsidRDefault="002D154D" w:rsidP="002D154D">
      <w:pPr>
        <w:spacing w:after="120" w:line="360" w:lineRule="auto"/>
        <w:contextualSpacing/>
        <w:rPr>
          <w:rFonts w:asciiTheme="majorBidi" w:hAnsiTheme="majorBidi" w:cstheme="majorBidi"/>
          <w:color w:val="000000" w:themeColor="text1"/>
          <w:sz w:val="24"/>
          <w:szCs w:val="24"/>
        </w:rPr>
      </w:pPr>
    </w:p>
    <w:p w14:paraId="62207359" w14:textId="28F348BB" w:rsidR="00472230" w:rsidRPr="00FC59B5" w:rsidRDefault="00A610DE" w:rsidP="00486D2E">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Table</w:t>
      </w:r>
      <w:r w:rsidR="00107083" w:rsidRPr="00FC59B5">
        <w:rPr>
          <w:rFonts w:asciiTheme="majorBidi" w:hAnsiTheme="majorBidi" w:cstheme="majorBidi"/>
          <w:sz w:val="24"/>
          <w:szCs w:val="24"/>
        </w:rPr>
        <w:t xml:space="preserve"> </w:t>
      </w:r>
      <w:r w:rsidR="00F73680" w:rsidRPr="00FC59B5">
        <w:rPr>
          <w:rFonts w:asciiTheme="majorBidi" w:hAnsiTheme="majorBidi" w:cstheme="majorBidi"/>
          <w:sz w:val="24"/>
          <w:szCs w:val="24"/>
        </w:rPr>
        <w:t>3</w:t>
      </w:r>
      <w:r w:rsidR="00107083" w:rsidRPr="00FC59B5">
        <w:rPr>
          <w:rFonts w:asciiTheme="majorBidi" w:hAnsiTheme="majorBidi" w:cstheme="majorBidi"/>
          <w:sz w:val="24"/>
          <w:szCs w:val="24"/>
        </w:rPr>
        <w:t xml:space="preserve"> </w:t>
      </w:r>
      <w:r w:rsidRPr="00FC59B5">
        <w:rPr>
          <w:rFonts w:asciiTheme="majorBidi" w:hAnsiTheme="majorBidi" w:cstheme="majorBidi"/>
          <w:color w:val="000000" w:themeColor="text1"/>
          <w:sz w:val="24"/>
          <w:szCs w:val="24"/>
        </w:rPr>
        <w:t>shows the results for robustness tests (multicollinearity, heteroscedasticity</w:t>
      </w:r>
      <w:r w:rsidR="001C7025"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and serial correlation) that </w:t>
      </w:r>
      <w:proofErr w:type="gramStart"/>
      <w:r w:rsidRPr="00FC59B5">
        <w:rPr>
          <w:rFonts w:asciiTheme="majorBidi" w:hAnsiTheme="majorBidi" w:cstheme="majorBidi"/>
          <w:color w:val="000000" w:themeColor="text1"/>
          <w:sz w:val="24"/>
          <w:szCs w:val="24"/>
        </w:rPr>
        <w:t>have to</w:t>
      </w:r>
      <w:proofErr w:type="gramEnd"/>
      <w:r w:rsidRPr="00FC59B5">
        <w:rPr>
          <w:rFonts w:asciiTheme="majorBidi" w:hAnsiTheme="majorBidi" w:cstheme="majorBidi"/>
          <w:color w:val="000000" w:themeColor="text1"/>
          <w:sz w:val="24"/>
          <w:szCs w:val="24"/>
        </w:rPr>
        <w:t xml:space="preserve"> be carried out to identify potential endogenous issues and to make sure that proposed models are robust and appropriate to investigate the intended relationships.</w:t>
      </w:r>
      <w:r w:rsidR="00486D2E" w:rsidRPr="00FC59B5">
        <w:rPr>
          <w:rFonts w:asciiTheme="majorBidi" w:hAnsiTheme="majorBidi" w:cstheme="majorBidi"/>
          <w:color w:val="000000" w:themeColor="text1"/>
          <w:sz w:val="24"/>
          <w:szCs w:val="24"/>
        </w:rPr>
        <w:t xml:space="preserve"> </w:t>
      </w:r>
      <w:r w:rsidR="00306CCF" w:rsidRPr="00FC59B5">
        <w:rPr>
          <w:rFonts w:asciiTheme="majorBidi" w:hAnsiTheme="majorBidi" w:cstheme="majorBidi"/>
          <w:color w:val="000000" w:themeColor="text1"/>
          <w:sz w:val="24"/>
          <w:szCs w:val="24"/>
        </w:rPr>
        <w:t xml:space="preserve">It can be seen from </w:t>
      </w:r>
      <w:r w:rsidR="001C7025" w:rsidRPr="00FC59B5">
        <w:rPr>
          <w:rFonts w:asciiTheme="majorBidi" w:hAnsiTheme="majorBidi" w:cstheme="majorBidi"/>
          <w:color w:val="000000" w:themeColor="text1"/>
          <w:sz w:val="24"/>
          <w:szCs w:val="24"/>
        </w:rPr>
        <w:t xml:space="preserve">Table </w:t>
      </w:r>
      <w:r w:rsidR="00F73680" w:rsidRPr="00FC59B5">
        <w:rPr>
          <w:rFonts w:asciiTheme="majorBidi" w:hAnsiTheme="majorBidi" w:cstheme="majorBidi"/>
          <w:color w:val="000000" w:themeColor="text1"/>
          <w:sz w:val="24"/>
          <w:szCs w:val="24"/>
        </w:rPr>
        <w:t>3</w:t>
      </w:r>
      <w:r w:rsidR="00306CCF" w:rsidRPr="00FC59B5">
        <w:rPr>
          <w:rFonts w:asciiTheme="majorBidi" w:hAnsiTheme="majorBidi" w:cstheme="majorBidi"/>
          <w:color w:val="000000" w:themeColor="text1"/>
          <w:sz w:val="24"/>
          <w:szCs w:val="24"/>
        </w:rPr>
        <w:t xml:space="preserve"> that the variance inflation factor (VIF) test shows that there is no Multicollinearity problem because the VIF results of all regression models are less than 10 (Wooldridge 2002)</w:t>
      </w:r>
      <w:r w:rsidRPr="00FC59B5">
        <w:rPr>
          <w:rFonts w:asciiTheme="majorBidi" w:hAnsiTheme="majorBidi" w:cstheme="majorBidi"/>
          <w:color w:val="000000" w:themeColor="text1"/>
          <w:sz w:val="24"/>
          <w:szCs w:val="24"/>
        </w:rPr>
        <w:t xml:space="preserve">. Heteroskedasticity was also tested in this study, as it can invalidate statistical tests of significance that assume that the modelling errors are uncorrelated and uniform, and that their variances do not vary with the effects being modelled </w:t>
      </w:r>
      <w:r w:rsidRPr="00FC59B5">
        <w:rPr>
          <w:rFonts w:asciiTheme="majorBidi" w:hAnsiTheme="majorBidi" w:cstheme="majorBidi"/>
          <w:color w:val="000000" w:themeColor="text1"/>
          <w:sz w:val="24"/>
          <w:szCs w:val="24"/>
        </w:rPr>
        <w:fldChar w:fldCharType="begin"/>
      </w:r>
      <w:r w:rsidRPr="00FC59B5">
        <w:rPr>
          <w:rFonts w:asciiTheme="majorBidi" w:hAnsiTheme="majorBidi" w:cstheme="majorBidi"/>
          <w:color w:val="000000" w:themeColor="text1"/>
          <w:sz w:val="24"/>
          <w:szCs w:val="24"/>
        </w:rPr>
        <w:instrText xml:space="preserve"> ADDIN EN.CITE &lt;EndNote&gt;&lt;Cite AuthorYear="1"&gt;&lt;Author&gt;Johnston&lt;/Author&gt;&lt;Year&gt;1972&lt;/Year&gt;&lt;RecNum&gt;2280&lt;/RecNum&gt;&lt;DisplayText&gt;Johnston (1972)&lt;/DisplayText&gt;&lt;record&gt;&lt;rec-number&gt;2280&lt;/rec-number&gt;&lt;foreign-keys&gt;&lt;key app="EN" db-id="f2pzptt24wzv94edf05vst9kasvvf0r59w2d" timestamp="1491554537"&gt;2280&lt;/key&gt;&lt;/foreign-keys&gt;&lt;ref-type name="Book"&gt;6&lt;/ref-type&gt;&lt;contributors&gt;&lt;authors&gt;&lt;author&gt;John Johnston&lt;/author&gt;&lt;/authors&gt;&lt;/contributors&gt;&lt;titles&gt;&lt;title&gt;Econometric Methods&lt;/title&gt;&lt;/titles&gt;&lt;section&gt;214-221&lt;/section&gt;&lt;dates&gt;&lt;year&gt;1972&lt;/year&gt;&lt;/dates&gt;&lt;pub-location&gt;New York&lt;/pub-location&gt;&lt;publisher&gt;McGraw-Hill&lt;/publisher&gt;&lt;urls&gt;&lt;/urls&gt;&lt;/record&gt;&lt;/Cite&gt;&lt;/EndNote&gt;</w:instrText>
      </w:r>
      <w:r w:rsidRPr="00FC59B5">
        <w:rPr>
          <w:rFonts w:asciiTheme="majorBidi" w:hAnsiTheme="majorBidi" w:cstheme="majorBidi"/>
          <w:color w:val="000000" w:themeColor="text1"/>
          <w:sz w:val="24"/>
          <w:szCs w:val="24"/>
        </w:rPr>
        <w:fldChar w:fldCharType="separate"/>
      </w:r>
      <w:r w:rsidRPr="00FC59B5">
        <w:rPr>
          <w:rFonts w:asciiTheme="majorBidi" w:hAnsiTheme="majorBidi" w:cstheme="majorBidi"/>
          <w:color w:val="000000" w:themeColor="text1"/>
          <w:sz w:val="24"/>
          <w:szCs w:val="24"/>
        </w:rPr>
        <w:t>Johnston (1972)</w:t>
      </w:r>
      <w:r w:rsidRPr="00FC59B5">
        <w:rPr>
          <w:rFonts w:asciiTheme="majorBidi" w:hAnsiTheme="majorBidi" w:cstheme="majorBidi"/>
          <w:color w:val="000000" w:themeColor="text1"/>
          <w:sz w:val="24"/>
          <w:szCs w:val="24"/>
        </w:rPr>
        <w:fldChar w:fldCharType="end"/>
      </w:r>
      <w:r w:rsidRPr="00FC59B5">
        <w:rPr>
          <w:rFonts w:asciiTheme="majorBidi" w:hAnsiTheme="majorBidi" w:cstheme="majorBidi"/>
          <w:color w:val="000000" w:themeColor="text1"/>
          <w:sz w:val="24"/>
          <w:szCs w:val="24"/>
        </w:rPr>
        <w:t>. The table shows the results of the Modified Wald Test for Groupwise Heteroscedasticity indicating that a heteroscedasticity issue exist</w:t>
      </w:r>
      <w:r w:rsidR="001C7025" w:rsidRPr="00FC59B5">
        <w:rPr>
          <w:rFonts w:asciiTheme="majorBidi" w:hAnsiTheme="majorBidi" w:cstheme="majorBidi"/>
          <w:color w:val="000000" w:themeColor="text1"/>
          <w:sz w:val="24"/>
          <w:szCs w:val="24"/>
        </w:rPr>
        <w:t>s</w:t>
      </w:r>
      <w:r w:rsidRPr="00FC59B5">
        <w:rPr>
          <w:rFonts w:asciiTheme="majorBidi" w:hAnsiTheme="majorBidi" w:cstheme="majorBidi"/>
          <w:color w:val="000000" w:themeColor="text1"/>
          <w:sz w:val="24"/>
          <w:szCs w:val="24"/>
        </w:rPr>
        <w:t xml:space="preserve"> among the second and third models. Finally, serial correlation, or autocorrelation, in linear panel-data models can bias the standard errors and cause the results to be less efficient </w:t>
      </w:r>
      <w:r w:rsidRPr="00FC59B5">
        <w:rPr>
          <w:rFonts w:asciiTheme="majorBidi" w:hAnsiTheme="majorBidi" w:cstheme="majorBidi"/>
          <w:color w:val="000000" w:themeColor="text1"/>
          <w:sz w:val="24"/>
          <w:szCs w:val="24"/>
        </w:rPr>
        <w:fldChar w:fldCharType="begin"/>
      </w:r>
      <w:r w:rsidRPr="00FC59B5">
        <w:rPr>
          <w:rFonts w:asciiTheme="majorBidi" w:hAnsiTheme="majorBidi" w:cstheme="majorBidi"/>
          <w:color w:val="000000" w:themeColor="text1"/>
          <w:sz w:val="24"/>
          <w:szCs w:val="24"/>
        </w:rPr>
        <w:instrText xml:space="preserve"> ADDIN EN.CITE &lt;EndNote&gt;&lt;Cite&gt;&lt;Author&gt;Drukker&lt;/Author&gt;&lt;Year&gt;2003&lt;/Year&gt;&lt;RecNum&gt;2328&lt;/RecNum&gt;&lt;DisplayText&gt;(Drukker 2003)&lt;/DisplayText&gt;&lt;record&gt;&lt;rec-number&gt;2328&lt;/rec-number&gt;&lt;foreign-keys&gt;&lt;key app="EN" db-id="f2pzptt24wzv94edf05vst9kasvvf0r59w2d" timestamp="1491554537"&gt;2328&lt;/key&gt;&lt;/foreign-keys&gt;&lt;ref-type name="Journal Article"&gt;17&lt;/ref-type&gt;&lt;contributors&gt;&lt;authors&gt;&lt;author&gt;David M. Drukker&lt;/author&gt;&lt;/authors&gt;&lt;/contributors&gt;&lt;titles&gt;&lt;title&gt;Testing for Serial Correlation in Linear Panel-Data Models&lt;/title&gt;&lt;secondary-title&gt;The Stata Journal&lt;/secondary-title&gt;&lt;/titles&gt;&lt;periodical&gt;&lt;full-title&gt;The Stata Journal&lt;/full-title&gt;&lt;/periodical&gt;&lt;pages&gt;168-177&lt;/pages&gt;&lt;volume&gt;3&lt;/volume&gt;&lt;number&gt;2&lt;/number&gt;&lt;dates&gt;&lt;year&gt;2003&lt;/year&gt;&lt;/dates&gt;&lt;urls&gt;&lt;/urls&gt;&lt;/record&gt;&lt;/Cite&gt;&lt;/EndNote&gt;</w:instrText>
      </w:r>
      <w:r w:rsidRPr="00FC59B5">
        <w:rPr>
          <w:rFonts w:asciiTheme="majorBidi" w:hAnsiTheme="majorBidi" w:cstheme="majorBidi"/>
          <w:color w:val="000000" w:themeColor="text1"/>
          <w:sz w:val="24"/>
          <w:szCs w:val="24"/>
        </w:rPr>
        <w:fldChar w:fldCharType="separate"/>
      </w:r>
      <w:r w:rsidRPr="00FC59B5">
        <w:rPr>
          <w:rFonts w:asciiTheme="majorBidi" w:hAnsiTheme="majorBidi" w:cstheme="majorBidi"/>
          <w:color w:val="000000" w:themeColor="text1"/>
          <w:sz w:val="24"/>
          <w:szCs w:val="24"/>
        </w:rPr>
        <w:t>(</w:t>
      </w:r>
      <w:proofErr w:type="spellStart"/>
      <w:r w:rsidRPr="00FC59B5">
        <w:rPr>
          <w:rFonts w:asciiTheme="majorBidi" w:hAnsiTheme="majorBidi" w:cstheme="majorBidi"/>
          <w:color w:val="000000" w:themeColor="text1"/>
          <w:sz w:val="24"/>
          <w:szCs w:val="24"/>
        </w:rPr>
        <w:t>Drukker</w:t>
      </w:r>
      <w:proofErr w:type="spellEnd"/>
      <w:r w:rsidRPr="00FC59B5">
        <w:rPr>
          <w:rFonts w:asciiTheme="majorBidi" w:hAnsiTheme="majorBidi" w:cstheme="majorBidi"/>
          <w:color w:val="000000" w:themeColor="text1"/>
          <w:sz w:val="24"/>
          <w:szCs w:val="24"/>
        </w:rPr>
        <w:t xml:space="preserve"> 2003)</w:t>
      </w:r>
      <w:r w:rsidRPr="00FC59B5">
        <w:rPr>
          <w:rFonts w:asciiTheme="majorBidi" w:hAnsiTheme="majorBidi" w:cstheme="majorBidi"/>
          <w:color w:val="000000" w:themeColor="text1"/>
          <w:sz w:val="24"/>
          <w:szCs w:val="24"/>
        </w:rPr>
        <w:fldChar w:fldCharType="end"/>
      </w:r>
      <w:r w:rsidRPr="00FC59B5">
        <w:rPr>
          <w:rFonts w:asciiTheme="majorBidi" w:hAnsiTheme="majorBidi" w:cstheme="majorBidi"/>
          <w:color w:val="000000" w:themeColor="text1"/>
          <w:sz w:val="24"/>
          <w:szCs w:val="24"/>
        </w:rPr>
        <w:t xml:space="preserve">. Therefore, the </w:t>
      </w:r>
      <w:r w:rsidRPr="00FC59B5">
        <w:rPr>
          <w:rFonts w:asciiTheme="majorBidi" w:hAnsiTheme="majorBidi" w:cstheme="majorBidi"/>
          <w:color w:val="000000" w:themeColor="text1"/>
          <w:sz w:val="24"/>
          <w:szCs w:val="24"/>
        </w:rPr>
        <w:lastRenderedPageBreak/>
        <w:t xml:space="preserve">Wooldridge Test for Autocorrelation in Panel Data was used which shows that variables are serially correlated in all regression models, except the second and third models. Therefore, clustered standard errors have been obtained for all five regression models to adjust for both heteroscedasticity and autocorrelation </w:t>
      </w:r>
      <w:r w:rsidRPr="00FC59B5">
        <w:rPr>
          <w:rFonts w:asciiTheme="majorBidi" w:hAnsiTheme="majorBidi" w:cstheme="majorBidi"/>
          <w:color w:val="000000" w:themeColor="text1"/>
          <w:sz w:val="24"/>
          <w:szCs w:val="24"/>
        </w:rPr>
        <w:fldChar w:fldCharType="begin">
          <w:fldData xml:space="preserve">PEVuZE5vdGU+PENpdGU+PEF1dGhvcj5EcnVra2VyPC9BdXRob3I+PFllYXI+MjAwMzwvWWVhcj48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</w:fldData>
        </w:fldChar>
      </w:r>
      <w:r w:rsidRPr="00FC59B5">
        <w:rPr>
          <w:rFonts w:asciiTheme="majorBidi" w:hAnsiTheme="majorBidi" w:cstheme="majorBidi"/>
          <w:color w:val="000000" w:themeColor="text1"/>
          <w:sz w:val="24"/>
          <w:szCs w:val="24"/>
        </w:rPr>
        <w:instrText xml:space="preserve"> ADDIN EN.CITE </w:instrText>
      </w:r>
      <w:r w:rsidRPr="00FC59B5">
        <w:rPr>
          <w:rFonts w:asciiTheme="majorBidi" w:hAnsiTheme="majorBidi" w:cstheme="majorBidi"/>
          <w:color w:val="000000" w:themeColor="text1"/>
          <w:sz w:val="24"/>
          <w:szCs w:val="24"/>
        </w:rPr>
        <w:fldChar w:fldCharType="begin">
          <w:fldData xml:space="preserve">PEVuZE5vdGU+PENpdGU+PEF1dGhvcj5EcnVra2VyPC9BdXRob3I+PFllYXI+MjAwMzwvWWVhcj48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</w:fldData>
        </w:fldChar>
      </w:r>
      <w:r w:rsidRPr="00FC59B5">
        <w:rPr>
          <w:rFonts w:asciiTheme="majorBidi" w:hAnsiTheme="majorBidi" w:cstheme="majorBidi"/>
          <w:color w:val="000000" w:themeColor="text1"/>
          <w:sz w:val="24"/>
          <w:szCs w:val="24"/>
        </w:rPr>
        <w:instrText xml:space="preserve"> ADDIN EN.CITE.DATA </w:instrText>
      </w:r>
      <w:r w:rsidRPr="00FC59B5">
        <w:rPr>
          <w:rFonts w:asciiTheme="majorBidi" w:hAnsiTheme="majorBidi" w:cstheme="majorBidi"/>
          <w:color w:val="000000" w:themeColor="text1"/>
          <w:sz w:val="24"/>
          <w:szCs w:val="24"/>
        </w:rPr>
      </w:r>
      <w:r w:rsidRPr="00FC59B5">
        <w:rPr>
          <w:rFonts w:asciiTheme="majorBidi" w:hAnsiTheme="majorBidi" w:cstheme="majorBidi"/>
          <w:color w:val="000000" w:themeColor="text1"/>
          <w:sz w:val="24"/>
          <w:szCs w:val="24"/>
        </w:rPr>
        <w:fldChar w:fldCharType="end"/>
      </w:r>
      <w:r w:rsidRPr="00FC59B5">
        <w:rPr>
          <w:rFonts w:asciiTheme="majorBidi" w:hAnsiTheme="majorBidi" w:cstheme="majorBidi"/>
          <w:color w:val="000000" w:themeColor="text1"/>
          <w:sz w:val="24"/>
          <w:szCs w:val="24"/>
        </w:rPr>
      </w:r>
      <w:r w:rsidRPr="00FC59B5">
        <w:rPr>
          <w:rFonts w:asciiTheme="majorBidi" w:hAnsiTheme="majorBidi" w:cstheme="majorBidi"/>
          <w:color w:val="000000" w:themeColor="text1"/>
          <w:sz w:val="24"/>
          <w:szCs w:val="24"/>
        </w:rPr>
        <w:fldChar w:fldCharType="separate"/>
      </w:r>
      <w:r w:rsidRPr="00FC59B5">
        <w:rPr>
          <w:rFonts w:asciiTheme="majorBidi" w:hAnsiTheme="majorBidi" w:cstheme="majorBidi"/>
          <w:color w:val="000000" w:themeColor="text1"/>
          <w:sz w:val="24"/>
          <w:szCs w:val="24"/>
        </w:rPr>
        <w:t>(</w:t>
      </w:r>
      <w:proofErr w:type="spellStart"/>
      <w:r w:rsidRPr="00FC59B5">
        <w:rPr>
          <w:rFonts w:asciiTheme="majorBidi" w:hAnsiTheme="majorBidi" w:cstheme="majorBidi"/>
          <w:color w:val="000000" w:themeColor="text1"/>
          <w:sz w:val="24"/>
          <w:szCs w:val="24"/>
        </w:rPr>
        <w:t>Drukker</w:t>
      </w:r>
      <w:proofErr w:type="spellEnd"/>
      <w:r w:rsidRPr="00FC59B5">
        <w:rPr>
          <w:rFonts w:asciiTheme="majorBidi" w:hAnsiTheme="majorBidi" w:cstheme="majorBidi"/>
          <w:color w:val="000000" w:themeColor="text1"/>
          <w:sz w:val="24"/>
          <w:szCs w:val="24"/>
        </w:rPr>
        <w:t xml:space="preserve"> 2003</w:t>
      </w:r>
      <w:r w:rsidR="00F800A1" w:rsidRPr="00FC59B5">
        <w:rPr>
          <w:rFonts w:asciiTheme="majorBidi" w:hAnsiTheme="majorBidi" w:cstheme="majorBidi"/>
          <w:color w:val="000000" w:themeColor="text1"/>
          <w:sz w:val="24"/>
          <w:szCs w:val="24"/>
        </w:rPr>
        <w:t xml:space="preserve">; </w:t>
      </w:r>
      <w:proofErr w:type="spellStart"/>
      <w:r w:rsidR="00F800A1" w:rsidRPr="00FC59B5">
        <w:rPr>
          <w:rFonts w:asciiTheme="majorBidi" w:hAnsiTheme="majorBidi" w:cstheme="majorBidi"/>
          <w:color w:val="000000" w:themeColor="text1"/>
          <w:sz w:val="24"/>
          <w:szCs w:val="24"/>
        </w:rPr>
        <w:t>Hoechle</w:t>
      </w:r>
      <w:proofErr w:type="spellEnd"/>
      <w:r w:rsidR="00F800A1" w:rsidRPr="00FC59B5">
        <w:rPr>
          <w:rFonts w:asciiTheme="majorBidi" w:hAnsiTheme="majorBidi" w:cstheme="majorBidi"/>
          <w:color w:val="000000" w:themeColor="text1"/>
          <w:sz w:val="24"/>
          <w:szCs w:val="24"/>
        </w:rPr>
        <w:t xml:space="preserve"> 2007</w:t>
      </w:r>
      <w:r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fldChar w:fldCharType="end"/>
      </w:r>
      <w:r w:rsidRPr="00FC59B5">
        <w:rPr>
          <w:rFonts w:asciiTheme="majorBidi" w:hAnsiTheme="majorBidi" w:cstheme="majorBidi"/>
          <w:color w:val="000000" w:themeColor="text1"/>
          <w:sz w:val="24"/>
          <w:szCs w:val="24"/>
        </w:rPr>
        <w:t>.</w:t>
      </w:r>
    </w:p>
    <w:p w14:paraId="11F61931" w14:textId="77777777" w:rsidR="00CC740E" w:rsidRPr="00FC59B5" w:rsidRDefault="00CC740E" w:rsidP="002D154D">
      <w:pPr>
        <w:spacing w:after="120" w:line="360" w:lineRule="auto"/>
        <w:contextualSpacing/>
        <w:jc w:val="both"/>
        <w:rPr>
          <w:rFonts w:asciiTheme="majorBidi" w:hAnsiTheme="majorBidi" w:cstheme="majorBidi"/>
          <w:color w:val="000000" w:themeColor="text1"/>
          <w:sz w:val="24"/>
          <w:szCs w:val="24"/>
        </w:rPr>
      </w:pPr>
    </w:p>
    <w:p w14:paraId="52FC3EDB" w14:textId="521A4701" w:rsidR="00745CF4" w:rsidRPr="00FC59B5" w:rsidRDefault="00745CF4" w:rsidP="00380F9B">
      <w:pPr>
        <w:spacing w:after="120" w:line="360" w:lineRule="auto"/>
        <w:ind w:firstLine="720"/>
        <w:contextualSpacing/>
        <w:jc w:val="center"/>
        <w:rPr>
          <w:rFonts w:ascii="Times New Roman" w:hAnsi="Times New Roman" w:cs="Times New Roman"/>
          <w:color w:val="000000" w:themeColor="text1"/>
          <w:sz w:val="28"/>
          <w:szCs w:val="28"/>
        </w:rPr>
      </w:pPr>
      <w:r w:rsidRPr="00FC59B5">
        <w:rPr>
          <w:rFonts w:ascii="Times New Roman" w:hAnsi="Times New Roman" w:cs="Times New Roman"/>
          <w:color w:val="000000" w:themeColor="text1"/>
          <w:sz w:val="28"/>
          <w:szCs w:val="28"/>
        </w:rPr>
        <w:t>Insert Table 3</w:t>
      </w:r>
    </w:p>
    <w:p w14:paraId="5522DC83" w14:textId="77777777" w:rsidR="002D154D" w:rsidRPr="00FC59B5" w:rsidRDefault="002D154D" w:rsidP="002D154D">
      <w:pPr>
        <w:spacing w:after="120" w:line="360" w:lineRule="auto"/>
        <w:contextualSpacing/>
        <w:rPr>
          <w:rFonts w:asciiTheme="majorBidi" w:hAnsiTheme="majorBidi" w:cstheme="majorBidi"/>
          <w:color w:val="000000" w:themeColor="text1"/>
          <w:sz w:val="24"/>
          <w:szCs w:val="24"/>
        </w:rPr>
      </w:pPr>
    </w:p>
    <w:p w14:paraId="41A33AE4" w14:textId="0630BF72" w:rsidR="005952C7" w:rsidRPr="00FC59B5" w:rsidRDefault="00472230" w:rsidP="0001611A">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Table </w:t>
      </w:r>
      <w:r w:rsidR="00F73680" w:rsidRPr="00FC59B5">
        <w:rPr>
          <w:rFonts w:asciiTheme="majorBidi" w:hAnsiTheme="majorBidi" w:cstheme="majorBidi"/>
          <w:color w:val="000000" w:themeColor="text1"/>
          <w:sz w:val="24"/>
          <w:szCs w:val="24"/>
        </w:rPr>
        <w:t>4</w:t>
      </w:r>
      <w:r w:rsidR="00A009B9"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shows the regression results for the constructed models</w:t>
      </w:r>
      <w:r w:rsidR="00765DC2" w:rsidRPr="00FC59B5">
        <w:rPr>
          <w:rFonts w:asciiTheme="majorBidi" w:hAnsiTheme="majorBidi" w:cstheme="majorBidi"/>
          <w:color w:val="000000" w:themeColor="text1"/>
          <w:sz w:val="24"/>
          <w:szCs w:val="24"/>
        </w:rPr>
        <w:t xml:space="preserve"> and as it can be seen r</w:t>
      </w:r>
      <w:r w:rsidR="007A24F9" w:rsidRPr="00FC59B5">
        <w:rPr>
          <w:rFonts w:asciiTheme="majorBidi" w:hAnsiTheme="majorBidi" w:cstheme="majorBidi"/>
          <w:color w:val="000000" w:themeColor="text1"/>
          <w:sz w:val="24"/>
          <w:szCs w:val="24"/>
        </w:rPr>
        <w:t xml:space="preserve">esults from running </w:t>
      </w:r>
      <w:r w:rsidR="00DB1BCC" w:rsidRPr="00FC59B5">
        <w:rPr>
          <w:rFonts w:asciiTheme="majorBidi" w:hAnsiTheme="majorBidi" w:cstheme="majorBidi"/>
          <w:color w:val="000000" w:themeColor="text1"/>
          <w:sz w:val="24"/>
          <w:szCs w:val="24"/>
        </w:rPr>
        <w:t xml:space="preserve">model </w:t>
      </w:r>
      <w:r w:rsidRPr="00FC59B5">
        <w:rPr>
          <w:rFonts w:asciiTheme="majorBidi" w:hAnsiTheme="majorBidi" w:cstheme="majorBidi"/>
          <w:color w:val="000000" w:themeColor="text1"/>
          <w:sz w:val="24"/>
          <w:szCs w:val="24"/>
          <w:rtl/>
        </w:rPr>
        <w:t>1</w:t>
      </w:r>
      <w:r w:rsidR="00EC7F62" w:rsidRPr="00FC59B5">
        <w:rPr>
          <w:rFonts w:asciiTheme="majorBidi" w:hAnsiTheme="majorBidi" w:cstheme="majorBidi"/>
          <w:color w:val="000000" w:themeColor="text1"/>
          <w:sz w:val="24"/>
          <w:szCs w:val="24"/>
        </w:rPr>
        <w:t xml:space="preserve"> and model 3</w:t>
      </w:r>
      <w:r w:rsidR="00DB5EC8" w:rsidRPr="00FC59B5">
        <w:rPr>
          <w:rFonts w:asciiTheme="majorBidi" w:hAnsiTheme="majorBidi" w:cstheme="majorBidi"/>
          <w:color w:val="000000" w:themeColor="text1"/>
          <w:sz w:val="24"/>
          <w:szCs w:val="24"/>
        </w:rPr>
        <w:t xml:space="preserve"> </w:t>
      </w:r>
      <w:r w:rsidR="00765DC2" w:rsidRPr="00FC59B5">
        <w:rPr>
          <w:rFonts w:asciiTheme="majorBidi" w:hAnsiTheme="majorBidi" w:cstheme="majorBidi"/>
          <w:color w:val="000000" w:themeColor="text1"/>
          <w:sz w:val="24"/>
          <w:szCs w:val="24"/>
        </w:rPr>
        <w:t xml:space="preserve">that independent directors have </w:t>
      </w:r>
      <w:r w:rsidR="001C7025" w:rsidRPr="00FC59B5">
        <w:rPr>
          <w:rFonts w:asciiTheme="majorBidi" w:hAnsiTheme="majorBidi" w:cstheme="majorBidi"/>
          <w:color w:val="000000" w:themeColor="text1"/>
          <w:sz w:val="24"/>
          <w:szCs w:val="24"/>
        </w:rPr>
        <w:t xml:space="preserve">a </w:t>
      </w:r>
      <w:r w:rsidR="00765DC2" w:rsidRPr="00FC59B5">
        <w:rPr>
          <w:rFonts w:asciiTheme="majorBidi" w:hAnsiTheme="majorBidi" w:cstheme="majorBidi"/>
          <w:color w:val="000000" w:themeColor="text1"/>
          <w:sz w:val="24"/>
          <w:szCs w:val="24"/>
        </w:rPr>
        <w:t>negative effect on the net CSR tone</w:t>
      </w:r>
      <w:r w:rsidR="00DB1BCC" w:rsidRPr="00FC59B5">
        <w:rPr>
          <w:rFonts w:asciiTheme="majorBidi" w:hAnsiTheme="majorBidi" w:cstheme="majorBidi"/>
          <w:color w:val="000000" w:themeColor="text1"/>
          <w:sz w:val="24"/>
          <w:szCs w:val="24"/>
        </w:rPr>
        <w:t xml:space="preserve"> when net CSR </w:t>
      </w:r>
      <w:r w:rsidR="00EC7F62" w:rsidRPr="00FC59B5">
        <w:rPr>
          <w:rFonts w:asciiTheme="majorBidi" w:hAnsiTheme="majorBidi" w:cstheme="majorBidi"/>
          <w:color w:val="000000" w:themeColor="text1"/>
          <w:sz w:val="24"/>
          <w:szCs w:val="24"/>
        </w:rPr>
        <w:t>tone measured by wordlist of</w:t>
      </w:r>
      <w:r w:rsidR="00DB1BCC" w:rsidRPr="00FC59B5">
        <w:rPr>
          <w:rFonts w:asciiTheme="majorBidi" w:hAnsiTheme="majorBidi" w:cstheme="majorBidi"/>
          <w:color w:val="000000" w:themeColor="text1"/>
          <w:sz w:val="24"/>
          <w:szCs w:val="24"/>
        </w:rPr>
        <w:t xml:space="preserve"> LM 2011</w:t>
      </w:r>
      <w:r w:rsidR="00EC7F62" w:rsidRPr="00FC59B5">
        <w:rPr>
          <w:rFonts w:asciiTheme="majorBidi" w:hAnsiTheme="majorBidi" w:cstheme="majorBidi"/>
          <w:color w:val="000000" w:themeColor="text1"/>
          <w:sz w:val="24"/>
          <w:szCs w:val="24"/>
        </w:rPr>
        <w:t xml:space="preserve"> and Henry 2008</w:t>
      </w:r>
      <w:r w:rsidR="009D4375" w:rsidRPr="00FC59B5">
        <w:rPr>
          <w:rFonts w:asciiTheme="majorBidi" w:hAnsiTheme="majorBidi" w:cstheme="majorBidi"/>
          <w:color w:val="000000" w:themeColor="text1"/>
          <w:sz w:val="24"/>
          <w:szCs w:val="24"/>
        </w:rPr>
        <w:t xml:space="preserve"> dictionaries</w:t>
      </w:r>
      <w:r w:rsidR="00DB1BCC" w:rsidRPr="00FC59B5">
        <w:rPr>
          <w:rFonts w:asciiTheme="majorBidi" w:hAnsiTheme="majorBidi" w:cstheme="majorBidi"/>
          <w:color w:val="000000" w:themeColor="text1"/>
          <w:sz w:val="24"/>
          <w:szCs w:val="24"/>
        </w:rPr>
        <w:t>, which means that more independent directors promote more effective decision-making and develop information processing capabilities and they will be more motivated to limiting manager’s opportunism and this would lead to having less positive tone in the CSR report</w:t>
      </w:r>
      <w:r w:rsidR="007A24F9" w:rsidRPr="00FC59B5">
        <w:rPr>
          <w:rFonts w:asciiTheme="majorBidi" w:hAnsiTheme="majorBidi" w:cstheme="majorBidi"/>
          <w:color w:val="000000" w:themeColor="text1"/>
          <w:sz w:val="24"/>
          <w:szCs w:val="24"/>
        </w:rPr>
        <w:t xml:space="preserve">. </w:t>
      </w:r>
      <w:r w:rsidR="009D4375" w:rsidRPr="00FC59B5">
        <w:rPr>
          <w:rFonts w:asciiTheme="majorBidi" w:hAnsiTheme="majorBidi" w:cstheme="majorBidi"/>
          <w:color w:val="000000" w:themeColor="text1"/>
          <w:sz w:val="24"/>
          <w:szCs w:val="24"/>
        </w:rPr>
        <w:t>Women on board</w:t>
      </w:r>
      <w:r w:rsidR="001C7025" w:rsidRPr="00FC59B5">
        <w:rPr>
          <w:rFonts w:asciiTheme="majorBidi" w:hAnsiTheme="majorBidi" w:cstheme="majorBidi"/>
          <w:color w:val="000000" w:themeColor="text1"/>
          <w:sz w:val="24"/>
          <w:szCs w:val="24"/>
        </w:rPr>
        <w:t>s</w:t>
      </w:r>
      <w:r w:rsidR="009D4375" w:rsidRPr="00FC59B5">
        <w:rPr>
          <w:rFonts w:asciiTheme="majorBidi" w:hAnsiTheme="majorBidi" w:cstheme="majorBidi"/>
          <w:color w:val="000000" w:themeColor="text1"/>
          <w:sz w:val="24"/>
          <w:szCs w:val="24"/>
        </w:rPr>
        <w:t xml:space="preserve"> </w:t>
      </w:r>
      <w:r w:rsidR="001C7025" w:rsidRPr="00FC59B5">
        <w:rPr>
          <w:rFonts w:asciiTheme="majorBidi" w:hAnsiTheme="majorBidi" w:cstheme="majorBidi"/>
          <w:color w:val="000000" w:themeColor="text1"/>
          <w:sz w:val="24"/>
          <w:szCs w:val="24"/>
        </w:rPr>
        <w:t xml:space="preserve">do </w:t>
      </w:r>
      <w:r w:rsidR="009D4375" w:rsidRPr="00FC59B5">
        <w:rPr>
          <w:rFonts w:asciiTheme="majorBidi" w:hAnsiTheme="majorBidi" w:cstheme="majorBidi"/>
          <w:color w:val="000000" w:themeColor="text1"/>
          <w:sz w:val="24"/>
          <w:szCs w:val="24"/>
        </w:rPr>
        <w:t>no</w:t>
      </w:r>
      <w:r w:rsidR="001C7025" w:rsidRPr="00FC59B5">
        <w:rPr>
          <w:rFonts w:asciiTheme="majorBidi" w:hAnsiTheme="majorBidi" w:cstheme="majorBidi"/>
          <w:color w:val="000000" w:themeColor="text1"/>
          <w:sz w:val="24"/>
          <w:szCs w:val="24"/>
        </w:rPr>
        <w:t>t</w:t>
      </w:r>
      <w:r w:rsidR="009D4375" w:rsidRPr="00FC59B5">
        <w:rPr>
          <w:rFonts w:asciiTheme="majorBidi" w:hAnsiTheme="majorBidi" w:cstheme="majorBidi"/>
          <w:color w:val="000000" w:themeColor="text1"/>
          <w:sz w:val="24"/>
          <w:szCs w:val="24"/>
        </w:rPr>
        <w:t xml:space="preserve"> </w:t>
      </w:r>
      <w:proofErr w:type="spellStart"/>
      <w:proofErr w:type="gramStart"/>
      <w:r w:rsidR="009D4375" w:rsidRPr="00FC59B5">
        <w:rPr>
          <w:rFonts w:asciiTheme="majorBidi" w:hAnsiTheme="majorBidi" w:cstheme="majorBidi"/>
          <w:color w:val="000000" w:themeColor="text1"/>
          <w:sz w:val="24"/>
          <w:szCs w:val="24"/>
        </w:rPr>
        <w:t>effect</w:t>
      </w:r>
      <w:proofErr w:type="spellEnd"/>
      <w:proofErr w:type="gramEnd"/>
      <w:r w:rsidR="009D4375" w:rsidRPr="00FC59B5">
        <w:rPr>
          <w:rFonts w:asciiTheme="majorBidi" w:hAnsiTheme="majorBidi" w:cstheme="majorBidi"/>
          <w:color w:val="000000" w:themeColor="text1"/>
          <w:sz w:val="24"/>
          <w:szCs w:val="24"/>
        </w:rPr>
        <w:t xml:space="preserve"> the net CSR tone, no matter how is calculated (LM</w:t>
      </w:r>
      <w:r w:rsidR="00891BCC" w:rsidRPr="00FC59B5">
        <w:rPr>
          <w:rFonts w:asciiTheme="majorBidi" w:hAnsiTheme="majorBidi" w:cstheme="majorBidi"/>
          <w:color w:val="000000" w:themeColor="text1"/>
          <w:sz w:val="24"/>
          <w:szCs w:val="24"/>
        </w:rPr>
        <w:t>11</w:t>
      </w:r>
      <w:r w:rsidR="009D4375" w:rsidRPr="00FC59B5">
        <w:rPr>
          <w:rFonts w:asciiTheme="majorBidi" w:hAnsiTheme="majorBidi" w:cstheme="majorBidi"/>
          <w:color w:val="000000" w:themeColor="text1"/>
          <w:sz w:val="24"/>
          <w:szCs w:val="24"/>
        </w:rPr>
        <w:t xml:space="preserve"> or H</w:t>
      </w:r>
      <w:r w:rsidR="00891BCC" w:rsidRPr="00FC59B5">
        <w:rPr>
          <w:rFonts w:asciiTheme="majorBidi" w:hAnsiTheme="majorBidi" w:cstheme="majorBidi"/>
          <w:color w:val="000000" w:themeColor="text1"/>
          <w:sz w:val="24"/>
          <w:szCs w:val="24"/>
        </w:rPr>
        <w:t>0</w:t>
      </w:r>
      <w:r w:rsidR="009D4375" w:rsidRPr="00FC59B5">
        <w:rPr>
          <w:rFonts w:asciiTheme="majorBidi" w:hAnsiTheme="majorBidi" w:cstheme="majorBidi"/>
          <w:color w:val="000000" w:themeColor="text1"/>
          <w:sz w:val="24"/>
          <w:szCs w:val="24"/>
        </w:rPr>
        <w:t xml:space="preserve">8) which is consistent with Bilimoria and </w:t>
      </w:r>
      <w:proofErr w:type="spellStart"/>
      <w:r w:rsidR="009D4375" w:rsidRPr="00FC59B5">
        <w:rPr>
          <w:rFonts w:asciiTheme="majorBidi" w:hAnsiTheme="majorBidi" w:cstheme="majorBidi"/>
          <w:color w:val="000000" w:themeColor="text1"/>
          <w:sz w:val="24"/>
          <w:szCs w:val="24"/>
        </w:rPr>
        <w:t>Piderit</w:t>
      </w:r>
      <w:proofErr w:type="spellEnd"/>
      <w:r w:rsidR="009D4375" w:rsidRPr="00FC59B5">
        <w:rPr>
          <w:rFonts w:asciiTheme="majorBidi" w:hAnsiTheme="majorBidi" w:cstheme="majorBidi"/>
          <w:color w:val="000000" w:themeColor="text1"/>
          <w:sz w:val="24"/>
          <w:szCs w:val="24"/>
        </w:rPr>
        <w:t xml:space="preserve"> (1994) who claimed that female board members may lack the ability to materially influence the tone of </w:t>
      </w:r>
      <w:r w:rsidR="001C7025" w:rsidRPr="00FC59B5">
        <w:rPr>
          <w:rFonts w:asciiTheme="majorBidi" w:hAnsiTheme="majorBidi" w:cstheme="majorBidi"/>
          <w:color w:val="000000" w:themeColor="text1"/>
          <w:sz w:val="24"/>
          <w:szCs w:val="24"/>
        </w:rPr>
        <w:t xml:space="preserve">the </w:t>
      </w:r>
      <w:r w:rsidR="009D4375" w:rsidRPr="00FC59B5">
        <w:rPr>
          <w:rFonts w:asciiTheme="majorBidi" w:hAnsiTheme="majorBidi" w:cstheme="majorBidi"/>
          <w:color w:val="000000" w:themeColor="text1"/>
          <w:sz w:val="24"/>
          <w:szCs w:val="24"/>
        </w:rPr>
        <w:t xml:space="preserve">disclosure. Further, </w:t>
      </w:r>
      <w:r w:rsidR="00765DC2" w:rsidRPr="00FC59B5">
        <w:rPr>
          <w:rFonts w:asciiTheme="majorBidi" w:hAnsiTheme="majorBidi" w:cstheme="majorBidi"/>
          <w:color w:val="000000" w:themeColor="text1"/>
          <w:sz w:val="24"/>
          <w:szCs w:val="24"/>
        </w:rPr>
        <w:t>a higher ESG s</w:t>
      </w:r>
      <w:r w:rsidR="009D4375" w:rsidRPr="00FC59B5">
        <w:rPr>
          <w:rFonts w:asciiTheme="majorBidi" w:hAnsiTheme="majorBidi" w:cstheme="majorBidi"/>
          <w:color w:val="000000" w:themeColor="text1"/>
          <w:sz w:val="24"/>
          <w:szCs w:val="24"/>
        </w:rPr>
        <w:t xml:space="preserve">core will lead to a positive significant impact </w:t>
      </w:r>
      <w:r w:rsidR="001C7025" w:rsidRPr="00FC59B5">
        <w:rPr>
          <w:rFonts w:asciiTheme="majorBidi" w:hAnsiTheme="majorBidi" w:cstheme="majorBidi"/>
          <w:color w:val="000000" w:themeColor="text1"/>
          <w:sz w:val="24"/>
          <w:szCs w:val="24"/>
        </w:rPr>
        <w:t xml:space="preserve">on </w:t>
      </w:r>
      <w:r w:rsidR="009D4375" w:rsidRPr="00FC59B5">
        <w:rPr>
          <w:rFonts w:asciiTheme="majorBidi" w:hAnsiTheme="majorBidi" w:cstheme="majorBidi"/>
          <w:color w:val="000000" w:themeColor="text1"/>
          <w:sz w:val="24"/>
          <w:szCs w:val="24"/>
        </w:rPr>
        <w:t xml:space="preserve">the way a company is involving with and disclosing CSR arrangements, no matter how the </w:t>
      </w:r>
      <w:r w:rsidR="00765DC2" w:rsidRPr="00FC59B5">
        <w:rPr>
          <w:rFonts w:asciiTheme="majorBidi" w:hAnsiTheme="majorBidi" w:cstheme="majorBidi"/>
          <w:color w:val="000000" w:themeColor="text1"/>
          <w:sz w:val="24"/>
          <w:szCs w:val="24"/>
        </w:rPr>
        <w:t xml:space="preserve">net </w:t>
      </w:r>
      <w:r w:rsidR="009D4375" w:rsidRPr="00FC59B5">
        <w:rPr>
          <w:rFonts w:asciiTheme="majorBidi" w:hAnsiTheme="majorBidi" w:cstheme="majorBidi"/>
          <w:color w:val="000000" w:themeColor="text1"/>
          <w:sz w:val="24"/>
          <w:szCs w:val="24"/>
        </w:rPr>
        <w:t xml:space="preserve">CSR </w:t>
      </w:r>
      <w:r w:rsidR="00765DC2" w:rsidRPr="00FC59B5">
        <w:rPr>
          <w:rFonts w:asciiTheme="majorBidi" w:hAnsiTheme="majorBidi" w:cstheme="majorBidi"/>
          <w:color w:val="000000" w:themeColor="text1"/>
          <w:sz w:val="24"/>
          <w:szCs w:val="24"/>
        </w:rPr>
        <w:t>t</w:t>
      </w:r>
      <w:r w:rsidR="009D4375" w:rsidRPr="00FC59B5">
        <w:rPr>
          <w:rFonts w:asciiTheme="majorBidi" w:hAnsiTheme="majorBidi" w:cstheme="majorBidi"/>
          <w:color w:val="000000" w:themeColor="text1"/>
          <w:sz w:val="24"/>
          <w:szCs w:val="24"/>
        </w:rPr>
        <w:t>one is calculate</w:t>
      </w:r>
      <w:r w:rsidR="00833FFF" w:rsidRPr="00FC59B5">
        <w:rPr>
          <w:rFonts w:asciiTheme="majorBidi" w:hAnsiTheme="majorBidi" w:cstheme="majorBidi"/>
          <w:color w:val="000000" w:themeColor="text1"/>
          <w:sz w:val="24"/>
          <w:szCs w:val="24"/>
        </w:rPr>
        <w:t xml:space="preserve">d. Further, as it can be seen from </w:t>
      </w:r>
      <w:r w:rsidR="005952C7" w:rsidRPr="00FC59B5">
        <w:rPr>
          <w:rFonts w:asciiTheme="majorBidi" w:hAnsiTheme="majorBidi" w:cstheme="majorBidi"/>
          <w:color w:val="000000" w:themeColor="text1"/>
          <w:sz w:val="24"/>
          <w:szCs w:val="24"/>
        </w:rPr>
        <w:t>m</w:t>
      </w:r>
      <w:r w:rsidR="00833FFF" w:rsidRPr="00FC59B5">
        <w:rPr>
          <w:rFonts w:asciiTheme="majorBidi" w:hAnsiTheme="majorBidi" w:cstheme="majorBidi"/>
          <w:color w:val="000000" w:themeColor="text1"/>
          <w:sz w:val="24"/>
          <w:szCs w:val="24"/>
        </w:rPr>
        <w:t>odel 2</w:t>
      </w:r>
      <w:r w:rsidR="005952C7" w:rsidRPr="00FC59B5">
        <w:rPr>
          <w:rFonts w:asciiTheme="majorBidi" w:hAnsiTheme="majorBidi" w:cstheme="majorBidi"/>
          <w:color w:val="000000" w:themeColor="text1"/>
          <w:sz w:val="24"/>
          <w:szCs w:val="24"/>
        </w:rPr>
        <w:t xml:space="preserve"> </w:t>
      </w:r>
      <w:proofErr w:type="gramStart"/>
      <w:r w:rsidR="005952C7" w:rsidRPr="00FC59B5">
        <w:rPr>
          <w:rFonts w:asciiTheme="majorBidi" w:hAnsiTheme="majorBidi" w:cstheme="majorBidi"/>
          <w:color w:val="000000" w:themeColor="text1"/>
          <w:sz w:val="24"/>
          <w:szCs w:val="24"/>
        </w:rPr>
        <w:t>results</w:t>
      </w:r>
      <w:r w:rsidR="00833FFF" w:rsidRPr="00FC59B5">
        <w:rPr>
          <w:rFonts w:asciiTheme="majorBidi" w:hAnsiTheme="majorBidi" w:cstheme="majorBidi"/>
          <w:color w:val="000000" w:themeColor="text1"/>
          <w:sz w:val="24"/>
          <w:szCs w:val="24"/>
        </w:rPr>
        <w:t>,  we</w:t>
      </w:r>
      <w:proofErr w:type="gramEnd"/>
      <w:r w:rsidR="00833FFF" w:rsidRPr="00FC59B5">
        <w:rPr>
          <w:rFonts w:asciiTheme="majorBidi" w:hAnsiTheme="majorBidi" w:cstheme="majorBidi"/>
          <w:color w:val="000000" w:themeColor="text1"/>
          <w:sz w:val="24"/>
          <w:szCs w:val="24"/>
        </w:rPr>
        <w:t xml:space="preserve"> use LM, 2011 as </w:t>
      </w:r>
      <w:r w:rsidR="001C7025" w:rsidRPr="00FC59B5">
        <w:rPr>
          <w:rFonts w:asciiTheme="majorBidi" w:hAnsiTheme="majorBidi" w:cstheme="majorBidi"/>
          <w:color w:val="000000" w:themeColor="text1"/>
          <w:sz w:val="24"/>
          <w:szCs w:val="24"/>
        </w:rPr>
        <w:t xml:space="preserve">a </w:t>
      </w:r>
      <w:r w:rsidR="00833FFF" w:rsidRPr="00FC59B5">
        <w:rPr>
          <w:rFonts w:asciiTheme="majorBidi" w:hAnsiTheme="majorBidi" w:cstheme="majorBidi"/>
          <w:color w:val="000000" w:themeColor="text1"/>
          <w:sz w:val="24"/>
          <w:szCs w:val="24"/>
        </w:rPr>
        <w:t>dummy variable which equals -1 if the net tone is less than -0.01, 1 if the net tone is more than +0.01</w:t>
      </w:r>
      <w:r w:rsidR="001C7025" w:rsidRPr="00FC59B5">
        <w:rPr>
          <w:rFonts w:asciiTheme="majorBidi" w:hAnsiTheme="majorBidi" w:cstheme="majorBidi"/>
          <w:color w:val="000000" w:themeColor="text1"/>
          <w:sz w:val="24"/>
          <w:szCs w:val="24"/>
        </w:rPr>
        <w:t>,</w:t>
      </w:r>
      <w:r w:rsidR="00833FFF" w:rsidRPr="00FC59B5">
        <w:rPr>
          <w:rFonts w:asciiTheme="majorBidi" w:hAnsiTheme="majorBidi" w:cstheme="majorBidi"/>
          <w:color w:val="000000" w:themeColor="text1"/>
          <w:sz w:val="24"/>
          <w:szCs w:val="24"/>
        </w:rPr>
        <w:t xml:space="preserve"> and 0 if the net tone between -0.01 and 0.01</w:t>
      </w:r>
      <w:r w:rsidR="001C7025" w:rsidRPr="00FC59B5">
        <w:rPr>
          <w:rFonts w:asciiTheme="majorBidi" w:hAnsiTheme="majorBidi" w:cstheme="majorBidi"/>
          <w:color w:val="000000" w:themeColor="text1"/>
          <w:sz w:val="24"/>
          <w:szCs w:val="24"/>
        </w:rPr>
        <w:t>. T</w:t>
      </w:r>
      <w:r w:rsidR="00833FFF" w:rsidRPr="00FC59B5">
        <w:rPr>
          <w:rFonts w:asciiTheme="majorBidi" w:hAnsiTheme="majorBidi" w:cstheme="majorBidi"/>
          <w:color w:val="000000" w:themeColor="text1"/>
          <w:sz w:val="24"/>
          <w:szCs w:val="24"/>
        </w:rPr>
        <w:t xml:space="preserve">he results are </w:t>
      </w:r>
      <w:r w:rsidR="00EC7F62" w:rsidRPr="00FC59B5">
        <w:rPr>
          <w:rFonts w:asciiTheme="majorBidi" w:hAnsiTheme="majorBidi" w:cstheme="majorBidi"/>
          <w:color w:val="000000" w:themeColor="text1"/>
          <w:sz w:val="24"/>
          <w:szCs w:val="24"/>
        </w:rPr>
        <w:t xml:space="preserve">the same </w:t>
      </w:r>
      <w:r w:rsidR="00833FFF" w:rsidRPr="00FC59B5">
        <w:rPr>
          <w:rFonts w:asciiTheme="majorBidi" w:hAnsiTheme="majorBidi" w:cstheme="majorBidi"/>
          <w:color w:val="000000" w:themeColor="text1"/>
          <w:sz w:val="24"/>
          <w:szCs w:val="24"/>
        </w:rPr>
        <w:t xml:space="preserve">except for audit committee size which has a positive effect on the net CSR </w:t>
      </w:r>
      <w:proofErr w:type="gramStart"/>
      <w:r w:rsidR="00833FFF" w:rsidRPr="00FC59B5">
        <w:rPr>
          <w:rFonts w:asciiTheme="majorBidi" w:hAnsiTheme="majorBidi" w:cstheme="majorBidi"/>
          <w:color w:val="000000" w:themeColor="text1"/>
          <w:sz w:val="24"/>
          <w:szCs w:val="24"/>
        </w:rPr>
        <w:t>tone</w:t>
      </w:r>
      <w:proofErr w:type="gramEnd"/>
      <w:r w:rsidR="00833FFF" w:rsidRPr="00FC59B5">
        <w:rPr>
          <w:rFonts w:asciiTheme="majorBidi" w:hAnsiTheme="majorBidi" w:cstheme="majorBidi"/>
          <w:color w:val="000000" w:themeColor="text1"/>
          <w:sz w:val="24"/>
          <w:szCs w:val="24"/>
        </w:rPr>
        <w:t xml:space="preserve"> and this is consistent with previous studies which found that more members on audit committee would help to fully monitor the company’s disclosure behaviour (Li et al, 2012; Persons, 2009; Barako et al, 2006; Fogarty, 1993).</w:t>
      </w:r>
    </w:p>
    <w:p w14:paraId="2E17250E" w14:textId="77777777" w:rsidR="006F5B94" w:rsidRPr="00FC59B5" w:rsidRDefault="006F5B94" w:rsidP="00983C56">
      <w:pPr>
        <w:spacing w:after="120" w:line="360" w:lineRule="auto"/>
        <w:ind w:firstLine="720"/>
        <w:contextualSpacing/>
        <w:jc w:val="both"/>
        <w:rPr>
          <w:rFonts w:asciiTheme="majorBidi" w:hAnsiTheme="majorBidi" w:cstheme="majorBidi"/>
          <w:color w:val="000000" w:themeColor="text1"/>
          <w:sz w:val="24"/>
          <w:szCs w:val="24"/>
        </w:rPr>
      </w:pPr>
    </w:p>
    <w:p w14:paraId="48F556F6" w14:textId="5461D5CC" w:rsidR="00E96148" w:rsidRPr="00FC59B5" w:rsidRDefault="006F5B94" w:rsidP="00D15A60">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Following this, we run the analysis for positive CSR tone</w:t>
      </w:r>
      <w:r w:rsidR="00A82A76" w:rsidRPr="00FC59B5">
        <w:rPr>
          <w:rFonts w:asciiTheme="majorBidi" w:hAnsiTheme="majorBidi" w:cstheme="majorBidi"/>
          <w:color w:val="000000" w:themeColor="text1"/>
          <w:sz w:val="24"/>
          <w:szCs w:val="24"/>
        </w:rPr>
        <w:t xml:space="preserve"> and negative CSR Tone</w:t>
      </w:r>
      <w:r w:rsidRPr="00FC59B5">
        <w:rPr>
          <w:rFonts w:asciiTheme="majorBidi" w:hAnsiTheme="majorBidi" w:cstheme="majorBidi"/>
          <w:color w:val="000000" w:themeColor="text1"/>
          <w:sz w:val="24"/>
          <w:szCs w:val="24"/>
        </w:rPr>
        <w:t xml:space="preserve"> </w:t>
      </w:r>
      <w:r w:rsidR="00D15A60" w:rsidRPr="00FC59B5">
        <w:rPr>
          <w:rFonts w:asciiTheme="majorBidi" w:hAnsiTheme="majorBidi" w:cstheme="majorBidi"/>
          <w:color w:val="000000" w:themeColor="text1"/>
          <w:sz w:val="24"/>
          <w:szCs w:val="24"/>
        </w:rPr>
        <w:t xml:space="preserve">separately </w:t>
      </w:r>
      <w:r w:rsidR="00A82A76" w:rsidRPr="00FC59B5">
        <w:rPr>
          <w:rFonts w:asciiTheme="majorBidi" w:hAnsiTheme="majorBidi" w:cstheme="majorBidi"/>
          <w:color w:val="000000" w:themeColor="text1"/>
          <w:sz w:val="24"/>
          <w:szCs w:val="24"/>
        </w:rPr>
        <w:t xml:space="preserve">measured by </w:t>
      </w:r>
      <w:r w:rsidRPr="00FC59B5">
        <w:rPr>
          <w:rFonts w:asciiTheme="majorBidi" w:hAnsiTheme="majorBidi" w:cstheme="majorBidi"/>
          <w:color w:val="000000" w:themeColor="text1"/>
          <w:sz w:val="24"/>
          <w:szCs w:val="24"/>
        </w:rPr>
        <w:t xml:space="preserve">LM, 2011 </w:t>
      </w:r>
      <w:r w:rsidR="00A82A76" w:rsidRPr="00FC59B5">
        <w:rPr>
          <w:rFonts w:asciiTheme="majorBidi" w:hAnsiTheme="majorBidi" w:cstheme="majorBidi"/>
          <w:color w:val="000000" w:themeColor="text1"/>
          <w:sz w:val="24"/>
          <w:szCs w:val="24"/>
        </w:rPr>
        <w:t>dictionaries</w:t>
      </w:r>
      <w:r w:rsidRPr="00FC59B5">
        <w:rPr>
          <w:rFonts w:asciiTheme="majorBidi" w:hAnsiTheme="majorBidi" w:cstheme="majorBidi"/>
          <w:color w:val="000000" w:themeColor="text1"/>
          <w:sz w:val="24"/>
          <w:szCs w:val="24"/>
        </w:rPr>
        <w:t>, and as it can</w:t>
      </w:r>
      <w:r w:rsidR="00DB5EC8" w:rsidRPr="00FC59B5">
        <w:rPr>
          <w:rFonts w:asciiTheme="majorBidi" w:hAnsiTheme="majorBidi" w:cstheme="majorBidi"/>
          <w:color w:val="000000" w:themeColor="text1"/>
          <w:sz w:val="24"/>
          <w:szCs w:val="24"/>
        </w:rPr>
        <w:t xml:space="preserve"> be seen from model</w:t>
      </w:r>
      <w:r w:rsidR="00D15A60" w:rsidRPr="00FC59B5">
        <w:rPr>
          <w:rFonts w:asciiTheme="majorBidi" w:hAnsiTheme="majorBidi" w:cstheme="majorBidi"/>
          <w:color w:val="000000" w:themeColor="text1"/>
          <w:sz w:val="24"/>
          <w:szCs w:val="24"/>
        </w:rPr>
        <w:t>s</w:t>
      </w:r>
      <w:r w:rsidR="00DB5EC8" w:rsidRPr="00FC59B5">
        <w:rPr>
          <w:rFonts w:asciiTheme="majorBidi" w:hAnsiTheme="majorBidi" w:cstheme="majorBidi"/>
          <w:color w:val="000000" w:themeColor="text1"/>
          <w:sz w:val="24"/>
          <w:szCs w:val="24"/>
        </w:rPr>
        <w:t xml:space="preserve"> 4</w:t>
      </w:r>
      <w:r w:rsidR="00A009B9" w:rsidRPr="00FC59B5">
        <w:rPr>
          <w:rFonts w:asciiTheme="majorBidi" w:hAnsiTheme="majorBidi" w:cstheme="majorBidi"/>
          <w:color w:val="000000" w:themeColor="text1"/>
          <w:sz w:val="24"/>
          <w:szCs w:val="24"/>
        </w:rPr>
        <w:t xml:space="preserve"> and 5 in table </w:t>
      </w:r>
      <w:r w:rsidR="00F73680" w:rsidRPr="00FC59B5">
        <w:rPr>
          <w:rFonts w:asciiTheme="majorBidi" w:hAnsiTheme="majorBidi" w:cstheme="majorBidi"/>
          <w:color w:val="000000" w:themeColor="text1"/>
          <w:sz w:val="24"/>
          <w:szCs w:val="24"/>
        </w:rPr>
        <w:t>4</w:t>
      </w:r>
      <w:r w:rsidRPr="00FC59B5">
        <w:rPr>
          <w:rFonts w:asciiTheme="majorBidi" w:hAnsiTheme="majorBidi" w:cstheme="majorBidi"/>
          <w:color w:val="000000" w:themeColor="text1"/>
          <w:sz w:val="24"/>
          <w:szCs w:val="24"/>
        </w:rPr>
        <w:t>,</w:t>
      </w:r>
      <w:r w:rsidR="00D15A60" w:rsidRPr="00FC59B5">
        <w:rPr>
          <w:rFonts w:asciiTheme="majorBidi" w:hAnsiTheme="majorBidi" w:cstheme="majorBidi"/>
          <w:color w:val="000000" w:themeColor="text1"/>
          <w:sz w:val="24"/>
          <w:szCs w:val="24"/>
        </w:rPr>
        <w:t xml:space="preserve"> the results show that i</w:t>
      </w:r>
      <w:r w:rsidRPr="00FC59B5">
        <w:rPr>
          <w:rFonts w:asciiTheme="majorBidi" w:hAnsiTheme="majorBidi" w:cstheme="majorBidi"/>
          <w:color w:val="000000" w:themeColor="text1"/>
          <w:sz w:val="24"/>
          <w:szCs w:val="24"/>
        </w:rPr>
        <w:t xml:space="preserve">ndependent directors would affect the positive tone of CSR negatively </w:t>
      </w:r>
      <w:r w:rsidR="00D15A60" w:rsidRPr="00FC59B5">
        <w:rPr>
          <w:rFonts w:asciiTheme="majorBidi" w:hAnsiTheme="majorBidi" w:cstheme="majorBidi"/>
          <w:color w:val="000000" w:themeColor="text1"/>
          <w:sz w:val="24"/>
          <w:szCs w:val="24"/>
        </w:rPr>
        <w:t>as well as independent directors positively affect the negative CSR tone and</w:t>
      </w:r>
      <w:r w:rsidRPr="00FC59B5">
        <w:rPr>
          <w:rFonts w:asciiTheme="majorBidi" w:hAnsiTheme="majorBidi" w:cstheme="majorBidi"/>
          <w:color w:val="000000" w:themeColor="text1"/>
          <w:sz w:val="24"/>
          <w:szCs w:val="24"/>
        </w:rPr>
        <w:t xml:space="preserve"> this result is consistent with Fisher et al (2019) that more independent directors would affect CSR tone negatively. Further, ESG score </w:t>
      </w:r>
      <w:r w:rsidR="001C7025" w:rsidRPr="00FC59B5">
        <w:rPr>
          <w:rFonts w:asciiTheme="majorBidi" w:hAnsiTheme="majorBidi" w:cstheme="majorBidi"/>
          <w:color w:val="000000" w:themeColor="text1"/>
          <w:sz w:val="24"/>
          <w:szCs w:val="24"/>
        </w:rPr>
        <w:t xml:space="preserve">has </w:t>
      </w:r>
      <w:r w:rsidRPr="00FC59B5">
        <w:rPr>
          <w:rFonts w:asciiTheme="majorBidi" w:hAnsiTheme="majorBidi" w:cstheme="majorBidi"/>
          <w:color w:val="000000" w:themeColor="text1"/>
          <w:sz w:val="24"/>
          <w:szCs w:val="24"/>
        </w:rPr>
        <w:t>a significan</w:t>
      </w:r>
      <w:r w:rsidR="00DB5EC8" w:rsidRPr="00FC59B5">
        <w:rPr>
          <w:rFonts w:asciiTheme="majorBidi" w:hAnsiTheme="majorBidi" w:cstheme="majorBidi"/>
          <w:color w:val="000000" w:themeColor="text1"/>
          <w:sz w:val="24"/>
          <w:szCs w:val="24"/>
        </w:rPr>
        <w:t xml:space="preserve">t positive impact on the positivity of CSR </w:t>
      </w:r>
      <w:proofErr w:type="gramStart"/>
      <w:r w:rsidR="00DB5EC8" w:rsidRPr="00FC59B5">
        <w:rPr>
          <w:rFonts w:asciiTheme="majorBidi" w:hAnsiTheme="majorBidi" w:cstheme="majorBidi"/>
          <w:color w:val="000000" w:themeColor="text1"/>
          <w:sz w:val="24"/>
          <w:szCs w:val="24"/>
        </w:rPr>
        <w:t>tone</w:t>
      </w:r>
      <w:proofErr w:type="gramEnd"/>
      <w:r w:rsidR="00D15A60" w:rsidRPr="00FC59B5">
        <w:rPr>
          <w:rFonts w:asciiTheme="majorBidi" w:hAnsiTheme="majorBidi" w:cstheme="majorBidi"/>
          <w:color w:val="000000" w:themeColor="text1"/>
          <w:sz w:val="24"/>
          <w:szCs w:val="24"/>
        </w:rPr>
        <w:t xml:space="preserve"> and we also found that the </w:t>
      </w:r>
      <w:r w:rsidR="00D15A60" w:rsidRPr="00FC59B5">
        <w:rPr>
          <w:rFonts w:asciiTheme="majorBidi" w:eastAsia="Verdana" w:hAnsiTheme="majorBidi" w:cstheme="majorBidi"/>
          <w:color w:val="000000" w:themeColor="text1"/>
          <w:sz w:val="24"/>
          <w:szCs w:val="24"/>
          <w:shd w:val="clear" w:color="auto" w:fill="FFFFFF"/>
          <w:lang w:bidi="ar"/>
        </w:rPr>
        <w:t>coefficient</w:t>
      </w:r>
      <w:r w:rsidR="00D15A60" w:rsidRPr="00FC59B5">
        <w:rPr>
          <w:rFonts w:asciiTheme="majorBidi" w:hAnsiTheme="majorBidi" w:cstheme="majorBidi"/>
          <w:color w:val="000000" w:themeColor="text1"/>
          <w:sz w:val="24"/>
          <w:szCs w:val="24"/>
        </w:rPr>
        <w:t xml:space="preserve"> of ESG disclosure score with the negative tone of CSR (-0.162) is negative but not significant</w:t>
      </w:r>
      <w:r w:rsidR="00DB5EC8" w:rsidRPr="00FC59B5">
        <w:rPr>
          <w:rFonts w:asciiTheme="majorBidi" w:hAnsiTheme="majorBidi" w:cstheme="majorBidi"/>
          <w:color w:val="000000" w:themeColor="text1"/>
          <w:sz w:val="24"/>
          <w:szCs w:val="24"/>
        </w:rPr>
        <w:t xml:space="preserve">. </w:t>
      </w:r>
      <w:r w:rsidR="001C7025" w:rsidRPr="00FC59B5">
        <w:rPr>
          <w:rFonts w:asciiTheme="majorBidi" w:hAnsiTheme="majorBidi" w:cstheme="majorBidi"/>
          <w:color w:val="000000" w:themeColor="text1"/>
          <w:sz w:val="24"/>
          <w:szCs w:val="24"/>
        </w:rPr>
        <w:t xml:space="preserve">High </w:t>
      </w:r>
      <w:r w:rsidRPr="00FC59B5">
        <w:rPr>
          <w:rFonts w:asciiTheme="majorBidi" w:hAnsiTheme="majorBidi" w:cstheme="majorBidi"/>
          <w:color w:val="000000" w:themeColor="text1"/>
          <w:sz w:val="24"/>
          <w:szCs w:val="24"/>
        </w:rPr>
        <w:t>ESG disclosure score positively affect</w:t>
      </w:r>
      <w:r w:rsidR="001C7025" w:rsidRPr="00FC59B5">
        <w:rPr>
          <w:rFonts w:asciiTheme="majorBidi" w:hAnsiTheme="majorBidi" w:cstheme="majorBidi"/>
          <w:color w:val="000000" w:themeColor="text1"/>
          <w:sz w:val="24"/>
          <w:szCs w:val="24"/>
        </w:rPr>
        <w:t>s</w:t>
      </w:r>
      <w:r w:rsidRPr="00FC59B5">
        <w:rPr>
          <w:rFonts w:asciiTheme="majorBidi" w:hAnsiTheme="majorBidi" w:cstheme="majorBidi"/>
          <w:color w:val="000000" w:themeColor="text1"/>
          <w:sz w:val="24"/>
          <w:szCs w:val="24"/>
        </w:rPr>
        <w:t xml:space="preserve"> the </w:t>
      </w:r>
      <w:r w:rsidRPr="00FC59B5">
        <w:rPr>
          <w:rFonts w:asciiTheme="majorBidi" w:hAnsiTheme="majorBidi" w:cstheme="majorBidi"/>
          <w:color w:val="000000" w:themeColor="text1"/>
          <w:sz w:val="24"/>
          <w:szCs w:val="24"/>
        </w:rPr>
        <w:lastRenderedPageBreak/>
        <w:t xml:space="preserve">positive tone of CSR which means managers would have </w:t>
      </w:r>
      <w:r w:rsidR="001C7025" w:rsidRPr="00FC59B5">
        <w:rPr>
          <w:rFonts w:asciiTheme="majorBidi" w:hAnsiTheme="majorBidi" w:cstheme="majorBidi"/>
          <w:color w:val="000000" w:themeColor="text1"/>
          <w:sz w:val="24"/>
          <w:szCs w:val="24"/>
        </w:rPr>
        <w:t xml:space="preserve">a </w:t>
      </w:r>
      <w:r w:rsidRPr="00FC59B5">
        <w:rPr>
          <w:rFonts w:asciiTheme="majorBidi" w:hAnsiTheme="majorBidi" w:cstheme="majorBidi"/>
          <w:color w:val="000000" w:themeColor="text1"/>
          <w:sz w:val="24"/>
          <w:szCs w:val="24"/>
        </w:rPr>
        <w:t xml:space="preserve">more positive tone in their CSR report to signal a greater ability to engage in corporate social responsibility </w:t>
      </w:r>
      <w:proofErr w:type="gramStart"/>
      <w:r w:rsidRPr="00FC59B5">
        <w:rPr>
          <w:rFonts w:asciiTheme="majorBidi" w:hAnsiTheme="majorBidi" w:cstheme="majorBidi"/>
          <w:color w:val="000000" w:themeColor="text1"/>
          <w:sz w:val="24"/>
          <w:szCs w:val="24"/>
        </w:rPr>
        <w:t>and also</w:t>
      </w:r>
      <w:proofErr w:type="gramEnd"/>
      <w:r w:rsidRPr="00FC59B5">
        <w:rPr>
          <w:rFonts w:asciiTheme="majorBidi" w:hAnsiTheme="majorBidi" w:cstheme="majorBidi"/>
          <w:color w:val="000000" w:themeColor="text1"/>
          <w:sz w:val="24"/>
          <w:szCs w:val="24"/>
        </w:rPr>
        <w:t xml:space="preserve"> to signal their company’s good performance and thus enhance their reputation to gain competitive advantages.</w:t>
      </w:r>
      <w:r w:rsidR="00D15A60" w:rsidRPr="00FC59B5">
        <w:rPr>
          <w:rFonts w:asciiTheme="majorBidi" w:hAnsiTheme="majorBidi" w:cstheme="majorBidi"/>
          <w:color w:val="000000" w:themeColor="text1"/>
          <w:sz w:val="24"/>
          <w:szCs w:val="24"/>
        </w:rPr>
        <w:t xml:space="preserve"> </w:t>
      </w:r>
      <w:r w:rsidR="008403B0" w:rsidRPr="00FC59B5">
        <w:rPr>
          <w:rFonts w:asciiTheme="majorBidi" w:hAnsiTheme="majorBidi" w:cstheme="majorBidi"/>
          <w:color w:val="000000" w:themeColor="text1"/>
          <w:sz w:val="24"/>
          <w:szCs w:val="24"/>
        </w:rPr>
        <w:t xml:space="preserve">Further, more women on board </w:t>
      </w:r>
      <w:r w:rsidR="001C7025" w:rsidRPr="00FC59B5">
        <w:rPr>
          <w:rFonts w:asciiTheme="majorBidi" w:hAnsiTheme="majorBidi" w:cstheme="majorBidi"/>
          <w:color w:val="000000" w:themeColor="text1"/>
          <w:sz w:val="24"/>
          <w:szCs w:val="24"/>
        </w:rPr>
        <w:t xml:space="preserve">significantly </w:t>
      </w:r>
      <w:r w:rsidR="008403B0" w:rsidRPr="00FC59B5">
        <w:rPr>
          <w:rFonts w:asciiTheme="majorBidi" w:hAnsiTheme="majorBidi" w:cstheme="majorBidi"/>
          <w:color w:val="000000" w:themeColor="text1"/>
          <w:sz w:val="24"/>
          <w:szCs w:val="24"/>
        </w:rPr>
        <w:t xml:space="preserve">decrease the negativity of CSR tone. </w:t>
      </w:r>
    </w:p>
    <w:p w14:paraId="07160326" w14:textId="77777777" w:rsidR="00486D2E" w:rsidRPr="00FC59B5" w:rsidRDefault="00486D2E" w:rsidP="002D154D">
      <w:pPr>
        <w:spacing w:after="120" w:line="360" w:lineRule="auto"/>
        <w:contextualSpacing/>
        <w:jc w:val="both"/>
        <w:rPr>
          <w:rFonts w:asciiTheme="majorBidi" w:hAnsiTheme="majorBidi" w:cstheme="majorBidi"/>
          <w:color w:val="000000" w:themeColor="text1"/>
          <w:sz w:val="24"/>
          <w:szCs w:val="24"/>
        </w:rPr>
      </w:pPr>
    </w:p>
    <w:p w14:paraId="502885C1" w14:textId="35725DB0" w:rsidR="00D228C1" w:rsidRPr="00FC59B5" w:rsidRDefault="00745CF4" w:rsidP="00380F9B">
      <w:pPr>
        <w:contextualSpacing/>
        <w:jc w:val="center"/>
        <w:rPr>
          <w:rFonts w:ascii="Times New Roman" w:hAnsi="Times New Roman" w:cs="Times New Roman"/>
          <w:color w:val="000000" w:themeColor="text1"/>
          <w:sz w:val="28"/>
          <w:szCs w:val="28"/>
        </w:rPr>
      </w:pPr>
      <w:r w:rsidRPr="00FC59B5">
        <w:rPr>
          <w:rFonts w:ascii="Times New Roman" w:hAnsi="Times New Roman" w:cs="Times New Roman"/>
          <w:color w:val="000000" w:themeColor="text1"/>
          <w:sz w:val="28"/>
          <w:szCs w:val="28"/>
        </w:rPr>
        <w:t>Insert Table 4</w:t>
      </w:r>
    </w:p>
    <w:p w14:paraId="7F810971" w14:textId="77777777" w:rsidR="002D154D" w:rsidRPr="00FC59B5" w:rsidRDefault="002D154D" w:rsidP="002D154D">
      <w:pPr>
        <w:contextualSpacing/>
        <w:rPr>
          <w:rFonts w:asciiTheme="majorBidi" w:hAnsiTheme="majorBidi" w:cstheme="majorBidi"/>
          <w:color w:val="000000" w:themeColor="text1"/>
          <w:sz w:val="24"/>
          <w:szCs w:val="24"/>
        </w:rPr>
      </w:pPr>
    </w:p>
    <w:p w14:paraId="3DA01441" w14:textId="7D207676" w:rsidR="00D14FFA" w:rsidRPr="00FC59B5" w:rsidRDefault="00D14FFA" w:rsidP="00A11C60">
      <w:pPr>
        <w:pStyle w:val="Heading1"/>
        <w:numPr>
          <w:ilvl w:val="0"/>
          <w:numId w:val="6"/>
        </w:numP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 xml:space="preserve">Additional </w:t>
      </w:r>
      <w:r w:rsidR="002D154D" w:rsidRPr="00FC59B5">
        <w:rPr>
          <w:rFonts w:asciiTheme="majorBidi" w:hAnsiTheme="majorBidi" w:cstheme="majorBidi"/>
          <w:b/>
          <w:bCs/>
          <w:color w:val="000000" w:themeColor="text1"/>
          <w:sz w:val="24"/>
          <w:szCs w:val="24"/>
        </w:rPr>
        <w:t>A</w:t>
      </w:r>
      <w:r w:rsidRPr="00FC59B5">
        <w:rPr>
          <w:rFonts w:asciiTheme="majorBidi" w:hAnsiTheme="majorBidi" w:cstheme="majorBidi"/>
          <w:b/>
          <w:bCs/>
          <w:color w:val="000000" w:themeColor="text1"/>
          <w:sz w:val="24"/>
          <w:szCs w:val="24"/>
        </w:rPr>
        <w:t>nalysis</w:t>
      </w:r>
    </w:p>
    <w:p w14:paraId="53BCAB6D" w14:textId="4CE2AA15" w:rsidR="00B17DE9" w:rsidRPr="00FC59B5" w:rsidRDefault="00B17DE9" w:rsidP="00B17DE9">
      <w:pPr>
        <w:tabs>
          <w:tab w:val="left" w:pos="6804"/>
        </w:tabs>
        <w:spacing w:after="0" w:line="360" w:lineRule="auto"/>
        <w:contextualSpacing/>
        <w:jc w:val="both"/>
        <w:rPr>
          <w:rFonts w:asciiTheme="majorBidi" w:eastAsia="Verdana" w:hAnsiTheme="majorBidi" w:cstheme="majorBidi"/>
          <w:color w:val="000000" w:themeColor="text1"/>
          <w:sz w:val="24"/>
          <w:szCs w:val="24"/>
          <w:shd w:val="clear" w:color="auto" w:fill="FFFFFF"/>
          <w:lang w:bidi="ar"/>
        </w:rPr>
      </w:pPr>
      <w:r w:rsidRPr="00FC59B5">
        <w:rPr>
          <w:rFonts w:asciiTheme="majorBidi" w:eastAsia="Verdana" w:hAnsiTheme="majorBidi" w:cstheme="majorBidi"/>
          <w:color w:val="000000" w:themeColor="text1"/>
          <w:sz w:val="24"/>
          <w:szCs w:val="24"/>
          <w:shd w:val="clear" w:color="auto" w:fill="FFFFFF"/>
          <w:lang w:bidi="ar"/>
        </w:rPr>
        <w:t>In this section, we have run the analysis again on sub-samples based on ESG score (Low: 0-25%, Medium: 25-50%, and High: 50-100%), then based on board size (less or equal to 10, more than 10), to explore the impact of ESG level and/or board size on the relationship between corporate governance and CSR tone.</w:t>
      </w:r>
    </w:p>
    <w:p w14:paraId="3F912D0B" w14:textId="729C1B26" w:rsidR="00B17DE9" w:rsidRPr="00FC59B5" w:rsidRDefault="00A009B9" w:rsidP="00B17DE9">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As it can be seen from table </w:t>
      </w:r>
      <w:r w:rsidR="00F73680" w:rsidRPr="00FC59B5">
        <w:rPr>
          <w:rFonts w:asciiTheme="majorBidi" w:hAnsiTheme="majorBidi" w:cstheme="majorBidi"/>
          <w:color w:val="000000" w:themeColor="text1"/>
          <w:sz w:val="24"/>
          <w:szCs w:val="24"/>
        </w:rPr>
        <w:t>5</w:t>
      </w:r>
      <w:r w:rsidR="009C6F08" w:rsidRPr="00FC59B5">
        <w:rPr>
          <w:rFonts w:asciiTheme="majorBidi" w:hAnsiTheme="majorBidi" w:cstheme="majorBidi"/>
          <w:color w:val="000000" w:themeColor="text1"/>
          <w:sz w:val="24"/>
          <w:szCs w:val="24"/>
        </w:rPr>
        <w:t xml:space="preserve">, we divided </w:t>
      </w:r>
      <w:r w:rsidR="00461528" w:rsidRPr="00FC59B5">
        <w:rPr>
          <w:rFonts w:asciiTheme="majorBidi" w:hAnsiTheme="majorBidi" w:cstheme="majorBidi"/>
          <w:color w:val="000000" w:themeColor="text1"/>
          <w:sz w:val="24"/>
          <w:szCs w:val="24"/>
        </w:rPr>
        <w:t>our</w:t>
      </w:r>
      <w:r w:rsidR="009C6F08" w:rsidRPr="00FC59B5">
        <w:rPr>
          <w:rFonts w:asciiTheme="majorBidi" w:hAnsiTheme="majorBidi" w:cstheme="majorBidi"/>
          <w:color w:val="000000" w:themeColor="text1"/>
          <w:sz w:val="24"/>
          <w:szCs w:val="24"/>
        </w:rPr>
        <w:t xml:space="preserve"> sample into three sub-samples, 1. Firms with </w:t>
      </w:r>
      <w:r w:rsidR="00430D9B" w:rsidRPr="00FC59B5">
        <w:rPr>
          <w:rFonts w:asciiTheme="majorBidi" w:hAnsiTheme="majorBidi" w:cstheme="majorBidi"/>
          <w:color w:val="000000" w:themeColor="text1"/>
          <w:sz w:val="24"/>
          <w:szCs w:val="24"/>
        </w:rPr>
        <w:t xml:space="preserve">a </w:t>
      </w:r>
      <w:r w:rsidR="009C6F08" w:rsidRPr="00FC59B5">
        <w:rPr>
          <w:rFonts w:asciiTheme="majorBidi" w:hAnsiTheme="majorBidi" w:cstheme="majorBidi"/>
          <w:color w:val="000000" w:themeColor="text1"/>
          <w:sz w:val="24"/>
          <w:szCs w:val="24"/>
        </w:rPr>
        <w:t xml:space="preserve">low level of ESG disclosure, include firms that have between 0-25% ESG score according to Bloomberg data. 2. Firms with </w:t>
      </w:r>
      <w:r w:rsidR="00430D9B" w:rsidRPr="00FC59B5">
        <w:rPr>
          <w:rFonts w:asciiTheme="majorBidi" w:hAnsiTheme="majorBidi" w:cstheme="majorBidi"/>
          <w:color w:val="000000" w:themeColor="text1"/>
          <w:sz w:val="24"/>
          <w:szCs w:val="24"/>
        </w:rPr>
        <w:t xml:space="preserve">a </w:t>
      </w:r>
      <w:r w:rsidR="009C6F08" w:rsidRPr="00FC59B5">
        <w:rPr>
          <w:rFonts w:asciiTheme="majorBidi" w:hAnsiTheme="majorBidi" w:cstheme="majorBidi"/>
          <w:color w:val="000000" w:themeColor="text1"/>
          <w:sz w:val="24"/>
          <w:szCs w:val="24"/>
        </w:rPr>
        <w:t>medium level of ESG score that have between 25-50% and 3.</w:t>
      </w:r>
      <w:r w:rsidR="00B17DE9" w:rsidRPr="00FC59B5">
        <w:rPr>
          <w:rFonts w:asciiTheme="majorBidi" w:hAnsiTheme="majorBidi" w:cstheme="majorBidi"/>
          <w:color w:val="000000" w:themeColor="text1"/>
          <w:sz w:val="24"/>
          <w:szCs w:val="24"/>
        </w:rPr>
        <w:t xml:space="preserve"> </w:t>
      </w:r>
      <w:r w:rsidR="009C6F08" w:rsidRPr="00FC59B5">
        <w:rPr>
          <w:rFonts w:asciiTheme="majorBidi" w:hAnsiTheme="majorBidi" w:cstheme="majorBidi"/>
          <w:color w:val="000000" w:themeColor="text1"/>
          <w:sz w:val="24"/>
          <w:szCs w:val="24"/>
        </w:rPr>
        <w:t xml:space="preserve">Firms with </w:t>
      </w:r>
      <w:r w:rsidR="00430D9B" w:rsidRPr="00FC59B5">
        <w:rPr>
          <w:rFonts w:asciiTheme="majorBidi" w:hAnsiTheme="majorBidi" w:cstheme="majorBidi"/>
          <w:color w:val="000000" w:themeColor="text1"/>
          <w:sz w:val="24"/>
          <w:szCs w:val="24"/>
        </w:rPr>
        <w:t xml:space="preserve">a </w:t>
      </w:r>
      <w:r w:rsidR="009C6F08" w:rsidRPr="00FC59B5">
        <w:rPr>
          <w:rFonts w:asciiTheme="majorBidi" w:hAnsiTheme="majorBidi" w:cstheme="majorBidi"/>
          <w:color w:val="000000" w:themeColor="text1"/>
          <w:sz w:val="24"/>
          <w:szCs w:val="24"/>
        </w:rPr>
        <w:t xml:space="preserve">high level of ESG disclosure score have </w:t>
      </w:r>
      <w:r w:rsidR="00430D9B" w:rsidRPr="00FC59B5">
        <w:rPr>
          <w:rFonts w:asciiTheme="majorBidi" w:hAnsiTheme="majorBidi" w:cstheme="majorBidi"/>
          <w:color w:val="000000" w:themeColor="text1"/>
          <w:sz w:val="24"/>
          <w:szCs w:val="24"/>
        </w:rPr>
        <w:t xml:space="preserve">an </w:t>
      </w:r>
      <w:r w:rsidR="009C6F08" w:rsidRPr="00FC59B5">
        <w:rPr>
          <w:rFonts w:asciiTheme="majorBidi" w:hAnsiTheme="majorBidi" w:cstheme="majorBidi"/>
          <w:color w:val="000000" w:themeColor="text1"/>
          <w:sz w:val="24"/>
          <w:szCs w:val="24"/>
        </w:rPr>
        <w:t xml:space="preserve">ESG score </w:t>
      </w:r>
      <w:r w:rsidR="00430D9B" w:rsidRPr="00FC59B5">
        <w:rPr>
          <w:rFonts w:asciiTheme="majorBidi" w:hAnsiTheme="majorBidi" w:cstheme="majorBidi"/>
          <w:color w:val="000000" w:themeColor="text1"/>
          <w:sz w:val="24"/>
          <w:szCs w:val="24"/>
        </w:rPr>
        <w:t xml:space="preserve">of </w:t>
      </w:r>
      <w:r w:rsidR="009C6F08" w:rsidRPr="00FC59B5">
        <w:rPr>
          <w:rFonts w:asciiTheme="majorBidi" w:hAnsiTheme="majorBidi" w:cstheme="majorBidi"/>
          <w:color w:val="000000" w:themeColor="text1"/>
          <w:sz w:val="24"/>
          <w:szCs w:val="24"/>
        </w:rPr>
        <w:t>more than 50%. The</w:t>
      </w:r>
      <w:r w:rsidR="00461528" w:rsidRPr="00FC59B5">
        <w:rPr>
          <w:rFonts w:asciiTheme="majorBidi" w:hAnsiTheme="majorBidi" w:cstheme="majorBidi"/>
          <w:color w:val="000000" w:themeColor="text1"/>
          <w:sz w:val="24"/>
          <w:szCs w:val="24"/>
        </w:rPr>
        <w:t xml:space="preserve"> results show that for firms with </w:t>
      </w:r>
      <w:r w:rsidR="00430D9B" w:rsidRPr="00FC59B5">
        <w:rPr>
          <w:rFonts w:asciiTheme="majorBidi" w:hAnsiTheme="majorBidi" w:cstheme="majorBidi"/>
          <w:color w:val="000000" w:themeColor="text1"/>
          <w:sz w:val="24"/>
          <w:szCs w:val="24"/>
        </w:rPr>
        <w:t xml:space="preserve">a low </w:t>
      </w:r>
      <w:r w:rsidR="00461528" w:rsidRPr="00FC59B5">
        <w:rPr>
          <w:rFonts w:asciiTheme="majorBidi" w:hAnsiTheme="majorBidi" w:cstheme="majorBidi"/>
          <w:color w:val="000000" w:themeColor="text1"/>
          <w:sz w:val="24"/>
          <w:szCs w:val="24"/>
        </w:rPr>
        <w:t>ESG score (less than 25%), board size</w:t>
      </w:r>
      <w:r w:rsidR="00AF07DE" w:rsidRPr="00FC59B5">
        <w:rPr>
          <w:rFonts w:asciiTheme="majorBidi" w:hAnsiTheme="majorBidi" w:cstheme="majorBidi"/>
          <w:color w:val="000000" w:themeColor="text1"/>
          <w:sz w:val="24"/>
          <w:szCs w:val="24"/>
        </w:rPr>
        <w:t xml:space="preserve"> and audit committee size are </w:t>
      </w:r>
      <w:r w:rsidR="00461528" w:rsidRPr="00FC59B5">
        <w:rPr>
          <w:rFonts w:asciiTheme="majorBidi" w:hAnsiTheme="majorBidi" w:cstheme="majorBidi"/>
          <w:color w:val="000000" w:themeColor="text1"/>
          <w:sz w:val="24"/>
          <w:szCs w:val="24"/>
        </w:rPr>
        <w:t xml:space="preserve">significantly related </w:t>
      </w:r>
      <w:r w:rsidR="00430D9B" w:rsidRPr="00FC59B5">
        <w:rPr>
          <w:rFonts w:asciiTheme="majorBidi" w:hAnsiTheme="majorBidi" w:cstheme="majorBidi"/>
          <w:color w:val="000000" w:themeColor="text1"/>
          <w:sz w:val="24"/>
          <w:szCs w:val="24"/>
        </w:rPr>
        <w:t xml:space="preserve">to </w:t>
      </w:r>
      <w:r w:rsidR="00461528" w:rsidRPr="00FC59B5">
        <w:rPr>
          <w:rFonts w:asciiTheme="majorBidi" w:hAnsiTheme="majorBidi" w:cstheme="majorBidi"/>
          <w:color w:val="000000" w:themeColor="text1"/>
          <w:sz w:val="24"/>
          <w:szCs w:val="24"/>
        </w:rPr>
        <w:t>the</w:t>
      </w:r>
      <w:r w:rsidR="008403B0" w:rsidRPr="00FC59B5">
        <w:rPr>
          <w:rFonts w:asciiTheme="majorBidi" w:hAnsiTheme="majorBidi" w:cstheme="majorBidi"/>
          <w:color w:val="000000" w:themeColor="text1"/>
          <w:sz w:val="24"/>
          <w:szCs w:val="24"/>
        </w:rPr>
        <w:t xml:space="preserve"> positive</w:t>
      </w:r>
      <w:r w:rsidR="00AF07DE" w:rsidRPr="00FC59B5">
        <w:rPr>
          <w:rFonts w:asciiTheme="majorBidi" w:hAnsiTheme="majorBidi" w:cstheme="majorBidi"/>
          <w:color w:val="000000" w:themeColor="text1"/>
          <w:sz w:val="24"/>
          <w:szCs w:val="24"/>
        </w:rPr>
        <w:t xml:space="preserve"> tone of CSR. We also found the same results for board independence when </w:t>
      </w:r>
      <w:r w:rsidR="00430D9B" w:rsidRPr="00FC59B5">
        <w:rPr>
          <w:rFonts w:asciiTheme="majorBidi" w:hAnsiTheme="majorBidi" w:cstheme="majorBidi"/>
          <w:color w:val="000000" w:themeColor="text1"/>
          <w:sz w:val="24"/>
          <w:szCs w:val="24"/>
        </w:rPr>
        <w:t xml:space="preserve">the </w:t>
      </w:r>
      <w:r w:rsidR="00AF07DE" w:rsidRPr="00FC59B5">
        <w:rPr>
          <w:rFonts w:asciiTheme="majorBidi" w:hAnsiTheme="majorBidi" w:cstheme="majorBidi"/>
          <w:color w:val="000000" w:themeColor="text1"/>
          <w:sz w:val="24"/>
          <w:szCs w:val="24"/>
        </w:rPr>
        <w:t>ESG score is in the medium level.  Further, the coefficient of women on board is significant and positive for firms with medium and high ESG scores.</w:t>
      </w:r>
    </w:p>
    <w:p w14:paraId="009D0712" w14:textId="4156EE0B" w:rsidR="00AF07DE" w:rsidRPr="00FC59B5" w:rsidRDefault="00AF07DE" w:rsidP="00B17DE9">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In addition, we divided our sample into firms that have less than </w:t>
      </w:r>
      <w:r w:rsidR="0000661A" w:rsidRPr="00FC59B5">
        <w:rPr>
          <w:rFonts w:asciiTheme="majorBidi" w:hAnsiTheme="majorBidi" w:cstheme="majorBidi"/>
          <w:color w:val="000000" w:themeColor="text1"/>
          <w:sz w:val="24"/>
          <w:szCs w:val="24"/>
        </w:rPr>
        <w:t xml:space="preserve">10 members (the average board size) as board size and more than 10. The results show that no matter what </w:t>
      </w:r>
      <w:r w:rsidR="00B17DE9" w:rsidRPr="00FC59B5">
        <w:rPr>
          <w:rFonts w:asciiTheme="majorBidi" w:hAnsiTheme="majorBidi" w:cstheme="majorBidi"/>
          <w:color w:val="000000" w:themeColor="text1"/>
          <w:sz w:val="24"/>
          <w:szCs w:val="24"/>
        </w:rPr>
        <w:t>the board size is</w:t>
      </w:r>
      <w:r w:rsidR="0000661A" w:rsidRPr="00FC59B5">
        <w:rPr>
          <w:rFonts w:asciiTheme="majorBidi" w:hAnsiTheme="majorBidi" w:cstheme="majorBidi"/>
          <w:color w:val="000000" w:themeColor="text1"/>
          <w:sz w:val="24"/>
          <w:szCs w:val="24"/>
        </w:rPr>
        <w:t xml:space="preserve">, independent directors and ESG disclosure score are significantly related </w:t>
      </w:r>
      <w:r w:rsidR="00430D9B" w:rsidRPr="00FC59B5">
        <w:rPr>
          <w:rFonts w:asciiTheme="majorBidi" w:hAnsiTheme="majorBidi" w:cstheme="majorBidi"/>
          <w:color w:val="000000" w:themeColor="text1"/>
          <w:sz w:val="24"/>
          <w:szCs w:val="24"/>
        </w:rPr>
        <w:t xml:space="preserve">to </w:t>
      </w:r>
      <w:r w:rsidR="0000661A" w:rsidRPr="00FC59B5">
        <w:rPr>
          <w:rFonts w:asciiTheme="majorBidi" w:hAnsiTheme="majorBidi" w:cstheme="majorBidi"/>
          <w:color w:val="000000" w:themeColor="text1"/>
          <w:sz w:val="24"/>
          <w:szCs w:val="24"/>
        </w:rPr>
        <w:t>CSR to</w:t>
      </w:r>
      <w:r w:rsidR="006F5B94" w:rsidRPr="00FC59B5">
        <w:rPr>
          <w:rFonts w:asciiTheme="majorBidi" w:hAnsiTheme="majorBidi" w:cstheme="majorBidi"/>
          <w:color w:val="000000" w:themeColor="text1"/>
          <w:sz w:val="24"/>
          <w:szCs w:val="24"/>
        </w:rPr>
        <w:t>ne.</w:t>
      </w:r>
      <w:r w:rsidR="00AF0BC0" w:rsidRPr="00FC59B5">
        <w:rPr>
          <w:rFonts w:asciiTheme="majorBidi" w:hAnsiTheme="majorBidi" w:cstheme="majorBidi"/>
          <w:color w:val="000000" w:themeColor="text1"/>
          <w:sz w:val="24"/>
          <w:szCs w:val="24"/>
        </w:rPr>
        <w:t xml:space="preserve"> </w:t>
      </w:r>
      <w:r w:rsidR="00646768" w:rsidRPr="00FC59B5">
        <w:rPr>
          <w:rFonts w:asciiTheme="majorBidi" w:hAnsiTheme="majorBidi" w:cstheme="majorBidi"/>
          <w:color w:val="000000" w:themeColor="text1"/>
          <w:sz w:val="24"/>
          <w:szCs w:val="24"/>
        </w:rPr>
        <w:t>Interestingly, w</w:t>
      </w:r>
      <w:r w:rsidR="00AF0BC0" w:rsidRPr="00FC59B5">
        <w:rPr>
          <w:rFonts w:asciiTheme="majorBidi" w:hAnsiTheme="majorBidi" w:cstheme="majorBidi"/>
          <w:color w:val="000000" w:themeColor="text1"/>
          <w:sz w:val="24"/>
          <w:szCs w:val="24"/>
        </w:rPr>
        <w:t>e can also see from the results reporte</w:t>
      </w:r>
      <w:r w:rsidR="00A009B9" w:rsidRPr="00FC59B5">
        <w:rPr>
          <w:rFonts w:asciiTheme="majorBidi" w:hAnsiTheme="majorBidi" w:cstheme="majorBidi"/>
          <w:color w:val="000000" w:themeColor="text1"/>
          <w:sz w:val="24"/>
          <w:szCs w:val="24"/>
        </w:rPr>
        <w:t xml:space="preserve">d in table </w:t>
      </w:r>
      <w:r w:rsidR="00F73680" w:rsidRPr="00FC59B5">
        <w:rPr>
          <w:rFonts w:asciiTheme="majorBidi" w:hAnsiTheme="majorBidi" w:cstheme="majorBidi"/>
          <w:color w:val="000000" w:themeColor="text1"/>
          <w:sz w:val="24"/>
          <w:szCs w:val="24"/>
        </w:rPr>
        <w:t>5</w:t>
      </w:r>
      <w:r w:rsidR="00B17DE9" w:rsidRPr="00FC59B5">
        <w:rPr>
          <w:rFonts w:asciiTheme="majorBidi" w:hAnsiTheme="majorBidi" w:cstheme="majorBidi"/>
          <w:color w:val="000000" w:themeColor="text1"/>
          <w:sz w:val="24"/>
          <w:szCs w:val="24"/>
        </w:rPr>
        <w:t xml:space="preserve"> that</w:t>
      </w:r>
      <w:r w:rsidR="00646768" w:rsidRPr="00FC59B5">
        <w:rPr>
          <w:rFonts w:asciiTheme="majorBidi" w:hAnsiTheme="majorBidi" w:cstheme="majorBidi"/>
          <w:color w:val="000000" w:themeColor="text1"/>
          <w:sz w:val="24"/>
          <w:szCs w:val="24"/>
        </w:rPr>
        <w:t xml:space="preserve"> women on board percentage </w:t>
      </w:r>
      <w:r w:rsidR="00430D9B" w:rsidRPr="00FC59B5">
        <w:rPr>
          <w:rFonts w:asciiTheme="majorBidi" w:hAnsiTheme="majorBidi" w:cstheme="majorBidi"/>
          <w:color w:val="000000" w:themeColor="text1"/>
          <w:sz w:val="24"/>
          <w:szCs w:val="24"/>
        </w:rPr>
        <w:t xml:space="preserve">have </w:t>
      </w:r>
      <w:r w:rsidR="00646768" w:rsidRPr="00FC59B5">
        <w:rPr>
          <w:rFonts w:asciiTheme="majorBidi" w:hAnsiTheme="majorBidi" w:cstheme="majorBidi"/>
          <w:color w:val="000000" w:themeColor="text1"/>
          <w:sz w:val="24"/>
          <w:szCs w:val="24"/>
        </w:rPr>
        <w:t>a positive impact on the positivity of CSR tone when ESG score is medium or high as well as when board size is more than 10 members.</w:t>
      </w:r>
    </w:p>
    <w:p w14:paraId="3EF6FDDA" w14:textId="77777777" w:rsidR="002D154D" w:rsidRPr="00FC59B5" w:rsidRDefault="002D154D" w:rsidP="002D154D">
      <w:pPr>
        <w:spacing w:after="120" w:line="360" w:lineRule="auto"/>
        <w:contextualSpacing/>
        <w:jc w:val="both"/>
        <w:rPr>
          <w:rFonts w:asciiTheme="majorBidi" w:hAnsiTheme="majorBidi" w:cstheme="majorBidi"/>
          <w:color w:val="000000" w:themeColor="text1"/>
          <w:sz w:val="24"/>
          <w:szCs w:val="24"/>
        </w:rPr>
      </w:pPr>
    </w:p>
    <w:p w14:paraId="2324EE9F" w14:textId="67391A2D" w:rsidR="00A009B9" w:rsidRPr="00FC59B5" w:rsidRDefault="00745CF4" w:rsidP="00380F9B">
      <w:pPr>
        <w:tabs>
          <w:tab w:val="left" w:pos="6804"/>
        </w:tabs>
        <w:spacing w:after="0" w:line="360" w:lineRule="auto"/>
        <w:contextualSpacing/>
        <w:jc w:val="center"/>
        <w:rPr>
          <w:rFonts w:ascii="Cambria" w:hAnsi="Cambria"/>
          <w:color w:val="000000" w:themeColor="text1"/>
          <w:sz w:val="16"/>
          <w:szCs w:val="16"/>
        </w:rPr>
      </w:pPr>
      <w:r w:rsidRPr="00FC59B5">
        <w:rPr>
          <w:rFonts w:ascii="Times New Roman" w:hAnsi="Times New Roman" w:cs="Times New Roman"/>
          <w:color w:val="000000" w:themeColor="text1"/>
          <w:sz w:val="28"/>
          <w:szCs w:val="28"/>
        </w:rPr>
        <w:t>Insert Table 5</w:t>
      </w:r>
    </w:p>
    <w:p w14:paraId="5A37FA13" w14:textId="4E6C6802" w:rsidR="00D14FFA" w:rsidRPr="00FC59B5" w:rsidRDefault="00D14FFA" w:rsidP="00D14FFA">
      <w:pPr>
        <w:tabs>
          <w:tab w:val="left" w:pos="6804"/>
        </w:tabs>
        <w:spacing w:after="0" w:line="360" w:lineRule="auto"/>
        <w:contextualSpacing/>
        <w:jc w:val="both"/>
        <w:rPr>
          <w:rFonts w:asciiTheme="majorBidi" w:hAnsiTheme="majorBidi" w:cstheme="majorBidi"/>
          <w:color w:val="000000" w:themeColor="text1"/>
          <w:sz w:val="24"/>
          <w:szCs w:val="24"/>
        </w:rPr>
      </w:pPr>
    </w:p>
    <w:p w14:paraId="73709A24" w14:textId="6244DF22" w:rsidR="00B17DE9" w:rsidRPr="00FC59B5" w:rsidRDefault="00B17DE9" w:rsidP="00B17DE9">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One additional analysis is to check </w:t>
      </w:r>
      <w:r w:rsidR="00DB5EC8" w:rsidRPr="00FC59B5">
        <w:rPr>
          <w:rFonts w:asciiTheme="majorBidi" w:hAnsiTheme="majorBidi" w:cstheme="majorBidi"/>
          <w:color w:val="000000" w:themeColor="text1"/>
          <w:sz w:val="24"/>
          <w:szCs w:val="24"/>
        </w:rPr>
        <w:t xml:space="preserve">whether any </w:t>
      </w:r>
      <w:r w:rsidRPr="00FC59B5">
        <w:rPr>
          <w:rFonts w:asciiTheme="majorBidi" w:hAnsiTheme="majorBidi" w:cstheme="majorBidi"/>
          <w:color w:val="000000" w:themeColor="text1"/>
          <w:sz w:val="24"/>
          <w:szCs w:val="24"/>
        </w:rPr>
        <w:t>deviation from the average</w:t>
      </w:r>
      <w:r w:rsidR="00DB5EC8" w:rsidRPr="00FC59B5">
        <w:rPr>
          <w:rFonts w:asciiTheme="majorBidi" w:hAnsiTheme="majorBidi" w:cstheme="majorBidi"/>
          <w:color w:val="000000" w:themeColor="text1"/>
          <w:sz w:val="24"/>
          <w:szCs w:val="24"/>
        </w:rPr>
        <w:t xml:space="preserve"> ESG score </w:t>
      </w:r>
      <w:r w:rsidRPr="00FC59B5">
        <w:rPr>
          <w:rFonts w:asciiTheme="majorBidi" w:hAnsiTheme="majorBidi" w:cstheme="majorBidi"/>
          <w:color w:val="000000" w:themeColor="text1"/>
          <w:sz w:val="24"/>
          <w:szCs w:val="24"/>
        </w:rPr>
        <w:t xml:space="preserve">has any impact on the governance-CSR tone relationship, </w:t>
      </w:r>
      <w:r w:rsidR="00DB5EC8" w:rsidRPr="00FC59B5">
        <w:rPr>
          <w:rFonts w:asciiTheme="majorBidi" w:hAnsiTheme="majorBidi" w:cstheme="majorBidi"/>
          <w:color w:val="000000" w:themeColor="text1"/>
          <w:sz w:val="24"/>
          <w:szCs w:val="24"/>
        </w:rPr>
        <w:t>so</w:t>
      </w:r>
      <w:r w:rsidR="006F5B94" w:rsidRPr="00FC59B5">
        <w:rPr>
          <w:rFonts w:asciiTheme="majorBidi" w:hAnsiTheme="majorBidi" w:cstheme="majorBidi"/>
          <w:color w:val="000000" w:themeColor="text1"/>
          <w:sz w:val="24"/>
          <w:szCs w:val="24"/>
        </w:rPr>
        <w:t xml:space="preserve"> we divided our sample into two sub-samples, firms with low ESG disclosure score (less than </w:t>
      </w:r>
      <w:r w:rsidRPr="00FC59B5">
        <w:rPr>
          <w:rFonts w:asciiTheme="majorBidi" w:hAnsiTheme="majorBidi" w:cstheme="majorBidi"/>
          <w:color w:val="000000" w:themeColor="text1"/>
          <w:sz w:val="24"/>
          <w:szCs w:val="24"/>
        </w:rPr>
        <w:t>ESG</w:t>
      </w:r>
      <w:r w:rsidR="006F5B94" w:rsidRPr="00FC59B5">
        <w:rPr>
          <w:rFonts w:asciiTheme="majorBidi" w:hAnsiTheme="majorBidi" w:cstheme="majorBidi"/>
          <w:color w:val="000000" w:themeColor="text1"/>
          <w:sz w:val="24"/>
          <w:szCs w:val="24"/>
        </w:rPr>
        <w:t xml:space="preserve"> average) and firms with high </w:t>
      </w:r>
      <w:r w:rsidR="006F5B94" w:rsidRPr="00FC59B5">
        <w:rPr>
          <w:rFonts w:asciiTheme="majorBidi" w:hAnsiTheme="majorBidi" w:cstheme="majorBidi"/>
          <w:color w:val="000000" w:themeColor="text1"/>
          <w:sz w:val="24"/>
          <w:szCs w:val="24"/>
        </w:rPr>
        <w:lastRenderedPageBreak/>
        <w:t>ESG disclosure score (</w:t>
      </w:r>
      <w:r w:rsidRPr="00FC59B5">
        <w:rPr>
          <w:rFonts w:asciiTheme="majorBidi" w:hAnsiTheme="majorBidi" w:cstheme="majorBidi"/>
          <w:color w:val="000000" w:themeColor="text1"/>
          <w:sz w:val="24"/>
          <w:szCs w:val="24"/>
        </w:rPr>
        <w:t>higher</w:t>
      </w:r>
      <w:r w:rsidR="006F5B94" w:rsidRPr="00FC59B5">
        <w:rPr>
          <w:rFonts w:asciiTheme="majorBidi" w:hAnsiTheme="majorBidi" w:cstheme="majorBidi"/>
          <w:color w:val="000000" w:themeColor="text1"/>
          <w:sz w:val="24"/>
          <w:szCs w:val="24"/>
        </w:rPr>
        <w:t xml:space="preserve"> than </w:t>
      </w:r>
      <w:r w:rsidRPr="00FC59B5">
        <w:rPr>
          <w:rFonts w:asciiTheme="majorBidi" w:hAnsiTheme="majorBidi" w:cstheme="majorBidi"/>
          <w:color w:val="000000" w:themeColor="text1"/>
          <w:sz w:val="24"/>
          <w:szCs w:val="24"/>
        </w:rPr>
        <w:t>ESG average</w:t>
      </w:r>
      <w:r w:rsidR="006F5B94" w:rsidRPr="00FC59B5">
        <w:rPr>
          <w:rFonts w:asciiTheme="majorBidi" w:hAnsiTheme="majorBidi" w:cstheme="majorBidi"/>
          <w:color w:val="000000" w:themeColor="text1"/>
          <w:sz w:val="24"/>
          <w:szCs w:val="24"/>
        </w:rPr>
        <w:t xml:space="preserve">). As it can be seen from running model </w:t>
      </w:r>
      <w:r w:rsidR="00DB5EC8" w:rsidRPr="00FC59B5">
        <w:rPr>
          <w:rFonts w:asciiTheme="majorBidi" w:hAnsiTheme="majorBidi" w:cstheme="majorBidi"/>
          <w:color w:val="000000" w:themeColor="text1"/>
          <w:sz w:val="24"/>
          <w:szCs w:val="24"/>
        </w:rPr>
        <w:t>11</w:t>
      </w:r>
      <w:r w:rsidR="00A009B9" w:rsidRPr="00FC59B5">
        <w:rPr>
          <w:rFonts w:asciiTheme="majorBidi" w:hAnsiTheme="majorBidi" w:cstheme="majorBidi"/>
          <w:color w:val="000000" w:themeColor="text1"/>
          <w:sz w:val="24"/>
          <w:szCs w:val="24"/>
        </w:rPr>
        <w:t xml:space="preserve"> in table </w:t>
      </w:r>
      <w:r w:rsidR="00F73680" w:rsidRPr="00FC59B5">
        <w:rPr>
          <w:rFonts w:asciiTheme="majorBidi" w:hAnsiTheme="majorBidi" w:cstheme="majorBidi"/>
          <w:color w:val="000000" w:themeColor="text1"/>
          <w:sz w:val="24"/>
          <w:szCs w:val="24"/>
        </w:rPr>
        <w:t>6</w:t>
      </w:r>
      <w:r w:rsidR="006F5B94" w:rsidRPr="00FC59B5">
        <w:rPr>
          <w:rFonts w:asciiTheme="majorBidi" w:hAnsiTheme="majorBidi" w:cstheme="majorBidi"/>
          <w:color w:val="000000" w:themeColor="text1"/>
          <w:sz w:val="24"/>
          <w:szCs w:val="24"/>
        </w:rPr>
        <w:t>, we found th</w:t>
      </w:r>
      <w:r w:rsidR="00DB5EC8" w:rsidRPr="00FC59B5">
        <w:rPr>
          <w:rFonts w:asciiTheme="majorBidi" w:hAnsiTheme="majorBidi" w:cstheme="majorBidi"/>
          <w:color w:val="000000" w:themeColor="text1"/>
          <w:sz w:val="24"/>
          <w:szCs w:val="24"/>
        </w:rPr>
        <w:t>e same results for firms with lo</w:t>
      </w:r>
      <w:r w:rsidR="006F5B94" w:rsidRPr="00FC59B5">
        <w:rPr>
          <w:rFonts w:asciiTheme="majorBidi" w:hAnsiTheme="majorBidi" w:cstheme="majorBidi"/>
          <w:color w:val="000000" w:themeColor="text1"/>
          <w:sz w:val="24"/>
          <w:szCs w:val="24"/>
        </w:rPr>
        <w:t xml:space="preserve">w ESG disclosure score and the coefficient for independent directors is significantly negative (-0.231) and higher than the coefficient of the whole sample which was (-0.333). This means that the effect of independent directors on the </w:t>
      </w:r>
      <w:r w:rsidR="008D0CB8" w:rsidRPr="00FC59B5">
        <w:rPr>
          <w:rFonts w:asciiTheme="majorBidi" w:hAnsiTheme="majorBidi" w:cstheme="majorBidi"/>
          <w:color w:val="000000" w:themeColor="text1"/>
          <w:sz w:val="24"/>
          <w:szCs w:val="24"/>
        </w:rPr>
        <w:t xml:space="preserve">positive </w:t>
      </w:r>
      <w:r w:rsidR="006F5B94" w:rsidRPr="00FC59B5">
        <w:rPr>
          <w:rFonts w:asciiTheme="majorBidi" w:hAnsiTheme="majorBidi" w:cstheme="majorBidi"/>
          <w:color w:val="000000" w:themeColor="text1"/>
          <w:sz w:val="24"/>
          <w:szCs w:val="24"/>
        </w:rPr>
        <w:t xml:space="preserve">tone of CSR is stronger for firms with </w:t>
      </w:r>
      <w:r w:rsidR="00430D9B" w:rsidRPr="00FC59B5">
        <w:rPr>
          <w:rFonts w:asciiTheme="majorBidi" w:hAnsiTheme="majorBidi" w:cstheme="majorBidi"/>
          <w:color w:val="000000" w:themeColor="text1"/>
          <w:sz w:val="24"/>
          <w:szCs w:val="24"/>
        </w:rPr>
        <w:t xml:space="preserve">a low </w:t>
      </w:r>
      <w:r w:rsidR="006F5B94" w:rsidRPr="00FC59B5">
        <w:rPr>
          <w:rFonts w:asciiTheme="majorBidi" w:hAnsiTheme="majorBidi" w:cstheme="majorBidi"/>
          <w:color w:val="000000" w:themeColor="text1"/>
          <w:sz w:val="24"/>
          <w:szCs w:val="24"/>
        </w:rPr>
        <w:t>ESG disclosure score.</w:t>
      </w:r>
      <w:r w:rsidRPr="00FC59B5">
        <w:rPr>
          <w:rFonts w:asciiTheme="majorBidi" w:hAnsiTheme="majorBidi" w:cstheme="majorBidi"/>
          <w:color w:val="000000" w:themeColor="text1"/>
          <w:sz w:val="24"/>
          <w:szCs w:val="24"/>
        </w:rPr>
        <w:t xml:space="preserve"> </w:t>
      </w:r>
      <w:r w:rsidR="006F5B94" w:rsidRPr="00FC59B5">
        <w:rPr>
          <w:rFonts w:asciiTheme="majorBidi" w:hAnsiTheme="majorBidi" w:cstheme="majorBidi"/>
          <w:color w:val="000000" w:themeColor="text1"/>
          <w:sz w:val="24"/>
          <w:szCs w:val="24"/>
        </w:rPr>
        <w:t>However, surprisingl</w:t>
      </w:r>
      <w:r w:rsidR="008D0CB8" w:rsidRPr="00FC59B5">
        <w:rPr>
          <w:rFonts w:asciiTheme="majorBidi" w:hAnsiTheme="majorBidi" w:cstheme="majorBidi"/>
          <w:color w:val="000000" w:themeColor="text1"/>
          <w:sz w:val="24"/>
          <w:szCs w:val="24"/>
        </w:rPr>
        <w:t xml:space="preserve">y, results from running model 12 </w:t>
      </w:r>
      <w:r w:rsidR="006F5B94" w:rsidRPr="00FC59B5">
        <w:rPr>
          <w:rFonts w:asciiTheme="majorBidi" w:hAnsiTheme="majorBidi" w:cstheme="majorBidi"/>
          <w:color w:val="000000" w:themeColor="text1"/>
          <w:sz w:val="24"/>
          <w:szCs w:val="24"/>
        </w:rPr>
        <w:t>for firms with high ESG disclosure score, we found that the coefficients for both women percentage and audit committee size are positive and significant</w:t>
      </w:r>
      <w:r w:rsidRPr="00FC59B5">
        <w:rPr>
          <w:rFonts w:asciiTheme="majorBidi" w:hAnsiTheme="majorBidi" w:cstheme="majorBidi"/>
          <w:color w:val="000000" w:themeColor="text1"/>
          <w:sz w:val="24"/>
          <w:szCs w:val="24"/>
        </w:rPr>
        <w:t>, while the amount of impact is much higher for women percentage than for audit committee size.</w:t>
      </w:r>
    </w:p>
    <w:p w14:paraId="30819F91" w14:textId="24757694" w:rsidR="006A165D" w:rsidRPr="00FC59B5" w:rsidRDefault="006F5B94" w:rsidP="00B17DE9">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Thus</w:t>
      </w:r>
      <w:r w:rsidR="00B17DE9"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we divided the sample</w:t>
      </w:r>
      <w:r w:rsidR="00B17DE9" w:rsidRPr="00FC59B5">
        <w:rPr>
          <w:rFonts w:asciiTheme="majorBidi" w:hAnsiTheme="majorBidi" w:cstheme="majorBidi"/>
          <w:color w:val="000000" w:themeColor="text1"/>
          <w:sz w:val="24"/>
          <w:szCs w:val="24"/>
        </w:rPr>
        <w:t xml:space="preserve"> based on the ratio of women on board (less than 25%, equal or higher than 25%), and found </w:t>
      </w:r>
      <w:r w:rsidR="007D12F6" w:rsidRPr="00FC59B5">
        <w:rPr>
          <w:rFonts w:asciiTheme="majorBidi" w:hAnsiTheme="majorBidi" w:cstheme="majorBidi"/>
          <w:color w:val="000000" w:themeColor="text1"/>
          <w:sz w:val="24"/>
          <w:szCs w:val="24"/>
        </w:rPr>
        <w:t>that when the percentage of women on board is less than 25%, independent</w:t>
      </w:r>
      <w:r w:rsidRPr="00FC59B5">
        <w:rPr>
          <w:rFonts w:asciiTheme="majorBidi" w:hAnsiTheme="majorBidi" w:cstheme="majorBidi"/>
          <w:color w:val="000000" w:themeColor="text1"/>
          <w:sz w:val="24"/>
          <w:szCs w:val="24"/>
        </w:rPr>
        <w:t xml:space="preserve"> directors is significantly related with the </w:t>
      </w:r>
      <w:r w:rsidR="008D0CB8" w:rsidRPr="00FC59B5">
        <w:rPr>
          <w:rFonts w:asciiTheme="majorBidi" w:hAnsiTheme="majorBidi" w:cstheme="majorBidi"/>
          <w:color w:val="000000" w:themeColor="text1"/>
          <w:sz w:val="24"/>
          <w:szCs w:val="24"/>
        </w:rPr>
        <w:t xml:space="preserve">positive </w:t>
      </w:r>
      <w:r w:rsidRPr="00FC59B5">
        <w:rPr>
          <w:rFonts w:asciiTheme="majorBidi" w:hAnsiTheme="majorBidi" w:cstheme="majorBidi"/>
          <w:color w:val="000000" w:themeColor="text1"/>
          <w:sz w:val="24"/>
          <w:szCs w:val="24"/>
        </w:rPr>
        <w:t>CSR tone</w:t>
      </w:r>
      <w:r w:rsidR="008D0CB8" w:rsidRPr="00FC59B5">
        <w:rPr>
          <w:rFonts w:asciiTheme="majorBidi" w:hAnsiTheme="majorBidi" w:cstheme="majorBidi"/>
          <w:color w:val="000000" w:themeColor="text1"/>
          <w:sz w:val="24"/>
          <w:szCs w:val="24"/>
        </w:rPr>
        <w:t xml:space="preserve"> when women on board percentage is less than 25%</w:t>
      </w:r>
      <w:r w:rsidR="007D12F6"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 xml:space="preserve">and ESG score is significantly related with the </w:t>
      </w:r>
      <w:r w:rsidR="008D0CB8" w:rsidRPr="00FC59B5">
        <w:rPr>
          <w:rFonts w:asciiTheme="majorBidi" w:hAnsiTheme="majorBidi" w:cstheme="majorBidi"/>
          <w:color w:val="000000" w:themeColor="text1"/>
          <w:sz w:val="24"/>
          <w:szCs w:val="24"/>
        </w:rPr>
        <w:t>positive</w:t>
      </w:r>
      <w:r w:rsidRPr="00FC59B5">
        <w:rPr>
          <w:rFonts w:asciiTheme="majorBidi" w:hAnsiTheme="majorBidi" w:cstheme="majorBidi"/>
          <w:color w:val="000000" w:themeColor="text1"/>
          <w:sz w:val="24"/>
          <w:szCs w:val="24"/>
        </w:rPr>
        <w:t xml:space="preserve"> tone of CSR when the percentage of women on board is more than 25%.</w:t>
      </w:r>
      <w:r w:rsidR="007D12F6" w:rsidRPr="00FC59B5">
        <w:rPr>
          <w:rFonts w:asciiTheme="majorBidi" w:hAnsiTheme="majorBidi" w:cstheme="majorBidi"/>
          <w:color w:val="000000" w:themeColor="text1"/>
          <w:sz w:val="24"/>
          <w:szCs w:val="24"/>
        </w:rPr>
        <w:t xml:space="preserve"> The</w:t>
      </w:r>
      <w:r w:rsidR="00A009B9" w:rsidRPr="00FC59B5">
        <w:rPr>
          <w:rFonts w:asciiTheme="majorBidi" w:hAnsiTheme="majorBidi" w:cstheme="majorBidi"/>
          <w:color w:val="000000" w:themeColor="text1"/>
          <w:sz w:val="24"/>
          <w:szCs w:val="24"/>
        </w:rPr>
        <w:t xml:space="preserve"> results are reported in table </w:t>
      </w:r>
      <w:r w:rsidR="00F73680" w:rsidRPr="00FC59B5">
        <w:rPr>
          <w:rFonts w:asciiTheme="majorBidi" w:hAnsiTheme="majorBidi" w:cstheme="majorBidi"/>
          <w:color w:val="000000" w:themeColor="text1"/>
          <w:sz w:val="24"/>
          <w:szCs w:val="24"/>
        </w:rPr>
        <w:t>6</w:t>
      </w:r>
      <w:r w:rsidR="007D12F6" w:rsidRPr="00FC59B5">
        <w:rPr>
          <w:rFonts w:asciiTheme="majorBidi" w:hAnsiTheme="majorBidi" w:cstheme="majorBidi"/>
          <w:color w:val="000000" w:themeColor="text1"/>
          <w:sz w:val="24"/>
          <w:szCs w:val="24"/>
        </w:rPr>
        <w:t>.</w:t>
      </w:r>
    </w:p>
    <w:p w14:paraId="4952D233" w14:textId="77777777" w:rsidR="002D154D" w:rsidRPr="00FC59B5" w:rsidRDefault="002D154D" w:rsidP="002D154D">
      <w:pPr>
        <w:spacing w:after="120" w:line="360" w:lineRule="auto"/>
        <w:contextualSpacing/>
        <w:jc w:val="both"/>
        <w:rPr>
          <w:rFonts w:asciiTheme="majorBidi" w:hAnsiTheme="majorBidi" w:cstheme="majorBidi"/>
          <w:color w:val="000000" w:themeColor="text1"/>
          <w:sz w:val="24"/>
          <w:szCs w:val="24"/>
        </w:rPr>
      </w:pPr>
    </w:p>
    <w:p w14:paraId="29071D13" w14:textId="4FE85263" w:rsidR="00745CF4" w:rsidRPr="00FC59B5" w:rsidRDefault="00745CF4" w:rsidP="00745CF4">
      <w:pPr>
        <w:tabs>
          <w:tab w:val="left" w:pos="6804"/>
        </w:tabs>
        <w:spacing w:after="0" w:line="360" w:lineRule="auto"/>
        <w:contextualSpacing/>
        <w:jc w:val="center"/>
        <w:rPr>
          <w:rFonts w:ascii="Cambria" w:hAnsi="Cambria"/>
          <w:color w:val="000000" w:themeColor="text1"/>
          <w:sz w:val="16"/>
          <w:szCs w:val="16"/>
        </w:rPr>
      </w:pPr>
      <w:r w:rsidRPr="00FC59B5">
        <w:rPr>
          <w:rFonts w:ascii="Times New Roman" w:hAnsi="Times New Roman" w:cs="Times New Roman"/>
          <w:color w:val="000000" w:themeColor="text1"/>
          <w:sz w:val="28"/>
          <w:szCs w:val="28"/>
        </w:rPr>
        <w:t>Insert Table 6</w:t>
      </w:r>
    </w:p>
    <w:p w14:paraId="4EBAC4C2" w14:textId="77777777" w:rsidR="00A009B9" w:rsidRPr="00FC59B5" w:rsidRDefault="00A009B9" w:rsidP="00A009B9">
      <w:pPr>
        <w:spacing w:after="120"/>
        <w:contextualSpacing/>
        <w:rPr>
          <w:color w:val="000000" w:themeColor="text1"/>
        </w:rPr>
      </w:pPr>
    </w:p>
    <w:p w14:paraId="6E1B234F" w14:textId="77777777" w:rsidR="00CC35D4" w:rsidRPr="00FC59B5" w:rsidRDefault="00CC35D4" w:rsidP="00A01051">
      <w:pPr>
        <w:pStyle w:val="Heading1"/>
        <w:numPr>
          <w:ilvl w:val="0"/>
          <w:numId w:val="6"/>
        </w:numPr>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Conclusion</w:t>
      </w:r>
    </w:p>
    <w:p w14:paraId="1543FA9B" w14:textId="3EF04DE0" w:rsidR="00D024DD" w:rsidRPr="00FC59B5" w:rsidRDefault="00CC35D4" w:rsidP="00BB253C">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This paper examines the impact of corporate governance mechanisms namely board size, independent directors, gender diversity</w:t>
      </w:r>
      <w:r w:rsidR="00430D9B"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and audit committee size on the tone of CSR. Firm fixed and random effect regressions were used based on panel data from FTSE 100 between 2008 and 2017. Two measurements of LM, 2011 and Henry, 2008 dictionaries have been used to estimate the tone of </w:t>
      </w:r>
      <w:r w:rsidR="00430D9B" w:rsidRPr="00FC59B5">
        <w:rPr>
          <w:rFonts w:asciiTheme="majorBidi" w:hAnsiTheme="majorBidi" w:cstheme="majorBidi"/>
          <w:color w:val="000000" w:themeColor="text1"/>
          <w:sz w:val="24"/>
          <w:szCs w:val="24"/>
        </w:rPr>
        <w:t xml:space="preserve">the </w:t>
      </w:r>
      <w:r w:rsidRPr="00FC59B5">
        <w:rPr>
          <w:rFonts w:asciiTheme="majorBidi" w:hAnsiTheme="majorBidi" w:cstheme="majorBidi"/>
          <w:color w:val="000000" w:themeColor="text1"/>
          <w:sz w:val="24"/>
          <w:szCs w:val="24"/>
        </w:rPr>
        <w:t xml:space="preserve">CSR narrative. The results show independent directors </w:t>
      </w:r>
      <w:r w:rsidR="00430D9B" w:rsidRPr="00FC59B5">
        <w:rPr>
          <w:rFonts w:asciiTheme="majorBidi" w:hAnsiTheme="majorBidi" w:cstheme="majorBidi"/>
          <w:color w:val="000000" w:themeColor="text1"/>
          <w:sz w:val="24"/>
          <w:szCs w:val="24"/>
        </w:rPr>
        <w:t xml:space="preserve">have </w:t>
      </w:r>
      <w:r w:rsidR="00C02012" w:rsidRPr="00FC59B5">
        <w:rPr>
          <w:rFonts w:asciiTheme="majorBidi" w:hAnsiTheme="majorBidi" w:cstheme="majorBidi"/>
          <w:color w:val="000000" w:themeColor="text1"/>
          <w:sz w:val="24"/>
          <w:szCs w:val="24"/>
        </w:rPr>
        <w:t xml:space="preserve">a </w:t>
      </w:r>
      <w:r w:rsidRPr="00FC59B5">
        <w:rPr>
          <w:rFonts w:asciiTheme="majorBidi" w:hAnsiTheme="majorBidi" w:cstheme="majorBidi"/>
          <w:color w:val="000000" w:themeColor="text1"/>
          <w:sz w:val="24"/>
          <w:szCs w:val="24"/>
        </w:rPr>
        <w:t>negative effect on the net CSR tone and more independent directors in the board wo</w:t>
      </w:r>
      <w:r w:rsidR="008C2295" w:rsidRPr="00FC59B5">
        <w:rPr>
          <w:rFonts w:asciiTheme="majorBidi" w:hAnsiTheme="majorBidi" w:cstheme="majorBidi"/>
          <w:color w:val="000000" w:themeColor="text1"/>
          <w:sz w:val="24"/>
          <w:szCs w:val="24"/>
        </w:rPr>
        <w:t xml:space="preserve">uld lead to having less </w:t>
      </w:r>
      <w:r w:rsidR="00430D9B" w:rsidRPr="00FC59B5">
        <w:rPr>
          <w:rFonts w:asciiTheme="majorBidi" w:hAnsiTheme="majorBidi" w:cstheme="majorBidi"/>
          <w:color w:val="000000" w:themeColor="text1"/>
          <w:sz w:val="24"/>
          <w:szCs w:val="24"/>
        </w:rPr>
        <w:t xml:space="preserve">positive </w:t>
      </w:r>
      <w:r w:rsidRPr="00FC59B5">
        <w:rPr>
          <w:rFonts w:asciiTheme="majorBidi" w:hAnsiTheme="majorBidi" w:cstheme="majorBidi"/>
          <w:color w:val="000000" w:themeColor="text1"/>
          <w:sz w:val="24"/>
          <w:szCs w:val="24"/>
        </w:rPr>
        <w:t xml:space="preserve">tone </w:t>
      </w:r>
      <w:r w:rsidR="008C2295" w:rsidRPr="00FC59B5">
        <w:rPr>
          <w:rFonts w:asciiTheme="majorBidi" w:hAnsiTheme="majorBidi" w:cstheme="majorBidi"/>
          <w:color w:val="000000" w:themeColor="text1"/>
          <w:sz w:val="24"/>
          <w:szCs w:val="24"/>
        </w:rPr>
        <w:t xml:space="preserve">and more </w:t>
      </w:r>
      <w:r w:rsidR="00430D9B" w:rsidRPr="00FC59B5">
        <w:rPr>
          <w:rFonts w:asciiTheme="majorBidi" w:hAnsiTheme="majorBidi" w:cstheme="majorBidi"/>
          <w:color w:val="000000" w:themeColor="text1"/>
          <w:sz w:val="24"/>
          <w:szCs w:val="24"/>
        </w:rPr>
        <w:t>negative in the</w:t>
      </w:r>
      <w:r w:rsidR="008C2295" w:rsidRPr="00FC59B5">
        <w:rPr>
          <w:rFonts w:asciiTheme="majorBidi" w:hAnsiTheme="majorBidi" w:cstheme="majorBidi"/>
          <w:color w:val="000000" w:themeColor="text1"/>
          <w:sz w:val="24"/>
          <w:szCs w:val="24"/>
        </w:rPr>
        <w:t xml:space="preserve"> CSR narrative</w:t>
      </w:r>
      <w:r w:rsidR="00430D9B" w:rsidRPr="00FC59B5">
        <w:rPr>
          <w:rFonts w:asciiTheme="majorBidi" w:hAnsiTheme="majorBidi" w:cstheme="majorBidi"/>
          <w:color w:val="000000" w:themeColor="text1"/>
          <w:sz w:val="24"/>
          <w:szCs w:val="24"/>
        </w:rPr>
        <w:t xml:space="preserve"> report</w:t>
      </w:r>
      <w:r w:rsidRPr="00FC59B5">
        <w:rPr>
          <w:rFonts w:asciiTheme="majorBidi" w:hAnsiTheme="majorBidi" w:cstheme="majorBidi"/>
          <w:color w:val="000000" w:themeColor="text1"/>
          <w:sz w:val="24"/>
          <w:szCs w:val="24"/>
        </w:rPr>
        <w:t xml:space="preserve">. </w:t>
      </w:r>
      <w:r w:rsidR="00C02012" w:rsidRPr="00FC59B5">
        <w:rPr>
          <w:rFonts w:asciiTheme="majorBidi" w:hAnsiTheme="majorBidi" w:cstheme="majorBidi"/>
          <w:color w:val="000000" w:themeColor="text1"/>
          <w:sz w:val="24"/>
          <w:szCs w:val="24"/>
        </w:rPr>
        <w:t xml:space="preserve">Further, the results show that a higher ESG </w:t>
      </w:r>
      <w:r w:rsidR="004F7295" w:rsidRPr="00FC59B5">
        <w:rPr>
          <w:rFonts w:asciiTheme="majorBidi" w:hAnsiTheme="majorBidi" w:cstheme="majorBidi"/>
          <w:color w:val="000000" w:themeColor="text1"/>
          <w:sz w:val="24"/>
          <w:szCs w:val="24"/>
        </w:rPr>
        <w:t xml:space="preserve">disclosure </w:t>
      </w:r>
      <w:r w:rsidR="00C02012" w:rsidRPr="00FC59B5">
        <w:rPr>
          <w:rFonts w:asciiTheme="majorBidi" w:hAnsiTheme="majorBidi" w:cstheme="majorBidi"/>
          <w:color w:val="000000" w:themeColor="text1"/>
          <w:sz w:val="24"/>
          <w:szCs w:val="24"/>
        </w:rPr>
        <w:t xml:space="preserve">score will lead to a more positive CSR narrative tone. </w:t>
      </w:r>
      <w:r w:rsidR="00970D65" w:rsidRPr="00FC59B5">
        <w:rPr>
          <w:rFonts w:asciiTheme="majorBidi" w:hAnsiTheme="majorBidi" w:cstheme="majorBidi"/>
          <w:color w:val="000000" w:themeColor="text1"/>
          <w:sz w:val="24"/>
          <w:szCs w:val="24"/>
        </w:rPr>
        <w:t>Also</w:t>
      </w:r>
      <w:r w:rsidR="00C02012" w:rsidRPr="00FC59B5">
        <w:rPr>
          <w:rFonts w:asciiTheme="majorBidi" w:hAnsiTheme="majorBidi" w:cstheme="majorBidi"/>
          <w:color w:val="000000" w:themeColor="text1"/>
          <w:sz w:val="24"/>
          <w:szCs w:val="24"/>
        </w:rPr>
        <w:t xml:space="preserve">, women on board percentage </w:t>
      </w:r>
      <w:r w:rsidR="00430D9B" w:rsidRPr="00FC59B5">
        <w:rPr>
          <w:rFonts w:asciiTheme="majorBidi" w:hAnsiTheme="majorBidi" w:cstheme="majorBidi"/>
          <w:color w:val="000000" w:themeColor="text1"/>
          <w:sz w:val="24"/>
          <w:szCs w:val="24"/>
        </w:rPr>
        <w:t xml:space="preserve">have </w:t>
      </w:r>
      <w:r w:rsidR="00C02012" w:rsidRPr="00FC59B5">
        <w:rPr>
          <w:rFonts w:asciiTheme="majorBidi" w:hAnsiTheme="majorBidi" w:cstheme="majorBidi"/>
          <w:color w:val="000000" w:themeColor="text1"/>
          <w:sz w:val="24"/>
          <w:szCs w:val="24"/>
        </w:rPr>
        <w:t>a positive impact on the positivity of CSR tone when ESG score is medium or high and when board size is more than 10 members</w:t>
      </w:r>
      <w:r w:rsidR="00970D65" w:rsidRPr="00FC59B5">
        <w:rPr>
          <w:rFonts w:asciiTheme="majorBidi" w:hAnsiTheme="majorBidi" w:cstheme="majorBidi"/>
          <w:color w:val="000000" w:themeColor="text1"/>
          <w:sz w:val="24"/>
          <w:szCs w:val="24"/>
        </w:rPr>
        <w:t xml:space="preserve">. </w:t>
      </w:r>
      <w:r w:rsidR="00467249" w:rsidRPr="00FC59B5">
        <w:rPr>
          <w:rFonts w:asciiTheme="majorBidi" w:hAnsiTheme="majorBidi" w:cstheme="majorBidi"/>
          <w:color w:val="000000" w:themeColor="text1"/>
          <w:sz w:val="24"/>
          <w:szCs w:val="24"/>
        </w:rPr>
        <w:t xml:space="preserve">Board size and women on board percentage </w:t>
      </w:r>
      <w:r w:rsidR="00430D9B" w:rsidRPr="00FC59B5">
        <w:rPr>
          <w:rFonts w:asciiTheme="majorBidi" w:hAnsiTheme="majorBidi" w:cstheme="majorBidi"/>
          <w:color w:val="000000" w:themeColor="text1"/>
          <w:sz w:val="24"/>
          <w:szCs w:val="24"/>
        </w:rPr>
        <w:t xml:space="preserve">does not affect </w:t>
      </w:r>
      <w:r w:rsidR="00467249" w:rsidRPr="00FC59B5">
        <w:rPr>
          <w:rFonts w:asciiTheme="majorBidi" w:hAnsiTheme="majorBidi" w:cstheme="majorBidi"/>
          <w:color w:val="000000" w:themeColor="text1"/>
          <w:sz w:val="24"/>
          <w:szCs w:val="24"/>
        </w:rPr>
        <w:t>the net CSR tone, no matter how is calculated (LM or H8) and audit committee size has a positive effect on the net CSR tone when using LM, 2011 as</w:t>
      </w:r>
      <w:r w:rsidR="00430D9B" w:rsidRPr="00FC59B5">
        <w:rPr>
          <w:rFonts w:asciiTheme="majorBidi" w:hAnsiTheme="majorBidi" w:cstheme="majorBidi"/>
          <w:color w:val="000000" w:themeColor="text1"/>
          <w:sz w:val="24"/>
          <w:szCs w:val="24"/>
        </w:rPr>
        <w:t xml:space="preserve"> a</w:t>
      </w:r>
      <w:r w:rsidR="00467249" w:rsidRPr="00FC59B5">
        <w:rPr>
          <w:rFonts w:asciiTheme="majorBidi" w:hAnsiTheme="majorBidi" w:cstheme="majorBidi"/>
          <w:color w:val="000000" w:themeColor="text1"/>
          <w:sz w:val="24"/>
          <w:szCs w:val="24"/>
        </w:rPr>
        <w:t xml:space="preserve"> dummy variable. </w:t>
      </w:r>
      <w:r w:rsidR="00B152BE" w:rsidRPr="00FC59B5">
        <w:rPr>
          <w:rFonts w:asciiTheme="majorBidi" w:hAnsiTheme="majorBidi" w:cstheme="majorBidi"/>
          <w:color w:val="000000" w:themeColor="text1"/>
          <w:sz w:val="24"/>
          <w:szCs w:val="24"/>
        </w:rPr>
        <w:t xml:space="preserve">This paper contributes to the literature by attempting to explore the underlying drivers of CSR tone and taking into consideration four corporate governance </w:t>
      </w:r>
      <w:r w:rsidR="00B152BE" w:rsidRPr="00FC59B5">
        <w:rPr>
          <w:rFonts w:asciiTheme="majorBidi" w:hAnsiTheme="majorBidi" w:cstheme="majorBidi"/>
          <w:color w:val="000000" w:themeColor="text1"/>
          <w:sz w:val="24"/>
          <w:szCs w:val="24"/>
        </w:rPr>
        <w:lastRenderedPageBreak/>
        <w:t>mechanisms namely board size, independent directors, gender diversity and audit committee size as well as add to the disclosure literature by investigating whether firms will have more positive CSR tone when ESG disclosure is higher and linking ESG disclosure with positive CSR tone provide stakeholders with an improved understanding of the firm</w:t>
      </w:r>
      <w:r w:rsidR="00430D9B" w:rsidRPr="00FC59B5">
        <w:rPr>
          <w:rFonts w:asciiTheme="majorBidi" w:hAnsiTheme="majorBidi" w:cstheme="majorBidi"/>
          <w:color w:val="000000" w:themeColor="text1"/>
          <w:sz w:val="24"/>
          <w:szCs w:val="24"/>
        </w:rPr>
        <w:t>’s disclosure practice</w:t>
      </w:r>
      <w:r w:rsidR="00B152BE" w:rsidRPr="00FC59B5">
        <w:rPr>
          <w:rFonts w:asciiTheme="majorBidi" w:hAnsiTheme="majorBidi" w:cstheme="majorBidi"/>
          <w:color w:val="000000" w:themeColor="text1"/>
          <w:sz w:val="24"/>
          <w:szCs w:val="24"/>
        </w:rPr>
        <w:t>.</w:t>
      </w:r>
      <w:r w:rsidR="00486D2E" w:rsidRPr="00FC59B5">
        <w:rPr>
          <w:rFonts w:asciiTheme="majorBidi" w:hAnsiTheme="majorBidi" w:cstheme="majorBidi"/>
          <w:color w:val="000000" w:themeColor="text1"/>
          <w:sz w:val="24"/>
          <w:szCs w:val="24"/>
        </w:rPr>
        <w:t xml:space="preserve"> </w:t>
      </w:r>
      <w:r w:rsidR="00B264B1" w:rsidRPr="00FC59B5">
        <w:rPr>
          <w:rFonts w:asciiTheme="majorBidi" w:hAnsiTheme="majorBidi" w:cstheme="majorBidi"/>
          <w:color w:val="000000" w:themeColor="text1"/>
          <w:sz w:val="24"/>
          <w:szCs w:val="24"/>
        </w:rPr>
        <w:t xml:space="preserve">This </w:t>
      </w:r>
      <w:r w:rsidR="003E0CCE" w:rsidRPr="00FC59B5">
        <w:rPr>
          <w:rFonts w:asciiTheme="majorBidi" w:hAnsiTheme="majorBidi" w:cstheme="majorBidi"/>
          <w:color w:val="000000" w:themeColor="text1"/>
          <w:sz w:val="24"/>
          <w:szCs w:val="24"/>
        </w:rPr>
        <w:t>study</w:t>
      </w:r>
      <w:r w:rsidRPr="00FC59B5">
        <w:rPr>
          <w:rFonts w:asciiTheme="majorBidi" w:hAnsiTheme="majorBidi" w:cstheme="majorBidi"/>
          <w:color w:val="000000" w:themeColor="text1"/>
          <w:sz w:val="24"/>
          <w:szCs w:val="24"/>
        </w:rPr>
        <w:t xml:space="preserve"> </w:t>
      </w:r>
      <w:r w:rsidR="006048DA" w:rsidRPr="00FC59B5">
        <w:rPr>
          <w:rFonts w:asciiTheme="majorBidi" w:hAnsiTheme="majorBidi" w:cstheme="majorBidi"/>
          <w:color w:val="000000" w:themeColor="text1"/>
          <w:sz w:val="24"/>
          <w:szCs w:val="24"/>
        </w:rPr>
        <w:t xml:space="preserve">offers </w:t>
      </w:r>
      <w:proofErr w:type="gramStart"/>
      <w:r w:rsidR="006048DA" w:rsidRPr="00FC59B5">
        <w:rPr>
          <w:rFonts w:asciiTheme="majorBidi" w:hAnsiTheme="majorBidi" w:cstheme="majorBidi"/>
          <w:color w:val="000000" w:themeColor="text1"/>
          <w:sz w:val="24"/>
          <w:szCs w:val="24"/>
        </w:rPr>
        <w:t>a number of</w:t>
      </w:r>
      <w:proofErr w:type="gramEnd"/>
      <w:r w:rsidR="006048DA" w:rsidRPr="00FC59B5">
        <w:rPr>
          <w:rFonts w:asciiTheme="majorBidi" w:hAnsiTheme="majorBidi" w:cstheme="majorBidi"/>
          <w:color w:val="000000" w:themeColor="text1"/>
          <w:sz w:val="24"/>
          <w:szCs w:val="24"/>
        </w:rPr>
        <w:t xml:space="preserve"> important implications </w:t>
      </w:r>
      <w:r w:rsidRPr="00FC59B5">
        <w:rPr>
          <w:rFonts w:asciiTheme="majorBidi" w:hAnsiTheme="majorBidi" w:cstheme="majorBidi"/>
          <w:color w:val="000000" w:themeColor="text1"/>
          <w:sz w:val="24"/>
          <w:szCs w:val="24"/>
        </w:rPr>
        <w:t xml:space="preserve">for </w:t>
      </w:r>
      <w:r w:rsidR="00C34C2E" w:rsidRPr="00FC59B5">
        <w:rPr>
          <w:rFonts w:asciiTheme="majorBidi" w:hAnsiTheme="majorBidi" w:cstheme="majorBidi"/>
          <w:color w:val="000000" w:themeColor="text1"/>
          <w:sz w:val="24"/>
          <w:szCs w:val="24"/>
        </w:rPr>
        <w:t>policy makers</w:t>
      </w:r>
      <w:r w:rsidRPr="00FC59B5">
        <w:rPr>
          <w:rFonts w:asciiTheme="majorBidi" w:hAnsiTheme="majorBidi" w:cstheme="majorBidi"/>
          <w:color w:val="000000" w:themeColor="text1"/>
          <w:sz w:val="24"/>
          <w:szCs w:val="24"/>
        </w:rPr>
        <w:t>, investors</w:t>
      </w:r>
      <w:r w:rsidR="00430D9B" w:rsidRPr="00FC59B5">
        <w:rPr>
          <w:rFonts w:asciiTheme="majorBidi" w:hAnsiTheme="majorBidi" w:cstheme="majorBidi"/>
          <w:color w:val="000000" w:themeColor="text1"/>
          <w:sz w:val="24"/>
          <w:szCs w:val="24"/>
        </w:rPr>
        <w:t>,</w:t>
      </w:r>
      <w:r w:rsidRPr="00FC59B5">
        <w:rPr>
          <w:rFonts w:asciiTheme="majorBidi" w:hAnsiTheme="majorBidi" w:cstheme="majorBidi"/>
          <w:color w:val="000000" w:themeColor="text1"/>
          <w:sz w:val="24"/>
          <w:szCs w:val="24"/>
        </w:rPr>
        <w:t xml:space="preserve"> and </w:t>
      </w:r>
      <w:r w:rsidR="006048DA" w:rsidRPr="00FC59B5">
        <w:rPr>
          <w:rFonts w:asciiTheme="majorBidi" w:hAnsiTheme="majorBidi" w:cstheme="majorBidi"/>
          <w:color w:val="000000" w:themeColor="text1"/>
          <w:sz w:val="24"/>
          <w:szCs w:val="24"/>
        </w:rPr>
        <w:t xml:space="preserve">corporate </w:t>
      </w:r>
      <w:r w:rsidRPr="00FC59B5">
        <w:rPr>
          <w:rFonts w:asciiTheme="majorBidi" w:hAnsiTheme="majorBidi" w:cstheme="majorBidi"/>
          <w:color w:val="000000" w:themeColor="text1"/>
          <w:sz w:val="24"/>
          <w:szCs w:val="24"/>
        </w:rPr>
        <w:t xml:space="preserve">managers. </w:t>
      </w:r>
      <w:r w:rsidR="00B264B1" w:rsidRPr="00FC59B5">
        <w:rPr>
          <w:rFonts w:asciiTheme="majorBidi" w:hAnsiTheme="majorBidi" w:cstheme="majorBidi"/>
          <w:color w:val="000000" w:themeColor="text1"/>
          <w:sz w:val="24"/>
          <w:szCs w:val="24"/>
        </w:rPr>
        <w:t>It</w:t>
      </w:r>
      <w:r w:rsidR="007327AF" w:rsidRPr="00FC59B5">
        <w:rPr>
          <w:rFonts w:asciiTheme="majorBidi" w:hAnsiTheme="majorBidi" w:cstheme="majorBidi"/>
          <w:color w:val="000000" w:themeColor="text1"/>
          <w:sz w:val="24"/>
          <w:szCs w:val="24"/>
        </w:rPr>
        <w:t xml:space="preserve"> </w:t>
      </w:r>
      <w:r w:rsidR="00B264B1" w:rsidRPr="00FC59B5">
        <w:rPr>
          <w:rFonts w:asciiTheme="majorBidi" w:hAnsiTheme="majorBidi" w:cstheme="majorBidi"/>
          <w:color w:val="000000" w:themeColor="text1"/>
          <w:sz w:val="24"/>
          <w:szCs w:val="24"/>
        </w:rPr>
        <w:t xml:space="preserve">offers insights to decision-makers and regulatory bodies regarding the current practices of the tone of CSR reports. It helps to inform regulators about boardrooms of UK companies are aware of the need to provide more non-financial information to stakeholders’ </w:t>
      </w:r>
      <w:r w:rsidR="00B92F4E" w:rsidRPr="00FC59B5">
        <w:rPr>
          <w:rFonts w:asciiTheme="majorBidi" w:hAnsiTheme="majorBidi" w:cstheme="majorBidi"/>
          <w:color w:val="000000" w:themeColor="text1"/>
          <w:sz w:val="24"/>
          <w:szCs w:val="24"/>
        </w:rPr>
        <w:t>decision-making</w:t>
      </w:r>
      <w:r w:rsidR="00B264B1" w:rsidRPr="00FC59B5">
        <w:rPr>
          <w:rFonts w:asciiTheme="majorBidi" w:hAnsiTheme="majorBidi" w:cstheme="majorBidi"/>
          <w:color w:val="000000" w:themeColor="text1"/>
          <w:sz w:val="24"/>
          <w:szCs w:val="24"/>
        </w:rPr>
        <w:t xml:space="preserve"> process. </w:t>
      </w:r>
      <w:r w:rsidR="00B92F4E" w:rsidRPr="00FC59B5">
        <w:rPr>
          <w:rFonts w:asciiTheme="majorBidi" w:hAnsiTheme="majorBidi" w:cstheme="majorBidi"/>
          <w:color w:val="000000" w:themeColor="text1"/>
          <w:sz w:val="24"/>
          <w:szCs w:val="24"/>
        </w:rPr>
        <w:t xml:space="preserve">It also shows that boardroom of UK companies committed to high levels of ESG report more positive CSR information. </w:t>
      </w:r>
      <w:r w:rsidR="00D024DD" w:rsidRPr="00FC59B5">
        <w:rPr>
          <w:rFonts w:asciiTheme="majorBidi" w:hAnsiTheme="majorBidi" w:cstheme="majorBidi"/>
          <w:color w:val="000000" w:themeColor="text1"/>
          <w:sz w:val="24"/>
          <w:szCs w:val="24"/>
        </w:rPr>
        <w:t>This offer</w:t>
      </w:r>
      <w:r w:rsidR="00FC59B5">
        <w:rPr>
          <w:rFonts w:asciiTheme="majorBidi" w:hAnsiTheme="majorBidi" w:cstheme="majorBidi"/>
          <w:color w:val="000000" w:themeColor="text1"/>
          <w:sz w:val="24"/>
          <w:szCs w:val="24"/>
        </w:rPr>
        <w:t>s</w:t>
      </w:r>
      <w:r w:rsidR="00D024DD" w:rsidRPr="00FC59B5">
        <w:rPr>
          <w:rFonts w:asciiTheme="majorBidi" w:hAnsiTheme="majorBidi" w:cstheme="majorBidi"/>
          <w:color w:val="000000" w:themeColor="text1"/>
          <w:sz w:val="24"/>
          <w:szCs w:val="24"/>
        </w:rPr>
        <w:t xml:space="preserve"> meaningful insights to regulators on UK non-financial disclosure practices. </w:t>
      </w:r>
      <w:r w:rsidR="00B92F4E" w:rsidRPr="00FC59B5">
        <w:rPr>
          <w:rFonts w:asciiTheme="majorBidi" w:hAnsiTheme="majorBidi" w:cstheme="majorBidi"/>
          <w:color w:val="000000" w:themeColor="text1"/>
          <w:sz w:val="24"/>
          <w:szCs w:val="24"/>
        </w:rPr>
        <w:t xml:space="preserve">To avoid the disclosure biasness and the possibility of </w:t>
      </w:r>
      <w:r w:rsidR="00D024DD" w:rsidRPr="00FC59B5">
        <w:rPr>
          <w:rFonts w:asciiTheme="majorBidi" w:hAnsiTheme="majorBidi" w:cstheme="majorBidi"/>
          <w:color w:val="000000" w:themeColor="text1"/>
          <w:sz w:val="24"/>
          <w:szCs w:val="24"/>
        </w:rPr>
        <w:t xml:space="preserve">using </w:t>
      </w:r>
      <w:r w:rsidR="00B92F4E" w:rsidRPr="00FC59B5">
        <w:rPr>
          <w:rFonts w:asciiTheme="majorBidi" w:hAnsiTheme="majorBidi" w:cstheme="majorBidi"/>
          <w:color w:val="000000" w:themeColor="text1"/>
          <w:sz w:val="24"/>
          <w:szCs w:val="24"/>
        </w:rPr>
        <w:t xml:space="preserve">of impression management, </w:t>
      </w:r>
      <w:r w:rsidR="00340BC1" w:rsidRPr="00FC59B5">
        <w:rPr>
          <w:rFonts w:asciiTheme="majorBidi" w:hAnsiTheme="majorBidi" w:cstheme="majorBidi"/>
          <w:color w:val="000000" w:themeColor="text1"/>
          <w:sz w:val="24"/>
          <w:szCs w:val="24"/>
        </w:rPr>
        <w:t xml:space="preserve">policy makers </w:t>
      </w:r>
      <w:r w:rsidR="00D024DD" w:rsidRPr="00FC59B5">
        <w:rPr>
          <w:rFonts w:asciiTheme="majorBidi" w:hAnsiTheme="majorBidi" w:cstheme="majorBidi"/>
          <w:color w:val="000000" w:themeColor="text1"/>
          <w:sz w:val="24"/>
          <w:szCs w:val="24"/>
        </w:rPr>
        <w:t>need to</w:t>
      </w:r>
      <w:r w:rsidR="00340BC1" w:rsidRPr="00FC59B5">
        <w:rPr>
          <w:rFonts w:asciiTheme="majorBidi" w:hAnsiTheme="majorBidi" w:cstheme="majorBidi"/>
          <w:color w:val="000000" w:themeColor="text1"/>
          <w:sz w:val="24"/>
          <w:szCs w:val="24"/>
        </w:rPr>
        <w:t xml:space="preserve"> set </w:t>
      </w:r>
      <w:r w:rsidR="00B92F4E" w:rsidRPr="00FC59B5">
        <w:rPr>
          <w:rFonts w:asciiTheme="majorBidi" w:hAnsiTheme="majorBidi" w:cstheme="majorBidi"/>
          <w:color w:val="000000" w:themeColor="text1"/>
          <w:sz w:val="24"/>
          <w:szCs w:val="24"/>
        </w:rPr>
        <w:t xml:space="preserve">rules and/or </w:t>
      </w:r>
      <w:proofErr w:type="gramStart"/>
      <w:r w:rsidR="00B92F4E" w:rsidRPr="00FC59B5">
        <w:rPr>
          <w:rFonts w:asciiTheme="majorBidi" w:hAnsiTheme="majorBidi" w:cstheme="majorBidi"/>
          <w:color w:val="000000" w:themeColor="text1"/>
          <w:sz w:val="24"/>
          <w:szCs w:val="24"/>
        </w:rPr>
        <w:t xml:space="preserve">guidelines </w:t>
      </w:r>
      <w:r w:rsidR="00340BC1" w:rsidRPr="00FC59B5">
        <w:rPr>
          <w:rFonts w:asciiTheme="majorBidi" w:hAnsiTheme="majorBidi" w:cstheme="majorBidi"/>
          <w:color w:val="000000" w:themeColor="text1"/>
          <w:sz w:val="24"/>
          <w:szCs w:val="24"/>
        </w:rPr>
        <w:t xml:space="preserve"> to</w:t>
      </w:r>
      <w:proofErr w:type="gramEnd"/>
      <w:r w:rsidR="00340BC1" w:rsidRPr="00FC59B5">
        <w:rPr>
          <w:rFonts w:asciiTheme="majorBidi" w:hAnsiTheme="majorBidi" w:cstheme="majorBidi"/>
          <w:color w:val="000000" w:themeColor="text1"/>
          <w:sz w:val="24"/>
          <w:szCs w:val="24"/>
        </w:rPr>
        <w:t xml:space="preserve"> control the tone of CSR reports. </w:t>
      </w:r>
      <w:r w:rsidR="00B92F4E" w:rsidRPr="00FC59B5">
        <w:rPr>
          <w:rFonts w:asciiTheme="majorBidi" w:hAnsiTheme="majorBidi" w:cstheme="majorBidi"/>
          <w:color w:val="000000" w:themeColor="text1"/>
          <w:sz w:val="24"/>
          <w:szCs w:val="24"/>
        </w:rPr>
        <w:t xml:space="preserve">Policy makers need to encourage companies to provide a balanced disclosure that reflects both good and bad news. Policy makers need be aware of the characteristics of the board of directors that affect the tone of the CSR narrative. </w:t>
      </w:r>
      <w:r w:rsidR="003E0CCE" w:rsidRPr="00FC59B5">
        <w:rPr>
          <w:rFonts w:asciiTheme="majorBidi" w:hAnsiTheme="majorBidi" w:cstheme="majorBidi"/>
          <w:color w:val="000000" w:themeColor="text1"/>
          <w:sz w:val="24"/>
          <w:szCs w:val="24"/>
        </w:rPr>
        <w:t>So,</w:t>
      </w:r>
      <w:r w:rsidR="00B92F4E" w:rsidRPr="00FC59B5">
        <w:rPr>
          <w:rFonts w:asciiTheme="majorBidi" w:hAnsiTheme="majorBidi" w:cstheme="majorBidi"/>
          <w:color w:val="000000" w:themeColor="text1"/>
          <w:sz w:val="24"/>
          <w:szCs w:val="24"/>
        </w:rPr>
        <w:t xml:space="preserve"> they can impose regulations </w:t>
      </w:r>
      <w:r w:rsidR="00340BC1" w:rsidRPr="00FC59B5">
        <w:rPr>
          <w:rFonts w:asciiTheme="majorBidi" w:hAnsiTheme="majorBidi" w:cstheme="majorBidi"/>
          <w:color w:val="000000" w:themeColor="text1"/>
          <w:sz w:val="24"/>
          <w:szCs w:val="24"/>
        </w:rPr>
        <w:t xml:space="preserve">for an appropriate corporate governance mechanism, indicating that more independent directors determine the narrative tone of CSR narrative. </w:t>
      </w:r>
      <w:r w:rsidR="00C27547" w:rsidRPr="00FC59B5">
        <w:rPr>
          <w:rFonts w:asciiTheme="majorBidi" w:hAnsiTheme="majorBidi" w:cstheme="majorBidi"/>
          <w:color w:val="000000" w:themeColor="text1"/>
          <w:sz w:val="24"/>
          <w:szCs w:val="24"/>
        </w:rPr>
        <w:t>Th</w:t>
      </w:r>
      <w:r w:rsidR="003E0CCE" w:rsidRPr="00FC59B5">
        <w:rPr>
          <w:rFonts w:asciiTheme="majorBidi" w:hAnsiTheme="majorBidi" w:cstheme="majorBidi"/>
          <w:color w:val="000000" w:themeColor="text1"/>
          <w:sz w:val="24"/>
          <w:szCs w:val="24"/>
        </w:rPr>
        <w:t>e</w:t>
      </w:r>
      <w:r w:rsidR="00C27547" w:rsidRPr="00FC59B5">
        <w:rPr>
          <w:rFonts w:asciiTheme="majorBidi" w:hAnsiTheme="majorBidi" w:cstheme="majorBidi"/>
          <w:color w:val="000000" w:themeColor="text1"/>
          <w:sz w:val="24"/>
          <w:szCs w:val="24"/>
        </w:rPr>
        <w:t xml:space="preserve"> </w:t>
      </w:r>
      <w:r w:rsidR="003E0CCE" w:rsidRPr="00FC59B5">
        <w:rPr>
          <w:rFonts w:asciiTheme="majorBidi" w:hAnsiTheme="majorBidi" w:cstheme="majorBidi"/>
          <w:color w:val="000000" w:themeColor="text1"/>
          <w:sz w:val="24"/>
          <w:szCs w:val="24"/>
        </w:rPr>
        <w:t>study</w:t>
      </w:r>
      <w:r w:rsidR="00C27547" w:rsidRPr="00FC59B5">
        <w:rPr>
          <w:rFonts w:asciiTheme="majorBidi" w:hAnsiTheme="majorBidi" w:cstheme="majorBidi"/>
          <w:color w:val="000000" w:themeColor="text1"/>
          <w:sz w:val="24"/>
          <w:szCs w:val="24"/>
        </w:rPr>
        <w:t xml:space="preserve"> </w:t>
      </w:r>
      <w:r w:rsidR="00A97A5D" w:rsidRPr="00FC59B5">
        <w:rPr>
          <w:rFonts w:asciiTheme="majorBidi" w:hAnsiTheme="majorBidi" w:cstheme="majorBidi"/>
          <w:color w:val="000000" w:themeColor="text1"/>
          <w:sz w:val="24"/>
          <w:szCs w:val="24"/>
        </w:rPr>
        <w:t xml:space="preserve">also </w:t>
      </w:r>
      <w:r w:rsidR="00C27547" w:rsidRPr="00FC59B5">
        <w:rPr>
          <w:rFonts w:asciiTheme="majorBidi" w:hAnsiTheme="majorBidi" w:cstheme="majorBidi"/>
          <w:color w:val="000000" w:themeColor="text1"/>
          <w:sz w:val="24"/>
          <w:szCs w:val="24"/>
        </w:rPr>
        <w:t xml:space="preserve">provides </w:t>
      </w:r>
      <w:r w:rsidR="003E0CCE" w:rsidRPr="00FC59B5">
        <w:rPr>
          <w:rFonts w:asciiTheme="majorBidi" w:hAnsiTheme="majorBidi" w:cstheme="majorBidi"/>
          <w:color w:val="000000" w:themeColor="text1"/>
          <w:sz w:val="24"/>
          <w:szCs w:val="24"/>
        </w:rPr>
        <w:t xml:space="preserve">managerial implications. </w:t>
      </w:r>
      <w:r w:rsidR="00BB253C" w:rsidRPr="00FC59B5">
        <w:rPr>
          <w:rFonts w:asciiTheme="majorBidi" w:hAnsiTheme="majorBidi" w:cstheme="majorBidi"/>
          <w:color w:val="000000" w:themeColor="text1"/>
          <w:sz w:val="24"/>
          <w:szCs w:val="24"/>
        </w:rPr>
        <w:t xml:space="preserve">It offers interesting insights into strategies they need to follow to reports CSR information in the narrative sections of their annual reports. </w:t>
      </w:r>
      <w:r w:rsidR="003E0CCE" w:rsidRPr="00FC59B5">
        <w:rPr>
          <w:rFonts w:asciiTheme="majorBidi" w:hAnsiTheme="majorBidi" w:cstheme="majorBidi"/>
          <w:color w:val="000000" w:themeColor="text1"/>
          <w:sz w:val="24"/>
          <w:szCs w:val="24"/>
        </w:rPr>
        <w:t xml:space="preserve">For effective CSR disclosure with shareholders, managers should give high priority to improve the quality of corporate governance.  </w:t>
      </w:r>
      <w:r w:rsidR="00700F67" w:rsidRPr="00FC59B5">
        <w:rPr>
          <w:rFonts w:asciiTheme="majorBidi" w:hAnsiTheme="majorBidi" w:cstheme="majorBidi"/>
          <w:color w:val="000000" w:themeColor="text1"/>
          <w:sz w:val="24"/>
          <w:szCs w:val="24"/>
        </w:rPr>
        <w:t>Finally,</w:t>
      </w:r>
      <w:r w:rsidR="003E0CCE" w:rsidRPr="00FC59B5">
        <w:rPr>
          <w:rFonts w:asciiTheme="majorBidi" w:hAnsiTheme="majorBidi" w:cstheme="majorBidi"/>
          <w:color w:val="000000" w:themeColor="text1"/>
          <w:sz w:val="24"/>
          <w:szCs w:val="24"/>
        </w:rPr>
        <w:t xml:space="preserve"> the study offers a social implication. </w:t>
      </w:r>
      <w:r w:rsidR="00700F67" w:rsidRPr="00FC59B5">
        <w:rPr>
          <w:rFonts w:asciiTheme="majorBidi" w:hAnsiTheme="majorBidi" w:cstheme="majorBidi"/>
          <w:color w:val="000000" w:themeColor="text1"/>
          <w:sz w:val="24"/>
          <w:szCs w:val="24"/>
        </w:rPr>
        <w:t>It shows that ESG metrics do matter</w:t>
      </w:r>
      <w:r w:rsidR="00D024DD" w:rsidRPr="00FC59B5">
        <w:rPr>
          <w:rFonts w:asciiTheme="majorBidi" w:hAnsiTheme="majorBidi" w:cstheme="majorBidi"/>
          <w:color w:val="000000" w:themeColor="text1"/>
          <w:sz w:val="24"/>
          <w:szCs w:val="24"/>
        </w:rPr>
        <w:t xml:space="preserve"> </w:t>
      </w:r>
      <w:r w:rsidR="00700F67" w:rsidRPr="00FC59B5">
        <w:rPr>
          <w:rFonts w:asciiTheme="majorBidi" w:hAnsiTheme="majorBidi" w:cstheme="majorBidi"/>
          <w:color w:val="000000" w:themeColor="text1"/>
          <w:sz w:val="24"/>
          <w:szCs w:val="24"/>
        </w:rPr>
        <w:t xml:space="preserve">for CSR disclosure practices by UK companies. </w:t>
      </w:r>
      <w:r w:rsidR="00D024DD" w:rsidRPr="00FC59B5">
        <w:rPr>
          <w:rFonts w:asciiTheme="majorBidi" w:hAnsiTheme="majorBidi" w:cstheme="majorBidi"/>
          <w:color w:val="000000" w:themeColor="text1"/>
          <w:sz w:val="24"/>
          <w:szCs w:val="24"/>
        </w:rPr>
        <w:t xml:space="preserve">This indicates that there is </w:t>
      </w:r>
      <w:r w:rsidR="00977231" w:rsidRPr="00FC59B5">
        <w:rPr>
          <w:rFonts w:asciiTheme="majorBidi" w:hAnsiTheme="majorBidi" w:cstheme="majorBidi"/>
          <w:color w:val="000000" w:themeColor="text1"/>
          <w:sz w:val="24"/>
          <w:szCs w:val="24"/>
        </w:rPr>
        <w:t>an</w:t>
      </w:r>
      <w:r w:rsidR="00D024DD" w:rsidRPr="00FC59B5">
        <w:rPr>
          <w:rFonts w:asciiTheme="majorBidi" w:hAnsiTheme="majorBidi" w:cstheme="majorBidi"/>
          <w:color w:val="000000" w:themeColor="text1"/>
          <w:sz w:val="24"/>
          <w:szCs w:val="24"/>
        </w:rPr>
        <w:t xml:space="preserve"> </w:t>
      </w:r>
      <w:r w:rsidR="00977231" w:rsidRPr="00FC59B5">
        <w:rPr>
          <w:rFonts w:asciiTheme="majorBidi" w:hAnsiTheme="majorBidi" w:cstheme="majorBidi"/>
          <w:color w:val="000000" w:themeColor="text1"/>
          <w:sz w:val="24"/>
          <w:szCs w:val="24"/>
        </w:rPr>
        <w:t xml:space="preserve">important </w:t>
      </w:r>
      <w:r w:rsidR="00D024DD" w:rsidRPr="00FC59B5">
        <w:rPr>
          <w:rFonts w:asciiTheme="majorBidi" w:hAnsiTheme="majorBidi" w:cstheme="majorBidi"/>
          <w:color w:val="000000" w:themeColor="text1"/>
          <w:sz w:val="24"/>
          <w:szCs w:val="24"/>
        </w:rPr>
        <w:t>interaction between ESG and CSR disclosure that could enhance our understanding of managers’ disclosure practices.</w:t>
      </w:r>
      <w:r w:rsidR="00977231" w:rsidRPr="00FC59B5">
        <w:rPr>
          <w:rFonts w:asciiTheme="majorBidi" w:hAnsiTheme="majorBidi" w:cstheme="majorBidi"/>
          <w:color w:val="000000" w:themeColor="text1"/>
          <w:sz w:val="24"/>
          <w:szCs w:val="24"/>
        </w:rPr>
        <w:t xml:space="preserve"> One of the theoretical implications that emerges from these findings is that the determinants of CSR disclosure should not be investigated in isolation from ESG metrics and corporate governance mechanisms.</w:t>
      </w:r>
    </w:p>
    <w:p w14:paraId="6558EB62" w14:textId="587B8256" w:rsidR="007B0B12" w:rsidRPr="00FC59B5" w:rsidRDefault="00C27547" w:rsidP="00D024DD">
      <w:pPr>
        <w:spacing w:after="120" w:line="360" w:lineRule="auto"/>
        <w:ind w:firstLine="720"/>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Our paper has </w:t>
      </w:r>
      <w:proofErr w:type="gramStart"/>
      <w:r w:rsidRPr="00FC59B5">
        <w:rPr>
          <w:rFonts w:asciiTheme="majorBidi" w:hAnsiTheme="majorBidi" w:cstheme="majorBidi"/>
          <w:color w:val="000000" w:themeColor="text1"/>
          <w:sz w:val="24"/>
          <w:szCs w:val="24"/>
        </w:rPr>
        <w:t xml:space="preserve">a </w:t>
      </w:r>
      <w:r w:rsidR="00700F67" w:rsidRPr="00FC59B5">
        <w:rPr>
          <w:rFonts w:asciiTheme="majorBidi" w:hAnsiTheme="majorBidi" w:cstheme="majorBidi"/>
          <w:color w:val="000000" w:themeColor="text1"/>
          <w:sz w:val="24"/>
          <w:szCs w:val="24"/>
        </w:rPr>
        <w:t>number of</w:t>
      </w:r>
      <w:proofErr w:type="gramEnd"/>
      <w:r w:rsidR="00700F67" w:rsidRPr="00FC59B5">
        <w:rPr>
          <w:rFonts w:asciiTheme="majorBidi" w:hAnsiTheme="majorBidi" w:cstheme="majorBidi"/>
          <w:color w:val="000000" w:themeColor="text1"/>
          <w:sz w:val="24"/>
          <w:szCs w:val="24"/>
        </w:rPr>
        <w:t xml:space="preserve"> </w:t>
      </w:r>
      <w:r w:rsidRPr="00FC59B5">
        <w:rPr>
          <w:rFonts w:asciiTheme="majorBidi" w:hAnsiTheme="majorBidi" w:cstheme="majorBidi"/>
          <w:color w:val="000000" w:themeColor="text1"/>
          <w:sz w:val="24"/>
          <w:szCs w:val="24"/>
        </w:rPr>
        <w:t>limitations that provide opportunities for future research. This paper applied in the UK context</w:t>
      </w:r>
      <w:r w:rsidR="00700F67" w:rsidRPr="00FC59B5">
        <w:rPr>
          <w:rFonts w:asciiTheme="majorBidi" w:hAnsiTheme="majorBidi" w:cstheme="majorBidi"/>
          <w:color w:val="000000" w:themeColor="text1"/>
          <w:sz w:val="24"/>
          <w:szCs w:val="24"/>
        </w:rPr>
        <w:t>. F</w:t>
      </w:r>
      <w:r w:rsidRPr="00FC59B5">
        <w:rPr>
          <w:rFonts w:asciiTheme="majorBidi" w:hAnsiTheme="majorBidi" w:cstheme="majorBidi"/>
          <w:color w:val="000000" w:themeColor="text1"/>
          <w:sz w:val="24"/>
          <w:szCs w:val="24"/>
        </w:rPr>
        <w:t xml:space="preserve">uture studies can consider different countries to explore changes on how </w:t>
      </w:r>
      <w:r w:rsidRPr="00FC59B5">
        <w:rPr>
          <w:rFonts w:ascii="Times New Roman" w:hAnsi="Times New Roman" w:cs="Times New Roman"/>
          <w:color w:val="000000" w:themeColor="text1"/>
          <w:sz w:val="24"/>
          <w:szCs w:val="24"/>
        </w:rPr>
        <w:t>corporate governance</w:t>
      </w:r>
      <w:r w:rsidR="001A1B07" w:rsidRPr="00FC59B5">
        <w:rPr>
          <w:rFonts w:ascii="Times New Roman" w:hAnsi="Times New Roman" w:cs="Times New Roman"/>
          <w:color w:val="000000" w:themeColor="text1"/>
          <w:sz w:val="24"/>
          <w:szCs w:val="24"/>
        </w:rPr>
        <w:t xml:space="preserve"> and particularly ownership structure may affect CSR narrative</w:t>
      </w:r>
      <w:r w:rsidRPr="00FC59B5">
        <w:rPr>
          <w:rFonts w:ascii="Times New Roman" w:hAnsi="Times New Roman" w:cs="Times New Roman"/>
          <w:color w:val="000000" w:themeColor="text1"/>
          <w:sz w:val="24"/>
          <w:szCs w:val="24"/>
        </w:rPr>
        <w:t xml:space="preserve">. Future research can also investigate how CEO education and background may affect the tone of </w:t>
      </w:r>
      <w:r w:rsidR="00430D9B" w:rsidRPr="00FC59B5">
        <w:rPr>
          <w:rFonts w:ascii="Times New Roman" w:hAnsi="Times New Roman" w:cs="Times New Roman"/>
          <w:color w:val="000000" w:themeColor="text1"/>
          <w:sz w:val="24"/>
          <w:szCs w:val="24"/>
        </w:rPr>
        <w:t xml:space="preserve">the </w:t>
      </w:r>
      <w:r w:rsidRPr="00FC59B5">
        <w:rPr>
          <w:rFonts w:ascii="Times New Roman" w:hAnsi="Times New Roman" w:cs="Times New Roman"/>
          <w:color w:val="000000" w:themeColor="text1"/>
          <w:sz w:val="24"/>
          <w:szCs w:val="24"/>
        </w:rPr>
        <w:t>CSR narrative.</w:t>
      </w:r>
      <w:r w:rsidR="007B0B12" w:rsidRPr="00FC59B5">
        <w:rPr>
          <w:rFonts w:ascii="Times New Roman" w:hAnsi="Times New Roman" w:cs="Times New Roman"/>
          <w:color w:val="000000" w:themeColor="text1"/>
          <w:sz w:val="24"/>
          <w:szCs w:val="24"/>
        </w:rPr>
        <w:t xml:space="preserve"> It would also be interesting to examine board interlock and overlapped audit committee directors on the tone of the CSR narrative. </w:t>
      </w:r>
      <w:r w:rsidR="007B0B12" w:rsidRPr="00FC59B5">
        <w:rPr>
          <w:rFonts w:ascii="Times New Roman" w:hAnsi="Times New Roman" w:cs="Times New Roman"/>
          <w:sz w:val="24"/>
          <w:szCs w:val="24"/>
        </w:rPr>
        <w:t xml:space="preserve">Additional research could be undertaken to examine whether governance mechanisms have the same impact on </w:t>
      </w:r>
      <w:r w:rsidR="007B0B12" w:rsidRPr="00FC59B5">
        <w:rPr>
          <w:rFonts w:ascii="Times New Roman" w:hAnsi="Times New Roman" w:cs="Times New Roman"/>
          <w:sz w:val="24"/>
          <w:szCs w:val="24"/>
        </w:rPr>
        <w:lastRenderedPageBreak/>
        <w:t xml:space="preserve">mandatory and voluntary content of the CSR disclosure tone. Finally, </w:t>
      </w:r>
      <w:r w:rsidR="00D80380" w:rsidRPr="00FC59B5">
        <w:rPr>
          <w:rFonts w:ascii="Times New Roman" w:hAnsi="Times New Roman" w:cs="Times New Roman"/>
          <w:sz w:val="24"/>
          <w:szCs w:val="24"/>
        </w:rPr>
        <w:t>it</w:t>
      </w:r>
      <w:r w:rsidR="007B0B12" w:rsidRPr="00FC59B5">
        <w:rPr>
          <w:rFonts w:ascii="Times New Roman" w:hAnsi="Times New Roman" w:cs="Times New Roman"/>
          <w:sz w:val="24"/>
          <w:szCs w:val="24"/>
        </w:rPr>
        <w:t xml:space="preserve"> would be interesting to study the economic consequences of CSR disclosure tone (</w:t>
      </w:r>
      <w:proofErr w:type="gramStart"/>
      <w:r w:rsidR="007B0B12" w:rsidRPr="00FC59B5">
        <w:rPr>
          <w:rFonts w:ascii="Times New Roman" w:hAnsi="Times New Roman" w:cs="Times New Roman"/>
          <w:sz w:val="24"/>
          <w:szCs w:val="24"/>
        </w:rPr>
        <w:t>e.g.</w:t>
      </w:r>
      <w:proofErr w:type="gramEnd"/>
      <w:r w:rsidR="007B0B12" w:rsidRPr="00FC59B5">
        <w:rPr>
          <w:rFonts w:ascii="Times New Roman" w:hAnsi="Times New Roman" w:cs="Times New Roman"/>
          <w:sz w:val="24"/>
          <w:szCs w:val="24"/>
        </w:rPr>
        <w:t xml:space="preserve"> its impact on firm performance, </w:t>
      </w:r>
      <w:r w:rsidR="00700F67" w:rsidRPr="00FC59B5">
        <w:rPr>
          <w:rFonts w:ascii="Times New Roman" w:hAnsi="Times New Roman" w:cs="Times New Roman"/>
          <w:sz w:val="24"/>
          <w:szCs w:val="24"/>
        </w:rPr>
        <w:t xml:space="preserve">firm value, </w:t>
      </w:r>
      <w:r w:rsidR="007B0B12" w:rsidRPr="00FC59B5">
        <w:rPr>
          <w:rFonts w:ascii="Times New Roman" w:hAnsi="Times New Roman" w:cs="Times New Roman"/>
          <w:sz w:val="24"/>
          <w:szCs w:val="24"/>
        </w:rPr>
        <w:t xml:space="preserve">cost of capital, credit rating, trade credit, cash holding, dividend policy and corporate investment efficiency). </w:t>
      </w:r>
    </w:p>
    <w:p w14:paraId="3C6C4540" w14:textId="77777777" w:rsidR="00C34C2E" w:rsidRPr="00FC59B5" w:rsidRDefault="00C34C2E" w:rsidP="00C34C2E">
      <w:pPr>
        <w:rPr>
          <w:rFonts w:asciiTheme="majorBidi" w:hAnsiTheme="majorBidi" w:cstheme="majorBidi"/>
          <w:color w:val="000000" w:themeColor="text1"/>
          <w:sz w:val="24"/>
          <w:szCs w:val="24"/>
          <w:lang w:val="en-US" w:eastAsia="zh-CN" w:bidi="ar-SY"/>
        </w:rPr>
      </w:pPr>
    </w:p>
    <w:p w14:paraId="20A96D09" w14:textId="77777777" w:rsidR="00C03CB5" w:rsidRPr="00FC59B5" w:rsidRDefault="00C03CB5" w:rsidP="00C03CB5">
      <w:pPr>
        <w:shd w:val="clear" w:color="auto" w:fill="FFFFFF"/>
        <w:spacing w:line="276" w:lineRule="auto"/>
        <w:rPr>
          <w:rFonts w:ascii="Times New Roman" w:hAnsi="Times New Roman"/>
          <w:b/>
          <w:bCs/>
          <w:sz w:val="24"/>
        </w:rPr>
      </w:pPr>
      <w:r w:rsidRPr="00FC59B5">
        <w:rPr>
          <w:rFonts w:ascii="Times New Roman" w:hAnsi="Times New Roman"/>
          <w:b/>
          <w:bCs/>
          <w:sz w:val="24"/>
        </w:rPr>
        <w:t>Endnotes</w:t>
      </w:r>
    </w:p>
    <w:p w14:paraId="1EC8C25F" w14:textId="77777777" w:rsidR="00C03CB5" w:rsidRPr="00FC59B5" w:rsidRDefault="00C03CB5" w:rsidP="00C03CB5">
      <w:pPr>
        <w:shd w:val="clear" w:color="auto" w:fill="FFFFFF"/>
        <w:spacing w:line="276" w:lineRule="auto"/>
        <w:rPr>
          <w:rFonts w:ascii="Times New Roman" w:hAnsi="Times New Roman"/>
          <w:sz w:val="24"/>
        </w:rPr>
      </w:pPr>
      <w:r w:rsidRPr="00FC59B5">
        <w:rPr>
          <w:rFonts w:ascii="Times New Roman" w:hAnsi="Times New Roman"/>
          <w:sz w:val="24"/>
        </w:rPr>
        <w:t>The data that support the findings of this study are available from the corresponding author upon reasonable request.</w:t>
      </w:r>
    </w:p>
    <w:p w14:paraId="16D570A9" w14:textId="77777777" w:rsidR="00C03CB5" w:rsidRPr="00FC59B5" w:rsidRDefault="00C03CB5" w:rsidP="00C34C2E">
      <w:pPr>
        <w:rPr>
          <w:rFonts w:asciiTheme="majorBidi" w:hAnsiTheme="majorBidi" w:cstheme="majorBidi"/>
          <w:color w:val="000000" w:themeColor="text1"/>
          <w:sz w:val="24"/>
          <w:szCs w:val="24"/>
          <w:lang w:eastAsia="zh-CN" w:bidi="ar-SY"/>
        </w:rPr>
      </w:pPr>
    </w:p>
    <w:p w14:paraId="154FB513" w14:textId="77777777" w:rsidR="00C03CB5" w:rsidRPr="00FC59B5" w:rsidRDefault="00C03CB5" w:rsidP="00C34C2E">
      <w:pPr>
        <w:rPr>
          <w:rFonts w:asciiTheme="majorBidi" w:hAnsiTheme="majorBidi" w:cstheme="majorBidi"/>
          <w:color w:val="000000" w:themeColor="text1"/>
          <w:sz w:val="24"/>
          <w:szCs w:val="24"/>
          <w:lang w:val="en-US" w:eastAsia="zh-CN" w:bidi="ar-SY"/>
        </w:rPr>
      </w:pPr>
    </w:p>
    <w:p w14:paraId="2DE25DCA" w14:textId="77777777" w:rsidR="00AA747F" w:rsidRPr="00FC59B5" w:rsidRDefault="00CC02DE" w:rsidP="00DE65A1">
      <w:pPr>
        <w:pStyle w:val="Heading1"/>
        <w:rPr>
          <w:rFonts w:asciiTheme="majorBidi" w:hAnsiTheme="majorBidi" w:cstheme="majorBidi"/>
          <w:b/>
          <w:bCs/>
          <w:color w:val="000000" w:themeColor="text1"/>
          <w:sz w:val="24"/>
          <w:szCs w:val="24"/>
        </w:rPr>
      </w:pPr>
      <w:r w:rsidRPr="00FC59B5">
        <w:rPr>
          <w:rFonts w:asciiTheme="majorBidi" w:hAnsiTheme="majorBidi" w:cstheme="majorBidi"/>
          <w:b/>
          <w:bCs/>
          <w:color w:val="000000" w:themeColor="text1"/>
          <w:sz w:val="24"/>
          <w:szCs w:val="24"/>
        </w:rPr>
        <w:t>References</w:t>
      </w:r>
    </w:p>
    <w:p w14:paraId="3F8B58BA" w14:textId="77777777" w:rsidR="008E753F" w:rsidRPr="00FC59B5" w:rsidRDefault="008E753F" w:rsidP="008E753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Al </w:t>
      </w:r>
      <w:proofErr w:type="spellStart"/>
      <w:r w:rsidRPr="00FC59B5">
        <w:rPr>
          <w:rFonts w:asciiTheme="majorBidi" w:eastAsia="Calibri" w:hAnsiTheme="majorBidi" w:cstheme="majorBidi"/>
          <w:color w:val="000000" w:themeColor="text1"/>
          <w:sz w:val="24"/>
          <w:szCs w:val="24"/>
        </w:rPr>
        <w:t>Lawati</w:t>
      </w:r>
      <w:proofErr w:type="spellEnd"/>
      <w:r w:rsidRPr="00FC59B5">
        <w:rPr>
          <w:rFonts w:asciiTheme="majorBidi" w:eastAsia="Calibri" w:hAnsiTheme="majorBidi" w:cstheme="majorBidi"/>
          <w:color w:val="000000" w:themeColor="text1"/>
          <w:sz w:val="24"/>
          <w:szCs w:val="24"/>
        </w:rPr>
        <w:t>, H. and Hussainey, K. (2021). “Disclosure of forward-looking information: Does audit committee overlapping matter?”. International Journal of Accounting and Performance Evaluation, forthcoming.</w:t>
      </w:r>
    </w:p>
    <w:p w14:paraId="0F6013FB" w14:textId="45DF5398" w:rsidR="008E753F" w:rsidRPr="00FC59B5" w:rsidRDefault="008E753F"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Al </w:t>
      </w:r>
      <w:proofErr w:type="spellStart"/>
      <w:r w:rsidRPr="00FC59B5">
        <w:rPr>
          <w:rFonts w:asciiTheme="majorBidi" w:eastAsia="Calibri" w:hAnsiTheme="majorBidi" w:cstheme="majorBidi"/>
          <w:color w:val="000000" w:themeColor="text1"/>
          <w:sz w:val="24"/>
          <w:szCs w:val="24"/>
        </w:rPr>
        <w:t>Lawati</w:t>
      </w:r>
      <w:proofErr w:type="spellEnd"/>
      <w:r w:rsidRPr="00FC59B5">
        <w:rPr>
          <w:rFonts w:asciiTheme="majorBidi" w:eastAsia="Calibri" w:hAnsiTheme="majorBidi" w:cstheme="majorBidi"/>
          <w:color w:val="000000" w:themeColor="text1"/>
          <w:sz w:val="24"/>
          <w:szCs w:val="24"/>
        </w:rPr>
        <w:t xml:space="preserve">, H., Hussainey, K. and </w:t>
      </w:r>
      <w:proofErr w:type="spellStart"/>
      <w:r w:rsidRPr="00FC59B5">
        <w:rPr>
          <w:rFonts w:asciiTheme="majorBidi" w:eastAsia="Calibri" w:hAnsiTheme="majorBidi" w:cstheme="majorBidi"/>
          <w:color w:val="000000" w:themeColor="text1"/>
          <w:sz w:val="24"/>
          <w:szCs w:val="24"/>
        </w:rPr>
        <w:t>Sagitova</w:t>
      </w:r>
      <w:proofErr w:type="spellEnd"/>
      <w:r w:rsidRPr="00FC59B5">
        <w:rPr>
          <w:rFonts w:asciiTheme="majorBidi" w:eastAsia="Calibri" w:hAnsiTheme="majorBidi" w:cstheme="majorBidi"/>
          <w:color w:val="000000" w:themeColor="text1"/>
          <w:sz w:val="24"/>
          <w:szCs w:val="24"/>
        </w:rPr>
        <w:t>, R. (2021). Disclosure quality vis-à-vis disclosure quantity: Does audit committee matter in Omani financial institutions? Review of Quantitative Finance and Accounting, forthcoming.</w:t>
      </w:r>
    </w:p>
    <w:p w14:paraId="663F8116" w14:textId="0F8DEC22"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Aboud</w:t>
      </w:r>
      <w:proofErr w:type="spellEnd"/>
      <w:r w:rsidRPr="00FC59B5">
        <w:rPr>
          <w:rFonts w:asciiTheme="majorBidi" w:eastAsia="Calibri" w:hAnsiTheme="majorBidi" w:cstheme="majorBidi"/>
          <w:color w:val="000000" w:themeColor="text1"/>
          <w:sz w:val="24"/>
          <w:szCs w:val="24"/>
        </w:rPr>
        <w:t xml:space="preserve">, A. and Diab, A. (2018), "The impact of social, environmental and corporate governance disclosures on firm value", Journal of Accounting in Emerging </w:t>
      </w:r>
      <w:proofErr w:type="gramStart"/>
      <w:r w:rsidRPr="00FC59B5">
        <w:rPr>
          <w:rFonts w:asciiTheme="majorBidi" w:eastAsia="Calibri" w:hAnsiTheme="majorBidi" w:cstheme="majorBidi"/>
          <w:color w:val="000000" w:themeColor="text1"/>
          <w:sz w:val="24"/>
          <w:szCs w:val="24"/>
        </w:rPr>
        <w:t>Economies,  8</w:t>
      </w:r>
      <w:proofErr w:type="gramEnd"/>
      <w:r w:rsidR="004276D1"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4</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xml:space="preserve">, 442-458. </w:t>
      </w:r>
    </w:p>
    <w:p w14:paraId="2D4822E7" w14:textId="4DD8D940"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Abraham, S. and Cox, P. (2007), Analysing the determinants of narrative risk information in UK FTSE 100 annual reports. The British Accounting Review, 39</w:t>
      </w:r>
      <w:r w:rsidR="004276D1" w:rsidRPr="00FC59B5">
        <w:rPr>
          <w:rFonts w:asciiTheme="majorBidi" w:eastAsia="Calibri" w:hAnsiTheme="majorBidi" w:cstheme="majorBidi"/>
          <w:color w:val="000000" w:themeColor="text1"/>
          <w:sz w:val="24"/>
          <w:szCs w:val="24"/>
        </w:rPr>
        <w:t>(3)</w:t>
      </w:r>
      <w:r w:rsidRPr="00FC59B5">
        <w:rPr>
          <w:rFonts w:asciiTheme="majorBidi" w:eastAsia="Calibri" w:hAnsiTheme="majorBidi" w:cstheme="majorBidi"/>
          <w:color w:val="000000" w:themeColor="text1"/>
          <w:sz w:val="24"/>
          <w:szCs w:val="24"/>
        </w:rPr>
        <w:t>, 227–248.</w:t>
      </w:r>
    </w:p>
    <w:p w14:paraId="436FBFB3" w14:textId="2D21EB28"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Abrahamson, E. and Park, C. (1994), “Concealment of negative organizational outcomes: an agency theory perspective”, Academy of Management Journal, 37</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5</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1302-1334.</w:t>
      </w:r>
    </w:p>
    <w:p w14:paraId="311A1051" w14:textId="16D90B3E"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Adams, R.B. and Ferreira, D. (2009), "Women in the boardroom and their impact on governance and performance", Journal of Financial Economics, 94</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2</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291-309.</w:t>
      </w:r>
    </w:p>
    <w:p w14:paraId="4FF0C88B" w14:textId="54E90D0F"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Akben-Selcuk</w:t>
      </w:r>
      <w:proofErr w:type="spellEnd"/>
      <w:r w:rsidRPr="00FC59B5">
        <w:rPr>
          <w:rFonts w:asciiTheme="majorBidi" w:eastAsia="Calibri" w:hAnsiTheme="majorBidi" w:cstheme="majorBidi"/>
          <w:color w:val="000000" w:themeColor="text1"/>
          <w:sz w:val="24"/>
          <w:szCs w:val="24"/>
        </w:rPr>
        <w:t>, E. (2019), “Corporate Social Responsibility and Financial Performance: The Moderating Role of Ownership Concentration in Turkey”, Sustainability, 11</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13</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w:t>
      </w:r>
      <w:r w:rsidR="004276D1"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36-43.</w:t>
      </w:r>
    </w:p>
    <w:p w14:paraId="634A6385" w14:textId="1DDAA4A5" w:rsidR="00F800A1" w:rsidRPr="00FC59B5" w:rsidRDefault="00F800A1" w:rsidP="003F204E">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Albitar</w:t>
      </w:r>
      <w:proofErr w:type="spellEnd"/>
      <w:r w:rsidRPr="00FC59B5">
        <w:rPr>
          <w:rFonts w:asciiTheme="majorBidi" w:eastAsia="Calibri" w:hAnsiTheme="majorBidi" w:cstheme="majorBidi"/>
          <w:color w:val="000000" w:themeColor="text1"/>
          <w:sz w:val="24"/>
          <w:szCs w:val="24"/>
        </w:rPr>
        <w:t xml:space="preserve">, K. (2015). Firm characteristics, governance attributes and corporate voluntary disclosure: a study of Jordanian listed companies. International Business Research, </w:t>
      </w:r>
      <w:r w:rsidR="003F204E" w:rsidRPr="00FC59B5">
        <w:rPr>
          <w:rFonts w:asciiTheme="majorBidi" w:eastAsia="Calibri" w:hAnsiTheme="majorBidi" w:cstheme="majorBidi"/>
          <w:color w:val="000000" w:themeColor="text1"/>
          <w:sz w:val="24"/>
          <w:szCs w:val="24"/>
        </w:rPr>
        <w:t>8(3), 1-10.</w:t>
      </w:r>
    </w:p>
    <w:p w14:paraId="37D8DC27" w14:textId="428A5F07" w:rsidR="00F800A1" w:rsidRPr="00FC59B5" w:rsidRDefault="00FC59B5"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hyperlink r:id="rId8" w:tooltip="Khaldoon Albitar" w:history="1">
        <w:proofErr w:type="spellStart"/>
        <w:r w:rsidR="00F800A1" w:rsidRPr="00FC59B5">
          <w:rPr>
            <w:rFonts w:asciiTheme="majorBidi" w:eastAsia="Calibri" w:hAnsiTheme="majorBidi" w:cstheme="majorBidi"/>
            <w:color w:val="000000" w:themeColor="text1"/>
            <w:sz w:val="24"/>
            <w:szCs w:val="24"/>
          </w:rPr>
          <w:t>Albitar</w:t>
        </w:r>
        <w:proofErr w:type="spellEnd"/>
        <w:r w:rsidR="00F800A1" w:rsidRPr="00FC59B5">
          <w:rPr>
            <w:rFonts w:asciiTheme="majorBidi" w:eastAsia="Calibri" w:hAnsiTheme="majorBidi" w:cstheme="majorBidi"/>
            <w:color w:val="000000" w:themeColor="text1"/>
            <w:sz w:val="24"/>
            <w:szCs w:val="24"/>
          </w:rPr>
          <w:t>, K.</w:t>
        </w:r>
      </w:hyperlink>
      <w:r w:rsidR="00F800A1" w:rsidRPr="00FC59B5">
        <w:rPr>
          <w:rFonts w:asciiTheme="majorBidi" w:eastAsia="Calibri" w:hAnsiTheme="majorBidi" w:cstheme="majorBidi"/>
          <w:color w:val="000000" w:themeColor="text1"/>
          <w:sz w:val="24"/>
          <w:szCs w:val="24"/>
        </w:rPr>
        <w:t>, </w:t>
      </w:r>
      <w:hyperlink r:id="rId9" w:tooltip="Khaled Hussainey" w:history="1">
        <w:r w:rsidR="00F800A1" w:rsidRPr="00FC59B5">
          <w:rPr>
            <w:rFonts w:asciiTheme="majorBidi" w:eastAsia="Calibri" w:hAnsiTheme="majorBidi" w:cstheme="majorBidi"/>
            <w:color w:val="000000" w:themeColor="text1"/>
            <w:sz w:val="24"/>
            <w:szCs w:val="24"/>
          </w:rPr>
          <w:t>Hussainey, K.</w:t>
        </w:r>
      </w:hyperlink>
      <w:r w:rsidR="00F800A1" w:rsidRPr="00FC59B5">
        <w:rPr>
          <w:rFonts w:asciiTheme="majorBidi" w:eastAsia="Calibri" w:hAnsiTheme="majorBidi" w:cstheme="majorBidi"/>
          <w:color w:val="000000" w:themeColor="text1"/>
          <w:sz w:val="24"/>
          <w:szCs w:val="24"/>
        </w:rPr>
        <w:t>, </w:t>
      </w:r>
      <w:proofErr w:type="spellStart"/>
      <w:r w:rsidRPr="00FC59B5">
        <w:fldChar w:fldCharType="begin"/>
      </w:r>
      <w:r w:rsidRPr="00FC59B5">
        <w:instrText>HYPERLINK "https://www.emerald.com/insight/search?q=Nasir%20Kolade" \o "Nasir Kolade"</w:instrText>
      </w:r>
      <w:r w:rsidRPr="00FC59B5">
        <w:fldChar w:fldCharType="separate"/>
      </w:r>
      <w:r w:rsidR="00F800A1" w:rsidRPr="00FC59B5">
        <w:rPr>
          <w:rFonts w:asciiTheme="majorBidi" w:eastAsia="Calibri" w:hAnsiTheme="majorBidi" w:cstheme="majorBidi"/>
          <w:color w:val="000000" w:themeColor="text1"/>
          <w:sz w:val="24"/>
          <w:szCs w:val="24"/>
        </w:rPr>
        <w:t>Kolade</w:t>
      </w:r>
      <w:proofErr w:type="spellEnd"/>
      <w:r w:rsidR="00F800A1" w:rsidRPr="00FC59B5">
        <w:rPr>
          <w:rFonts w:asciiTheme="majorBidi" w:eastAsia="Calibri" w:hAnsiTheme="majorBidi" w:cstheme="majorBidi"/>
          <w:color w:val="000000" w:themeColor="text1"/>
          <w:sz w:val="24"/>
          <w:szCs w:val="24"/>
        </w:rPr>
        <w:t>, N.</w:t>
      </w:r>
      <w:r w:rsidRPr="00FC59B5">
        <w:rPr>
          <w:rFonts w:asciiTheme="majorBidi" w:eastAsia="Calibri" w:hAnsiTheme="majorBidi" w:cstheme="majorBidi"/>
          <w:color w:val="000000" w:themeColor="text1"/>
          <w:sz w:val="24"/>
          <w:szCs w:val="24"/>
        </w:rPr>
        <w:fldChar w:fldCharType="end"/>
      </w:r>
      <w:r w:rsidR="00F800A1" w:rsidRPr="00FC59B5">
        <w:rPr>
          <w:rFonts w:asciiTheme="majorBidi" w:eastAsia="Calibri" w:hAnsiTheme="majorBidi" w:cstheme="majorBidi"/>
          <w:color w:val="000000" w:themeColor="text1"/>
          <w:sz w:val="24"/>
          <w:szCs w:val="24"/>
        </w:rPr>
        <w:t> and </w:t>
      </w:r>
      <w:proofErr w:type="spellStart"/>
      <w:r w:rsidRPr="00FC59B5">
        <w:fldChar w:fldCharType="begin"/>
      </w:r>
      <w:r w:rsidRPr="00FC59B5">
        <w:instrText>HYPERLINK "https://www.emerald.com/insight/search?q=Ali%20Meftah%20Gerged" \</w:instrText>
      </w:r>
      <w:r w:rsidRPr="00FC59B5">
        <w:instrText>o "Ali Meftah Gerged"</w:instrText>
      </w:r>
      <w:r w:rsidRPr="00FC59B5">
        <w:fldChar w:fldCharType="separate"/>
      </w:r>
      <w:r w:rsidR="00F800A1" w:rsidRPr="00FC59B5">
        <w:rPr>
          <w:rFonts w:asciiTheme="majorBidi" w:eastAsia="Calibri" w:hAnsiTheme="majorBidi" w:cstheme="majorBidi"/>
          <w:color w:val="000000" w:themeColor="text1"/>
          <w:sz w:val="24"/>
          <w:szCs w:val="24"/>
        </w:rPr>
        <w:t>Gerged</w:t>
      </w:r>
      <w:proofErr w:type="spellEnd"/>
      <w:r w:rsidR="00F800A1" w:rsidRPr="00FC59B5">
        <w:rPr>
          <w:rFonts w:asciiTheme="majorBidi" w:eastAsia="Calibri" w:hAnsiTheme="majorBidi" w:cstheme="majorBidi"/>
          <w:color w:val="000000" w:themeColor="text1"/>
          <w:sz w:val="24"/>
          <w:szCs w:val="24"/>
        </w:rPr>
        <w:t>, A.</w:t>
      </w:r>
      <w:r w:rsidRPr="00FC59B5">
        <w:rPr>
          <w:rFonts w:asciiTheme="majorBidi" w:eastAsia="Calibri" w:hAnsiTheme="majorBidi" w:cstheme="majorBidi"/>
          <w:color w:val="000000" w:themeColor="text1"/>
          <w:sz w:val="24"/>
          <w:szCs w:val="24"/>
        </w:rPr>
        <w:fldChar w:fldCharType="end"/>
      </w:r>
      <w:r w:rsidR="00F800A1" w:rsidRPr="00FC59B5">
        <w:rPr>
          <w:rFonts w:asciiTheme="majorBidi" w:eastAsia="Calibri" w:hAnsiTheme="majorBidi" w:cstheme="majorBidi"/>
          <w:color w:val="000000" w:themeColor="text1"/>
          <w:sz w:val="24"/>
          <w:szCs w:val="24"/>
        </w:rPr>
        <w:t> (2020), "ESG disclosure and firm performance before and after IR: The moderating role of governance mechanisms", </w:t>
      </w:r>
      <w:hyperlink r:id="rId10" w:history="1">
        <w:r w:rsidR="00F800A1" w:rsidRPr="00FC59B5">
          <w:rPr>
            <w:rFonts w:asciiTheme="majorBidi" w:eastAsia="Calibri" w:hAnsiTheme="majorBidi" w:cstheme="majorBidi"/>
            <w:color w:val="000000" w:themeColor="text1"/>
            <w:sz w:val="24"/>
            <w:szCs w:val="24"/>
          </w:rPr>
          <w:t>International Journal of Accounting &amp; Information Management</w:t>
        </w:r>
      </w:hyperlink>
      <w:r w:rsidR="00F800A1" w:rsidRPr="00FC59B5">
        <w:rPr>
          <w:rFonts w:asciiTheme="majorBidi" w:eastAsia="Calibri" w:hAnsiTheme="majorBidi" w:cstheme="majorBidi"/>
          <w:color w:val="000000" w:themeColor="text1"/>
          <w:sz w:val="24"/>
          <w:szCs w:val="24"/>
        </w:rPr>
        <w:t xml:space="preserve">, </w:t>
      </w:r>
      <w:r w:rsidR="003F204E" w:rsidRPr="00FC59B5">
        <w:rPr>
          <w:rFonts w:asciiTheme="majorBidi" w:eastAsia="Calibri" w:hAnsiTheme="majorBidi" w:cstheme="majorBidi"/>
          <w:color w:val="000000" w:themeColor="text1"/>
          <w:sz w:val="24"/>
          <w:szCs w:val="24"/>
        </w:rPr>
        <w:t>Vol. 28</w:t>
      </w:r>
      <w:r w:rsidR="004276D1" w:rsidRPr="00FC59B5">
        <w:rPr>
          <w:rFonts w:asciiTheme="majorBidi" w:eastAsia="Calibri" w:hAnsiTheme="majorBidi" w:cstheme="majorBidi"/>
          <w:color w:val="000000" w:themeColor="text1"/>
          <w:sz w:val="24"/>
          <w:szCs w:val="24"/>
        </w:rPr>
        <w:t>(</w:t>
      </w:r>
      <w:r w:rsidR="003F204E" w:rsidRPr="00FC59B5">
        <w:rPr>
          <w:rFonts w:asciiTheme="majorBidi" w:eastAsia="Calibri" w:hAnsiTheme="majorBidi" w:cstheme="majorBidi"/>
          <w:color w:val="000000" w:themeColor="text1"/>
          <w:sz w:val="24"/>
          <w:szCs w:val="24"/>
        </w:rPr>
        <w:t>3</w:t>
      </w:r>
      <w:r w:rsidR="004276D1" w:rsidRPr="00FC59B5">
        <w:rPr>
          <w:rFonts w:asciiTheme="majorBidi" w:eastAsia="Calibri" w:hAnsiTheme="majorBidi" w:cstheme="majorBidi"/>
          <w:color w:val="000000" w:themeColor="text1"/>
          <w:sz w:val="24"/>
          <w:szCs w:val="24"/>
        </w:rPr>
        <w:t xml:space="preserve">), </w:t>
      </w:r>
      <w:r w:rsidR="003F204E" w:rsidRPr="00FC59B5">
        <w:rPr>
          <w:rFonts w:asciiTheme="majorBidi" w:eastAsia="Calibri" w:hAnsiTheme="majorBidi" w:cstheme="majorBidi"/>
          <w:color w:val="000000" w:themeColor="text1"/>
          <w:sz w:val="24"/>
          <w:szCs w:val="24"/>
        </w:rPr>
        <w:t>429-444.</w:t>
      </w:r>
    </w:p>
    <w:p w14:paraId="4F6D3EF7" w14:textId="4FEF892C"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Allegrini</w:t>
      </w:r>
      <w:proofErr w:type="spellEnd"/>
      <w:r w:rsidRPr="00FC59B5">
        <w:rPr>
          <w:rFonts w:asciiTheme="majorBidi" w:eastAsia="Calibri" w:hAnsiTheme="majorBidi" w:cstheme="majorBidi"/>
          <w:color w:val="000000" w:themeColor="text1"/>
          <w:sz w:val="24"/>
          <w:szCs w:val="24"/>
        </w:rPr>
        <w:t xml:space="preserve">, M. and Greco, G. (2011), “Corporate boards, audit committees and voluntary disclosure: Evidence from Italian Listed Companies”, Journal of Management &amp; Governance. 17, 1-30. </w:t>
      </w:r>
    </w:p>
    <w:p w14:paraId="2D1575DA" w14:textId="0170F445"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lastRenderedPageBreak/>
        <w:t>Allini</w:t>
      </w:r>
      <w:proofErr w:type="spellEnd"/>
      <w:r w:rsidRPr="00FC59B5">
        <w:rPr>
          <w:rFonts w:asciiTheme="majorBidi" w:eastAsia="Calibri" w:hAnsiTheme="majorBidi" w:cstheme="majorBidi"/>
          <w:color w:val="000000" w:themeColor="text1"/>
          <w:sz w:val="24"/>
          <w:szCs w:val="24"/>
        </w:rPr>
        <w:t>, A., Ma</w:t>
      </w:r>
      <w:r w:rsidR="00047FA0" w:rsidRPr="00FC59B5">
        <w:rPr>
          <w:rFonts w:asciiTheme="majorBidi" w:eastAsia="Calibri" w:hAnsiTheme="majorBidi" w:cstheme="majorBidi"/>
          <w:color w:val="000000" w:themeColor="text1"/>
          <w:sz w:val="24"/>
          <w:szCs w:val="24"/>
        </w:rPr>
        <w:t>nes Rossi, F. and Hussainey, K. (</w:t>
      </w:r>
      <w:r w:rsidRPr="00FC59B5">
        <w:rPr>
          <w:rFonts w:asciiTheme="majorBidi" w:eastAsia="Calibri" w:hAnsiTheme="majorBidi" w:cstheme="majorBidi"/>
          <w:color w:val="000000" w:themeColor="text1"/>
          <w:sz w:val="24"/>
          <w:szCs w:val="24"/>
        </w:rPr>
        <w:t>2016</w:t>
      </w:r>
      <w:r w:rsidR="00047FA0"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xml:space="preserve">. “The board's role in risk disclosure: an exploratory study of Italian listed </w:t>
      </w:r>
      <w:r w:rsidR="00236230" w:rsidRPr="00FC59B5">
        <w:rPr>
          <w:rFonts w:asciiTheme="majorBidi" w:eastAsia="Calibri" w:hAnsiTheme="majorBidi" w:cstheme="majorBidi"/>
          <w:color w:val="000000" w:themeColor="text1"/>
          <w:sz w:val="24"/>
          <w:szCs w:val="24"/>
        </w:rPr>
        <w:t>state-owned</w:t>
      </w:r>
      <w:r w:rsidRPr="00FC59B5">
        <w:rPr>
          <w:rFonts w:asciiTheme="majorBidi" w:eastAsia="Calibri" w:hAnsiTheme="majorBidi" w:cstheme="majorBidi"/>
          <w:color w:val="000000" w:themeColor="text1"/>
          <w:sz w:val="24"/>
          <w:szCs w:val="24"/>
        </w:rPr>
        <w:t xml:space="preserve"> enterprises” Public Money &amp; Management, 36</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2</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113-120.</w:t>
      </w:r>
    </w:p>
    <w:p w14:paraId="2B570A28" w14:textId="095FE20E"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Aly, D., El-Halaby, S. and Hussainey, K. (2018), “Tone disclosure and financial performance: evidence from Egypt”, Accounting Research Journal, 31</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1</w:t>
      </w:r>
      <w:proofErr w:type="gramStart"/>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63</w:t>
      </w:r>
      <w:proofErr w:type="gramEnd"/>
      <w:r w:rsidRPr="00FC59B5">
        <w:rPr>
          <w:rFonts w:asciiTheme="majorBidi" w:eastAsia="Calibri" w:hAnsiTheme="majorBidi" w:cstheme="majorBidi"/>
          <w:color w:val="000000" w:themeColor="text1"/>
          <w:sz w:val="24"/>
          <w:szCs w:val="24"/>
        </w:rPr>
        <w:t>-74.</w:t>
      </w:r>
    </w:p>
    <w:p w14:paraId="452D71D4" w14:textId="32B052DB"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Aouadi</w:t>
      </w:r>
      <w:proofErr w:type="spellEnd"/>
      <w:r w:rsidRPr="00FC59B5">
        <w:rPr>
          <w:rFonts w:asciiTheme="majorBidi" w:eastAsia="Calibri" w:hAnsiTheme="majorBidi" w:cstheme="majorBidi"/>
          <w:color w:val="000000" w:themeColor="text1"/>
          <w:sz w:val="24"/>
          <w:szCs w:val="24"/>
        </w:rPr>
        <w:t xml:space="preserve">, A. and </w:t>
      </w:r>
      <w:proofErr w:type="spellStart"/>
      <w:r w:rsidRPr="00FC59B5">
        <w:rPr>
          <w:rFonts w:asciiTheme="majorBidi" w:eastAsia="Calibri" w:hAnsiTheme="majorBidi" w:cstheme="majorBidi"/>
          <w:color w:val="000000" w:themeColor="text1"/>
          <w:sz w:val="24"/>
          <w:szCs w:val="24"/>
        </w:rPr>
        <w:t>Marsat</w:t>
      </w:r>
      <w:proofErr w:type="spellEnd"/>
      <w:r w:rsidRPr="00FC59B5">
        <w:rPr>
          <w:rFonts w:asciiTheme="majorBidi" w:eastAsia="Calibri" w:hAnsiTheme="majorBidi" w:cstheme="majorBidi"/>
          <w:color w:val="000000" w:themeColor="text1"/>
          <w:sz w:val="24"/>
          <w:szCs w:val="24"/>
        </w:rPr>
        <w:t xml:space="preserve">, S. (2018), “Do ESG </w:t>
      </w:r>
      <w:r w:rsidR="00236230" w:rsidRPr="00FC59B5">
        <w:rPr>
          <w:rFonts w:asciiTheme="majorBidi" w:eastAsia="Calibri" w:hAnsiTheme="majorBidi" w:cstheme="majorBidi"/>
          <w:color w:val="000000" w:themeColor="text1"/>
          <w:sz w:val="24"/>
          <w:szCs w:val="24"/>
        </w:rPr>
        <w:t xml:space="preserve">controversies matter </w:t>
      </w:r>
      <w:r w:rsidRPr="00FC59B5">
        <w:rPr>
          <w:rFonts w:asciiTheme="majorBidi" w:eastAsia="Calibri" w:hAnsiTheme="majorBidi" w:cstheme="majorBidi"/>
          <w:color w:val="000000" w:themeColor="text1"/>
          <w:sz w:val="24"/>
          <w:szCs w:val="24"/>
        </w:rPr>
        <w:t xml:space="preserve">for </w:t>
      </w:r>
      <w:r w:rsidR="00236230" w:rsidRPr="00FC59B5">
        <w:rPr>
          <w:rFonts w:asciiTheme="majorBidi" w:eastAsia="Calibri" w:hAnsiTheme="majorBidi" w:cstheme="majorBidi"/>
          <w:color w:val="000000" w:themeColor="text1"/>
          <w:sz w:val="24"/>
          <w:szCs w:val="24"/>
        </w:rPr>
        <w:t>firm value</w:t>
      </w:r>
      <w:r w:rsidRPr="00FC59B5">
        <w:rPr>
          <w:rFonts w:asciiTheme="majorBidi" w:eastAsia="Calibri" w:hAnsiTheme="majorBidi" w:cstheme="majorBidi"/>
          <w:color w:val="000000" w:themeColor="text1"/>
          <w:sz w:val="24"/>
          <w:szCs w:val="24"/>
        </w:rPr>
        <w:t xml:space="preserve">? Evidence from </w:t>
      </w:r>
      <w:r w:rsidR="00236230" w:rsidRPr="00FC59B5">
        <w:rPr>
          <w:rFonts w:asciiTheme="majorBidi" w:eastAsia="Calibri" w:hAnsiTheme="majorBidi" w:cstheme="majorBidi"/>
          <w:color w:val="000000" w:themeColor="text1"/>
          <w:sz w:val="24"/>
          <w:szCs w:val="24"/>
        </w:rPr>
        <w:t>international data</w:t>
      </w:r>
      <w:r w:rsidRPr="00FC59B5">
        <w:rPr>
          <w:rFonts w:asciiTheme="majorBidi" w:eastAsia="Calibri" w:hAnsiTheme="majorBidi" w:cstheme="majorBidi"/>
          <w:color w:val="000000" w:themeColor="text1"/>
          <w:sz w:val="24"/>
          <w:szCs w:val="24"/>
        </w:rPr>
        <w:t xml:space="preserve">”, Journal of Business Ethics, 151 </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4</w:t>
      </w:r>
      <w:r w:rsidR="004276D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1027-1047</w:t>
      </w:r>
    </w:p>
    <w:p w14:paraId="7B74AEEC" w14:textId="31676776"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Arena, C., </w:t>
      </w:r>
      <w:proofErr w:type="spellStart"/>
      <w:r w:rsidRPr="00FC59B5">
        <w:rPr>
          <w:rFonts w:asciiTheme="majorBidi" w:eastAsia="Calibri" w:hAnsiTheme="majorBidi" w:cstheme="majorBidi"/>
          <w:color w:val="000000" w:themeColor="text1"/>
          <w:sz w:val="24"/>
          <w:szCs w:val="24"/>
        </w:rPr>
        <w:t>Bozzolan</w:t>
      </w:r>
      <w:proofErr w:type="spellEnd"/>
      <w:r w:rsidRPr="00FC59B5">
        <w:rPr>
          <w:rFonts w:asciiTheme="majorBidi" w:eastAsia="Calibri" w:hAnsiTheme="majorBidi" w:cstheme="majorBidi"/>
          <w:color w:val="000000" w:themeColor="text1"/>
          <w:sz w:val="24"/>
          <w:szCs w:val="24"/>
        </w:rPr>
        <w:t xml:space="preserve">, S., &amp; </w:t>
      </w:r>
      <w:proofErr w:type="spellStart"/>
      <w:r w:rsidRPr="00FC59B5">
        <w:rPr>
          <w:rFonts w:asciiTheme="majorBidi" w:eastAsia="Calibri" w:hAnsiTheme="majorBidi" w:cstheme="majorBidi"/>
          <w:color w:val="000000" w:themeColor="text1"/>
          <w:sz w:val="24"/>
          <w:szCs w:val="24"/>
        </w:rPr>
        <w:t>Michelon</w:t>
      </w:r>
      <w:proofErr w:type="spellEnd"/>
      <w:r w:rsidRPr="00FC59B5">
        <w:rPr>
          <w:rFonts w:asciiTheme="majorBidi" w:eastAsia="Calibri" w:hAnsiTheme="majorBidi" w:cstheme="majorBidi"/>
          <w:color w:val="000000" w:themeColor="text1"/>
          <w:sz w:val="24"/>
          <w:szCs w:val="24"/>
        </w:rPr>
        <w:t xml:space="preserve">, G. (2015). Environmental reporting: Transparency to stakeholders or stakeholder manipulation? An analysis of disclosure tone and the role of the board of directors. Corporate Social Responsibility and Environmental Management, 22(6), 346–361.  </w:t>
      </w:r>
    </w:p>
    <w:p w14:paraId="46679CEE" w14:textId="7B3F0F78"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Atan</w:t>
      </w:r>
      <w:proofErr w:type="spellEnd"/>
      <w:r w:rsidRPr="00FC59B5">
        <w:rPr>
          <w:rFonts w:asciiTheme="majorBidi" w:eastAsia="Calibri" w:hAnsiTheme="majorBidi" w:cstheme="majorBidi"/>
          <w:color w:val="000000" w:themeColor="text1"/>
          <w:sz w:val="24"/>
          <w:szCs w:val="24"/>
        </w:rPr>
        <w:t xml:space="preserve">, R., Alam, Md. M., Said, J. and </w:t>
      </w:r>
      <w:proofErr w:type="spellStart"/>
      <w:r w:rsidRPr="00FC59B5">
        <w:rPr>
          <w:rFonts w:asciiTheme="majorBidi" w:eastAsia="Calibri" w:hAnsiTheme="majorBidi" w:cstheme="majorBidi"/>
          <w:color w:val="000000" w:themeColor="text1"/>
          <w:sz w:val="24"/>
          <w:szCs w:val="24"/>
        </w:rPr>
        <w:t>Zamri</w:t>
      </w:r>
      <w:proofErr w:type="spellEnd"/>
      <w:r w:rsidRPr="00FC59B5">
        <w:rPr>
          <w:rFonts w:asciiTheme="majorBidi" w:eastAsia="Calibri" w:hAnsiTheme="majorBidi" w:cstheme="majorBidi"/>
          <w:color w:val="000000" w:themeColor="text1"/>
          <w:sz w:val="24"/>
          <w:szCs w:val="24"/>
        </w:rPr>
        <w:t xml:space="preserve">, M. (2018), “The </w:t>
      </w:r>
      <w:r w:rsidR="00236230" w:rsidRPr="00FC59B5">
        <w:rPr>
          <w:rFonts w:asciiTheme="majorBidi" w:eastAsia="Calibri" w:hAnsiTheme="majorBidi" w:cstheme="majorBidi"/>
          <w:color w:val="000000" w:themeColor="text1"/>
          <w:sz w:val="24"/>
          <w:szCs w:val="24"/>
        </w:rPr>
        <w:t xml:space="preserve">impacts </w:t>
      </w:r>
      <w:r w:rsidRPr="00FC59B5">
        <w:rPr>
          <w:rFonts w:asciiTheme="majorBidi" w:eastAsia="Calibri" w:hAnsiTheme="majorBidi" w:cstheme="majorBidi"/>
          <w:color w:val="000000" w:themeColor="text1"/>
          <w:sz w:val="24"/>
          <w:szCs w:val="24"/>
        </w:rPr>
        <w:t xml:space="preserve">of </w:t>
      </w:r>
      <w:r w:rsidR="00236230" w:rsidRPr="00FC59B5">
        <w:rPr>
          <w:rFonts w:asciiTheme="majorBidi" w:eastAsia="Calibri" w:hAnsiTheme="majorBidi" w:cstheme="majorBidi"/>
          <w:color w:val="000000" w:themeColor="text1"/>
          <w:sz w:val="24"/>
          <w:szCs w:val="24"/>
        </w:rPr>
        <w:t>environmental</w:t>
      </w:r>
      <w:r w:rsidRPr="00FC59B5">
        <w:rPr>
          <w:rFonts w:asciiTheme="majorBidi" w:eastAsia="Calibri" w:hAnsiTheme="majorBidi" w:cstheme="majorBidi"/>
          <w:color w:val="000000" w:themeColor="text1"/>
          <w:sz w:val="24"/>
          <w:szCs w:val="24"/>
        </w:rPr>
        <w:t xml:space="preserve">, </w:t>
      </w:r>
      <w:r w:rsidR="00236230" w:rsidRPr="00FC59B5">
        <w:rPr>
          <w:rFonts w:asciiTheme="majorBidi" w:eastAsia="Calibri" w:hAnsiTheme="majorBidi" w:cstheme="majorBidi"/>
          <w:color w:val="000000" w:themeColor="text1"/>
          <w:sz w:val="24"/>
          <w:szCs w:val="24"/>
        </w:rPr>
        <w:t>social</w:t>
      </w:r>
      <w:r w:rsidRPr="00FC59B5">
        <w:rPr>
          <w:rFonts w:asciiTheme="majorBidi" w:eastAsia="Calibri" w:hAnsiTheme="majorBidi" w:cstheme="majorBidi"/>
          <w:color w:val="000000" w:themeColor="text1"/>
          <w:sz w:val="24"/>
          <w:szCs w:val="24"/>
        </w:rPr>
        <w:t xml:space="preserve">, and </w:t>
      </w:r>
      <w:r w:rsidR="00236230" w:rsidRPr="00FC59B5">
        <w:rPr>
          <w:rFonts w:asciiTheme="majorBidi" w:eastAsia="Calibri" w:hAnsiTheme="majorBidi" w:cstheme="majorBidi"/>
          <w:color w:val="000000" w:themeColor="text1"/>
          <w:sz w:val="24"/>
          <w:szCs w:val="24"/>
        </w:rPr>
        <w:t xml:space="preserve">governance factors </w:t>
      </w:r>
      <w:r w:rsidRPr="00FC59B5">
        <w:rPr>
          <w:rFonts w:asciiTheme="majorBidi" w:eastAsia="Calibri" w:hAnsiTheme="majorBidi" w:cstheme="majorBidi"/>
          <w:color w:val="000000" w:themeColor="text1"/>
          <w:sz w:val="24"/>
          <w:szCs w:val="24"/>
        </w:rPr>
        <w:t xml:space="preserve">on </w:t>
      </w:r>
      <w:r w:rsidR="00236230" w:rsidRPr="00FC59B5">
        <w:rPr>
          <w:rFonts w:asciiTheme="majorBidi" w:eastAsia="Calibri" w:hAnsiTheme="majorBidi" w:cstheme="majorBidi"/>
          <w:color w:val="000000" w:themeColor="text1"/>
          <w:sz w:val="24"/>
          <w:szCs w:val="24"/>
        </w:rPr>
        <w:t>firm performance</w:t>
      </w:r>
      <w:r w:rsidRPr="00FC59B5">
        <w:rPr>
          <w:rFonts w:asciiTheme="majorBidi" w:eastAsia="Calibri" w:hAnsiTheme="majorBidi" w:cstheme="majorBidi"/>
          <w:color w:val="000000" w:themeColor="text1"/>
          <w:sz w:val="24"/>
          <w:szCs w:val="24"/>
        </w:rPr>
        <w:t xml:space="preserve">: Panel </w:t>
      </w:r>
      <w:r w:rsidR="00236230" w:rsidRPr="00FC59B5">
        <w:rPr>
          <w:rFonts w:asciiTheme="majorBidi" w:eastAsia="Calibri" w:hAnsiTheme="majorBidi" w:cstheme="majorBidi"/>
          <w:color w:val="000000" w:themeColor="text1"/>
          <w:sz w:val="24"/>
          <w:szCs w:val="24"/>
        </w:rPr>
        <w:t xml:space="preserve">study </w:t>
      </w:r>
      <w:r w:rsidRPr="00FC59B5">
        <w:rPr>
          <w:rFonts w:asciiTheme="majorBidi" w:eastAsia="Calibri" w:hAnsiTheme="majorBidi" w:cstheme="majorBidi"/>
          <w:color w:val="000000" w:themeColor="text1"/>
          <w:sz w:val="24"/>
          <w:szCs w:val="24"/>
        </w:rPr>
        <w:t xml:space="preserve">on Malaysian </w:t>
      </w:r>
      <w:r w:rsidR="00236230" w:rsidRPr="00FC59B5">
        <w:rPr>
          <w:rFonts w:asciiTheme="majorBidi" w:eastAsia="Calibri" w:hAnsiTheme="majorBidi" w:cstheme="majorBidi"/>
          <w:color w:val="000000" w:themeColor="text1"/>
          <w:sz w:val="24"/>
          <w:szCs w:val="24"/>
        </w:rPr>
        <w:t>companies</w:t>
      </w:r>
      <w:r w:rsidRPr="00FC59B5">
        <w:rPr>
          <w:rFonts w:asciiTheme="majorBidi" w:eastAsia="Calibri" w:hAnsiTheme="majorBidi" w:cstheme="majorBidi"/>
          <w:color w:val="000000" w:themeColor="text1"/>
          <w:sz w:val="24"/>
          <w:szCs w:val="24"/>
        </w:rPr>
        <w:t xml:space="preserve">”, Management of Environmental Quality </w:t>
      </w:r>
      <w:proofErr w:type="gramStart"/>
      <w:r w:rsidRPr="00FC59B5">
        <w:rPr>
          <w:rFonts w:asciiTheme="majorBidi" w:eastAsia="Calibri" w:hAnsiTheme="majorBidi" w:cstheme="majorBidi"/>
          <w:color w:val="000000" w:themeColor="text1"/>
          <w:sz w:val="24"/>
          <w:szCs w:val="24"/>
        </w:rPr>
        <w:t>An</w:t>
      </w:r>
      <w:proofErr w:type="gramEnd"/>
      <w:r w:rsidRPr="00FC59B5">
        <w:rPr>
          <w:rFonts w:asciiTheme="majorBidi" w:eastAsia="Calibri" w:hAnsiTheme="majorBidi" w:cstheme="majorBidi"/>
          <w:color w:val="000000" w:themeColor="text1"/>
          <w:sz w:val="24"/>
          <w:szCs w:val="24"/>
        </w:rPr>
        <w:t xml:space="preserve"> International Journal, 29, 182-194. </w:t>
      </w:r>
    </w:p>
    <w:p w14:paraId="0FFC206B" w14:textId="1019BA9D" w:rsidR="00047FA0"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Barako, D.</w:t>
      </w:r>
      <w:r w:rsidR="00047FA0" w:rsidRPr="00FC59B5">
        <w:rPr>
          <w:rFonts w:asciiTheme="majorBidi" w:eastAsia="Calibri" w:hAnsiTheme="majorBidi" w:cstheme="majorBidi"/>
          <w:color w:val="000000" w:themeColor="text1"/>
          <w:sz w:val="24"/>
          <w:szCs w:val="24"/>
        </w:rPr>
        <w:t xml:space="preserve">G., Hancock, </w:t>
      </w:r>
      <w:proofErr w:type="gramStart"/>
      <w:r w:rsidR="00047FA0" w:rsidRPr="00FC59B5">
        <w:rPr>
          <w:rFonts w:asciiTheme="majorBidi" w:eastAsia="Calibri" w:hAnsiTheme="majorBidi" w:cstheme="majorBidi"/>
          <w:color w:val="000000" w:themeColor="text1"/>
          <w:sz w:val="24"/>
          <w:szCs w:val="24"/>
        </w:rPr>
        <w:t>P.</w:t>
      </w:r>
      <w:proofErr w:type="gramEnd"/>
      <w:r w:rsidR="00047FA0" w:rsidRPr="00FC59B5">
        <w:rPr>
          <w:rFonts w:asciiTheme="majorBidi" w:eastAsia="Calibri" w:hAnsiTheme="majorBidi" w:cstheme="majorBidi"/>
          <w:color w:val="000000" w:themeColor="text1"/>
          <w:sz w:val="24"/>
          <w:szCs w:val="24"/>
        </w:rPr>
        <w:t xml:space="preserve"> and Izan, H.Y. (</w:t>
      </w:r>
      <w:r w:rsidRPr="00FC59B5">
        <w:rPr>
          <w:rFonts w:asciiTheme="majorBidi" w:eastAsia="Calibri" w:hAnsiTheme="majorBidi" w:cstheme="majorBidi"/>
          <w:color w:val="000000" w:themeColor="text1"/>
          <w:sz w:val="24"/>
          <w:szCs w:val="24"/>
        </w:rPr>
        <w:t>2006</w:t>
      </w:r>
      <w:r w:rsidR="00047FA0"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“Factors influencing voluntary corporate disclosure by Kenyan companies”, Corporate Governance: An International Review, 14</w:t>
      </w:r>
      <w:r w:rsidR="00E87DF1"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2</w:t>
      </w:r>
      <w:r w:rsidR="00E87DF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107-125.</w:t>
      </w:r>
    </w:p>
    <w:p w14:paraId="5674670F" w14:textId="77777777" w:rsidR="00F800A1" w:rsidRPr="00FC59B5" w:rsidRDefault="00047FA0"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Barkemeyer</w:t>
      </w:r>
      <w:proofErr w:type="spellEnd"/>
      <w:r w:rsidRPr="00FC59B5">
        <w:rPr>
          <w:rFonts w:asciiTheme="majorBidi" w:eastAsia="Calibri" w:hAnsiTheme="majorBidi" w:cstheme="majorBidi"/>
          <w:color w:val="000000" w:themeColor="text1"/>
          <w:sz w:val="24"/>
          <w:szCs w:val="24"/>
        </w:rPr>
        <w:t xml:space="preserve">, R., </w:t>
      </w:r>
      <w:proofErr w:type="spellStart"/>
      <w:r w:rsidRPr="00FC59B5">
        <w:rPr>
          <w:rFonts w:asciiTheme="majorBidi" w:eastAsia="Calibri" w:hAnsiTheme="majorBidi" w:cstheme="majorBidi"/>
          <w:color w:val="000000" w:themeColor="text1"/>
          <w:sz w:val="24"/>
          <w:szCs w:val="24"/>
        </w:rPr>
        <w:t>Comyns</w:t>
      </w:r>
      <w:proofErr w:type="spellEnd"/>
      <w:r w:rsidRPr="00FC59B5">
        <w:rPr>
          <w:rFonts w:asciiTheme="majorBidi" w:eastAsia="Calibri" w:hAnsiTheme="majorBidi" w:cstheme="majorBidi"/>
          <w:color w:val="000000" w:themeColor="text1"/>
          <w:sz w:val="24"/>
          <w:szCs w:val="24"/>
        </w:rPr>
        <w:t xml:space="preserve">, B., </w:t>
      </w:r>
      <w:proofErr w:type="spellStart"/>
      <w:r w:rsidRPr="00FC59B5">
        <w:rPr>
          <w:rFonts w:asciiTheme="majorBidi" w:eastAsia="Calibri" w:hAnsiTheme="majorBidi" w:cstheme="majorBidi"/>
          <w:color w:val="000000" w:themeColor="text1"/>
          <w:sz w:val="24"/>
          <w:szCs w:val="24"/>
        </w:rPr>
        <w:t>Figge</w:t>
      </w:r>
      <w:proofErr w:type="spellEnd"/>
      <w:r w:rsidRPr="00FC59B5">
        <w:rPr>
          <w:rFonts w:asciiTheme="majorBidi" w:eastAsia="Calibri" w:hAnsiTheme="majorBidi" w:cstheme="majorBidi"/>
          <w:color w:val="000000" w:themeColor="text1"/>
          <w:sz w:val="24"/>
          <w:szCs w:val="24"/>
        </w:rPr>
        <w:t>, F., Napolitano, G. (2014). CEO statements in sustainability reports: Substantive information or background noise? Accounting Forum, 38, 241–257.</w:t>
      </w:r>
    </w:p>
    <w:p w14:paraId="4AA2A183" w14:textId="68B53E1B"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Barber, B.M. &amp; </w:t>
      </w:r>
      <w:proofErr w:type="spellStart"/>
      <w:r w:rsidRPr="00FC59B5">
        <w:rPr>
          <w:rFonts w:asciiTheme="majorBidi" w:eastAsia="Calibri" w:hAnsiTheme="majorBidi" w:cstheme="majorBidi"/>
          <w:color w:val="000000" w:themeColor="text1"/>
          <w:sz w:val="24"/>
          <w:szCs w:val="24"/>
        </w:rPr>
        <w:t>Odean</w:t>
      </w:r>
      <w:proofErr w:type="spellEnd"/>
      <w:r w:rsidRPr="00FC59B5">
        <w:rPr>
          <w:rFonts w:asciiTheme="majorBidi" w:eastAsia="Calibri" w:hAnsiTheme="majorBidi" w:cstheme="majorBidi"/>
          <w:color w:val="000000" w:themeColor="text1"/>
          <w:sz w:val="24"/>
          <w:szCs w:val="24"/>
        </w:rPr>
        <w:t>, T. (2001). Boys will be boys: Gender, overconfidence, and common stock investment. The Quarterly Journal of Economics, 116(1), 261–292.</w:t>
      </w:r>
    </w:p>
    <w:p w14:paraId="0C1C7C6F" w14:textId="475CF3D6" w:rsidR="0043768B" w:rsidRPr="00FC59B5" w:rsidRDefault="0043768B"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Bassyouny</w:t>
      </w:r>
      <w:proofErr w:type="spellEnd"/>
      <w:r w:rsidRPr="00FC59B5">
        <w:rPr>
          <w:rFonts w:asciiTheme="majorBidi" w:eastAsia="Calibri" w:hAnsiTheme="majorBidi" w:cstheme="majorBidi"/>
          <w:color w:val="000000" w:themeColor="text1"/>
          <w:sz w:val="24"/>
          <w:szCs w:val="24"/>
        </w:rPr>
        <w:t>, H., Abdelfattah, T., &amp; Tao, L. (2020). Beyond narrative disclosure tone: The upper echelons theory perspective. International Review of Financial Analysis, 70, 101499.</w:t>
      </w:r>
    </w:p>
    <w:p w14:paraId="5C1AEA1E" w14:textId="592C93BE" w:rsidR="00047FA0"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Bernardi</w:t>
      </w:r>
      <w:proofErr w:type="spellEnd"/>
      <w:r w:rsidRPr="00FC59B5">
        <w:rPr>
          <w:rFonts w:asciiTheme="majorBidi" w:eastAsia="Calibri" w:hAnsiTheme="majorBidi" w:cstheme="majorBidi"/>
          <w:color w:val="000000" w:themeColor="text1"/>
          <w:sz w:val="24"/>
          <w:szCs w:val="24"/>
        </w:rPr>
        <w:t>, C. and Stark, A. (2018), “Environmental, social and governance disclosure, integrated reporting, and the accuracy of analyst forecasts”, British Accounting Review,</w:t>
      </w:r>
      <w:r w:rsidR="00E87DF1"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50</w:t>
      </w:r>
      <w:r w:rsidR="00E87DF1"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1</w:t>
      </w:r>
      <w:r w:rsidR="00E87DF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16–31.</w:t>
      </w:r>
    </w:p>
    <w:p w14:paraId="0F945E56" w14:textId="150827BD" w:rsidR="00047FA0" w:rsidRPr="00FC59B5" w:rsidRDefault="00047FA0"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Bilimoria, D., and S. Kristin </w:t>
      </w:r>
      <w:proofErr w:type="spellStart"/>
      <w:r w:rsidRPr="00FC59B5">
        <w:rPr>
          <w:rFonts w:asciiTheme="majorBidi" w:eastAsia="Calibri" w:hAnsiTheme="majorBidi" w:cstheme="majorBidi"/>
          <w:color w:val="000000" w:themeColor="text1"/>
          <w:sz w:val="24"/>
          <w:szCs w:val="24"/>
        </w:rPr>
        <w:t>Piderit</w:t>
      </w:r>
      <w:proofErr w:type="spellEnd"/>
      <w:r w:rsidRPr="00FC59B5">
        <w:rPr>
          <w:rFonts w:asciiTheme="majorBidi" w:eastAsia="Calibri" w:hAnsiTheme="majorBidi" w:cstheme="majorBidi"/>
          <w:color w:val="000000" w:themeColor="text1"/>
          <w:sz w:val="24"/>
          <w:szCs w:val="24"/>
        </w:rPr>
        <w:t xml:space="preserve">, (1994). Board </w:t>
      </w:r>
      <w:r w:rsidR="00236230" w:rsidRPr="00FC59B5">
        <w:rPr>
          <w:rFonts w:asciiTheme="majorBidi" w:eastAsia="Calibri" w:hAnsiTheme="majorBidi" w:cstheme="majorBidi"/>
          <w:color w:val="000000" w:themeColor="text1"/>
          <w:sz w:val="24"/>
          <w:szCs w:val="24"/>
        </w:rPr>
        <w:t>committee membership</w:t>
      </w:r>
      <w:r w:rsidRPr="00FC59B5">
        <w:rPr>
          <w:rFonts w:asciiTheme="majorBidi" w:eastAsia="Calibri" w:hAnsiTheme="majorBidi" w:cstheme="majorBidi"/>
          <w:color w:val="000000" w:themeColor="text1"/>
          <w:sz w:val="24"/>
          <w:szCs w:val="24"/>
        </w:rPr>
        <w:t xml:space="preserve">: Effects of </w:t>
      </w:r>
      <w:r w:rsidR="00236230" w:rsidRPr="00FC59B5">
        <w:rPr>
          <w:rFonts w:asciiTheme="majorBidi" w:eastAsia="Calibri" w:hAnsiTheme="majorBidi" w:cstheme="majorBidi"/>
          <w:color w:val="000000" w:themeColor="text1"/>
          <w:sz w:val="24"/>
          <w:szCs w:val="24"/>
        </w:rPr>
        <w:t>sex</w:t>
      </w:r>
      <w:r w:rsidRPr="00FC59B5">
        <w:rPr>
          <w:rFonts w:asciiTheme="majorBidi" w:eastAsia="Calibri" w:hAnsiTheme="majorBidi" w:cstheme="majorBidi"/>
          <w:color w:val="000000" w:themeColor="text1"/>
          <w:sz w:val="24"/>
          <w:szCs w:val="24"/>
        </w:rPr>
        <w:t>-</w:t>
      </w:r>
      <w:r w:rsidR="00236230" w:rsidRPr="00FC59B5">
        <w:rPr>
          <w:rFonts w:asciiTheme="majorBidi" w:eastAsia="Calibri" w:hAnsiTheme="majorBidi" w:cstheme="majorBidi"/>
          <w:color w:val="000000" w:themeColor="text1"/>
          <w:sz w:val="24"/>
          <w:szCs w:val="24"/>
        </w:rPr>
        <w:t xml:space="preserve">biased </w:t>
      </w:r>
      <w:r w:rsidRPr="00FC59B5">
        <w:rPr>
          <w:rFonts w:asciiTheme="majorBidi" w:eastAsia="Calibri" w:hAnsiTheme="majorBidi" w:cstheme="majorBidi"/>
          <w:color w:val="000000" w:themeColor="text1"/>
          <w:sz w:val="24"/>
          <w:szCs w:val="24"/>
        </w:rPr>
        <w:t>bias, The Academy of Management Journal 37, 1453-1477.</w:t>
      </w:r>
    </w:p>
    <w:p w14:paraId="49F3D020"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Bozzolan</w:t>
      </w:r>
      <w:proofErr w:type="spellEnd"/>
      <w:r w:rsidRPr="00FC59B5">
        <w:rPr>
          <w:rFonts w:asciiTheme="majorBidi" w:eastAsia="Calibri" w:hAnsiTheme="majorBidi" w:cstheme="majorBidi"/>
          <w:color w:val="000000" w:themeColor="text1"/>
          <w:sz w:val="24"/>
          <w:szCs w:val="24"/>
        </w:rPr>
        <w:t xml:space="preserve">, S., Cho, C.H., &amp; </w:t>
      </w:r>
      <w:proofErr w:type="spellStart"/>
      <w:r w:rsidRPr="00FC59B5">
        <w:rPr>
          <w:rFonts w:asciiTheme="majorBidi" w:eastAsia="Calibri" w:hAnsiTheme="majorBidi" w:cstheme="majorBidi"/>
          <w:color w:val="000000" w:themeColor="text1"/>
          <w:sz w:val="24"/>
          <w:szCs w:val="24"/>
        </w:rPr>
        <w:t>Michelon</w:t>
      </w:r>
      <w:proofErr w:type="spellEnd"/>
      <w:r w:rsidRPr="00FC59B5">
        <w:rPr>
          <w:rFonts w:asciiTheme="majorBidi" w:eastAsia="Calibri" w:hAnsiTheme="majorBidi" w:cstheme="majorBidi"/>
          <w:color w:val="000000" w:themeColor="text1"/>
          <w:sz w:val="24"/>
          <w:szCs w:val="24"/>
        </w:rPr>
        <w:t>, G. (2015). Impression management and organizational audiences: The Fiat Group case. Journal of Business Ethics, 126(1), 143–165.</w:t>
      </w:r>
    </w:p>
    <w:p w14:paraId="29842F06" w14:textId="53AB17CD"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Brooks, C. and </w:t>
      </w:r>
      <w:proofErr w:type="spellStart"/>
      <w:r w:rsidRPr="00FC59B5">
        <w:rPr>
          <w:rFonts w:asciiTheme="majorBidi" w:eastAsia="Calibri" w:hAnsiTheme="majorBidi" w:cstheme="majorBidi"/>
          <w:color w:val="000000" w:themeColor="text1"/>
          <w:sz w:val="24"/>
          <w:szCs w:val="24"/>
        </w:rPr>
        <w:t>Oikonomou</w:t>
      </w:r>
      <w:proofErr w:type="spellEnd"/>
      <w:r w:rsidRPr="00FC59B5">
        <w:rPr>
          <w:rFonts w:asciiTheme="majorBidi" w:eastAsia="Calibri" w:hAnsiTheme="majorBidi" w:cstheme="majorBidi"/>
          <w:color w:val="000000" w:themeColor="text1"/>
          <w:sz w:val="24"/>
          <w:szCs w:val="24"/>
        </w:rPr>
        <w:t>, I. (2017), “The effects of environmental, social and governance disclosures and performance on firm value: A review of the literature in accounting and finance”, The British Accounting Review, 50</w:t>
      </w:r>
      <w:r w:rsidR="00E87DF1"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1</w:t>
      </w:r>
      <w:r w:rsidR="00E87DF1"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1-15.</w:t>
      </w:r>
    </w:p>
    <w:p w14:paraId="4F0CB306" w14:textId="77777777" w:rsidR="001A1B07" w:rsidRPr="00FC59B5" w:rsidRDefault="001A1B07"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Chen, S., Wang, Y., </w:t>
      </w:r>
      <w:proofErr w:type="spellStart"/>
      <w:r w:rsidRPr="00FC59B5">
        <w:rPr>
          <w:rFonts w:asciiTheme="majorBidi" w:eastAsia="Calibri" w:hAnsiTheme="majorBidi" w:cstheme="majorBidi"/>
          <w:color w:val="000000" w:themeColor="text1"/>
          <w:sz w:val="24"/>
          <w:szCs w:val="24"/>
        </w:rPr>
        <w:t>Albitar</w:t>
      </w:r>
      <w:proofErr w:type="spellEnd"/>
      <w:r w:rsidRPr="00FC59B5">
        <w:rPr>
          <w:rFonts w:asciiTheme="majorBidi" w:eastAsia="Calibri" w:hAnsiTheme="majorBidi" w:cstheme="majorBidi"/>
          <w:color w:val="000000" w:themeColor="text1"/>
          <w:sz w:val="24"/>
          <w:szCs w:val="24"/>
        </w:rPr>
        <w:t xml:space="preserve">, K., &amp; Huang, Z. (2021). Does ownership concentration affect corporate environmental responsibility engagement? The mediating role of corporate leverage. </w:t>
      </w:r>
      <w:proofErr w:type="spellStart"/>
      <w:r w:rsidRPr="00FC59B5">
        <w:rPr>
          <w:rFonts w:asciiTheme="majorBidi" w:eastAsia="Calibri" w:hAnsiTheme="majorBidi" w:cstheme="majorBidi"/>
          <w:color w:val="000000" w:themeColor="text1"/>
          <w:sz w:val="24"/>
          <w:szCs w:val="24"/>
        </w:rPr>
        <w:t>Borsa</w:t>
      </w:r>
      <w:proofErr w:type="spellEnd"/>
      <w:r w:rsidRPr="00FC59B5">
        <w:rPr>
          <w:rFonts w:asciiTheme="majorBidi" w:eastAsia="Calibri" w:hAnsiTheme="majorBidi" w:cstheme="majorBidi"/>
          <w:color w:val="000000" w:themeColor="text1"/>
          <w:sz w:val="24"/>
          <w:szCs w:val="24"/>
        </w:rPr>
        <w:t xml:space="preserve"> Istanbul Review. In press.</w:t>
      </w:r>
    </w:p>
    <w:p w14:paraId="353CCFB6" w14:textId="77777777" w:rsidR="00047FA0" w:rsidRPr="00FC59B5" w:rsidRDefault="00047FA0"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Cho, C. H., Roberts, R. W., &amp; Patten, D. M. (2010). The language of US corporate environmental disclosure. Accounting, Organizations and Society, 35(4), 431–443.</w:t>
      </w:r>
    </w:p>
    <w:p w14:paraId="78F94D7C" w14:textId="0BB7623D"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Dam, L. and </w:t>
      </w:r>
      <w:proofErr w:type="spellStart"/>
      <w:r w:rsidRPr="00FC59B5">
        <w:rPr>
          <w:rFonts w:asciiTheme="majorBidi" w:eastAsia="Calibri" w:hAnsiTheme="majorBidi" w:cstheme="majorBidi"/>
          <w:color w:val="000000" w:themeColor="text1"/>
          <w:sz w:val="24"/>
          <w:szCs w:val="24"/>
        </w:rPr>
        <w:t>Scholtens</w:t>
      </w:r>
      <w:proofErr w:type="spellEnd"/>
      <w:r w:rsidRPr="00FC59B5">
        <w:rPr>
          <w:rFonts w:asciiTheme="majorBidi" w:eastAsia="Calibri" w:hAnsiTheme="majorBidi" w:cstheme="majorBidi"/>
          <w:color w:val="000000" w:themeColor="text1"/>
          <w:sz w:val="24"/>
          <w:szCs w:val="24"/>
        </w:rPr>
        <w:t xml:space="preserve">, B. (2013), “Ownership </w:t>
      </w:r>
      <w:r w:rsidR="00236230" w:rsidRPr="00FC59B5">
        <w:rPr>
          <w:rFonts w:asciiTheme="majorBidi" w:eastAsia="Calibri" w:hAnsiTheme="majorBidi" w:cstheme="majorBidi"/>
          <w:color w:val="000000" w:themeColor="text1"/>
          <w:sz w:val="24"/>
          <w:szCs w:val="24"/>
        </w:rPr>
        <w:t xml:space="preserve">concentration </w:t>
      </w:r>
      <w:r w:rsidRPr="00FC59B5">
        <w:rPr>
          <w:rFonts w:asciiTheme="majorBidi" w:eastAsia="Calibri" w:hAnsiTheme="majorBidi" w:cstheme="majorBidi"/>
          <w:color w:val="000000" w:themeColor="text1"/>
          <w:sz w:val="24"/>
          <w:szCs w:val="24"/>
        </w:rPr>
        <w:t xml:space="preserve">and CSR </w:t>
      </w:r>
      <w:r w:rsidR="00236230" w:rsidRPr="00FC59B5">
        <w:rPr>
          <w:rFonts w:asciiTheme="majorBidi" w:eastAsia="Calibri" w:hAnsiTheme="majorBidi" w:cstheme="majorBidi"/>
          <w:color w:val="000000" w:themeColor="text1"/>
          <w:sz w:val="24"/>
          <w:szCs w:val="24"/>
        </w:rPr>
        <w:t xml:space="preserve">policy </w:t>
      </w:r>
      <w:r w:rsidRPr="00FC59B5">
        <w:rPr>
          <w:rFonts w:asciiTheme="majorBidi" w:eastAsia="Calibri" w:hAnsiTheme="majorBidi" w:cstheme="majorBidi"/>
          <w:color w:val="000000" w:themeColor="text1"/>
          <w:sz w:val="24"/>
          <w:szCs w:val="24"/>
        </w:rPr>
        <w:t xml:space="preserve">of European </w:t>
      </w:r>
      <w:r w:rsidR="00236230" w:rsidRPr="00FC59B5">
        <w:rPr>
          <w:rFonts w:asciiTheme="majorBidi" w:eastAsia="Calibri" w:hAnsiTheme="majorBidi" w:cstheme="majorBidi"/>
          <w:color w:val="000000" w:themeColor="text1"/>
          <w:sz w:val="24"/>
          <w:szCs w:val="24"/>
        </w:rPr>
        <w:t>multinational enterprises</w:t>
      </w:r>
      <w:r w:rsidRPr="00FC59B5">
        <w:rPr>
          <w:rFonts w:asciiTheme="majorBidi" w:eastAsia="Calibri" w:hAnsiTheme="majorBidi" w:cstheme="majorBidi"/>
          <w:color w:val="000000" w:themeColor="text1"/>
          <w:sz w:val="24"/>
          <w:szCs w:val="24"/>
        </w:rPr>
        <w:t>”, Journal of Business Ethics, Vol.118, No.1, pp. 117–126</w:t>
      </w:r>
    </w:p>
    <w:p w14:paraId="0F1E7C1F" w14:textId="2D1C0AB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Drukker</w:t>
      </w:r>
      <w:proofErr w:type="spellEnd"/>
      <w:r w:rsidRPr="00FC59B5">
        <w:rPr>
          <w:rFonts w:asciiTheme="majorBidi" w:eastAsia="Calibri" w:hAnsiTheme="majorBidi" w:cstheme="majorBidi"/>
          <w:color w:val="000000" w:themeColor="text1"/>
          <w:sz w:val="24"/>
          <w:szCs w:val="24"/>
        </w:rPr>
        <w:t xml:space="preserve">, D. M., 2003. Testing for </w:t>
      </w:r>
      <w:r w:rsidR="00236230" w:rsidRPr="00FC59B5">
        <w:rPr>
          <w:rFonts w:asciiTheme="majorBidi" w:eastAsia="Calibri" w:hAnsiTheme="majorBidi" w:cstheme="majorBidi"/>
          <w:color w:val="000000" w:themeColor="text1"/>
          <w:sz w:val="24"/>
          <w:szCs w:val="24"/>
        </w:rPr>
        <w:t xml:space="preserve">serial correlation </w:t>
      </w:r>
      <w:r w:rsidRPr="00FC59B5">
        <w:rPr>
          <w:rFonts w:asciiTheme="majorBidi" w:eastAsia="Calibri" w:hAnsiTheme="majorBidi" w:cstheme="majorBidi"/>
          <w:color w:val="000000" w:themeColor="text1"/>
          <w:sz w:val="24"/>
          <w:szCs w:val="24"/>
        </w:rPr>
        <w:t xml:space="preserve">in </w:t>
      </w:r>
      <w:r w:rsidR="00236230" w:rsidRPr="00FC59B5">
        <w:rPr>
          <w:rFonts w:asciiTheme="majorBidi" w:eastAsia="Calibri" w:hAnsiTheme="majorBidi" w:cstheme="majorBidi"/>
          <w:color w:val="000000" w:themeColor="text1"/>
          <w:sz w:val="24"/>
          <w:szCs w:val="24"/>
        </w:rPr>
        <w:t>linear panel</w:t>
      </w:r>
      <w:r w:rsidRPr="00FC59B5">
        <w:rPr>
          <w:rFonts w:asciiTheme="majorBidi" w:eastAsia="Calibri" w:hAnsiTheme="majorBidi" w:cstheme="majorBidi"/>
          <w:color w:val="000000" w:themeColor="text1"/>
          <w:sz w:val="24"/>
          <w:szCs w:val="24"/>
        </w:rPr>
        <w:t>-</w:t>
      </w:r>
      <w:r w:rsidR="00236230" w:rsidRPr="00FC59B5">
        <w:rPr>
          <w:rFonts w:asciiTheme="majorBidi" w:eastAsia="Calibri" w:hAnsiTheme="majorBidi" w:cstheme="majorBidi"/>
          <w:color w:val="000000" w:themeColor="text1"/>
          <w:sz w:val="24"/>
          <w:szCs w:val="24"/>
        </w:rPr>
        <w:t>data models</w:t>
      </w:r>
      <w:r w:rsidRPr="00FC59B5">
        <w:rPr>
          <w:rFonts w:asciiTheme="majorBidi" w:eastAsia="Calibri" w:hAnsiTheme="majorBidi" w:cstheme="majorBidi"/>
          <w:color w:val="000000" w:themeColor="text1"/>
          <w:sz w:val="24"/>
          <w:szCs w:val="24"/>
        </w:rPr>
        <w:t>. The Stata Journal, 3 (2), 168-177.</w:t>
      </w:r>
    </w:p>
    <w:p w14:paraId="1F8C5E4C" w14:textId="6EFB4E34"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lastRenderedPageBreak/>
        <w:t xml:space="preserve">Eccles, R. G., Ioannou, I. and </w:t>
      </w:r>
      <w:proofErr w:type="spellStart"/>
      <w:r w:rsidRPr="00FC59B5">
        <w:rPr>
          <w:rFonts w:asciiTheme="majorBidi" w:eastAsia="Calibri" w:hAnsiTheme="majorBidi" w:cstheme="majorBidi"/>
          <w:color w:val="000000" w:themeColor="text1"/>
          <w:sz w:val="24"/>
          <w:szCs w:val="24"/>
        </w:rPr>
        <w:t>Serafeim</w:t>
      </w:r>
      <w:proofErr w:type="spellEnd"/>
      <w:r w:rsidRPr="00FC59B5">
        <w:rPr>
          <w:rFonts w:asciiTheme="majorBidi" w:eastAsia="Calibri" w:hAnsiTheme="majorBidi" w:cstheme="majorBidi"/>
          <w:color w:val="000000" w:themeColor="text1"/>
          <w:sz w:val="24"/>
          <w:szCs w:val="24"/>
        </w:rPr>
        <w:t>, G. (2014), “The impact of corporate sustainability on organizational processes and performance”, Management Science, 60</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11</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2835-2857.</w:t>
      </w:r>
    </w:p>
    <w:p w14:paraId="670A4374" w14:textId="74EC0AAE"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Elgammal</w:t>
      </w:r>
      <w:proofErr w:type="spellEnd"/>
      <w:r w:rsidRPr="00FC59B5">
        <w:rPr>
          <w:rFonts w:asciiTheme="majorBidi" w:eastAsia="Calibri" w:hAnsiTheme="majorBidi" w:cstheme="majorBidi"/>
          <w:color w:val="000000" w:themeColor="text1"/>
          <w:sz w:val="24"/>
          <w:szCs w:val="24"/>
        </w:rPr>
        <w:t xml:space="preserve">, M., Hussainey, K. and Ahmed, F. (2018), "Corporate governance and voluntary risk and forward-looking disclosures", Journal of Applied Accounting Research, 19 </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4</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 xml:space="preserve">592-607. </w:t>
      </w:r>
    </w:p>
    <w:p w14:paraId="7F4A6CE5" w14:textId="1E62A6BB" w:rsidR="000F70C2"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El-Haj, M., Alves, P., </w:t>
      </w:r>
      <w:proofErr w:type="spellStart"/>
      <w:r w:rsidRPr="00FC59B5">
        <w:rPr>
          <w:rFonts w:asciiTheme="majorBidi" w:eastAsia="Calibri" w:hAnsiTheme="majorBidi" w:cstheme="majorBidi"/>
          <w:color w:val="000000" w:themeColor="text1"/>
          <w:sz w:val="24"/>
          <w:szCs w:val="24"/>
        </w:rPr>
        <w:t>Rayson</w:t>
      </w:r>
      <w:proofErr w:type="spellEnd"/>
      <w:r w:rsidRPr="00FC59B5">
        <w:rPr>
          <w:rFonts w:asciiTheme="majorBidi" w:eastAsia="Calibri" w:hAnsiTheme="majorBidi" w:cstheme="majorBidi"/>
          <w:color w:val="000000" w:themeColor="text1"/>
          <w:sz w:val="24"/>
          <w:szCs w:val="24"/>
        </w:rPr>
        <w:t>,</w:t>
      </w:r>
      <w:r w:rsidR="006E1486" w:rsidRPr="00FC59B5">
        <w:rPr>
          <w:rFonts w:asciiTheme="majorBidi" w:eastAsia="Calibri" w:hAnsiTheme="majorBidi" w:cstheme="majorBidi"/>
          <w:color w:val="000000" w:themeColor="text1"/>
          <w:sz w:val="24"/>
          <w:szCs w:val="24"/>
        </w:rPr>
        <w:t xml:space="preserve"> P., Walker, M., Young, S. (</w:t>
      </w:r>
      <w:r w:rsidR="000F70C2" w:rsidRPr="00FC59B5">
        <w:rPr>
          <w:rFonts w:asciiTheme="majorBidi" w:eastAsia="Calibri" w:hAnsiTheme="majorBidi" w:cstheme="majorBidi"/>
          <w:color w:val="000000" w:themeColor="text1"/>
          <w:sz w:val="24"/>
          <w:szCs w:val="24"/>
        </w:rPr>
        <w:t>2020</w:t>
      </w:r>
      <w:r w:rsidRPr="00FC59B5">
        <w:rPr>
          <w:rFonts w:asciiTheme="majorBidi" w:eastAsia="Calibri" w:hAnsiTheme="majorBidi" w:cstheme="majorBidi"/>
          <w:color w:val="000000" w:themeColor="text1"/>
          <w:sz w:val="24"/>
          <w:szCs w:val="24"/>
        </w:rPr>
        <w:t xml:space="preserve">). Retrieving, </w:t>
      </w:r>
      <w:proofErr w:type="gramStart"/>
      <w:r w:rsidRPr="00FC59B5">
        <w:rPr>
          <w:rFonts w:asciiTheme="majorBidi" w:eastAsia="Calibri" w:hAnsiTheme="majorBidi" w:cstheme="majorBidi"/>
          <w:color w:val="000000" w:themeColor="text1"/>
          <w:sz w:val="24"/>
          <w:szCs w:val="24"/>
        </w:rPr>
        <w:t>classifying</w:t>
      </w:r>
      <w:proofErr w:type="gramEnd"/>
      <w:r w:rsidRPr="00FC59B5">
        <w:rPr>
          <w:rFonts w:asciiTheme="majorBidi" w:eastAsia="Calibri" w:hAnsiTheme="majorBidi" w:cstheme="majorBidi"/>
          <w:color w:val="000000" w:themeColor="text1"/>
          <w:sz w:val="24"/>
          <w:szCs w:val="24"/>
        </w:rPr>
        <w:t xml:space="preserve"> and analysing narrative commentary in unstructured (glossy) annual reports published as PDF files, Accounting and</w:t>
      </w:r>
      <w:r w:rsidR="00047FA0" w:rsidRPr="00FC59B5">
        <w:rPr>
          <w:rFonts w:asciiTheme="majorBidi" w:eastAsia="Calibri" w:hAnsiTheme="majorBidi" w:cstheme="majorBidi"/>
          <w:color w:val="000000" w:themeColor="text1"/>
          <w:sz w:val="24"/>
          <w:szCs w:val="24"/>
        </w:rPr>
        <w:t xml:space="preserve"> Business Research, 50:1, 6-34.</w:t>
      </w:r>
    </w:p>
    <w:p w14:paraId="1952646A" w14:textId="2B629066" w:rsidR="000F70C2" w:rsidRPr="00FC59B5" w:rsidRDefault="000F70C2"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El‐Haj, M., </w:t>
      </w:r>
      <w:proofErr w:type="spellStart"/>
      <w:r w:rsidRPr="00FC59B5">
        <w:rPr>
          <w:rFonts w:asciiTheme="majorBidi" w:eastAsia="Calibri" w:hAnsiTheme="majorBidi" w:cstheme="majorBidi"/>
          <w:color w:val="000000" w:themeColor="text1"/>
          <w:sz w:val="24"/>
          <w:szCs w:val="24"/>
        </w:rPr>
        <w:t>Rayson</w:t>
      </w:r>
      <w:proofErr w:type="spellEnd"/>
      <w:r w:rsidRPr="00FC59B5">
        <w:rPr>
          <w:rFonts w:asciiTheme="majorBidi" w:eastAsia="Calibri" w:hAnsiTheme="majorBidi" w:cstheme="majorBidi"/>
          <w:color w:val="000000" w:themeColor="text1"/>
          <w:sz w:val="24"/>
          <w:szCs w:val="24"/>
        </w:rPr>
        <w:t xml:space="preserve">, P., Walker, M., Young, S., &amp; </w:t>
      </w:r>
      <w:proofErr w:type="spellStart"/>
      <w:r w:rsidRPr="00FC59B5">
        <w:rPr>
          <w:rFonts w:asciiTheme="majorBidi" w:eastAsia="Calibri" w:hAnsiTheme="majorBidi" w:cstheme="majorBidi"/>
          <w:color w:val="000000" w:themeColor="text1"/>
          <w:sz w:val="24"/>
          <w:szCs w:val="24"/>
        </w:rPr>
        <w:t>Simaki</w:t>
      </w:r>
      <w:proofErr w:type="spellEnd"/>
      <w:r w:rsidRPr="00FC59B5">
        <w:rPr>
          <w:rFonts w:asciiTheme="majorBidi" w:eastAsia="Calibri" w:hAnsiTheme="majorBidi" w:cstheme="majorBidi"/>
          <w:color w:val="000000" w:themeColor="text1"/>
          <w:sz w:val="24"/>
          <w:szCs w:val="24"/>
        </w:rPr>
        <w:t xml:space="preserve">, V. (2019). In search of meaning: Lessons, </w:t>
      </w:r>
      <w:proofErr w:type="gramStart"/>
      <w:r w:rsidRPr="00FC59B5">
        <w:rPr>
          <w:rFonts w:asciiTheme="majorBidi" w:eastAsia="Calibri" w:hAnsiTheme="majorBidi" w:cstheme="majorBidi"/>
          <w:color w:val="000000" w:themeColor="text1"/>
          <w:sz w:val="24"/>
          <w:szCs w:val="24"/>
        </w:rPr>
        <w:t>resources</w:t>
      </w:r>
      <w:proofErr w:type="gramEnd"/>
      <w:r w:rsidRPr="00FC59B5">
        <w:rPr>
          <w:rFonts w:asciiTheme="majorBidi" w:eastAsia="Calibri" w:hAnsiTheme="majorBidi" w:cstheme="majorBidi"/>
          <w:color w:val="000000" w:themeColor="text1"/>
          <w:sz w:val="24"/>
          <w:szCs w:val="24"/>
        </w:rPr>
        <w:t xml:space="preserve"> and next steps for computational analysis of financial discourse. Journal of Business Finance &amp; Accounting, 46(3-4), 265-306.</w:t>
      </w:r>
    </w:p>
    <w:p w14:paraId="6AC2E9DA" w14:textId="4348E716" w:rsidR="00F800A1" w:rsidRPr="00FC59B5" w:rsidRDefault="00F800A1" w:rsidP="003F204E">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Elshandidy</w:t>
      </w:r>
      <w:proofErr w:type="spellEnd"/>
      <w:r w:rsidRPr="00FC59B5">
        <w:rPr>
          <w:rFonts w:asciiTheme="majorBidi" w:eastAsia="Calibri" w:hAnsiTheme="majorBidi" w:cstheme="majorBidi"/>
          <w:color w:val="000000" w:themeColor="text1"/>
          <w:sz w:val="24"/>
          <w:szCs w:val="24"/>
        </w:rPr>
        <w:t xml:space="preserve">, T. and Neri, L. (2015), Corporate </w:t>
      </w:r>
      <w:r w:rsidR="00236230" w:rsidRPr="00FC59B5">
        <w:rPr>
          <w:rFonts w:asciiTheme="majorBidi" w:eastAsia="Calibri" w:hAnsiTheme="majorBidi" w:cstheme="majorBidi"/>
          <w:color w:val="000000" w:themeColor="text1"/>
          <w:sz w:val="24"/>
          <w:szCs w:val="24"/>
        </w:rPr>
        <w:t>governance</w:t>
      </w:r>
      <w:r w:rsidRPr="00FC59B5">
        <w:rPr>
          <w:rFonts w:asciiTheme="majorBidi" w:eastAsia="Calibri" w:hAnsiTheme="majorBidi" w:cstheme="majorBidi"/>
          <w:color w:val="000000" w:themeColor="text1"/>
          <w:sz w:val="24"/>
          <w:szCs w:val="24"/>
        </w:rPr>
        <w:t xml:space="preserve">, </w:t>
      </w:r>
      <w:r w:rsidR="00236230" w:rsidRPr="00FC59B5">
        <w:rPr>
          <w:rFonts w:asciiTheme="majorBidi" w:eastAsia="Calibri" w:hAnsiTheme="majorBidi" w:cstheme="majorBidi"/>
          <w:color w:val="000000" w:themeColor="text1"/>
          <w:sz w:val="24"/>
          <w:szCs w:val="24"/>
        </w:rPr>
        <w:t>risk disclosure practices</w:t>
      </w:r>
      <w:r w:rsidRPr="00FC59B5">
        <w:rPr>
          <w:rFonts w:asciiTheme="majorBidi" w:eastAsia="Calibri" w:hAnsiTheme="majorBidi" w:cstheme="majorBidi"/>
          <w:color w:val="000000" w:themeColor="text1"/>
          <w:sz w:val="24"/>
          <w:szCs w:val="24"/>
        </w:rPr>
        <w:t xml:space="preserve">, and </w:t>
      </w:r>
      <w:r w:rsidR="00236230" w:rsidRPr="00FC59B5">
        <w:rPr>
          <w:rFonts w:asciiTheme="majorBidi" w:eastAsia="Calibri" w:hAnsiTheme="majorBidi" w:cstheme="majorBidi"/>
          <w:color w:val="000000" w:themeColor="text1"/>
          <w:sz w:val="24"/>
          <w:szCs w:val="24"/>
        </w:rPr>
        <w:t>market liquidity</w:t>
      </w:r>
      <w:r w:rsidRPr="00FC59B5">
        <w:rPr>
          <w:rFonts w:asciiTheme="majorBidi" w:eastAsia="Calibri" w:hAnsiTheme="majorBidi" w:cstheme="majorBidi"/>
          <w:color w:val="000000" w:themeColor="text1"/>
          <w:sz w:val="24"/>
          <w:szCs w:val="24"/>
        </w:rPr>
        <w:t xml:space="preserve">: Comparative </w:t>
      </w:r>
      <w:r w:rsidR="00236230" w:rsidRPr="00FC59B5">
        <w:rPr>
          <w:rFonts w:asciiTheme="majorBidi" w:eastAsia="Calibri" w:hAnsiTheme="majorBidi" w:cstheme="majorBidi"/>
          <w:color w:val="000000" w:themeColor="text1"/>
          <w:sz w:val="24"/>
          <w:szCs w:val="24"/>
        </w:rPr>
        <w:t xml:space="preserve">evidence </w:t>
      </w:r>
      <w:r w:rsidRPr="00FC59B5">
        <w:rPr>
          <w:rFonts w:asciiTheme="majorBidi" w:eastAsia="Calibri" w:hAnsiTheme="majorBidi" w:cstheme="majorBidi"/>
          <w:color w:val="000000" w:themeColor="text1"/>
          <w:sz w:val="24"/>
          <w:szCs w:val="24"/>
        </w:rPr>
        <w:t>from the UK and Italy.</w:t>
      </w:r>
      <w:r w:rsidR="003F204E" w:rsidRPr="00FC59B5">
        <w:t xml:space="preserve"> </w:t>
      </w:r>
      <w:r w:rsidR="003F204E" w:rsidRPr="00FC59B5">
        <w:rPr>
          <w:rFonts w:asciiTheme="majorBidi" w:eastAsia="Calibri" w:hAnsiTheme="majorBidi" w:cstheme="majorBidi"/>
          <w:color w:val="000000" w:themeColor="text1"/>
          <w:sz w:val="24"/>
          <w:szCs w:val="24"/>
        </w:rPr>
        <w:t>Corporate Governance: An International Review, 23(4), 331-356.</w:t>
      </w:r>
      <w:r w:rsidR="003F204E" w:rsidRPr="00FC59B5" w:rsidDel="003F204E">
        <w:rPr>
          <w:rFonts w:asciiTheme="majorBidi" w:eastAsia="Calibri" w:hAnsiTheme="majorBidi" w:cstheme="majorBidi"/>
          <w:color w:val="000000" w:themeColor="text1"/>
          <w:sz w:val="24"/>
          <w:szCs w:val="24"/>
        </w:rPr>
        <w:t xml:space="preserve"> </w:t>
      </w:r>
    </w:p>
    <w:p w14:paraId="52923E44" w14:textId="08D81533" w:rsidR="00047FA0"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Fisher, R., van </w:t>
      </w:r>
      <w:proofErr w:type="spellStart"/>
      <w:r w:rsidRPr="00FC59B5">
        <w:rPr>
          <w:rFonts w:asciiTheme="majorBidi" w:eastAsia="Calibri" w:hAnsiTheme="majorBidi" w:cstheme="majorBidi"/>
          <w:color w:val="000000" w:themeColor="text1"/>
          <w:sz w:val="24"/>
          <w:szCs w:val="24"/>
        </w:rPr>
        <w:t>Staden</w:t>
      </w:r>
      <w:proofErr w:type="spellEnd"/>
      <w:r w:rsidRPr="00FC59B5">
        <w:rPr>
          <w:rFonts w:asciiTheme="majorBidi" w:eastAsia="Calibri" w:hAnsiTheme="majorBidi" w:cstheme="majorBidi"/>
          <w:color w:val="000000" w:themeColor="text1"/>
          <w:sz w:val="24"/>
          <w:szCs w:val="24"/>
        </w:rPr>
        <w:t>, C. and Richards, G. (2019), Watch that tone: An investigation of the use and stylistic consequences of tone in corporate accountability disclosures, Accounting, Auditing &amp; Accountability Journal,</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 xml:space="preserve">33 </w:t>
      </w:r>
      <w:r w:rsidR="00EE7C79" w:rsidRPr="00FC59B5">
        <w:rPr>
          <w:rFonts w:asciiTheme="majorBidi" w:eastAsia="Calibri" w:hAnsiTheme="majorBidi" w:cstheme="majorBidi"/>
          <w:color w:val="000000" w:themeColor="text1"/>
          <w:sz w:val="24"/>
          <w:szCs w:val="24"/>
        </w:rPr>
        <w:t xml:space="preserve">(1), </w:t>
      </w:r>
      <w:r w:rsidRPr="00FC59B5">
        <w:rPr>
          <w:rFonts w:asciiTheme="majorBidi" w:eastAsia="Calibri" w:hAnsiTheme="majorBidi" w:cstheme="majorBidi"/>
          <w:color w:val="000000" w:themeColor="text1"/>
          <w:sz w:val="24"/>
          <w:szCs w:val="24"/>
        </w:rPr>
        <w:t xml:space="preserve">77-105. </w:t>
      </w:r>
    </w:p>
    <w:p w14:paraId="64B1FF5F" w14:textId="52A0216B" w:rsidR="00A5258E" w:rsidRPr="00FC59B5" w:rsidRDefault="00A5258E"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García-Sánchez, I. M., Suárez-Fernández, O., &amp; Martínez-Ferrero, J. (2019). Female directors and impression management in sustainability reporting. International Business Review, 28(2), 359-374.</w:t>
      </w:r>
    </w:p>
    <w:p w14:paraId="4F6B8A06" w14:textId="6D8B3D8C" w:rsidR="009935A5" w:rsidRPr="00FC59B5" w:rsidRDefault="009935A5"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Gerged</w:t>
      </w:r>
      <w:proofErr w:type="spellEnd"/>
      <w:r w:rsidRPr="00FC59B5">
        <w:rPr>
          <w:rFonts w:asciiTheme="majorBidi" w:eastAsia="Calibri" w:hAnsiTheme="majorBidi" w:cstheme="majorBidi"/>
          <w:color w:val="000000" w:themeColor="text1"/>
          <w:sz w:val="24"/>
          <w:szCs w:val="24"/>
        </w:rPr>
        <w:t xml:space="preserve">, A. M., </w:t>
      </w:r>
      <w:proofErr w:type="spellStart"/>
      <w:r w:rsidRPr="00FC59B5">
        <w:rPr>
          <w:rFonts w:asciiTheme="majorBidi" w:eastAsia="Calibri" w:hAnsiTheme="majorBidi" w:cstheme="majorBidi"/>
          <w:color w:val="000000" w:themeColor="text1"/>
          <w:sz w:val="24"/>
          <w:szCs w:val="24"/>
        </w:rPr>
        <w:t>Albitar</w:t>
      </w:r>
      <w:proofErr w:type="spellEnd"/>
      <w:r w:rsidRPr="00FC59B5">
        <w:rPr>
          <w:rFonts w:asciiTheme="majorBidi" w:eastAsia="Calibri" w:hAnsiTheme="majorBidi" w:cstheme="majorBidi"/>
          <w:color w:val="000000" w:themeColor="text1"/>
          <w:sz w:val="24"/>
          <w:szCs w:val="24"/>
        </w:rPr>
        <w:t xml:space="preserve">, K., &amp; </w:t>
      </w:r>
      <w:proofErr w:type="spellStart"/>
      <w:r w:rsidRPr="00FC59B5">
        <w:rPr>
          <w:rFonts w:asciiTheme="majorBidi" w:eastAsia="Calibri" w:hAnsiTheme="majorBidi" w:cstheme="majorBidi"/>
          <w:color w:val="000000" w:themeColor="text1"/>
          <w:sz w:val="24"/>
          <w:szCs w:val="24"/>
        </w:rPr>
        <w:t>Alhaddad</w:t>
      </w:r>
      <w:proofErr w:type="spellEnd"/>
      <w:r w:rsidRPr="00FC59B5">
        <w:rPr>
          <w:rFonts w:asciiTheme="majorBidi" w:eastAsia="Calibri" w:hAnsiTheme="majorBidi" w:cstheme="majorBidi"/>
          <w:color w:val="000000" w:themeColor="text1"/>
          <w:sz w:val="24"/>
          <w:szCs w:val="24"/>
        </w:rPr>
        <w:t>, L. (2021). Corporate environmental disclosure and earnings management – The moderating role of corporate governance structures. International Journal of Finance and Economics</w:t>
      </w:r>
      <w:r w:rsidR="00EE7C79" w:rsidRPr="00FC59B5">
        <w:rPr>
          <w:rFonts w:asciiTheme="majorBidi" w:eastAsia="Calibri" w:hAnsiTheme="majorBidi" w:cstheme="majorBidi"/>
          <w:color w:val="000000" w:themeColor="text1"/>
          <w:sz w:val="24"/>
          <w:szCs w:val="24"/>
        </w:rPr>
        <w:t>. In</w:t>
      </w:r>
      <w:r w:rsidRPr="00FC59B5">
        <w:rPr>
          <w:rFonts w:asciiTheme="majorBidi" w:eastAsia="Calibri" w:hAnsiTheme="majorBidi" w:cstheme="majorBidi"/>
          <w:color w:val="000000" w:themeColor="text1"/>
          <w:sz w:val="24"/>
          <w:szCs w:val="24"/>
        </w:rPr>
        <w:t xml:space="preserve"> press.</w:t>
      </w:r>
    </w:p>
    <w:p w14:paraId="6B9AE16B" w14:textId="212111D3"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Giannarakis</w:t>
      </w:r>
      <w:proofErr w:type="spellEnd"/>
      <w:r w:rsidRPr="00FC59B5">
        <w:rPr>
          <w:rFonts w:asciiTheme="majorBidi" w:eastAsia="Calibri" w:hAnsiTheme="majorBidi" w:cstheme="majorBidi"/>
          <w:color w:val="000000" w:themeColor="text1"/>
          <w:sz w:val="24"/>
          <w:szCs w:val="24"/>
        </w:rPr>
        <w:t xml:space="preserve">, G., </w:t>
      </w:r>
      <w:proofErr w:type="spellStart"/>
      <w:r w:rsidRPr="00FC59B5">
        <w:rPr>
          <w:rFonts w:asciiTheme="majorBidi" w:eastAsia="Calibri" w:hAnsiTheme="majorBidi" w:cstheme="majorBidi"/>
          <w:color w:val="000000" w:themeColor="text1"/>
          <w:sz w:val="24"/>
          <w:szCs w:val="24"/>
        </w:rPr>
        <w:t>Konteos</w:t>
      </w:r>
      <w:proofErr w:type="spellEnd"/>
      <w:r w:rsidRPr="00FC59B5">
        <w:rPr>
          <w:rFonts w:asciiTheme="majorBidi" w:eastAsia="Calibri" w:hAnsiTheme="majorBidi" w:cstheme="majorBidi"/>
          <w:color w:val="000000" w:themeColor="text1"/>
          <w:sz w:val="24"/>
          <w:szCs w:val="24"/>
        </w:rPr>
        <w:t xml:space="preserve">, G. and </w:t>
      </w:r>
      <w:proofErr w:type="spellStart"/>
      <w:r w:rsidRPr="00FC59B5">
        <w:rPr>
          <w:rFonts w:asciiTheme="majorBidi" w:eastAsia="Calibri" w:hAnsiTheme="majorBidi" w:cstheme="majorBidi"/>
          <w:color w:val="000000" w:themeColor="text1"/>
          <w:sz w:val="24"/>
          <w:szCs w:val="24"/>
        </w:rPr>
        <w:t>Sariannidis</w:t>
      </w:r>
      <w:proofErr w:type="spellEnd"/>
      <w:r w:rsidRPr="00FC59B5">
        <w:rPr>
          <w:rFonts w:asciiTheme="majorBidi" w:eastAsia="Calibri" w:hAnsiTheme="majorBidi" w:cstheme="majorBidi"/>
          <w:color w:val="000000" w:themeColor="text1"/>
          <w:sz w:val="24"/>
          <w:szCs w:val="24"/>
        </w:rPr>
        <w:t xml:space="preserve">, N. (2014), </w:t>
      </w:r>
      <w:proofErr w:type="gramStart"/>
      <w:r w:rsidRPr="00FC59B5">
        <w:rPr>
          <w:rFonts w:asciiTheme="majorBidi" w:eastAsia="Calibri" w:hAnsiTheme="majorBidi" w:cstheme="majorBidi"/>
          <w:color w:val="000000" w:themeColor="text1"/>
          <w:sz w:val="24"/>
          <w:szCs w:val="24"/>
        </w:rPr>
        <w:t>“ Financial</w:t>
      </w:r>
      <w:proofErr w:type="gramEnd"/>
      <w:r w:rsidRPr="00FC59B5">
        <w:rPr>
          <w:rFonts w:asciiTheme="majorBidi" w:eastAsia="Calibri" w:hAnsiTheme="majorBidi" w:cstheme="majorBidi"/>
          <w:color w:val="000000" w:themeColor="text1"/>
          <w:sz w:val="24"/>
          <w:szCs w:val="24"/>
        </w:rPr>
        <w:t>, governance and environmental determinants of corporate social responsible disclosure”, Management Decision, 52,</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 xml:space="preserve">1928-1951. </w:t>
      </w:r>
    </w:p>
    <w:p w14:paraId="2FC6AC86" w14:textId="792A78B5"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González, M., Guzmán, A., Pablo, E. et al. Does gender really matter in the boardroom? Evidence from closely held family firms. Review management science</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 xml:space="preserve">14, 221 267. </w:t>
      </w:r>
    </w:p>
    <w:p w14:paraId="03962801" w14:textId="438CEABE" w:rsidR="008E753F" w:rsidRPr="00FC59B5" w:rsidRDefault="008E753F"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Haj Salem, I., </w:t>
      </w:r>
      <w:proofErr w:type="spellStart"/>
      <w:r w:rsidRPr="00FC59B5">
        <w:rPr>
          <w:rFonts w:asciiTheme="majorBidi" w:eastAsia="Calibri" w:hAnsiTheme="majorBidi" w:cstheme="majorBidi"/>
          <w:color w:val="000000" w:themeColor="text1"/>
          <w:sz w:val="24"/>
          <w:szCs w:val="24"/>
        </w:rPr>
        <w:t>Ayadi</w:t>
      </w:r>
      <w:proofErr w:type="spellEnd"/>
      <w:r w:rsidRPr="00FC59B5">
        <w:rPr>
          <w:rFonts w:asciiTheme="majorBidi" w:eastAsia="Calibri" w:hAnsiTheme="majorBidi" w:cstheme="majorBidi"/>
          <w:color w:val="000000" w:themeColor="text1"/>
          <w:sz w:val="24"/>
          <w:szCs w:val="24"/>
        </w:rPr>
        <w:t xml:space="preserve">, S. and Hussainey, K. (2019), "Corporate governance and risk disclosure quality: Tunisian evidence", Journal of Accounting in Emerging </w:t>
      </w:r>
      <w:proofErr w:type="gramStart"/>
      <w:r w:rsidRPr="00FC59B5">
        <w:rPr>
          <w:rFonts w:asciiTheme="majorBidi" w:eastAsia="Calibri" w:hAnsiTheme="majorBidi" w:cstheme="majorBidi"/>
          <w:color w:val="000000" w:themeColor="text1"/>
          <w:sz w:val="24"/>
          <w:szCs w:val="24"/>
        </w:rPr>
        <w:t>Economies,  9</w:t>
      </w:r>
      <w:proofErr w:type="gramEnd"/>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4</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xml:space="preserve">, 567-602. </w:t>
      </w:r>
    </w:p>
    <w:p w14:paraId="73D564D2"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Hart, R.P., Childers, </w:t>
      </w:r>
      <w:proofErr w:type="gramStart"/>
      <w:r w:rsidRPr="00FC59B5">
        <w:rPr>
          <w:rFonts w:asciiTheme="majorBidi" w:eastAsia="Calibri" w:hAnsiTheme="majorBidi" w:cstheme="majorBidi"/>
          <w:color w:val="000000" w:themeColor="text1"/>
          <w:sz w:val="24"/>
          <w:szCs w:val="24"/>
        </w:rPr>
        <w:t>J.P.</w:t>
      </w:r>
      <w:proofErr w:type="gramEnd"/>
      <w:r w:rsidRPr="00FC59B5">
        <w:rPr>
          <w:rFonts w:asciiTheme="majorBidi" w:eastAsia="Calibri" w:hAnsiTheme="majorBidi" w:cstheme="majorBidi"/>
          <w:color w:val="000000" w:themeColor="text1"/>
          <w:sz w:val="24"/>
          <w:szCs w:val="24"/>
        </w:rPr>
        <w:t xml:space="preserve"> and Lind, C.J. (2013), Political Tone: How Leaders Talk &amp; Why, University of Chicago Press, Chicago, IL.</w:t>
      </w:r>
    </w:p>
    <w:p w14:paraId="5C89CBD1" w14:textId="3DAFD254"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Helfaya</w:t>
      </w:r>
      <w:proofErr w:type="spellEnd"/>
      <w:r w:rsidRPr="00FC59B5">
        <w:rPr>
          <w:rFonts w:asciiTheme="majorBidi" w:eastAsia="Calibri" w:hAnsiTheme="majorBidi" w:cstheme="majorBidi"/>
          <w:color w:val="000000" w:themeColor="text1"/>
          <w:sz w:val="24"/>
          <w:szCs w:val="24"/>
        </w:rPr>
        <w:t xml:space="preserve">, A. and Moussa, T. (2017), “Do Board's Corporate Social Responsibility Strategy and Orientation Influence Environmental Sustainability Disclosure? UK Evidence, Business </w:t>
      </w:r>
      <w:proofErr w:type="gramStart"/>
      <w:r w:rsidRPr="00FC59B5">
        <w:rPr>
          <w:rFonts w:asciiTheme="majorBidi" w:eastAsia="Calibri" w:hAnsiTheme="majorBidi" w:cstheme="majorBidi"/>
          <w:color w:val="000000" w:themeColor="text1"/>
          <w:sz w:val="24"/>
          <w:szCs w:val="24"/>
        </w:rPr>
        <w:t>Strategy</w:t>
      </w:r>
      <w:proofErr w:type="gramEnd"/>
      <w:r w:rsidRPr="00FC59B5">
        <w:rPr>
          <w:rFonts w:asciiTheme="majorBidi" w:eastAsia="Calibri" w:hAnsiTheme="majorBidi" w:cstheme="majorBidi"/>
          <w:color w:val="000000" w:themeColor="text1"/>
          <w:sz w:val="24"/>
          <w:szCs w:val="24"/>
        </w:rPr>
        <w:t xml:space="preserve"> and the Environment, 26</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8</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1061-1077.</w:t>
      </w:r>
    </w:p>
    <w:p w14:paraId="2D5CF0C3" w14:textId="064F8AC3"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Henry, E. (2008), “Are investors influenced by how earnings press releases are written?” Journal of Business Communications. 45</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4</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363-407.</w:t>
      </w:r>
    </w:p>
    <w:p w14:paraId="618D2887"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Henry, E. and Leone, A. (2016). Measuring qualitative information in capital markets research: comparison of alternative methodologies to measure disclosure tone. The Accounting Review, 91 (1), 153–178. </w:t>
      </w:r>
    </w:p>
    <w:p w14:paraId="7F58AC04"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Hoechle</w:t>
      </w:r>
      <w:proofErr w:type="spellEnd"/>
      <w:r w:rsidRPr="00FC59B5">
        <w:rPr>
          <w:rFonts w:asciiTheme="majorBidi" w:eastAsia="Calibri" w:hAnsiTheme="majorBidi" w:cstheme="majorBidi"/>
          <w:color w:val="000000" w:themeColor="text1"/>
          <w:sz w:val="24"/>
          <w:szCs w:val="24"/>
        </w:rPr>
        <w:t xml:space="preserve">, D., </w:t>
      </w:r>
      <w:r w:rsidR="00047FA0"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2007</w:t>
      </w:r>
      <w:r w:rsidR="00047FA0"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Robust Standard Errors for Panel Regressions with Cross-Sectional Dependence. The Stata Journal, 7 (3), 281–312.</w:t>
      </w:r>
    </w:p>
    <w:p w14:paraId="07CC01A7" w14:textId="1189C5D2"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lastRenderedPageBreak/>
        <w:t>Huang, X., Teoh, S.H. and Zhang, Y.L. (2014), “Tone management”, Accounting Review, 89</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3</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1083-1113.</w:t>
      </w:r>
    </w:p>
    <w:p w14:paraId="3868223C" w14:textId="0391EEC8"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Husted, B. W. and Sousa-Filho, J. M. de. (2018), “Board structure and environmental, social, and governance disclosure in Latin America”, Journal of Business Research, 102, 220-227.</w:t>
      </w:r>
    </w:p>
    <w:p w14:paraId="0DF624FA" w14:textId="390D7012"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Javaid Lone, E., Ali, A. and Khan, I. (2016), "Corporate governance and corporate social responsibility disclosure: evidence from Pakistan", Corporate Governance, 16</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5</w:t>
      </w:r>
      <w:proofErr w:type="gramStart"/>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785</w:t>
      </w:r>
      <w:proofErr w:type="gramEnd"/>
      <w:r w:rsidRPr="00FC59B5">
        <w:rPr>
          <w:rFonts w:asciiTheme="majorBidi" w:eastAsia="Calibri" w:hAnsiTheme="majorBidi" w:cstheme="majorBidi"/>
          <w:color w:val="000000" w:themeColor="text1"/>
          <w:sz w:val="24"/>
          <w:szCs w:val="24"/>
        </w:rPr>
        <w:t xml:space="preserve">-797. </w:t>
      </w:r>
    </w:p>
    <w:p w14:paraId="36F541BE" w14:textId="7B9DE8DD"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Jensen, M.C. (1993), “The modern industrial revolution, exit, and the failure of internal control systems”, The Journal of Finance,</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48</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3</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831-880.</w:t>
      </w:r>
    </w:p>
    <w:p w14:paraId="79E7F554"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Johnston, J., 1972. Econometric Methods. New York: McGraw-Hill.</w:t>
      </w:r>
    </w:p>
    <w:p w14:paraId="52BB9984" w14:textId="24FF1A0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Kao, M. F., Hodgkinson, L. and Jaafar, A. (2018), “Ownership structure, board of directors and firm performance: evidence from Taiwan”, Corporate Governance: The International Journal of Business in Society, 19 </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1</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189-216.</w:t>
      </w:r>
    </w:p>
    <w:p w14:paraId="13D7BA4A" w14:textId="16121666" w:rsidR="000F70C2"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Lai, A., </w:t>
      </w:r>
      <w:proofErr w:type="spellStart"/>
      <w:r w:rsidRPr="00FC59B5">
        <w:rPr>
          <w:rFonts w:asciiTheme="majorBidi" w:eastAsia="Calibri" w:hAnsiTheme="majorBidi" w:cstheme="majorBidi"/>
          <w:color w:val="000000" w:themeColor="text1"/>
          <w:sz w:val="24"/>
          <w:szCs w:val="24"/>
        </w:rPr>
        <w:t>Melloni</w:t>
      </w:r>
      <w:proofErr w:type="spellEnd"/>
      <w:r w:rsidRPr="00FC59B5">
        <w:rPr>
          <w:rFonts w:asciiTheme="majorBidi" w:eastAsia="Calibri" w:hAnsiTheme="majorBidi" w:cstheme="majorBidi"/>
          <w:color w:val="000000" w:themeColor="text1"/>
          <w:sz w:val="24"/>
          <w:szCs w:val="24"/>
        </w:rPr>
        <w:t xml:space="preserve">, G. and </w:t>
      </w:r>
      <w:proofErr w:type="spellStart"/>
      <w:r w:rsidRPr="00FC59B5">
        <w:rPr>
          <w:rFonts w:asciiTheme="majorBidi" w:eastAsia="Calibri" w:hAnsiTheme="majorBidi" w:cstheme="majorBidi"/>
          <w:color w:val="000000" w:themeColor="text1"/>
          <w:sz w:val="24"/>
          <w:szCs w:val="24"/>
        </w:rPr>
        <w:t>Stacchezzini</w:t>
      </w:r>
      <w:proofErr w:type="spellEnd"/>
      <w:r w:rsidRPr="00FC59B5">
        <w:rPr>
          <w:rFonts w:asciiTheme="majorBidi" w:eastAsia="Calibri" w:hAnsiTheme="majorBidi" w:cstheme="majorBidi"/>
          <w:color w:val="000000" w:themeColor="text1"/>
          <w:sz w:val="24"/>
          <w:szCs w:val="24"/>
        </w:rPr>
        <w:t>, R. (2018), "Integrated reporting and narrative accountability: the role of preparers", Accounting, Auditing &amp; Accountability Journal, 31</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5</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xml:space="preserve">, 1381-1405. </w:t>
      </w:r>
    </w:p>
    <w:p w14:paraId="18B483F9" w14:textId="39EB52E4" w:rsidR="000F70C2" w:rsidRPr="00FC59B5" w:rsidRDefault="000F70C2"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Lewis, C., &amp; Young, S. (2019). Fad or future? Automated analysis of financial text and its implications for corporate reporting. Accounting and Business Research, 49(5), 587-615.</w:t>
      </w:r>
    </w:p>
    <w:p w14:paraId="6B065196"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Li, J., Mangena, M., &amp; Pike, R. (2012). The effect of audit committee characteristics on intellectual capital disclosure. The British Accounting Review, 44(2), 98-110.</w:t>
      </w:r>
    </w:p>
    <w:p w14:paraId="6C74E0F3" w14:textId="00E46997" w:rsidR="00F800A1" w:rsidRPr="00FC59B5" w:rsidRDefault="00F800A1" w:rsidP="00380F9B">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Li, Z., Liao, G., and </w:t>
      </w:r>
      <w:proofErr w:type="spellStart"/>
      <w:r w:rsidRPr="00FC59B5">
        <w:rPr>
          <w:rFonts w:asciiTheme="majorBidi" w:eastAsia="Calibri" w:hAnsiTheme="majorBidi" w:cstheme="majorBidi"/>
          <w:color w:val="000000" w:themeColor="text1"/>
          <w:sz w:val="24"/>
          <w:szCs w:val="24"/>
        </w:rPr>
        <w:t>Albitar</w:t>
      </w:r>
      <w:proofErr w:type="spellEnd"/>
      <w:r w:rsidRPr="00FC59B5">
        <w:rPr>
          <w:rFonts w:asciiTheme="majorBidi" w:eastAsia="Calibri" w:hAnsiTheme="majorBidi" w:cstheme="majorBidi"/>
          <w:color w:val="000000" w:themeColor="text1"/>
          <w:sz w:val="24"/>
          <w:szCs w:val="24"/>
        </w:rPr>
        <w:t>, K. (2020). Does corporate environmental responsibility engagement affect firm value? The mediating role of corporate innovation. Bus</w:t>
      </w:r>
      <w:r w:rsidR="000F70C2" w:rsidRPr="00FC59B5">
        <w:rPr>
          <w:rFonts w:asciiTheme="majorBidi" w:eastAsia="Calibri" w:hAnsiTheme="majorBidi" w:cstheme="majorBidi"/>
          <w:color w:val="000000" w:themeColor="text1"/>
          <w:sz w:val="24"/>
          <w:szCs w:val="24"/>
        </w:rPr>
        <w:t xml:space="preserve">iness </w:t>
      </w:r>
      <w:r w:rsidRPr="00FC59B5">
        <w:rPr>
          <w:rFonts w:asciiTheme="majorBidi" w:eastAsia="Calibri" w:hAnsiTheme="majorBidi" w:cstheme="majorBidi"/>
          <w:color w:val="000000" w:themeColor="text1"/>
          <w:sz w:val="24"/>
          <w:szCs w:val="24"/>
        </w:rPr>
        <w:t>Strategy</w:t>
      </w:r>
      <w:r w:rsidR="000F70C2" w:rsidRPr="00FC59B5">
        <w:rPr>
          <w:rFonts w:asciiTheme="majorBidi" w:eastAsia="Calibri" w:hAnsiTheme="majorBidi" w:cstheme="majorBidi"/>
          <w:color w:val="000000" w:themeColor="text1"/>
          <w:sz w:val="24"/>
          <w:szCs w:val="24"/>
        </w:rPr>
        <w:t xml:space="preserve"> &amp;</w:t>
      </w:r>
      <w:r w:rsidRPr="00FC59B5">
        <w:rPr>
          <w:rFonts w:asciiTheme="majorBidi" w:eastAsia="Calibri" w:hAnsiTheme="majorBidi" w:cstheme="majorBidi"/>
          <w:color w:val="000000" w:themeColor="text1"/>
          <w:sz w:val="24"/>
          <w:szCs w:val="24"/>
        </w:rPr>
        <w:t xml:space="preserve"> Environ</w:t>
      </w:r>
      <w:r w:rsidR="000F70C2" w:rsidRPr="00FC59B5">
        <w:rPr>
          <w:rFonts w:asciiTheme="majorBidi" w:eastAsia="Calibri" w:hAnsiTheme="majorBidi" w:cstheme="majorBidi"/>
          <w:color w:val="000000" w:themeColor="text1"/>
          <w:sz w:val="24"/>
          <w:szCs w:val="24"/>
        </w:rPr>
        <w:t>ment</w:t>
      </w:r>
      <w:r w:rsidRPr="00FC59B5">
        <w:rPr>
          <w:rFonts w:asciiTheme="majorBidi" w:eastAsia="Calibri" w:hAnsiTheme="majorBidi" w:cstheme="majorBidi"/>
          <w:color w:val="000000" w:themeColor="text1"/>
          <w:sz w:val="24"/>
          <w:szCs w:val="24"/>
        </w:rPr>
        <w:t xml:space="preserve"> 29 (3), 1045–1055. </w:t>
      </w:r>
    </w:p>
    <w:p w14:paraId="5AE6CBFA" w14:textId="77777777" w:rsidR="009935A5" w:rsidRPr="00FC59B5" w:rsidRDefault="009935A5"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Liao, G., Hou, P., Shen, X., &amp; </w:t>
      </w:r>
      <w:proofErr w:type="spellStart"/>
      <w:r w:rsidRPr="00FC59B5">
        <w:rPr>
          <w:rFonts w:asciiTheme="majorBidi" w:eastAsia="Calibri" w:hAnsiTheme="majorBidi" w:cstheme="majorBidi"/>
          <w:color w:val="000000" w:themeColor="text1"/>
          <w:sz w:val="24"/>
          <w:szCs w:val="24"/>
        </w:rPr>
        <w:t>Albitar</w:t>
      </w:r>
      <w:proofErr w:type="spellEnd"/>
      <w:r w:rsidRPr="00FC59B5">
        <w:rPr>
          <w:rFonts w:asciiTheme="majorBidi" w:eastAsia="Calibri" w:hAnsiTheme="majorBidi" w:cstheme="majorBidi"/>
          <w:color w:val="000000" w:themeColor="text1"/>
          <w:sz w:val="24"/>
          <w:szCs w:val="24"/>
        </w:rPr>
        <w:t>, K. (2020). The impact of economic policy uncertainty on stock returns: The role of corporate environmental responsibility engagement. International Journal of Finance &amp; Economics. In press.</w:t>
      </w:r>
    </w:p>
    <w:p w14:paraId="632C1FD8"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Lim, S., </w:t>
      </w:r>
      <w:proofErr w:type="spellStart"/>
      <w:r w:rsidRPr="00FC59B5">
        <w:rPr>
          <w:rFonts w:asciiTheme="majorBidi" w:eastAsia="Calibri" w:hAnsiTheme="majorBidi" w:cstheme="majorBidi"/>
          <w:color w:val="000000" w:themeColor="text1"/>
          <w:sz w:val="24"/>
          <w:szCs w:val="24"/>
        </w:rPr>
        <w:t>Matolcsy</w:t>
      </w:r>
      <w:proofErr w:type="spellEnd"/>
      <w:r w:rsidRPr="00FC59B5">
        <w:rPr>
          <w:rFonts w:asciiTheme="majorBidi" w:eastAsia="Calibri" w:hAnsiTheme="majorBidi" w:cstheme="majorBidi"/>
          <w:color w:val="000000" w:themeColor="text1"/>
          <w:sz w:val="24"/>
          <w:szCs w:val="24"/>
        </w:rPr>
        <w:t>, Z., &amp; Chow, D. (2007). The association between board composition and different types of voluntary disclosure. European Accounting Review, 16(3), 555–583.</w:t>
      </w:r>
    </w:p>
    <w:p w14:paraId="2ECE7C22" w14:textId="1605BDB1"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Lipton, M. and </w:t>
      </w:r>
      <w:proofErr w:type="spellStart"/>
      <w:r w:rsidRPr="00FC59B5">
        <w:rPr>
          <w:rFonts w:asciiTheme="majorBidi" w:eastAsia="Calibri" w:hAnsiTheme="majorBidi" w:cstheme="majorBidi"/>
          <w:color w:val="000000" w:themeColor="text1"/>
          <w:sz w:val="24"/>
          <w:szCs w:val="24"/>
        </w:rPr>
        <w:t>Lorsh</w:t>
      </w:r>
      <w:proofErr w:type="spellEnd"/>
      <w:r w:rsidRPr="00FC59B5">
        <w:rPr>
          <w:rFonts w:asciiTheme="majorBidi" w:eastAsia="Calibri" w:hAnsiTheme="majorBidi" w:cstheme="majorBidi"/>
          <w:color w:val="000000" w:themeColor="text1"/>
          <w:sz w:val="24"/>
          <w:szCs w:val="24"/>
        </w:rPr>
        <w:t>, J.W. (1992), “A modest proposal for improved corporate governance”, Business Lawyer, 48</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1</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59–77.</w:t>
      </w:r>
    </w:p>
    <w:p w14:paraId="427CF5F3"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Lopes, P. T., &amp; Rodrigues, L. L. (2007). Accounting for financial instruments: An analysis of the determinants of disclosure in the Portuguese stock exchange. The International Journal of Accounting, 42(1), 25–56.</w:t>
      </w:r>
    </w:p>
    <w:p w14:paraId="4EF43DB3"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Loughran, T., and B. McDonald. (2011). When Is a Liability Not a Liability? Textual Analysis, Dictionaries, and 10‐Ks. Journal of Finance 66, 35– 65.</w:t>
      </w:r>
    </w:p>
    <w:p w14:paraId="0AEFCE61" w14:textId="6765C560"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Loughran, T., and B. McDonald. (2015). The </w:t>
      </w:r>
      <w:r w:rsidR="00236230" w:rsidRPr="00FC59B5">
        <w:rPr>
          <w:rFonts w:asciiTheme="majorBidi" w:eastAsia="Calibri" w:hAnsiTheme="majorBidi" w:cstheme="majorBidi"/>
          <w:color w:val="000000" w:themeColor="text1"/>
          <w:sz w:val="24"/>
          <w:szCs w:val="24"/>
        </w:rPr>
        <w:t xml:space="preserve">use </w:t>
      </w:r>
      <w:r w:rsidRPr="00FC59B5">
        <w:rPr>
          <w:rFonts w:asciiTheme="majorBidi" w:eastAsia="Calibri" w:hAnsiTheme="majorBidi" w:cstheme="majorBidi"/>
          <w:color w:val="000000" w:themeColor="text1"/>
          <w:sz w:val="24"/>
          <w:szCs w:val="24"/>
        </w:rPr>
        <w:t xml:space="preserve">of </w:t>
      </w:r>
      <w:r w:rsidR="00236230" w:rsidRPr="00FC59B5">
        <w:rPr>
          <w:rFonts w:asciiTheme="majorBidi" w:eastAsia="Calibri" w:hAnsiTheme="majorBidi" w:cstheme="majorBidi"/>
          <w:color w:val="000000" w:themeColor="text1"/>
          <w:sz w:val="24"/>
          <w:szCs w:val="24"/>
        </w:rPr>
        <w:t xml:space="preserve">word lists </w:t>
      </w:r>
      <w:r w:rsidRPr="00FC59B5">
        <w:rPr>
          <w:rFonts w:asciiTheme="majorBidi" w:eastAsia="Calibri" w:hAnsiTheme="majorBidi" w:cstheme="majorBidi"/>
          <w:color w:val="000000" w:themeColor="text1"/>
          <w:sz w:val="24"/>
          <w:szCs w:val="24"/>
        </w:rPr>
        <w:t xml:space="preserve">in </w:t>
      </w:r>
      <w:r w:rsidR="00236230" w:rsidRPr="00FC59B5">
        <w:rPr>
          <w:rFonts w:asciiTheme="majorBidi" w:eastAsia="Calibri" w:hAnsiTheme="majorBidi" w:cstheme="majorBidi"/>
          <w:color w:val="000000" w:themeColor="text1"/>
          <w:sz w:val="24"/>
          <w:szCs w:val="24"/>
        </w:rPr>
        <w:t>textual analysis</w:t>
      </w:r>
      <w:r w:rsidRPr="00FC59B5">
        <w:rPr>
          <w:rFonts w:asciiTheme="majorBidi" w:eastAsia="Calibri" w:hAnsiTheme="majorBidi" w:cstheme="majorBidi"/>
          <w:color w:val="000000" w:themeColor="text1"/>
          <w:sz w:val="24"/>
          <w:szCs w:val="24"/>
        </w:rPr>
        <w:t xml:space="preserve">. Journal of </w:t>
      </w:r>
      <w:proofErr w:type="spellStart"/>
      <w:r w:rsidRPr="00FC59B5">
        <w:rPr>
          <w:rFonts w:asciiTheme="majorBidi" w:eastAsia="Calibri" w:hAnsiTheme="majorBidi" w:cstheme="majorBidi"/>
          <w:color w:val="000000" w:themeColor="text1"/>
          <w:sz w:val="24"/>
          <w:szCs w:val="24"/>
        </w:rPr>
        <w:t>Behavioral</w:t>
      </w:r>
      <w:proofErr w:type="spellEnd"/>
      <w:r w:rsidRPr="00FC59B5">
        <w:rPr>
          <w:rFonts w:asciiTheme="majorBidi" w:eastAsia="Calibri" w:hAnsiTheme="majorBidi" w:cstheme="majorBidi"/>
          <w:color w:val="000000" w:themeColor="text1"/>
          <w:sz w:val="24"/>
          <w:szCs w:val="24"/>
        </w:rPr>
        <w:t xml:space="preserve"> Finance 16, 1– 11.</w:t>
      </w:r>
    </w:p>
    <w:p w14:paraId="2CCD0441" w14:textId="77777777" w:rsidR="00047FA0"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Loughran, T. and McDonald, B., (2016). Textual analysis in accounting and finance: a survey. Journal of Accounting Research, 54 (4), 1187–1230. </w:t>
      </w:r>
    </w:p>
    <w:p w14:paraId="5029011D" w14:textId="172D9EB2"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Manita, R., Bruna, M., Dang, R. and </w:t>
      </w:r>
      <w:proofErr w:type="spellStart"/>
      <w:r w:rsidRPr="00FC59B5">
        <w:rPr>
          <w:rFonts w:asciiTheme="majorBidi" w:eastAsia="Calibri" w:hAnsiTheme="majorBidi" w:cstheme="majorBidi"/>
          <w:color w:val="000000" w:themeColor="text1"/>
          <w:sz w:val="24"/>
          <w:szCs w:val="24"/>
        </w:rPr>
        <w:t>Houanti</w:t>
      </w:r>
      <w:proofErr w:type="spellEnd"/>
      <w:r w:rsidRPr="00FC59B5">
        <w:rPr>
          <w:rFonts w:asciiTheme="majorBidi" w:eastAsia="Calibri" w:hAnsiTheme="majorBidi" w:cstheme="majorBidi"/>
          <w:color w:val="000000" w:themeColor="text1"/>
          <w:sz w:val="24"/>
          <w:szCs w:val="24"/>
        </w:rPr>
        <w:t>, L. (2018), Board gender diversity and ESG disclosure: evidence from the USA, Journal of Applied Accounting Research, 19</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2</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 xml:space="preserve">206-224. </w:t>
      </w:r>
    </w:p>
    <w:p w14:paraId="501C84A9" w14:textId="24114E4A" w:rsidR="00047FA0"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lastRenderedPageBreak/>
        <w:t>Marquez-</w:t>
      </w:r>
      <w:proofErr w:type="spellStart"/>
      <w:r w:rsidRPr="00FC59B5">
        <w:rPr>
          <w:rFonts w:asciiTheme="majorBidi" w:eastAsia="Calibri" w:hAnsiTheme="majorBidi" w:cstheme="majorBidi"/>
          <w:color w:val="000000" w:themeColor="text1"/>
          <w:sz w:val="24"/>
          <w:szCs w:val="24"/>
        </w:rPr>
        <w:t>Illescas</w:t>
      </w:r>
      <w:proofErr w:type="spellEnd"/>
      <w:r w:rsidRPr="00FC59B5">
        <w:rPr>
          <w:rFonts w:asciiTheme="majorBidi" w:eastAsia="Calibri" w:hAnsiTheme="majorBidi" w:cstheme="majorBidi"/>
          <w:color w:val="000000" w:themeColor="text1"/>
          <w:sz w:val="24"/>
          <w:szCs w:val="24"/>
        </w:rPr>
        <w:t xml:space="preserve">, G., Zebedee, A.A. &amp; Zhou, L. (2019). Hear </w:t>
      </w:r>
      <w:r w:rsidR="008E753F" w:rsidRPr="00FC59B5">
        <w:rPr>
          <w:rFonts w:asciiTheme="majorBidi" w:eastAsia="Calibri" w:hAnsiTheme="majorBidi" w:cstheme="majorBidi"/>
          <w:color w:val="000000" w:themeColor="text1"/>
          <w:sz w:val="24"/>
          <w:szCs w:val="24"/>
        </w:rPr>
        <w:t>me write</w:t>
      </w:r>
      <w:r w:rsidRPr="00FC59B5">
        <w:rPr>
          <w:rFonts w:asciiTheme="majorBidi" w:eastAsia="Calibri" w:hAnsiTheme="majorBidi" w:cstheme="majorBidi"/>
          <w:color w:val="000000" w:themeColor="text1"/>
          <w:sz w:val="24"/>
          <w:szCs w:val="24"/>
        </w:rPr>
        <w:t xml:space="preserve">: Does CEO </w:t>
      </w:r>
      <w:r w:rsidR="008E753F" w:rsidRPr="00FC59B5">
        <w:rPr>
          <w:rFonts w:asciiTheme="majorBidi" w:eastAsia="Calibri" w:hAnsiTheme="majorBidi" w:cstheme="majorBidi"/>
          <w:color w:val="000000" w:themeColor="text1"/>
          <w:sz w:val="24"/>
          <w:szCs w:val="24"/>
        </w:rPr>
        <w:t xml:space="preserve">narcissism affect </w:t>
      </w:r>
      <w:proofErr w:type="gramStart"/>
      <w:r w:rsidR="008E753F" w:rsidRPr="00FC59B5">
        <w:rPr>
          <w:rFonts w:asciiTheme="majorBidi" w:eastAsia="Calibri" w:hAnsiTheme="majorBidi" w:cstheme="majorBidi"/>
          <w:color w:val="000000" w:themeColor="text1"/>
          <w:sz w:val="24"/>
          <w:szCs w:val="24"/>
        </w:rPr>
        <w:t>disclosure</w:t>
      </w:r>
      <w:r w:rsidR="00047FA0" w:rsidRPr="00FC59B5">
        <w:rPr>
          <w:rFonts w:asciiTheme="majorBidi" w:eastAsia="Calibri" w:hAnsiTheme="majorBidi" w:cstheme="majorBidi"/>
          <w:color w:val="000000" w:themeColor="text1"/>
          <w:sz w:val="24"/>
          <w:szCs w:val="24"/>
        </w:rPr>
        <w:t>?.</w:t>
      </w:r>
      <w:proofErr w:type="gramEnd"/>
      <w:r w:rsidR="00047FA0" w:rsidRPr="00FC59B5">
        <w:rPr>
          <w:rFonts w:asciiTheme="majorBidi" w:eastAsia="Calibri" w:hAnsiTheme="majorBidi" w:cstheme="majorBidi"/>
          <w:color w:val="000000" w:themeColor="text1"/>
          <w:sz w:val="24"/>
          <w:szCs w:val="24"/>
        </w:rPr>
        <w:t xml:space="preserve"> J</w:t>
      </w:r>
      <w:r w:rsidR="008E753F" w:rsidRPr="00FC59B5">
        <w:rPr>
          <w:rFonts w:asciiTheme="majorBidi" w:eastAsia="Calibri" w:hAnsiTheme="majorBidi" w:cstheme="majorBidi"/>
          <w:color w:val="000000" w:themeColor="text1"/>
          <w:sz w:val="24"/>
          <w:szCs w:val="24"/>
        </w:rPr>
        <w:t>ournal of</w:t>
      </w:r>
      <w:r w:rsidR="00047FA0" w:rsidRPr="00FC59B5">
        <w:rPr>
          <w:rFonts w:asciiTheme="majorBidi" w:eastAsia="Calibri" w:hAnsiTheme="majorBidi" w:cstheme="majorBidi"/>
          <w:color w:val="000000" w:themeColor="text1"/>
          <w:sz w:val="24"/>
          <w:szCs w:val="24"/>
        </w:rPr>
        <w:t xml:space="preserve"> Bus</w:t>
      </w:r>
      <w:r w:rsidR="008E753F" w:rsidRPr="00FC59B5">
        <w:rPr>
          <w:rFonts w:asciiTheme="majorBidi" w:eastAsia="Calibri" w:hAnsiTheme="majorBidi" w:cstheme="majorBidi"/>
          <w:color w:val="000000" w:themeColor="text1"/>
          <w:sz w:val="24"/>
          <w:szCs w:val="24"/>
        </w:rPr>
        <w:t>iness</w:t>
      </w:r>
      <w:r w:rsidR="00047FA0" w:rsidRPr="00FC59B5">
        <w:rPr>
          <w:rFonts w:asciiTheme="majorBidi" w:eastAsia="Calibri" w:hAnsiTheme="majorBidi" w:cstheme="majorBidi"/>
          <w:color w:val="000000" w:themeColor="text1"/>
          <w:sz w:val="24"/>
          <w:szCs w:val="24"/>
        </w:rPr>
        <w:t xml:space="preserve"> Ethics 159, 401–417.</w:t>
      </w:r>
    </w:p>
    <w:p w14:paraId="711A1A0A"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Martikainen</w:t>
      </w:r>
      <w:proofErr w:type="spellEnd"/>
      <w:r w:rsidRPr="00FC59B5">
        <w:rPr>
          <w:rFonts w:asciiTheme="majorBidi" w:eastAsia="Calibri" w:hAnsiTheme="majorBidi" w:cstheme="majorBidi"/>
          <w:color w:val="000000" w:themeColor="text1"/>
          <w:sz w:val="24"/>
          <w:szCs w:val="24"/>
        </w:rPr>
        <w:t xml:space="preserve">, Minna and </w:t>
      </w:r>
      <w:proofErr w:type="spellStart"/>
      <w:r w:rsidRPr="00FC59B5">
        <w:rPr>
          <w:rFonts w:asciiTheme="majorBidi" w:eastAsia="Calibri" w:hAnsiTheme="majorBidi" w:cstheme="majorBidi"/>
          <w:color w:val="000000" w:themeColor="text1"/>
          <w:sz w:val="24"/>
          <w:szCs w:val="24"/>
        </w:rPr>
        <w:t>Miihkinen</w:t>
      </w:r>
      <w:proofErr w:type="spellEnd"/>
      <w:r w:rsidRPr="00FC59B5">
        <w:rPr>
          <w:rFonts w:asciiTheme="majorBidi" w:eastAsia="Calibri" w:hAnsiTheme="majorBidi" w:cstheme="majorBidi"/>
          <w:color w:val="000000" w:themeColor="text1"/>
          <w:sz w:val="24"/>
          <w:szCs w:val="24"/>
        </w:rPr>
        <w:t>, Antti and Watson, Luke, Board Characteristics and Disclosure Tone (2019). Available at SSRN: https://ssrn.com/abstract=3410036 or http://dx.doi.org/10.2139/ssrn.3410036</w:t>
      </w:r>
    </w:p>
    <w:p w14:paraId="1165D8E3"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Merkl</w:t>
      </w:r>
      <w:proofErr w:type="spellEnd"/>
      <w:r w:rsidRPr="00FC59B5">
        <w:rPr>
          <w:rFonts w:asciiTheme="majorBidi" w:eastAsia="Calibri" w:hAnsiTheme="majorBidi" w:cstheme="majorBidi"/>
          <w:color w:val="000000" w:themeColor="text1"/>
          <w:sz w:val="24"/>
          <w:szCs w:val="24"/>
        </w:rPr>
        <w:t>-Davies, D. M., &amp; Brennan, N. M. (2007). Discretionary disclosure strategies in corporate narratives: Incremental information or impression management? Journal of Accounting Literature, 26, 116–196.</w:t>
      </w:r>
    </w:p>
    <w:p w14:paraId="0B3E3BA2" w14:textId="6C9DAEA8"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Michelon</w:t>
      </w:r>
      <w:proofErr w:type="spellEnd"/>
      <w:r w:rsidRPr="00FC59B5">
        <w:rPr>
          <w:rFonts w:asciiTheme="majorBidi" w:eastAsia="Calibri" w:hAnsiTheme="majorBidi" w:cstheme="majorBidi"/>
          <w:color w:val="000000" w:themeColor="text1"/>
          <w:sz w:val="24"/>
          <w:szCs w:val="24"/>
        </w:rPr>
        <w:t xml:space="preserve">, G., </w:t>
      </w:r>
      <w:proofErr w:type="spellStart"/>
      <w:r w:rsidRPr="00FC59B5">
        <w:rPr>
          <w:rFonts w:asciiTheme="majorBidi" w:eastAsia="Calibri" w:hAnsiTheme="majorBidi" w:cstheme="majorBidi"/>
          <w:color w:val="000000" w:themeColor="text1"/>
          <w:sz w:val="24"/>
          <w:szCs w:val="24"/>
        </w:rPr>
        <w:t>Pilonato</w:t>
      </w:r>
      <w:proofErr w:type="spellEnd"/>
      <w:r w:rsidRPr="00FC59B5">
        <w:rPr>
          <w:rFonts w:asciiTheme="majorBidi" w:eastAsia="Calibri" w:hAnsiTheme="majorBidi" w:cstheme="majorBidi"/>
          <w:color w:val="000000" w:themeColor="text1"/>
          <w:sz w:val="24"/>
          <w:szCs w:val="24"/>
        </w:rPr>
        <w:t xml:space="preserve">, S. and </w:t>
      </w:r>
      <w:proofErr w:type="spellStart"/>
      <w:r w:rsidRPr="00FC59B5">
        <w:rPr>
          <w:rFonts w:asciiTheme="majorBidi" w:eastAsia="Calibri" w:hAnsiTheme="majorBidi" w:cstheme="majorBidi"/>
          <w:color w:val="000000" w:themeColor="text1"/>
          <w:sz w:val="24"/>
          <w:szCs w:val="24"/>
        </w:rPr>
        <w:t>Ricceri</w:t>
      </w:r>
      <w:proofErr w:type="spellEnd"/>
      <w:r w:rsidRPr="00FC59B5">
        <w:rPr>
          <w:rFonts w:asciiTheme="majorBidi" w:eastAsia="Calibri" w:hAnsiTheme="majorBidi" w:cstheme="majorBidi"/>
          <w:color w:val="000000" w:themeColor="text1"/>
          <w:sz w:val="24"/>
          <w:szCs w:val="24"/>
        </w:rPr>
        <w:t xml:space="preserve">, F. (2015), “CSR reporting practices and the quality of disclosure: An empirical analysis”, Critical Perspectives on Accounting, 33, 59-78. </w:t>
      </w:r>
    </w:p>
    <w:p w14:paraId="6D826E0C" w14:textId="77777777" w:rsidR="001013F2" w:rsidRPr="00FC59B5" w:rsidRDefault="001013F2"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Mughal, Y. H., Jehangir, M., Khan, M., Saeed, M. (2020). Nexus between corporate social responsibility and firm’s performance: A panel data approach. International Journal of Economics and Finance, In press.</w:t>
      </w:r>
    </w:p>
    <w:p w14:paraId="3FC4A50A" w14:textId="6DF15218"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Nollet</w:t>
      </w:r>
      <w:proofErr w:type="spellEnd"/>
      <w:r w:rsidRPr="00FC59B5">
        <w:rPr>
          <w:rFonts w:asciiTheme="majorBidi" w:eastAsia="Calibri" w:hAnsiTheme="majorBidi" w:cstheme="majorBidi"/>
          <w:color w:val="000000" w:themeColor="text1"/>
          <w:sz w:val="24"/>
          <w:szCs w:val="24"/>
        </w:rPr>
        <w:t xml:space="preserve"> J, Filis, G. and </w:t>
      </w:r>
      <w:proofErr w:type="spellStart"/>
      <w:r w:rsidRPr="00FC59B5">
        <w:rPr>
          <w:rFonts w:asciiTheme="majorBidi" w:eastAsia="Calibri" w:hAnsiTheme="majorBidi" w:cstheme="majorBidi"/>
          <w:color w:val="000000" w:themeColor="text1"/>
          <w:sz w:val="24"/>
          <w:szCs w:val="24"/>
        </w:rPr>
        <w:t>Mitrokostas</w:t>
      </w:r>
      <w:proofErr w:type="spellEnd"/>
      <w:r w:rsidRPr="00FC59B5">
        <w:rPr>
          <w:rFonts w:asciiTheme="majorBidi" w:eastAsia="Calibri" w:hAnsiTheme="majorBidi" w:cstheme="majorBidi"/>
          <w:color w:val="000000" w:themeColor="text1"/>
          <w:sz w:val="24"/>
          <w:szCs w:val="24"/>
        </w:rPr>
        <w:t xml:space="preserve"> E. (2016), “Corporate social responsibility and financial performance: a non-linear and disaggregated approach”, Economic Modelling, 52 </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B</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400–407.</w:t>
      </w:r>
    </w:p>
    <w:p w14:paraId="75FC5303" w14:textId="4C396C1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Ntim</w:t>
      </w:r>
      <w:proofErr w:type="spellEnd"/>
      <w:r w:rsidRPr="00FC59B5">
        <w:rPr>
          <w:rFonts w:asciiTheme="majorBidi" w:eastAsia="Calibri" w:hAnsiTheme="majorBidi" w:cstheme="majorBidi"/>
          <w:color w:val="000000" w:themeColor="text1"/>
          <w:sz w:val="24"/>
          <w:szCs w:val="24"/>
        </w:rPr>
        <w:t xml:space="preserve">, C.G., </w:t>
      </w:r>
      <w:proofErr w:type="spellStart"/>
      <w:r w:rsidRPr="00FC59B5">
        <w:rPr>
          <w:rFonts w:asciiTheme="majorBidi" w:eastAsia="Calibri" w:hAnsiTheme="majorBidi" w:cstheme="majorBidi"/>
          <w:color w:val="000000" w:themeColor="text1"/>
          <w:sz w:val="24"/>
          <w:szCs w:val="24"/>
        </w:rPr>
        <w:t>Lindop</w:t>
      </w:r>
      <w:proofErr w:type="spellEnd"/>
      <w:r w:rsidRPr="00FC59B5">
        <w:rPr>
          <w:rFonts w:asciiTheme="majorBidi" w:eastAsia="Calibri" w:hAnsiTheme="majorBidi" w:cstheme="majorBidi"/>
          <w:color w:val="000000" w:themeColor="text1"/>
          <w:sz w:val="24"/>
          <w:szCs w:val="24"/>
        </w:rPr>
        <w:t xml:space="preserve">, S. and Thomas, D.A. (2013), Corporate </w:t>
      </w:r>
      <w:r w:rsidR="00236230" w:rsidRPr="00FC59B5">
        <w:rPr>
          <w:rFonts w:asciiTheme="majorBidi" w:eastAsia="Calibri" w:hAnsiTheme="majorBidi" w:cstheme="majorBidi"/>
          <w:color w:val="000000" w:themeColor="text1"/>
          <w:sz w:val="24"/>
          <w:szCs w:val="24"/>
        </w:rPr>
        <w:t xml:space="preserve">governance </w:t>
      </w:r>
      <w:r w:rsidRPr="00FC59B5">
        <w:rPr>
          <w:rFonts w:asciiTheme="majorBidi" w:eastAsia="Calibri" w:hAnsiTheme="majorBidi" w:cstheme="majorBidi"/>
          <w:color w:val="000000" w:themeColor="text1"/>
          <w:sz w:val="24"/>
          <w:szCs w:val="24"/>
        </w:rPr>
        <w:t xml:space="preserve">and </w:t>
      </w:r>
      <w:r w:rsidR="00236230" w:rsidRPr="00FC59B5">
        <w:rPr>
          <w:rFonts w:asciiTheme="majorBidi" w:eastAsia="Calibri" w:hAnsiTheme="majorBidi" w:cstheme="majorBidi"/>
          <w:color w:val="000000" w:themeColor="text1"/>
          <w:sz w:val="24"/>
          <w:szCs w:val="24"/>
        </w:rPr>
        <w:t xml:space="preserve">risk reporting </w:t>
      </w:r>
      <w:r w:rsidRPr="00FC59B5">
        <w:rPr>
          <w:rFonts w:asciiTheme="majorBidi" w:eastAsia="Calibri" w:hAnsiTheme="majorBidi" w:cstheme="majorBidi"/>
          <w:color w:val="000000" w:themeColor="text1"/>
          <w:sz w:val="24"/>
          <w:szCs w:val="24"/>
        </w:rPr>
        <w:t xml:space="preserve">in South Africa: A </w:t>
      </w:r>
      <w:r w:rsidR="00236230" w:rsidRPr="00FC59B5">
        <w:rPr>
          <w:rFonts w:asciiTheme="majorBidi" w:eastAsia="Calibri" w:hAnsiTheme="majorBidi" w:cstheme="majorBidi"/>
          <w:color w:val="000000" w:themeColor="text1"/>
          <w:sz w:val="24"/>
          <w:szCs w:val="24"/>
        </w:rPr>
        <w:t xml:space="preserve">study </w:t>
      </w:r>
      <w:r w:rsidRPr="00FC59B5">
        <w:rPr>
          <w:rFonts w:asciiTheme="majorBidi" w:eastAsia="Calibri" w:hAnsiTheme="majorBidi" w:cstheme="majorBidi"/>
          <w:color w:val="000000" w:themeColor="text1"/>
          <w:sz w:val="24"/>
          <w:szCs w:val="24"/>
        </w:rPr>
        <w:t xml:space="preserve">of </w:t>
      </w:r>
      <w:r w:rsidR="00236230" w:rsidRPr="00FC59B5">
        <w:rPr>
          <w:rFonts w:asciiTheme="majorBidi" w:eastAsia="Calibri" w:hAnsiTheme="majorBidi" w:cstheme="majorBidi"/>
          <w:color w:val="000000" w:themeColor="text1"/>
          <w:sz w:val="24"/>
          <w:szCs w:val="24"/>
        </w:rPr>
        <w:t xml:space="preserve">corporate risk disclosures </w:t>
      </w:r>
      <w:r w:rsidRPr="00FC59B5">
        <w:rPr>
          <w:rFonts w:asciiTheme="majorBidi" w:eastAsia="Calibri" w:hAnsiTheme="majorBidi" w:cstheme="majorBidi"/>
          <w:color w:val="000000" w:themeColor="text1"/>
          <w:sz w:val="24"/>
          <w:szCs w:val="24"/>
        </w:rPr>
        <w:t xml:space="preserve">in the </w:t>
      </w:r>
      <w:r w:rsidR="00236230" w:rsidRPr="00FC59B5">
        <w:rPr>
          <w:rFonts w:asciiTheme="majorBidi" w:eastAsia="Calibri" w:hAnsiTheme="majorBidi" w:cstheme="majorBidi"/>
          <w:color w:val="000000" w:themeColor="text1"/>
          <w:sz w:val="24"/>
          <w:szCs w:val="24"/>
        </w:rPr>
        <w:t>pre</w:t>
      </w:r>
      <w:r w:rsidRPr="00FC59B5">
        <w:rPr>
          <w:rFonts w:asciiTheme="majorBidi" w:eastAsia="Calibri" w:hAnsiTheme="majorBidi" w:cstheme="majorBidi"/>
          <w:color w:val="000000" w:themeColor="text1"/>
          <w:sz w:val="24"/>
          <w:szCs w:val="24"/>
        </w:rPr>
        <w:t xml:space="preserve">- and </w:t>
      </w:r>
      <w:r w:rsidR="00236230" w:rsidRPr="00FC59B5">
        <w:rPr>
          <w:rFonts w:asciiTheme="majorBidi" w:eastAsia="Calibri" w:hAnsiTheme="majorBidi" w:cstheme="majorBidi"/>
          <w:color w:val="000000" w:themeColor="text1"/>
          <w:sz w:val="24"/>
          <w:szCs w:val="24"/>
        </w:rPr>
        <w:t>post2007</w:t>
      </w:r>
      <w:r w:rsidRPr="00FC59B5">
        <w:rPr>
          <w:rFonts w:asciiTheme="majorBidi" w:eastAsia="Calibri" w:hAnsiTheme="majorBidi" w:cstheme="majorBidi"/>
          <w:color w:val="000000" w:themeColor="text1"/>
          <w:sz w:val="24"/>
          <w:szCs w:val="24"/>
        </w:rPr>
        <w:t xml:space="preserve">/2008 </w:t>
      </w:r>
      <w:r w:rsidR="00236230" w:rsidRPr="00FC59B5">
        <w:rPr>
          <w:rFonts w:asciiTheme="majorBidi" w:eastAsia="Calibri" w:hAnsiTheme="majorBidi" w:cstheme="majorBidi"/>
          <w:color w:val="000000" w:themeColor="text1"/>
          <w:sz w:val="24"/>
          <w:szCs w:val="24"/>
        </w:rPr>
        <w:t>global financial crisis period</w:t>
      </w:r>
      <w:r w:rsidRPr="00FC59B5">
        <w:rPr>
          <w:rFonts w:asciiTheme="majorBidi" w:eastAsia="Calibri" w:hAnsiTheme="majorBidi" w:cstheme="majorBidi"/>
          <w:color w:val="000000" w:themeColor="text1"/>
          <w:sz w:val="24"/>
          <w:szCs w:val="24"/>
        </w:rPr>
        <w:t>. International Review of Financial Analysis, 30, 363–383.</w:t>
      </w:r>
    </w:p>
    <w:p w14:paraId="6C0986E2" w14:textId="639033FE"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Orazalin</w:t>
      </w:r>
      <w:proofErr w:type="spellEnd"/>
      <w:r w:rsidRPr="00FC59B5">
        <w:rPr>
          <w:rFonts w:asciiTheme="majorBidi" w:eastAsia="Calibri" w:hAnsiTheme="majorBidi" w:cstheme="majorBidi"/>
          <w:color w:val="000000" w:themeColor="text1"/>
          <w:sz w:val="24"/>
          <w:szCs w:val="24"/>
        </w:rPr>
        <w:t xml:space="preserve">, N. (2019), "Corporate governance and corporate social responsibility (CSR) disclosure in an emerging economy: evidence from commercial banks of Kazakhstan", Corporate Governance, 19, </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3</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xml:space="preserve">, 490-507. </w:t>
      </w:r>
    </w:p>
    <w:p w14:paraId="4488826A"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roofErr w:type="spellStart"/>
      <w:r w:rsidRPr="00FC59B5">
        <w:rPr>
          <w:rFonts w:asciiTheme="majorBidi" w:eastAsia="Calibri" w:hAnsiTheme="majorBidi" w:cstheme="majorBidi"/>
          <w:color w:val="000000" w:themeColor="text1"/>
          <w:sz w:val="24"/>
          <w:szCs w:val="24"/>
        </w:rPr>
        <w:t>Patelli</w:t>
      </w:r>
      <w:proofErr w:type="spellEnd"/>
      <w:r w:rsidRPr="00FC59B5">
        <w:rPr>
          <w:rFonts w:asciiTheme="majorBidi" w:eastAsia="Calibri" w:hAnsiTheme="majorBidi" w:cstheme="majorBidi"/>
          <w:color w:val="000000" w:themeColor="text1"/>
          <w:sz w:val="24"/>
          <w:szCs w:val="24"/>
        </w:rPr>
        <w:t xml:space="preserve">, L. &amp; M. </w:t>
      </w:r>
      <w:proofErr w:type="spellStart"/>
      <w:r w:rsidRPr="00FC59B5">
        <w:rPr>
          <w:rFonts w:asciiTheme="majorBidi" w:eastAsia="Calibri" w:hAnsiTheme="majorBidi" w:cstheme="majorBidi"/>
          <w:color w:val="000000" w:themeColor="text1"/>
          <w:sz w:val="24"/>
          <w:szCs w:val="24"/>
        </w:rPr>
        <w:t>Pedrini</w:t>
      </w:r>
      <w:proofErr w:type="spellEnd"/>
      <w:r w:rsidRPr="00FC59B5">
        <w:rPr>
          <w:rFonts w:asciiTheme="majorBidi" w:eastAsia="Calibri" w:hAnsiTheme="majorBidi" w:cstheme="majorBidi"/>
          <w:color w:val="000000" w:themeColor="text1"/>
          <w:sz w:val="24"/>
          <w:szCs w:val="24"/>
        </w:rPr>
        <w:t>. (2015). Is tone at the top associated with financial reporting aggressiveness? Journal of Business Ethics, 126(1), 3–19.</w:t>
      </w:r>
    </w:p>
    <w:p w14:paraId="43FFEF27"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Persons, O. S. (2009). Audit committee characteristics and earlier voluntary ethics disclosure among fraud and no-fraud firms. International Journal of Disclosure and Governance, 6(4), 284-297.</w:t>
      </w:r>
    </w:p>
    <w:p w14:paraId="4C86926B" w14:textId="2E2774A3"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Price, S. M.; J. S. Doran; D. R. Peterson; and B. A. Bliss. (2012). Earnings Conference Calls and Stock Returns: The Incremental Informativeness of Textual Tone. Journal of Banking &amp; Finance 36</w:t>
      </w:r>
      <w:r w:rsidR="00EE7C79" w:rsidRPr="00FC59B5">
        <w:rPr>
          <w:rFonts w:asciiTheme="majorBidi" w:eastAsia="Calibri" w:hAnsiTheme="majorBidi" w:cstheme="majorBidi"/>
          <w:color w:val="000000" w:themeColor="text1"/>
          <w:sz w:val="24"/>
          <w:szCs w:val="24"/>
        </w:rPr>
        <w:t>,</w:t>
      </w:r>
      <w:r w:rsidRPr="00FC59B5">
        <w:rPr>
          <w:rFonts w:asciiTheme="majorBidi" w:eastAsia="Calibri" w:hAnsiTheme="majorBidi" w:cstheme="majorBidi"/>
          <w:color w:val="000000" w:themeColor="text1"/>
          <w:sz w:val="24"/>
          <w:szCs w:val="24"/>
        </w:rPr>
        <w:t xml:space="preserve"> 992– 1011.</w:t>
      </w:r>
    </w:p>
    <w:p w14:paraId="1D5F7FE0" w14:textId="1E81D1BB"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Samaha, K., </w:t>
      </w:r>
      <w:proofErr w:type="spellStart"/>
      <w:r w:rsidRPr="00FC59B5">
        <w:rPr>
          <w:rFonts w:asciiTheme="majorBidi" w:eastAsia="Calibri" w:hAnsiTheme="majorBidi" w:cstheme="majorBidi"/>
          <w:color w:val="000000" w:themeColor="text1"/>
          <w:sz w:val="24"/>
          <w:szCs w:val="24"/>
        </w:rPr>
        <w:t>Khlif</w:t>
      </w:r>
      <w:proofErr w:type="spellEnd"/>
      <w:r w:rsidRPr="00FC59B5">
        <w:rPr>
          <w:rFonts w:asciiTheme="majorBidi" w:eastAsia="Calibri" w:hAnsiTheme="majorBidi" w:cstheme="majorBidi"/>
          <w:color w:val="000000" w:themeColor="text1"/>
          <w:sz w:val="24"/>
          <w:szCs w:val="24"/>
        </w:rPr>
        <w:t>, H. and Hussainey, K. (2015), “The impact of board and audit committee characteristics on voluntary disclosure: a meta-analysis”, Journal of International Accounting, Auditing and Taxation, 24, 13-28.</w:t>
      </w:r>
    </w:p>
    <w:p w14:paraId="73B978EE"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Schleicher, T., &amp; Walker, M. (2010). Bias in the tone of forward‐looking narratives. Accounting and Business Research, 40 (4), 371-390</w:t>
      </w:r>
    </w:p>
    <w:p w14:paraId="2D614A62"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Srinidhi, B., Gul, F. A., &amp; Tsui, J. (2011). Female directors and earnings quality. Contemporary Accounting Research, 28(5), 1610–1644.</w:t>
      </w:r>
    </w:p>
    <w:p w14:paraId="086F5843"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Swales, J.M. (1990), Genre Analysis: English in Academic and Research Settings, Cambridge University Press, Cambridge.</w:t>
      </w:r>
    </w:p>
    <w:p w14:paraId="3299C0D5"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Tucker, J.W. (2015). The relation between disclosure quality and reporting quality: A discussion of Cassell, Myers, and Seidel (2015). Accounting, Organizations and Society 46, 39-43.</w:t>
      </w:r>
    </w:p>
    <w:p w14:paraId="4F877196" w14:textId="2DABF810"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lastRenderedPageBreak/>
        <w:t xml:space="preserve">Van der Walt, N. and </w:t>
      </w:r>
      <w:proofErr w:type="spellStart"/>
      <w:r w:rsidRPr="00FC59B5">
        <w:rPr>
          <w:rFonts w:asciiTheme="majorBidi" w:eastAsia="Calibri" w:hAnsiTheme="majorBidi" w:cstheme="majorBidi"/>
          <w:color w:val="000000" w:themeColor="text1"/>
          <w:sz w:val="24"/>
          <w:szCs w:val="24"/>
        </w:rPr>
        <w:t>Ingley</w:t>
      </w:r>
      <w:proofErr w:type="spellEnd"/>
      <w:r w:rsidRPr="00FC59B5">
        <w:rPr>
          <w:rFonts w:asciiTheme="majorBidi" w:eastAsia="Calibri" w:hAnsiTheme="majorBidi" w:cstheme="majorBidi"/>
          <w:color w:val="000000" w:themeColor="text1"/>
          <w:sz w:val="24"/>
          <w:szCs w:val="24"/>
        </w:rPr>
        <w:t xml:space="preserve">, C. (2003), Board dynamics and the influence of professional background, </w:t>
      </w:r>
      <w:proofErr w:type="gramStart"/>
      <w:r w:rsidRPr="00FC59B5">
        <w:rPr>
          <w:rFonts w:asciiTheme="majorBidi" w:eastAsia="Calibri" w:hAnsiTheme="majorBidi" w:cstheme="majorBidi"/>
          <w:color w:val="000000" w:themeColor="text1"/>
          <w:sz w:val="24"/>
          <w:szCs w:val="24"/>
        </w:rPr>
        <w:t>gender</w:t>
      </w:r>
      <w:proofErr w:type="gramEnd"/>
      <w:r w:rsidRPr="00FC59B5">
        <w:rPr>
          <w:rFonts w:asciiTheme="majorBidi" w:eastAsia="Calibri" w:hAnsiTheme="majorBidi" w:cstheme="majorBidi"/>
          <w:color w:val="000000" w:themeColor="text1"/>
          <w:sz w:val="24"/>
          <w:szCs w:val="24"/>
        </w:rPr>
        <w:t xml:space="preserve"> and ethnic diversity of directors. Corporate Governance: An International Review, 11</w:t>
      </w:r>
      <w:r w:rsidR="00EE7C79" w:rsidRPr="00FC59B5">
        <w:rPr>
          <w:rFonts w:asciiTheme="majorBidi" w:eastAsia="Calibri" w:hAnsiTheme="majorBidi" w:cstheme="majorBidi"/>
          <w:color w:val="000000" w:themeColor="text1"/>
          <w:sz w:val="24"/>
          <w:szCs w:val="24"/>
        </w:rPr>
        <w:t xml:space="preserve">, </w:t>
      </w:r>
      <w:r w:rsidRPr="00FC59B5">
        <w:rPr>
          <w:rFonts w:asciiTheme="majorBidi" w:eastAsia="Calibri" w:hAnsiTheme="majorBidi" w:cstheme="majorBidi"/>
          <w:color w:val="000000" w:themeColor="text1"/>
          <w:sz w:val="24"/>
          <w:szCs w:val="24"/>
        </w:rPr>
        <w:t xml:space="preserve">218–234. </w:t>
      </w:r>
    </w:p>
    <w:p w14:paraId="1A1D68E7"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Wang, M.; Hussainey, K. (2013). Voluntary forward-looking statements driven by corporate governance and their value relevance. J. Account. Public Policy, 32, 26–49. </w:t>
      </w:r>
    </w:p>
    <w:p w14:paraId="754E1E7C"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tl/>
        </w:rPr>
      </w:pPr>
      <w:r w:rsidRPr="00FC59B5">
        <w:rPr>
          <w:rFonts w:asciiTheme="majorBidi" w:eastAsia="Calibri" w:hAnsiTheme="majorBidi" w:cstheme="majorBidi"/>
          <w:color w:val="000000" w:themeColor="text1"/>
          <w:sz w:val="24"/>
          <w:szCs w:val="24"/>
        </w:rPr>
        <w:t>Wooldridge, J. M., 2002. Econometric Analysis of Cross Section and Panel Data. London, UK: The MIT Press.</w:t>
      </w:r>
    </w:p>
    <w:p w14:paraId="50F48092" w14:textId="77777777"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Yermack, D. (1996): “Higher market valuation of companies with a small board of directors”, Journal of Financial Economics, 40, 2, pp 185-211.</w:t>
      </w:r>
    </w:p>
    <w:p w14:paraId="4EF52EE4" w14:textId="7103B054" w:rsidR="00F800A1" w:rsidRPr="00FC59B5" w:rsidRDefault="00F800A1"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t xml:space="preserve">Yoon, B., Lee, J.H. and Byun, R. (2018), “Does ESG </w:t>
      </w:r>
      <w:r w:rsidR="00236230" w:rsidRPr="00FC59B5">
        <w:rPr>
          <w:rFonts w:asciiTheme="majorBidi" w:eastAsia="Calibri" w:hAnsiTheme="majorBidi" w:cstheme="majorBidi"/>
          <w:color w:val="000000" w:themeColor="text1"/>
          <w:sz w:val="24"/>
          <w:szCs w:val="24"/>
        </w:rPr>
        <w:t>performance enhance firm value</w:t>
      </w:r>
      <w:r w:rsidRPr="00FC59B5">
        <w:rPr>
          <w:rFonts w:asciiTheme="majorBidi" w:eastAsia="Calibri" w:hAnsiTheme="majorBidi" w:cstheme="majorBidi"/>
          <w:color w:val="000000" w:themeColor="text1"/>
          <w:sz w:val="24"/>
          <w:szCs w:val="24"/>
        </w:rPr>
        <w:t>? Evidence from Korea”, Sustainability, Vol. 10, No.10, PP 3635.</w:t>
      </w:r>
    </w:p>
    <w:p w14:paraId="2129B0E5" w14:textId="5773F963" w:rsidR="00724212" w:rsidRPr="00FC59B5" w:rsidRDefault="00724212"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
    <w:p w14:paraId="3A06FC5A" w14:textId="390BCA8C" w:rsidR="00724212" w:rsidRPr="00FC59B5" w:rsidRDefault="00724212" w:rsidP="00DB4218">
      <w:pPr>
        <w:spacing w:after="120" w:line="276" w:lineRule="auto"/>
        <w:contextualSpacing/>
        <w:jc w:val="both"/>
        <w:rPr>
          <w:rFonts w:asciiTheme="majorBidi" w:eastAsia="Calibri" w:hAnsiTheme="majorBidi" w:cstheme="majorBidi"/>
          <w:color w:val="000000" w:themeColor="text1"/>
          <w:sz w:val="24"/>
          <w:szCs w:val="24"/>
        </w:rPr>
      </w:pPr>
    </w:p>
    <w:p w14:paraId="146640D1" w14:textId="47869046" w:rsidR="00DB4218" w:rsidRPr="00FC59B5" w:rsidRDefault="00DB4218"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r w:rsidRPr="00FC59B5">
        <w:rPr>
          <w:rFonts w:asciiTheme="majorBidi" w:eastAsia="Calibri" w:hAnsiTheme="majorBidi" w:cstheme="majorBidi"/>
          <w:color w:val="000000" w:themeColor="text1"/>
          <w:sz w:val="24"/>
          <w:szCs w:val="24"/>
        </w:rPr>
        <w:br w:type="page"/>
      </w:r>
    </w:p>
    <w:p w14:paraId="1059B86E" w14:textId="77777777" w:rsidR="00724212" w:rsidRPr="00FC59B5" w:rsidRDefault="00724212" w:rsidP="00BB63AF">
      <w:pPr>
        <w:spacing w:after="120" w:line="276" w:lineRule="auto"/>
        <w:ind w:left="709" w:hanging="720"/>
        <w:contextualSpacing/>
        <w:jc w:val="both"/>
        <w:rPr>
          <w:rFonts w:asciiTheme="majorBidi" w:eastAsia="Calibri" w:hAnsiTheme="majorBidi" w:cstheme="majorBidi"/>
          <w:color w:val="000000" w:themeColor="text1"/>
          <w:sz w:val="24"/>
          <w:szCs w:val="24"/>
        </w:rPr>
      </w:pPr>
    </w:p>
    <w:p w14:paraId="7EBDA126" w14:textId="6ECE7557" w:rsidR="00724212" w:rsidRPr="00FC59B5" w:rsidRDefault="00724212" w:rsidP="00724212">
      <w:pPr>
        <w:spacing w:after="120" w:line="360" w:lineRule="auto"/>
        <w:contextualSpacing/>
        <w:jc w:val="both"/>
        <w:rPr>
          <w:rFonts w:asciiTheme="majorBidi" w:hAnsiTheme="majorBidi" w:cstheme="majorBidi"/>
          <w:color w:val="000000" w:themeColor="text1"/>
          <w:sz w:val="24"/>
          <w:szCs w:val="24"/>
        </w:rPr>
      </w:pPr>
      <w:r w:rsidRPr="00FC59B5">
        <w:rPr>
          <w:rFonts w:asciiTheme="majorBidi" w:hAnsiTheme="majorBidi" w:cstheme="majorBidi"/>
          <w:color w:val="000000" w:themeColor="text1"/>
          <w:sz w:val="24"/>
          <w:szCs w:val="24"/>
        </w:rPr>
        <w:t xml:space="preserve">Table 1: A </w:t>
      </w:r>
      <w:r w:rsidR="002D154D" w:rsidRPr="00FC59B5">
        <w:rPr>
          <w:rFonts w:asciiTheme="majorBidi" w:hAnsiTheme="majorBidi" w:cstheme="majorBidi"/>
          <w:color w:val="000000" w:themeColor="text1"/>
          <w:sz w:val="24"/>
          <w:szCs w:val="24"/>
        </w:rPr>
        <w:t>S</w:t>
      </w:r>
      <w:r w:rsidRPr="00FC59B5">
        <w:rPr>
          <w:rFonts w:asciiTheme="majorBidi" w:hAnsiTheme="majorBidi" w:cstheme="majorBidi"/>
          <w:color w:val="000000" w:themeColor="text1"/>
          <w:sz w:val="24"/>
          <w:szCs w:val="24"/>
        </w:rPr>
        <w:t xml:space="preserve">ummary </w:t>
      </w:r>
      <w:r w:rsidR="002D154D" w:rsidRPr="00FC59B5">
        <w:rPr>
          <w:rFonts w:asciiTheme="majorBidi" w:hAnsiTheme="majorBidi" w:cstheme="majorBidi"/>
          <w:color w:val="000000" w:themeColor="text1"/>
          <w:sz w:val="24"/>
          <w:szCs w:val="24"/>
        </w:rPr>
        <w:t>T</w:t>
      </w:r>
      <w:r w:rsidRPr="00FC59B5">
        <w:rPr>
          <w:rFonts w:asciiTheme="majorBidi" w:hAnsiTheme="majorBidi" w:cstheme="majorBidi"/>
          <w:color w:val="000000" w:themeColor="text1"/>
          <w:sz w:val="24"/>
          <w:szCs w:val="24"/>
        </w:rPr>
        <w:t xml:space="preserve">able of </w:t>
      </w:r>
      <w:r w:rsidR="002D154D" w:rsidRPr="00FC59B5">
        <w:rPr>
          <w:rFonts w:asciiTheme="majorBidi" w:hAnsiTheme="majorBidi" w:cstheme="majorBidi"/>
          <w:color w:val="000000" w:themeColor="text1"/>
          <w:sz w:val="24"/>
          <w:szCs w:val="24"/>
        </w:rPr>
        <w:t>A</w:t>
      </w:r>
      <w:r w:rsidRPr="00FC59B5">
        <w:rPr>
          <w:rFonts w:asciiTheme="majorBidi" w:hAnsiTheme="majorBidi" w:cstheme="majorBidi"/>
          <w:color w:val="000000" w:themeColor="text1"/>
          <w:sz w:val="24"/>
          <w:szCs w:val="24"/>
        </w:rPr>
        <w:t xml:space="preserve">ll </w:t>
      </w:r>
      <w:r w:rsidR="002D154D" w:rsidRPr="00FC59B5">
        <w:rPr>
          <w:rFonts w:asciiTheme="majorBidi" w:hAnsiTheme="majorBidi" w:cstheme="majorBidi"/>
          <w:color w:val="000000" w:themeColor="text1"/>
          <w:sz w:val="24"/>
          <w:szCs w:val="24"/>
        </w:rPr>
        <w:t>V</w:t>
      </w:r>
      <w:r w:rsidRPr="00FC59B5">
        <w:rPr>
          <w:rFonts w:asciiTheme="majorBidi" w:hAnsiTheme="majorBidi" w:cstheme="majorBidi"/>
          <w:color w:val="000000" w:themeColor="text1"/>
          <w:sz w:val="24"/>
          <w:szCs w:val="24"/>
        </w:rPr>
        <w:t>ariables</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38"/>
        <w:gridCol w:w="1406"/>
        <w:gridCol w:w="2506"/>
        <w:gridCol w:w="2084"/>
        <w:gridCol w:w="1782"/>
      </w:tblGrid>
      <w:tr w:rsidR="00724212" w:rsidRPr="00FC59B5" w14:paraId="56D465C8" w14:textId="77777777" w:rsidTr="007327AF">
        <w:trPr>
          <w:tblHeader/>
        </w:trPr>
        <w:tc>
          <w:tcPr>
            <w:tcW w:w="1034" w:type="dxa"/>
            <w:shd w:val="clear" w:color="auto" w:fill="D9D9D9" w:themeFill="background1" w:themeFillShade="D9"/>
          </w:tcPr>
          <w:p w14:paraId="4BDC37C6" w14:textId="77777777" w:rsidR="00724212" w:rsidRPr="00FC59B5" w:rsidRDefault="00724212" w:rsidP="00724212">
            <w:pPr>
              <w:jc w:val="both"/>
              <w:rPr>
                <w:rFonts w:ascii="Times New Roman" w:hAnsi="Times New Roman" w:cs="Times New Roman"/>
                <w:b/>
                <w:bCs/>
                <w:sz w:val="20"/>
                <w:szCs w:val="20"/>
              </w:rPr>
            </w:pPr>
            <w:r w:rsidRPr="00FC59B5">
              <w:rPr>
                <w:rFonts w:ascii="Times New Roman" w:hAnsi="Times New Roman" w:cs="Times New Roman"/>
                <w:b/>
                <w:bCs/>
                <w:sz w:val="20"/>
                <w:szCs w:val="20"/>
              </w:rPr>
              <w:t>Variable</w:t>
            </w:r>
          </w:p>
        </w:tc>
        <w:tc>
          <w:tcPr>
            <w:tcW w:w="1174" w:type="dxa"/>
            <w:shd w:val="clear" w:color="auto" w:fill="D9D9D9" w:themeFill="background1" w:themeFillShade="D9"/>
          </w:tcPr>
          <w:p w14:paraId="5A548244" w14:textId="77777777" w:rsidR="00724212" w:rsidRPr="00FC59B5" w:rsidRDefault="00724212" w:rsidP="00724212">
            <w:pPr>
              <w:jc w:val="both"/>
              <w:rPr>
                <w:rFonts w:ascii="Times New Roman" w:hAnsi="Times New Roman" w:cs="Times New Roman"/>
                <w:b/>
                <w:bCs/>
                <w:sz w:val="20"/>
                <w:szCs w:val="20"/>
              </w:rPr>
            </w:pPr>
            <w:r w:rsidRPr="00FC59B5">
              <w:rPr>
                <w:rFonts w:ascii="Times New Roman" w:hAnsi="Times New Roman" w:cs="Times New Roman"/>
                <w:b/>
                <w:bCs/>
                <w:sz w:val="20"/>
                <w:szCs w:val="20"/>
              </w:rPr>
              <w:t>Description</w:t>
            </w:r>
          </w:p>
        </w:tc>
        <w:tc>
          <w:tcPr>
            <w:tcW w:w="2092" w:type="dxa"/>
            <w:shd w:val="clear" w:color="auto" w:fill="D9D9D9" w:themeFill="background1" w:themeFillShade="D9"/>
          </w:tcPr>
          <w:p w14:paraId="771654A6" w14:textId="77777777" w:rsidR="00724212" w:rsidRPr="00FC59B5" w:rsidRDefault="00724212" w:rsidP="00724212">
            <w:pPr>
              <w:jc w:val="both"/>
              <w:rPr>
                <w:rFonts w:ascii="Times New Roman" w:hAnsi="Times New Roman" w:cs="Times New Roman"/>
                <w:b/>
                <w:bCs/>
                <w:sz w:val="20"/>
                <w:szCs w:val="20"/>
              </w:rPr>
            </w:pPr>
            <w:r w:rsidRPr="00FC59B5">
              <w:rPr>
                <w:rFonts w:ascii="Times New Roman" w:hAnsi="Times New Roman" w:cs="Times New Roman"/>
                <w:b/>
                <w:bCs/>
                <w:sz w:val="20"/>
                <w:szCs w:val="20"/>
              </w:rPr>
              <w:t xml:space="preserve">References for definition </w:t>
            </w:r>
          </w:p>
        </w:tc>
        <w:tc>
          <w:tcPr>
            <w:tcW w:w="1740" w:type="dxa"/>
            <w:shd w:val="clear" w:color="auto" w:fill="D9D9D9" w:themeFill="background1" w:themeFillShade="D9"/>
          </w:tcPr>
          <w:p w14:paraId="2EBA5E5D" w14:textId="77777777" w:rsidR="00724212" w:rsidRPr="00FC59B5" w:rsidRDefault="00724212" w:rsidP="00724212">
            <w:pPr>
              <w:jc w:val="both"/>
              <w:rPr>
                <w:rFonts w:ascii="Times New Roman" w:hAnsi="Times New Roman" w:cs="Times New Roman"/>
                <w:b/>
                <w:bCs/>
                <w:sz w:val="20"/>
                <w:szCs w:val="20"/>
              </w:rPr>
            </w:pPr>
            <w:r w:rsidRPr="00FC59B5">
              <w:rPr>
                <w:rFonts w:ascii="Times New Roman" w:hAnsi="Times New Roman" w:cs="Times New Roman"/>
                <w:b/>
                <w:bCs/>
                <w:sz w:val="20"/>
                <w:szCs w:val="20"/>
              </w:rPr>
              <w:t>Calculation</w:t>
            </w:r>
          </w:p>
        </w:tc>
        <w:tc>
          <w:tcPr>
            <w:tcW w:w="1488" w:type="dxa"/>
            <w:shd w:val="clear" w:color="auto" w:fill="D9D9D9" w:themeFill="background1" w:themeFillShade="D9"/>
          </w:tcPr>
          <w:p w14:paraId="3EC2EB94" w14:textId="77777777" w:rsidR="00724212" w:rsidRPr="00FC59B5" w:rsidRDefault="00724212" w:rsidP="00724212">
            <w:pPr>
              <w:jc w:val="both"/>
              <w:rPr>
                <w:rFonts w:ascii="Times New Roman" w:hAnsi="Times New Roman" w:cs="Times New Roman"/>
                <w:b/>
                <w:bCs/>
                <w:sz w:val="20"/>
                <w:szCs w:val="20"/>
              </w:rPr>
            </w:pPr>
            <w:r w:rsidRPr="00FC59B5">
              <w:rPr>
                <w:rFonts w:ascii="Times New Roman" w:hAnsi="Times New Roman" w:cs="Times New Roman"/>
                <w:b/>
                <w:bCs/>
                <w:sz w:val="20"/>
                <w:szCs w:val="20"/>
              </w:rPr>
              <w:t>Ref for Calculation</w:t>
            </w:r>
          </w:p>
        </w:tc>
      </w:tr>
      <w:tr w:rsidR="00724212" w:rsidRPr="00FC59B5" w14:paraId="4291BBAF" w14:textId="77777777" w:rsidTr="007327AF">
        <w:tc>
          <w:tcPr>
            <w:tcW w:w="1034" w:type="dxa"/>
          </w:tcPr>
          <w:p w14:paraId="2D517B68"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CSR Net Tone (H08)</w:t>
            </w:r>
          </w:p>
        </w:tc>
        <w:tc>
          <w:tcPr>
            <w:tcW w:w="1174" w:type="dxa"/>
          </w:tcPr>
          <w:p w14:paraId="29F7FEC7"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Net Tone of CSR Narratives (H08)</w:t>
            </w:r>
          </w:p>
        </w:tc>
        <w:tc>
          <w:tcPr>
            <w:tcW w:w="2092" w:type="dxa"/>
          </w:tcPr>
          <w:p w14:paraId="29F5E266"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Henry (2008)</w:t>
            </w:r>
          </w:p>
        </w:tc>
        <w:tc>
          <w:tcPr>
            <w:tcW w:w="1740" w:type="dxa"/>
          </w:tcPr>
          <w:p w14:paraId="58FB2F2E"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Aggregate ESG commentary - Net tone ([nr of positive words - nr of negative words]</w:t>
            </w:r>
            <w:proofErr w:type="gramStart"/>
            <w:r w:rsidRPr="00FC59B5">
              <w:rPr>
                <w:rFonts w:ascii="Times New Roman" w:hAnsi="Times New Roman" w:cs="Times New Roman"/>
                <w:sz w:val="20"/>
                <w:szCs w:val="20"/>
              </w:rPr>
              <w:t>/[</w:t>
            </w:r>
            <w:proofErr w:type="gramEnd"/>
            <w:r w:rsidRPr="00FC59B5">
              <w:rPr>
                <w:rFonts w:ascii="Times New Roman" w:hAnsi="Times New Roman" w:cs="Times New Roman"/>
                <w:sz w:val="20"/>
                <w:szCs w:val="20"/>
              </w:rPr>
              <w:t>nr of positive words + nr of negative words])</w:t>
            </w:r>
          </w:p>
        </w:tc>
        <w:tc>
          <w:tcPr>
            <w:tcW w:w="1488" w:type="dxa"/>
          </w:tcPr>
          <w:p w14:paraId="374DE688"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Henry and Leone, 2016</w:t>
            </w:r>
          </w:p>
        </w:tc>
      </w:tr>
      <w:tr w:rsidR="00724212" w:rsidRPr="00FC59B5" w14:paraId="5BA20371" w14:textId="77777777" w:rsidTr="007327AF">
        <w:tc>
          <w:tcPr>
            <w:tcW w:w="1034" w:type="dxa"/>
          </w:tcPr>
          <w:p w14:paraId="6BD9FEF7"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CSR Net Tone (LM11)</w:t>
            </w:r>
          </w:p>
        </w:tc>
        <w:tc>
          <w:tcPr>
            <w:tcW w:w="1174" w:type="dxa"/>
          </w:tcPr>
          <w:p w14:paraId="25173421"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Net Tone of CSR Narratives (LM11)</w:t>
            </w:r>
          </w:p>
        </w:tc>
        <w:tc>
          <w:tcPr>
            <w:tcW w:w="2092" w:type="dxa"/>
          </w:tcPr>
          <w:p w14:paraId="0637AD22"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 xml:space="preserve">Loughran and </w:t>
            </w:r>
            <w:proofErr w:type="spellStart"/>
            <w:r w:rsidRPr="00FC59B5">
              <w:rPr>
                <w:rFonts w:ascii="Times New Roman" w:hAnsi="Times New Roman" w:cs="Times New Roman"/>
                <w:sz w:val="20"/>
                <w:szCs w:val="20"/>
              </w:rPr>
              <w:t>Mcdonald</w:t>
            </w:r>
            <w:proofErr w:type="spellEnd"/>
            <w:r w:rsidRPr="00FC59B5">
              <w:rPr>
                <w:rFonts w:ascii="Times New Roman" w:hAnsi="Times New Roman" w:cs="Times New Roman"/>
                <w:sz w:val="20"/>
                <w:szCs w:val="20"/>
              </w:rPr>
              <w:t xml:space="preserve"> (2011)</w:t>
            </w:r>
          </w:p>
        </w:tc>
        <w:tc>
          <w:tcPr>
            <w:tcW w:w="1740" w:type="dxa"/>
          </w:tcPr>
          <w:p w14:paraId="20F9AE58"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Aggregate ESG commentary - Net tone ([nr of positive words - nr of negative words]</w:t>
            </w:r>
            <w:proofErr w:type="gramStart"/>
            <w:r w:rsidRPr="00FC59B5">
              <w:rPr>
                <w:rFonts w:ascii="Times New Roman" w:hAnsi="Times New Roman" w:cs="Times New Roman"/>
                <w:sz w:val="20"/>
                <w:szCs w:val="20"/>
              </w:rPr>
              <w:t>/[</w:t>
            </w:r>
            <w:proofErr w:type="gramEnd"/>
            <w:r w:rsidRPr="00FC59B5">
              <w:rPr>
                <w:rFonts w:ascii="Times New Roman" w:hAnsi="Times New Roman" w:cs="Times New Roman"/>
                <w:sz w:val="20"/>
                <w:szCs w:val="20"/>
              </w:rPr>
              <w:t>nr of positive words + nr of negative words])</w:t>
            </w:r>
          </w:p>
        </w:tc>
        <w:tc>
          <w:tcPr>
            <w:tcW w:w="1488" w:type="dxa"/>
          </w:tcPr>
          <w:p w14:paraId="25A23A44"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 xml:space="preserve">Loughran and </w:t>
            </w:r>
            <w:proofErr w:type="spellStart"/>
            <w:r w:rsidRPr="00FC59B5">
              <w:rPr>
                <w:rFonts w:ascii="Times New Roman" w:hAnsi="Times New Roman" w:cs="Times New Roman"/>
                <w:sz w:val="20"/>
                <w:szCs w:val="20"/>
              </w:rPr>
              <w:t>Mcdonald</w:t>
            </w:r>
            <w:proofErr w:type="spellEnd"/>
            <w:r w:rsidRPr="00FC59B5">
              <w:rPr>
                <w:rFonts w:ascii="Times New Roman" w:hAnsi="Times New Roman" w:cs="Times New Roman"/>
                <w:sz w:val="20"/>
                <w:szCs w:val="20"/>
              </w:rPr>
              <w:t>, 2016</w:t>
            </w:r>
          </w:p>
        </w:tc>
      </w:tr>
      <w:tr w:rsidR="00724212" w:rsidRPr="00FC59B5" w14:paraId="6480FCDE" w14:textId="77777777" w:rsidTr="007327AF">
        <w:tc>
          <w:tcPr>
            <w:tcW w:w="1034" w:type="dxa"/>
          </w:tcPr>
          <w:p w14:paraId="716ADD7D"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BRD_SZ</w:t>
            </w:r>
          </w:p>
        </w:tc>
        <w:tc>
          <w:tcPr>
            <w:tcW w:w="1174" w:type="dxa"/>
          </w:tcPr>
          <w:p w14:paraId="2BC003A4"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Board Size</w:t>
            </w:r>
          </w:p>
        </w:tc>
        <w:tc>
          <w:tcPr>
            <w:tcW w:w="2092" w:type="dxa"/>
          </w:tcPr>
          <w:p w14:paraId="00586E8B" w14:textId="77777777" w:rsidR="00724212" w:rsidRPr="00FC59B5" w:rsidRDefault="00724212" w:rsidP="00724212">
            <w:pPr>
              <w:contextualSpacing/>
              <w:jc w:val="both"/>
              <w:rPr>
                <w:rFonts w:ascii="Times New Roman" w:hAnsi="Times New Roman" w:cs="Times New Roman"/>
                <w:sz w:val="20"/>
                <w:szCs w:val="20"/>
              </w:rPr>
            </w:pPr>
            <w:r w:rsidRPr="00FC59B5">
              <w:rPr>
                <w:rFonts w:ascii="Times New Roman" w:hAnsi="Times New Roman" w:cs="Times New Roman"/>
                <w:sz w:val="20"/>
                <w:szCs w:val="20"/>
              </w:rPr>
              <w:t xml:space="preserve">Lipton and </w:t>
            </w:r>
            <w:proofErr w:type="spellStart"/>
            <w:r w:rsidRPr="00FC59B5">
              <w:rPr>
                <w:rFonts w:ascii="Times New Roman" w:hAnsi="Times New Roman" w:cs="Times New Roman"/>
                <w:sz w:val="20"/>
                <w:szCs w:val="20"/>
              </w:rPr>
              <w:t>Lorsh</w:t>
            </w:r>
            <w:proofErr w:type="spellEnd"/>
            <w:r w:rsidRPr="00FC59B5">
              <w:rPr>
                <w:rFonts w:ascii="Times New Roman" w:hAnsi="Times New Roman" w:cs="Times New Roman"/>
                <w:sz w:val="20"/>
                <w:szCs w:val="20"/>
              </w:rPr>
              <w:t xml:space="preserve">, 1992; Jensen, 1993; Yermack, 1996; Wang and Hussainey, 2013;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2015; </w:t>
            </w:r>
            <w:proofErr w:type="spellStart"/>
            <w:r w:rsidRPr="00FC59B5">
              <w:rPr>
                <w:rFonts w:ascii="Times New Roman" w:hAnsi="Times New Roman" w:cs="Times New Roman"/>
                <w:sz w:val="20"/>
                <w:szCs w:val="20"/>
              </w:rPr>
              <w:t>Elshandidy</w:t>
            </w:r>
            <w:proofErr w:type="spellEnd"/>
            <w:r w:rsidRPr="00FC59B5">
              <w:rPr>
                <w:rFonts w:ascii="Times New Roman" w:hAnsi="Times New Roman" w:cs="Times New Roman"/>
                <w:sz w:val="20"/>
                <w:szCs w:val="20"/>
              </w:rPr>
              <w:t xml:space="preserve"> and Nero, 2015; </w:t>
            </w:r>
            <w:proofErr w:type="spellStart"/>
            <w:r w:rsidRPr="00FC59B5">
              <w:rPr>
                <w:rFonts w:ascii="Times New Roman" w:hAnsi="Times New Roman" w:cs="Times New Roman"/>
                <w:sz w:val="20"/>
                <w:szCs w:val="20"/>
              </w:rPr>
              <w:t>Allini</w:t>
            </w:r>
            <w:proofErr w:type="spellEnd"/>
            <w:r w:rsidRPr="00FC59B5">
              <w:rPr>
                <w:rFonts w:ascii="Times New Roman" w:hAnsi="Times New Roman" w:cs="Times New Roman"/>
                <w:sz w:val="20"/>
                <w:szCs w:val="20"/>
              </w:rPr>
              <w:t xml:space="preserve"> et al., 2016; </w:t>
            </w:r>
            <w:proofErr w:type="spellStart"/>
            <w:r w:rsidRPr="00FC59B5">
              <w:rPr>
                <w:rFonts w:ascii="Times New Roman" w:hAnsi="Times New Roman" w:cs="Times New Roman"/>
                <w:sz w:val="20"/>
                <w:szCs w:val="20"/>
              </w:rPr>
              <w:t>Elgammal</w:t>
            </w:r>
            <w:proofErr w:type="spellEnd"/>
            <w:r w:rsidRPr="00FC59B5">
              <w:rPr>
                <w:rFonts w:ascii="Times New Roman" w:hAnsi="Times New Roman" w:cs="Times New Roman"/>
                <w:sz w:val="20"/>
                <w:szCs w:val="20"/>
              </w:rPr>
              <w:t xml:space="preserve"> et al., 2018; Haj Salem et al., 2019</w:t>
            </w:r>
          </w:p>
        </w:tc>
        <w:tc>
          <w:tcPr>
            <w:tcW w:w="1740" w:type="dxa"/>
          </w:tcPr>
          <w:p w14:paraId="5B95744E"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LN (Number of Directors on the board)</w:t>
            </w:r>
          </w:p>
        </w:tc>
        <w:tc>
          <w:tcPr>
            <w:tcW w:w="1488" w:type="dxa"/>
          </w:tcPr>
          <w:p w14:paraId="0F9BBBD1"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Allegrini</w:t>
            </w:r>
            <w:proofErr w:type="spellEnd"/>
            <w:r w:rsidRPr="00FC59B5">
              <w:rPr>
                <w:rFonts w:ascii="Times New Roman" w:hAnsi="Times New Roman" w:cs="Times New Roman"/>
                <w:sz w:val="20"/>
                <w:szCs w:val="20"/>
              </w:rPr>
              <w:t xml:space="preserve"> and Greco, 2011; Javaid Lone et al., 2016 and Husted and Sousa-Filho, 2018; </w:t>
            </w:r>
            <w:proofErr w:type="spellStart"/>
            <w:r w:rsidRPr="00FC59B5">
              <w:rPr>
                <w:rFonts w:ascii="Times New Roman" w:hAnsi="Times New Roman" w:cs="Times New Roman"/>
                <w:sz w:val="20"/>
                <w:szCs w:val="20"/>
              </w:rPr>
              <w:t>Orazalin</w:t>
            </w:r>
            <w:proofErr w:type="spellEnd"/>
            <w:r w:rsidRPr="00FC59B5">
              <w:rPr>
                <w:rFonts w:ascii="Times New Roman" w:hAnsi="Times New Roman" w:cs="Times New Roman"/>
                <w:sz w:val="20"/>
                <w:szCs w:val="20"/>
              </w:rPr>
              <w:t xml:space="preserve">, 2019;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et al., 2020</w:t>
            </w:r>
          </w:p>
        </w:tc>
      </w:tr>
      <w:tr w:rsidR="00724212" w:rsidRPr="00FC59B5" w14:paraId="12F0D1A7" w14:textId="77777777" w:rsidTr="007327AF">
        <w:tc>
          <w:tcPr>
            <w:tcW w:w="1034" w:type="dxa"/>
          </w:tcPr>
          <w:p w14:paraId="4371B67A"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PCT_INED</w:t>
            </w:r>
          </w:p>
        </w:tc>
        <w:tc>
          <w:tcPr>
            <w:tcW w:w="1174" w:type="dxa"/>
          </w:tcPr>
          <w:p w14:paraId="7C723A63"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Independent Non-Executive Directors</w:t>
            </w:r>
          </w:p>
        </w:tc>
        <w:tc>
          <w:tcPr>
            <w:tcW w:w="2092" w:type="dxa"/>
          </w:tcPr>
          <w:p w14:paraId="4536E086" w14:textId="77777777" w:rsidR="00724212" w:rsidRPr="00FC59B5" w:rsidRDefault="00724212" w:rsidP="00724212">
            <w:pPr>
              <w:contextualSpacing/>
              <w:jc w:val="both"/>
              <w:rPr>
                <w:rFonts w:ascii="Times New Roman" w:hAnsi="Times New Roman" w:cs="Times New Roman"/>
                <w:sz w:val="20"/>
                <w:szCs w:val="20"/>
              </w:rPr>
            </w:pPr>
            <w:r w:rsidRPr="00FC59B5">
              <w:rPr>
                <w:rFonts w:ascii="Times New Roman" w:hAnsi="Times New Roman" w:cs="Times New Roman"/>
                <w:sz w:val="20"/>
                <w:szCs w:val="20"/>
              </w:rPr>
              <w:t xml:space="preserve">Abrahamson and Park, 1994; Abraham and Cox, 2007; Lopes and Rodrigues, 2007; Srinidhi et al., 2011;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2015; </w:t>
            </w:r>
            <w:proofErr w:type="spellStart"/>
            <w:r w:rsidRPr="00FC59B5">
              <w:rPr>
                <w:rFonts w:ascii="Times New Roman" w:hAnsi="Times New Roman" w:cs="Times New Roman"/>
                <w:sz w:val="20"/>
                <w:szCs w:val="20"/>
              </w:rPr>
              <w:t>Elshandidy</w:t>
            </w:r>
            <w:proofErr w:type="spellEnd"/>
            <w:r w:rsidRPr="00FC59B5">
              <w:rPr>
                <w:rFonts w:ascii="Times New Roman" w:hAnsi="Times New Roman" w:cs="Times New Roman"/>
                <w:sz w:val="20"/>
                <w:szCs w:val="20"/>
              </w:rPr>
              <w:t xml:space="preserve"> et al., 2015; </w:t>
            </w:r>
            <w:proofErr w:type="spellStart"/>
            <w:r w:rsidRPr="00FC59B5">
              <w:rPr>
                <w:rFonts w:ascii="Times New Roman" w:hAnsi="Times New Roman" w:cs="Times New Roman"/>
                <w:sz w:val="20"/>
                <w:szCs w:val="20"/>
              </w:rPr>
              <w:t>Allini</w:t>
            </w:r>
            <w:proofErr w:type="spellEnd"/>
            <w:r w:rsidRPr="00FC59B5">
              <w:rPr>
                <w:rFonts w:ascii="Times New Roman" w:hAnsi="Times New Roman" w:cs="Times New Roman"/>
                <w:sz w:val="20"/>
                <w:szCs w:val="20"/>
              </w:rPr>
              <w:t xml:space="preserve"> et al., 2016</w:t>
            </w:r>
          </w:p>
        </w:tc>
        <w:tc>
          <w:tcPr>
            <w:tcW w:w="1740" w:type="dxa"/>
          </w:tcPr>
          <w:p w14:paraId="6550588F"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Independent Non-Executive Directors / Board Size</w:t>
            </w:r>
          </w:p>
        </w:tc>
        <w:tc>
          <w:tcPr>
            <w:tcW w:w="1488" w:type="dxa"/>
          </w:tcPr>
          <w:p w14:paraId="566244A8"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 xml:space="preserve">Lim et al., 2007;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2015; Samaha et al., 2015; Haj Salem et al., 2019</w:t>
            </w:r>
          </w:p>
        </w:tc>
      </w:tr>
      <w:tr w:rsidR="00724212" w:rsidRPr="00FC59B5" w14:paraId="0FA9A6FB" w14:textId="77777777" w:rsidTr="007327AF">
        <w:tc>
          <w:tcPr>
            <w:tcW w:w="1034" w:type="dxa"/>
          </w:tcPr>
          <w:p w14:paraId="3BA7A75E"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PCT_BRD_WOMEN</w:t>
            </w:r>
          </w:p>
        </w:tc>
        <w:tc>
          <w:tcPr>
            <w:tcW w:w="1174" w:type="dxa"/>
          </w:tcPr>
          <w:p w14:paraId="29CCA7BA"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Women on Board</w:t>
            </w:r>
          </w:p>
        </w:tc>
        <w:tc>
          <w:tcPr>
            <w:tcW w:w="2092" w:type="dxa"/>
          </w:tcPr>
          <w:p w14:paraId="2B4B5799" w14:textId="77777777" w:rsidR="00724212" w:rsidRPr="00FC59B5" w:rsidRDefault="00724212" w:rsidP="00724212">
            <w:pPr>
              <w:contextualSpacing/>
              <w:jc w:val="both"/>
              <w:rPr>
                <w:rFonts w:ascii="Times New Roman" w:hAnsi="Times New Roman" w:cs="Times New Roman"/>
                <w:sz w:val="20"/>
                <w:szCs w:val="20"/>
              </w:rPr>
            </w:pPr>
            <w:r w:rsidRPr="00FC59B5">
              <w:rPr>
                <w:rFonts w:ascii="Times New Roman" w:hAnsi="Times New Roman" w:cs="Times New Roman"/>
                <w:sz w:val="20"/>
                <w:szCs w:val="20"/>
              </w:rPr>
              <w:t xml:space="preserve">Van der Walt and </w:t>
            </w:r>
            <w:proofErr w:type="spellStart"/>
            <w:r w:rsidRPr="00FC59B5">
              <w:rPr>
                <w:rFonts w:ascii="Times New Roman" w:hAnsi="Times New Roman" w:cs="Times New Roman"/>
                <w:sz w:val="20"/>
                <w:szCs w:val="20"/>
              </w:rPr>
              <w:t>Ingley</w:t>
            </w:r>
            <w:proofErr w:type="spellEnd"/>
            <w:r w:rsidRPr="00FC59B5">
              <w:rPr>
                <w:rFonts w:ascii="Times New Roman" w:hAnsi="Times New Roman" w:cs="Times New Roman"/>
                <w:sz w:val="20"/>
                <w:szCs w:val="20"/>
              </w:rPr>
              <w:t xml:space="preserve">, 2003; Adams and Ferreira 2009; Srinidhi et al., 2011; </w:t>
            </w:r>
            <w:proofErr w:type="spellStart"/>
            <w:r w:rsidRPr="00FC59B5">
              <w:rPr>
                <w:rFonts w:ascii="Times New Roman" w:hAnsi="Times New Roman" w:cs="Times New Roman"/>
                <w:sz w:val="20"/>
                <w:szCs w:val="20"/>
              </w:rPr>
              <w:t>Ntim</w:t>
            </w:r>
            <w:proofErr w:type="spellEnd"/>
            <w:r w:rsidRPr="00FC59B5">
              <w:rPr>
                <w:rFonts w:ascii="Times New Roman" w:hAnsi="Times New Roman" w:cs="Times New Roman"/>
                <w:sz w:val="20"/>
                <w:szCs w:val="20"/>
              </w:rPr>
              <w:t xml:space="preserve"> et al., 2013; </w:t>
            </w:r>
            <w:proofErr w:type="spellStart"/>
            <w:r w:rsidRPr="00FC59B5">
              <w:rPr>
                <w:rFonts w:ascii="Times New Roman" w:hAnsi="Times New Roman" w:cs="Times New Roman"/>
                <w:sz w:val="20"/>
                <w:szCs w:val="20"/>
              </w:rPr>
              <w:t>Allini</w:t>
            </w:r>
            <w:proofErr w:type="spellEnd"/>
            <w:r w:rsidRPr="00FC59B5">
              <w:rPr>
                <w:rFonts w:ascii="Times New Roman" w:hAnsi="Times New Roman" w:cs="Times New Roman"/>
                <w:sz w:val="20"/>
                <w:szCs w:val="20"/>
              </w:rPr>
              <w:t xml:space="preserve"> et al., 2016; </w:t>
            </w:r>
            <w:proofErr w:type="spellStart"/>
            <w:r w:rsidRPr="00FC59B5">
              <w:rPr>
                <w:rFonts w:ascii="Times New Roman" w:hAnsi="Times New Roman" w:cs="Times New Roman"/>
                <w:sz w:val="20"/>
                <w:szCs w:val="20"/>
              </w:rPr>
              <w:t>Martikainen</w:t>
            </w:r>
            <w:proofErr w:type="spellEnd"/>
            <w:r w:rsidRPr="00FC59B5">
              <w:rPr>
                <w:rFonts w:ascii="Times New Roman" w:hAnsi="Times New Roman" w:cs="Times New Roman"/>
                <w:sz w:val="20"/>
                <w:szCs w:val="20"/>
              </w:rPr>
              <w:t xml:space="preserve"> et al, 2019;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et al., 2020; González et al., 2020</w:t>
            </w:r>
          </w:p>
        </w:tc>
        <w:tc>
          <w:tcPr>
            <w:tcW w:w="1740" w:type="dxa"/>
          </w:tcPr>
          <w:p w14:paraId="046C57EF"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Female Directors / Board Size</w:t>
            </w:r>
          </w:p>
        </w:tc>
        <w:tc>
          <w:tcPr>
            <w:tcW w:w="1488" w:type="dxa"/>
          </w:tcPr>
          <w:p w14:paraId="4B762D03"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 xml:space="preserve">Adams and Ferreira, 2009; </w:t>
            </w:r>
            <w:proofErr w:type="spellStart"/>
            <w:r w:rsidRPr="00FC59B5">
              <w:rPr>
                <w:rFonts w:ascii="Times New Roman" w:hAnsi="Times New Roman" w:cs="Times New Roman"/>
                <w:sz w:val="20"/>
                <w:szCs w:val="20"/>
              </w:rPr>
              <w:t>Giannarakis</w:t>
            </w:r>
            <w:proofErr w:type="spellEnd"/>
            <w:r w:rsidRPr="00FC59B5">
              <w:rPr>
                <w:rFonts w:ascii="Times New Roman" w:hAnsi="Times New Roman" w:cs="Times New Roman"/>
                <w:sz w:val="20"/>
                <w:szCs w:val="20"/>
              </w:rPr>
              <w:t xml:space="preserve"> et al., 2014; and Husted and Sousa-Filho, 2018;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et al., 2020</w:t>
            </w:r>
          </w:p>
        </w:tc>
      </w:tr>
      <w:tr w:rsidR="00724212" w:rsidRPr="00FC59B5" w14:paraId="254A6EDB" w14:textId="77777777" w:rsidTr="007327AF">
        <w:tc>
          <w:tcPr>
            <w:tcW w:w="1034" w:type="dxa"/>
          </w:tcPr>
          <w:p w14:paraId="7A77AB52"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AUDCOM_SZ</w:t>
            </w:r>
          </w:p>
        </w:tc>
        <w:tc>
          <w:tcPr>
            <w:tcW w:w="1174" w:type="dxa"/>
          </w:tcPr>
          <w:p w14:paraId="5BF45535"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Audit Committee Size</w:t>
            </w:r>
          </w:p>
        </w:tc>
        <w:tc>
          <w:tcPr>
            <w:tcW w:w="2092" w:type="dxa"/>
          </w:tcPr>
          <w:p w14:paraId="4775CC29" w14:textId="77777777" w:rsidR="00724212" w:rsidRPr="00FC59B5" w:rsidRDefault="00724212" w:rsidP="00724212">
            <w:pPr>
              <w:contextualSpacing/>
              <w:jc w:val="both"/>
              <w:rPr>
                <w:rFonts w:ascii="Times New Roman" w:hAnsi="Times New Roman" w:cs="Times New Roman"/>
                <w:sz w:val="20"/>
                <w:szCs w:val="20"/>
              </w:rPr>
            </w:pPr>
            <w:r w:rsidRPr="00FC59B5">
              <w:rPr>
                <w:rFonts w:ascii="Times New Roman" w:hAnsi="Times New Roman" w:cs="Times New Roman"/>
                <w:sz w:val="20"/>
                <w:szCs w:val="20"/>
              </w:rPr>
              <w:t xml:space="preserve">Barako et al., 2006; </w:t>
            </w:r>
            <w:proofErr w:type="spellStart"/>
            <w:r w:rsidRPr="00FC59B5">
              <w:rPr>
                <w:rFonts w:ascii="Times New Roman" w:hAnsi="Times New Roman" w:cs="Times New Roman"/>
                <w:sz w:val="20"/>
                <w:szCs w:val="20"/>
              </w:rPr>
              <w:t>Allegrini</w:t>
            </w:r>
            <w:proofErr w:type="spellEnd"/>
            <w:r w:rsidRPr="00FC59B5">
              <w:rPr>
                <w:rFonts w:ascii="Times New Roman" w:hAnsi="Times New Roman" w:cs="Times New Roman"/>
                <w:sz w:val="20"/>
                <w:szCs w:val="20"/>
              </w:rPr>
              <w:t xml:space="preserve"> &amp; Greco, 2011; Li et al., 2012;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2015; Haj Salem et al., 2019</w:t>
            </w:r>
          </w:p>
        </w:tc>
        <w:tc>
          <w:tcPr>
            <w:tcW w:w="1740" w:type="dxa"/>
          </w:tcPr>
          <w:p w14:paraId="0D262F0B"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No of Directors on the Audit Committee</w:t>
            </w:r>
          </w:p>
        </w:tc>
        <w:tc>
          <w:tcPr>
            <w:tcW w:w="1488" w:type="dxa"/>
          </w:tcPr>
          <w:p w14:paraId="0CE76CED"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Li et al., 2012; Haj Salem et al., 2019</w:t>
            </w:r>
          </w:p>
        </w:tc>
      </w:tr>
      <w:tr w:rsidR="00724212" w:rsidRPr="00FC59B5" w14:paraId="334377DF" w14:textId="77777777" w:rsidTr="007327AF">
        <w:tc>
          <w:tcPr>
            <w:tcW w:w="1034" w:type="dxa"/>
          </w:tcPr>
          <w:p w14:paraId="338B8839"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ESG</w:t>
            </w:r>
          </w:p>
        </w:tc>
        <w:tc>
          <w:tcPr>
            <w:tcW w:w="1174" w:type="dxa"/>
          </w:tcPr>
          <w:p w14:paraId="0AF5C32F"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ESG Disclosure</w:t>
            </w:r>
          </w:p>
        </w:tc>
        <w:tc>
          <w:tcPr>
            <w:tcW w:w="2092" w:type="dxa"/>
          </w:tcPr>
          <w:p w14:paraId="114D98B3" w14:textId="77777777" w:rsidR="00724212" w:rsidRPr="00FC59B5" w:rsidRDefault="00724212" w:rsidP="00724212">
            <w:pPr>
              <w:contextualSpacing/>
              <w:jc w:val="both"/>
              <w:rPr>
                <w:rFonts w:ascii="Times New Roman" w:hAnsi="Times New Roman" w:cs="Times New Roman"/>
                <w:sz w:val="20"/>
                <w:szCs w:val="20"/>
              </w:rPr>
            </w:pPr>
            <w:r w:rsidRPr="00FC59B5">
              <w:rPr>
                <w:rFonts w:ascii="Times New Roman" w:hAnsi="Times New Roman" w:cs="Times New Roman"/>
                <w:sz w:val="20"/>
                <w:szCs w:val="20"/>
              </w:rPr>
              <w:t xml:space="preserve">Yoon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 Brooks and </w:t>
            </w:r>
            <w:proofErr w:type="spellStart"/>
            <w:r w:rsidRPr="00FC59B5">
              <w:rPr>
                <w:rFonts w:ascii="Times New Roman" w:hAnsi="Times New Roman" w:cs="Times New Roman"/>
                <w:sz w:val="20"/>
                <w:szCs w:val="20"/>
              </w:rPr>
              <w:t>Oikonomou</w:t>
            </w:r>
            <w:proofErr w:type="spellEnd"/>
            <w:r w:rsidRPr="00FC59B5">
              <w:rPr>
                <w:rFonts w:ascii="Times New Roman" w:hAnsi="Times New Roman" w:cs="Times New Roman"/>
                <w:sz w:val="20"/>
                <w:szCs w:val="20"/>
              </w:rPr>
              <w:t xml:space="preserve">, 2018;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et al, 2020</w:t>
            </w:r>
          </w:p>
        </w:tc>
        <w:tc>
          <w:tcPr>
            <w:tcW w:w="1740" w:type="dxa"/>
          </w:tcPr>
          <w:p w14:paraId="68E7CE76"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 xml:space="preserve">ESG Disclosure score provided by Bloomberg is based on the available information in the annual reports, corporate social responsibility reports, and firms’ websites. Further, this score ranges from 0.1 for firms that disclose a minimum amount of ESG data to 100 for those that disclose every data point </w:t>
            </w:r>
            <w:r w:rsidRPr="00FC59B5">
              <w:rPr>
                <w:rFonts w:ascii="Times New Roman" w:hAnsi="Times New Roman" w:cs="Times New Roman"/>
                <w:sz w:val="20"/>
                <w:szCs w:val="20"/>
              </w:rPr>
              <w:lastRenderedPageBreak/>
              <w:t>collected by Bloomberg</w:t>
            </w:r>
          </w:p>
        </w:tc>
        <w:tc>
          <w:tcPr>
            <w:tcW w:w="1488" w:type="dxa"/>
          </w:tcPr>
          <w:p w14:paraId="1FE870FE"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lastRenderedPageBreak/>
              <w:t>Nollet</w:t>
            </w:r>
            <w:proofErr w:type="spellEnd"/>
            <w:r w:rsidRPr="00FC59B5">
              <w:rPr>
                <w:rFonts w:ascii="Times New Roman" w:hAnsi="Times New Roman" w:cs="Times New Roman"/>
                <w:sz w:val="20"/>
                <w:szCs w:val="20"/>
              </w:rPr>
              <w:t xml:space="preserve"> et al., 2016 and Manita et al., 2018; </w:t>
            </w:r>
            <w:proofErr w:type="spellStart"/>
            <w:r w:rsidRPr="00FC59B5">
              <w:rPr>
                <w:rFonts w:ascii="Times New Roman" w:hAnsi="Times New Roman" w:cs="Times New Roman"/>
                <w:sz w:val="20"/>
                <w:szCs w:val="20"/>
              </w:rPr>
              <w:t>Albitar</w:t>
            </w:r>
            <w:proofErr w:type="spellEnd"/>
            <w:r w:rsidRPr="00FC59B5">
              <w:rPr>
                <w:rFonts w:ascii="Times New Roman" w:hAnsi="Times New Roman" w:cs="Times New Roman"/>
                <w:sz w:val="20"/>
                <w:szCs w:val="20"/>
              </w:rPr>
              <w:t xml:space="preserve"> et al., 2020</w:t>
            </w:r>
          </w:p>
        </w:tc>
      </w:tr>
      <w:tr w:rsidR="00724212" w:rsidRPr="00FC59B5" w14:paraId="0FAA9E7E" w14:textId="77777777" w:rsidTr="007327AF">
        <w:tc>
          <w:tcPr>
            <w:tcW w:w="1034" w:type="dxa"/>
          </w:tcPr>
          <w:p w14:paraId="3E5A774F"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LN_TRNOVR</w:t>
            </w:r>
          </w:p>
        </w:tc>
        <w:tc>
          <w:tcPr>
            <w:tcW w:w="1174" w:type="dxa"/>
          </w:tcPr>
          <w:p w14:paraId="2F9FEE9D"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Firm Size</w:t>
            </w:r>
          </w:p>
        </w:tc>
        <w:tc>
          <w:tcPr>
            <w:tcW w:w="2092" w:type="dxa"/>
          </w:tcPr>
          <w:p w14:paraId="2591B981"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Bernardi</w:t>
            </w:r>
            <w:proofErr w:type="spellEnd"/>
            <w:r w:rsidRPr="00FC59B5">
              <w:rPr>
                <w:rFonts w:ascii="Times New Roman" w:hAnsi="Times New Roman" w:cs="Times New Roman"/>
                <w:sz w:val="20"/>
                <w:szCs w:val="20"/>
              </w:rPr>
              <w:t xml:space="preserve"> and Stark, 2018; </w:t>
            </w:r>
            <w:proofErr w:type="spellStart"/>
            <w:r w:rsidRPr="00FC59B5">
              <w:rPr>
                <w:rFonts w:ascii="Times New Roman" w:hAnsi="Times New Roman" w:cs="Times New Roman"/>
                <w:sz w:val="20"/>
                <w:szCs w:val="20"/>
              </w:rPr>
              <w:t>Aouadi</w:t>
            </w:r>
            <w:proofErr w:type="spellEnd"/>
            <w:r w:rsidRPr="00FC59B5">
              <w:rPr>
                <w:rFonts w:ascii="Times New Roman" w:hAnsi="Times New Roman" w:cs="Times New Roman"/>
                <w:sz w:val="20"/>
                <w:szCs w:val="20"/>
              </w:rPr>
              <w:t xml:space="preserve"> and </w:t>
            </w:r>
            <w:proofErr w:type="spellStart"/>
            <w:r w:rsidRPr="00FC59B5">
              <w:rPr>
                <w:rFonts w:ascii="Times New Roman" w:hAnsi="Times New Roman" w:cs="Times New Roman"/>
                <w:sz w:val="20"/>
                <w:szCs w:val="20"/>
              </w:rPr>
              <w:t>Marsat</w:t>
            </w:r>
            <w:proofErr w:type="spellEnd"/>
            <w:r w:rsidRPr="00FC59B5">
              <w:rPr>
                <w:rFonts w:ascii="Times New Roman" w:hAnsi="Times New Roman" w:cs="Times New Roman"/>
                <w:sz w:val="20"/>
                <w:szCs w:val="20"/>
              </w:rPr>
              <w:t xml:space="preserve">, 2018; Kao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w:t>
            </w:r>
          </w:p>
        </w:tc>
        <w:tc>
          <w:tcPr>
            <w:tcW w:w="1740" w:type="dxa"/>
          </w:tcPr>
          <w:p w14:paraId="628653BE"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Natural Logarithm of Sales Revenue (Turnover)</w:t>
            </w:r>
          </w:p>
        </w:tc>
        <w:tc>
          <w:tcPr>
            <w:tcW w:w="1488" w:type="dxa"/>
          </w:tcPr>
          <w:p w14:paraId="56477D9C"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Bernardi</w:t>
            </w:r>
            <w:proofErr w:type="spellEnd"/>
            <w:r w:rsidRPr="00FC59B5">
              <w:rPr>
                <w:rFonts w:ascii="Times New Roman" w:hAnsi="Times New Roman" w:cs="Times New Roman"/>
                <w:sz w:val="20"/>
                <w:szCs w:val="20"/>
              </w:rPr>
              <w:t xml:space="preserve"> and Stark, 2018; </w:t>
            </w:r>
            <w:proofErr w:type="spellStart"/>
            <w:r w:rsidRPr="00FC59B5">
              <w:rPr>
                <w:rFonts w:ascii="Times New Roman" w:hAnsi="Times New Roman" w:cs="Times New Roman"/>
                <w:sz w:val="20"/>
                <w:szCs w:val="20"/>
              </w:rPr>
              <w:t>Aouadi</w:t>
            </w:r>
            <w:proofErr w:type="spellEnd"/>
            <w:r w:rsidRPr="00FC59B5">
              <w:rPr>
                <w:rFonts w:ascii="Times New Roman" w:hAnsi="Times New Roman" w:cs="Times New Roman"/>
                <w:sz w:val="20"/>
                <w:szCs w:val="20"/>
              </w:rPr>
              <w:t xml:space="preserve"> and </w:t>
            </w:r>
            <w:proofErr w:type="spellStart"/>
            <w:r w:rsidRPr="00FC59B5">
              <w:rPr>
                <w:rFonts w:ascii="Times New Roman" w:hAnsi="Times New Roman" w:cs="Times New Roman"/>
                <w:sz w:val="20"/>
                <w:szCs w:val="20"/>
              </w:rPr>
              <w:t>Marsat</w:t>
            </w:r>
            <w:proofErr w:type="spellEnd"/>
            <w:r w:rsidRPr="00FC59B5">
              <w:rPr>
                <w:rFonts w:ascii="Times New Roman" w:hAnsi="Times New Roman" w:cs="Times New Roman"/>
                <w:sz w:val="20"/>
                <w:szCs w:val="20"/>
              </w:rPr>
              <w:t xml:space="preserve">, 2018; Kao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w:t>
            </w:r>
          </w:p>
        </w:tc>
      </w:tr>
      <w:tr w:rsidR="00724212" w:rsidRPr="00FC59B5" w14:paraId="78F83413" w14:textId="77777777" w:rsidTr="007327AF">
        <w:tc>
          <w:tcPr>
            <w:tcW w:w="1034" w:type="dxa"/>
          </w:tcPr>
          <w:p w14:paraId="1F8F12EE" w14:textId="77777777" w:rsidR="00724212" w:rsidRPr="00FC59B5" w:rsidRDefault="00724212" w:rsidP="00724212">
            <w:pPr>
              <w:jc w:val="both"/>
              <w:rPr>
                <w:rFonts w:ascii="Times New Roman" w:hAnsi="Times New Roman" w:cs="Times New Roman"/>
                <w:sz w:val="20"/>
                <w:szCs w:val="20"/>
              </w:rPr>
            </w:pPr>
            <w:r w:rsidRPr="00FC59B5">
              <w:rPr>
                <w:rFonts w:ascii="Times New Roman" w:eastAsia="Times New Roman" w:hAnsi="Times New Roman" w:cs="Times New Roman"/>
                <w:color w:val="000000" w:themeColor="text1"/>
                <w:sz w:val="20"/>
                <w:szCs w:val="20"/>
                <w:lang w:eastAsia="en-GB"/>
              </w:rPr>
              <w:t>FNCL_LVRG</w:t>
            </w:r>
          </w:p>
        </w:tc>
        <w:tc>
          <w:tcPr>
            <w:tcW w:w="1174" w:type="dxa"/>
          </w:tcPr>
          <w:p w14:paraId="4ED5EF0E"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Financial Leverage</w:t>
            </w:r>
          </w:p>
        </w:tc>
        <w:tc>
          <w:tcPr>
            <w:tcW w:w="2092" w:type="dxa"/>
          </w:tcPr>
          <w:p w14:paraId="0040C794"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Bernardi</w:t>
            </w:r>
            <w:proofErr w:type="spellEnd"/>
            <w:r w:rsidRPr="00FC59B5">
              <w:rPr>
                <w:rFonts w:ascii="Times New Roman" w:hAnsi="Times New Roman" w:cs="Times New Roman"/>
                <w:sz w:val="20"/>
                <w:szCs w:val="20"/>
              </w:rPr>
              <w:t xml:space="preserve"> and Stark, 2018; </w:t>
            </w:r>
            <w:proofErr w:type="spellStart"/>
            <w:r w:rsidRPr="00FC59B5">
              <w:rPr>
                <w:rFonts w:ascii="Times New Roman" w:hAnsi="Times New Roman" w:cs="Times New Roman"/>
                <w:sz w:val="20"/>
                <w:szCs w:val="20"/>
              </w:rPr>
              <w:t>Aouadi</w:t>
            </w:r>
            <w:proofErr w:type="spellEnd"/>
            <w:r w:rsidRPr="00FC59B5">
              <w:rPr>
                <w:rFonts w:ascii="Times New Roman" w:hAnsi="Times New Roman" w:cs="Times New Roman"/>
                <w:sz w:val="20"/>
                <w:szCs w:val="20"/>
              </w:rPr>
              <w:t xml:space="preserve"> and </w:t>
            </w:r>
            <w:proofErr w:type="spellStart"/>
            <w:r w:rsidRPr="00FC59B5">
              <w:rPr>
                <w:rFonts w:ascii="Times New Roman" w:hAnsi="Times New Roman" w:cs="Times New Roman"/>
                <w:sz w:val="20"/>
                <w:szCs w:val="20"/>
              </w:rPr>
              <w:t>Marsat</w:t>
            </w:r>
            <w:proofErr w:type="spellEnd"/>
            <w:r w:rsidRPr="00FC59B5">
              <w:rPr>
                <w:rFonts w:ascii="Times New Roman" w:hAnsi="Times New Roman" w:cs="Times New Roman"/>
                <w:sz w:val="20"/>
                <w:szCs w:val="20"/>
              </w:rPr>
              <w:t xml:space="preserve">, 2018; Kao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w:t>
            </w:r>
          </w:p>
        </w:tc>
        <w:tc>
          <w:tcPr>
            <w:tcW w:w="1740" w:type="dxa"/>
          </w:tcPr>
          <w:p w14:paraId="503523EC"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Total Debt / Total Equity</w:t>
            </w:r>
          </w:p>
        </w:tc>
        <w:tc>
          <w:tcPr>
            <w:tcW w:w="1488" w:type="dxa"/>
          </w:tcPr>
          <w:p w14:paraId="21B0068E"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Bernardi</w:t>
            </w:r>
            <w:proofErr w:type="spellEnd"/>
            <w:r w:rsidRPr="00FC59B5">
              <w:rPr>
                <w:rFonts w:ascii="Times New Roman" w:hAnsi="Times New Roman" w:cs="Times New Roman"/>
                <w:sz w:val="20"/>
                <w:szCs w:val="20"/>
              </w:rPr>
              <w:t xml:space="preserve"> and Stark, 2018; </w:t>
            </w:r>
            <w:proofErr w:type="spellStart"/>
            <w:r w:rsidRPr="00FC59B5">
              <w:rPr>
                <w:rFonts w:ascii="Times New Roman" w:hAnsi="Times New Roman" w:cs="Times New Roman"/>
                <w:sz w:val="20"/>
                <w:szCs w:val="20"/>
              </w:rPr>
              <w:t>Aouadi</w:t>
            </w:r>
            <w:proofErr w:type="spellEnd"/>
            <w:r w:rsidRPr="00FC59B5">
              <w:rPr>
                <w:rFonts w:ascii="Times New Roman" w:hAnsi="Times New Roman" w:cs="Times New Roman"/>
                <w:sz w:val="20"/>
                <w:szCs w:val="20"/>
              </w:rPr>
              <w:t xml:space="preserve"> and </w:t>
            </w:r>
            <w:proofErr w:type="spellStart"/>
            <w:r w:rsidRPr="00FC59B5">
              <w:rPr>
                <w:rFonts w:ascii="Times New Roman" w:hAnsi="Times New Roman" w:cs="Times New Roman"/>
                <w:sz w:val="20"/>
                <w:szCs w:val="20"/>
              </w:rPr>
              <w:t>Marsat</w:t>
            </w:r>
            <w:proofErr w:type="spellEnd"/>
            <w:r w:rsidRPr="00FC59B5">
              <w:rPr>
                <w:rFonts w:ascii="Times New Roman" w:hAnsi="Times New Roman" w:cs="Times New Roman"/>
                <w:sz w:val="20"/>
                <w:szCs w:val="20"/>
              </w:rPr>
              <w:t xml:space="preserve">, 2018; Kao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w:t>
            </w:r>
          </w:p>
        </w:tc>
      </w:tr>
      <w:tr w:rsidR="00724212" w:rsidRPr="00FC59B5" w14:paraId="664738E1" w14:textId="77777777" w:rsidTr="007327AF">
        <w:tc>
          <w:tcPr>
            <w:tcW w:w="1034" w:type="dxa"/>
          </w:tcPr>
          <w:p w14:paraId="64F2A979"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ROA</w:t>
            </w:r>
          </w:p>
        </w:tc>
        <w:tc>
          <w:tcPr>
            <w:tcW w:w="1174" w:type="dxa"/>
          </w:tcPr>
          <w:p w14:paraId="4C5C6870"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Return on Assets</w:t>
            </w:r>
          </w:p>
        </w:tc>
        <w:tc>
          <w:tcPr>
            <w:tcW w:w="2092" w:type="dxa"/>
          </w:tcPr>
          <w:p w14:paraId="101F7698"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Bernardi</w:t>
            </w:r>
            <w:proofErr w:type="spellEnd"/>
            <w:r w:rsidRPr="00FC59B5">
              <w:rPr>
                <w:rFonts w:ascii="Times New Roman" w:hAnsi="Times New Roman" w:cs="Times New Roman"/>
                <w:sz w:val="20"/>
                <w:szCs w:val="20"/>
              </w:rPr>
              <w:t xml:space="preserve"> and Stark, 2018; </w:t>
            </w:r>
            <w:proofErr w:type="spellStart"/>
            <w:r w:rsidRPr="00FC59B5">
              <w:rPr>
                <w:rFonts w:ascii="Times New Roman" w:hAnsi="Times New Roman" w:cs="Times New Roman"/>
                <w:sz w:val="20"/>
                <w:szCs w:val="20"/>
              </w:rPr>
              <w:t>Aouadi</w:t>
            </w:r>
            <w:proofErr w:type="spellEnd"/>
            <w:r w:rsidRPr="00FC59B5">
              <w:rPr>
                <w:rFonts w:ascii="Times New Roman" w:hAnsi="Times New Roman" w:cs="Times New Roman"/>
                <w:sz w:val="20"/>
                <w:szCs w:val="20"/>
              </w:rPr>
              <w:t xml:space="preserve"> and </w:t>
            </w:r>
            <w:proofErr w:type="spellStart"/>
            <w:r w:rsidRPr="00FC59B5">
              <w:rPr>
                <w:rFonts w:ascii="Times New Roman" w:hAnsi="Times New Roman" w:cs="Times New Roman"/>
                <w:sz w:val="20"/>
                <w:szCs w:val="20"/>
              </w:rPr>
              <w:t>Marsat</w:t>
            </w:r>
            <w:proofErr w:type="spellEnd"/>
            <w:r w:rsidRPr="00FC59B5">
              <w:rPr>
                <w:rFonts w:ascii="Times New Roman" w:hAnsi="Times New Roman" w:cs="Times New Roman"/>
                <w:sz w:val="20"/>
                <w:szCs w:val="20"/>
              </w:rPr>
              <w:t xml:space="preserve">, 2018; Kao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w:t>
            </w:r>
          </w:p>
        </w:tc>
        <w:tc>
          <w:tcPr>
            <w:tcW w:w="1740" w:type="dxa"/>
          </w:tcPr>
          <w:p w14:paraId="221559E5" w14:textId="77777777" w:rsidR="00724212" w:rsidRPr="00FC59B5" w:rsidRDefault="00724212" w:rsidP="00724212">
            <w:pPr>
              <w:jc w:val="both"/>
              <w:rPr>
                <w:rFonts w:ascii="Times New Roman" w:hAnsi="Times New Roman" w:cs="Times New Roman"/>
                <w:sz w:val="20"/>
                <w:szCs w:val="20"/>
              </w:rPr>
            </w:pPr>
            <w:r w:rsidRPr="00FC59B5">
              <w:rPr>
                <w:rFonts w:ascii="Times New Roman" w:hAnsi="Times New Roman" w:cs="Times New Roman"/>
                <w:sz w:val="20"/>
                <w:szCs w:val="20"/>
              </w:rPr>
              <w:t>Net Income / Total Assets</w:t>
            </w:r>
          </w:p>
        </w:tc>
        <w:tc>
          <w:tcPr>
            <w:tcW w:w="1488" w:type="dxa"/>
          </w:tcPr>
          <w:p w14:paraId="28267445" w14:textId="77777777" w:rsidR="00724212" w:rsidRPr="00FC59B5" w:rsidRDefault="00724212" w:rsidP="00724212">
            <w:pPr>
              <w:jc w:val="both"/>
              <w:rPr>
                <w:rFonts w:ascii="Times New Roman" w:hAnsi="Times New Roman" w:cs="Times New Roman"/>
                <w:sz w:val="20"/>
                <w:szCs w:val="20"/>
              </w:rPr>
            </w:pPr>
            <w:proofErr w:type="spellStart"/>
            <w:r w:rsidRPr="00FC59B5">
              <w:rPr>
                <w:rFonts w:ascii="Times New Roman" w:hAnsi="Times New Roman" w:cs="Times New Roman"/>
                <w:sz w:val="20"/>
                <w:szCs w:val="20"/>
              </w:rPr>
              <w:t>Bernardi</w:t>
            </w:r>
            <w:proofErr w:type="spellEnd"/>
            <w:r w:rsidRPr="00FC59B5">
              <w:rPr>
                <w:rFonts w:ascii="Times New Roman" w:hAnsi="Times New Roman" w:cs="Times New Roman"/>
                <w:sz w:val="20"/>
                <w:szCs w:val="20"/>
              </w:rPr>
              <w:t xml:space="preserve"> and Stark, 2018; </w:t>
            </w:r>
            <w:proofErr w:type="spellStart"/>
            <w:r w:rsidRPr="00FC59B5">
              <w:rPr>
                <w:rFonts w:ascii="Times New Roman" w:hAnsi="Times New Roman" w:cs="Times New Roman"/>
                <w:sz w:val="20"/>
                <w:szCs w:val="20"/>
              </w:rPr>
              <w:t>Aouadi</w:t>
            </w:r>
            <w:proofErr w:type="spellEnd"/>
            <w:r w:rsidRPr="00FC59B5">
              <w:rPr>
                <w:rFonts w:ascii="Times New Roman" w:hAnsi="Times New Roman" w:cs="Times New Roman"/>
                <w:sz w:val="20"/>
                <w:szCs w:val="20"/>
              </w:rPr>
              <w:t xml:space="preserve"> and </w:t>
            </w:r>
            <w:proofErr w:type="spellStart"/>
            <w:r w:rsidRPr="00FC59B5">
              <w:rPr>
                <w:rFonts w:ascii="Times New Roman" w:hAnsi="Times New Roman" w:cs="Times New Roman"/>
                <w:sz w:val="20"/>
                <w:szCs w:val="20"/>
              </w:rPr>
              <w:t>Marsat</w:t>
            </w:r>
            <w:proofErr w:type="spellEnd"/>
            <w:r w:rsidRPr="00FC59B5">
              <w:rPr>
                <w:rFonts w:ascii="Times New Roman" w:hAnsi="Times New Roman" w:cs="Times New Roman"/>
                <w:sz w:val="20"/>
                <w:szCs w:val="20"/>
              </w:rPr>
              <w:t xml:space="preserve">, 2018; Kao et al., 2018; </w:t>
            </w:r>
            <w:proofErr w:type="spellStart"/>
            <w:r w:rsidRPr="00FC59B5">
              <w:rPr>
                <w:rFonts w:ascii="Times New Roman" w:hAnsi="Times New Roman" w:cs="Times New Roman"/>
                <w:sz w:val="20"/>
                <w:szCs w:val="20"/>
              </w:rPr>
              <w:t>Aboud</w:t>
            </w:r>
            <w:proofErr w:type="spellEnd"/>
            <w:r w:rsidRPr="00FC59B5">
              <w:rPr>
                <w:rFonts w:ascii="Times New Roman" w:hAnsi="Times New Roman" w:cs="Times New Roman"/>
                <w:sz w:val="20"/>
                <w:szCs w:val="20"/>
              </w:rPr>
              <w:t xml:space="preserve"> and Diab, 2018</w:t>
            </w:r>
          </w:p>
        </w:tc>
      </w:tr>
    </w:tbl>
    <w:p w14:paraId="13BECBED" w14:textId="77777777" w:rsidR="00724212" w:rsidRPr="00FC59B5" w:rsidRDefault="00724212" w:rsidP="00724212"/>
    <w:p w14:paraId="19A1F84D" w14:textId="77777777" w:rsidR="00724212" w:rsidRPr="00FC59B5" w:rsidRDefault="00724212" w:rsidP="00724212"/>
    <w:p w14:paraId="75BF5419" w14:textId="05F0F5B7" w:rsidR="00724212" w:rsidRPr="00FC59B5" w:rsidRDefault="00724212" w:rsidP="00724212">
      <w:pPr>
        <w:jc w:val="both"/>
        <w:rPr>
          <w:rFonts w:ascii="Times New Roman" w:hAnsi="Times New Roman" w:cs="Times New Roman"/>
          <w:color w:val="000000" w:themeColor="text1"/>
          <w:sz w:val="28"/>
          <w:szCs w:val="28"/>
        </w:rPr>
      </w:pPr>
      <w:r w:rsidRPr="00FC59B5">
        <w:rPr>
          <w:rFonts w:ascii="Times New Roman" w:hAnsi="Times New Roman"/>
          <w:color w:val="000000" w:themeColor="text1"/>
          <w:sz w:val="24"/>
        </w:rPr>
        <w:t xml:space="preserve">Table </w:t>
      </w:r>
      <w:r w:rsidRPr="00FC59B5">
        <w:rPr>
          <w:rFonts w:ascii="Times New Roman" w:hAnsi="Times New Roman"/>
          <w:sz w:val="24"/>
        </w:rPr>
        <w:t xml:space="preserve">2. </w:t>
      </w:r>
      <w:r w:rsidRPr="00FC59B5">
        <w:rPr>
          <w:rFonts w:ascii="Times New Roman" w:hAnsi="Times New Roman"/>
          <w:color w:val="000000" w:themeColor="text1"/>
          <w:sz w:val="24"/>
        </w:rPr>
        <w:t xml:space="preserve">Descriptive </w:t>
      </w:r>
      <w:r w:rsidR="002D154D" w:rsidRPr="00FC59B5">
        <w:rPr>
          <w:rFonts w:ascii="Times New Roman" w:hAnsi="Times New Roman"/>
          <w:color w:val="000000" w:themeColor="text1"/>
          <w:sz w:val="24"/>
        </w:rPr>
        <w:t>S</w:t>
      </w:r>
      <w:r w:rsidRPr="00FC59B5">
        <w:rPr>
          <w:rFonts w:ascii="Times New Roman" w:hAnsi="Times New Roman"/>
          <w:color w:val="000000" w:themeColor="text1"/>
          <w:sz w:val="24"/>
        </w:rPr>
        <w:t>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022"/>
        <w:gridCol w:w="1040"/>
        <w:gridCol w:w="837"/>
        <w:gridCol w:w="815"/>
        <w:gridCol w:w="1019"/>
        <w:gridCol w:w="1039"/>
      </w:tblGrid>
      <w:tr w:rsidR="00724212" w:rsidRPr="00FC59B5" w14:paraId="56EB6164"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480A30C7" w14:textId="77777777" w:rsidR="00724212" w:rsidRPr="00FC59B5" w:rsidRDefault="00724212" w:rsidP="00724212">
            <w:pPr>
              <w:spacing w:after="0" w:line="240" w:lineRule="auto"/>
              <w:contextualSpacing/>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Variable</w:t>
            </w:r>
          </w:p>
        </w:tc>
        <w:tc>
          <w:tcPr>
            <w:tcW w:w="567" w:type="pct"/>
            <w:tcBorders>
              <w:top w:val="single" w:sz="4" w:space="0" w:color="auto"/>
              <w:left w:val="single" w:sz="4" w:space="0" w:color="auto"/>
              <w:bottom w:val="single" w:sz="4" w:space="0" w:color="auto"/>
              <w:right w:val="single" w:sz="4" w:space="0" w:color="auto"/>
            </w:tcBorders>
            <w:vAlign w:val="center"/>
            <w:hideMark/>
          </w:tcPr>
          <w:p w14:paraId="49FE1922" w14:textId="77777777" w:rsidR="00724212" w:rsidRPr="00FC59B5" w:rsidRDefault="00724212" w:rsidP="00724212">
            <w:pPr>
              <w:spacing w:after="0" w:line="240" w:lineRule="auto"/>
              <w:contextualSpacing/>
              <w:jc w:val="center"/>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N</w:t>
            </w:r>
          </w:p>
        </w:tc>
        <w:tc>
          <w:tcPr>
            <w:tcW w:w="577" w:type="pct"/>
            <w:tcBorders>
              <w:top w:val="single" w:sz="4" w:space="0" w:color="auto"/>
              <w:left w:val="single" w:sz="4" w:space="0" w:color="auto"/>
              <w:bottom w:val="single" w:sz="4" w:space="0" w:color="auto"/>
              <w:right w:val="single" w:sz="4" w:space="0" w:color="auto"/>
            </w:tcBorders>
            <w:vAlign w:val="center"/>
            <w:hideMark/>
          </w:tcPr>
          <w:p w14:paraId="34171B33" w14:textId="0F313A63" w:rsidR="00724212" w:rsidRPr="00FC59B5" w:rsidRDefault="00F657E6" w:rsidP="00724212">
            <w:pPr>
              <w:spacing w:after="0" w:line="240" w:lineRule="auto"/>
              <w:contextualSpacing/>
              <w:jc w:val="center"/>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M</w:t>
            </w:r>
            <w:r w:rsidR="00724212" w:rsidRPr="00FC59B5">
              <w:rPr>
                <w:rFonts w:ascii="Times New Roman" w:eastAsia="Times New Roman" w:hAnsi="Times New Roman" w:cs="Times New Roman"/>
                <w:b/>
                <w:bCs/>
                <w:color w:val="000000" w:themeColor="text1"/>
                <w:sz w:val="20"/>
                <w:szCs w:val="20"/>
                <w:lang w:eastAsia="en-GB"/>
              </w:rPr>
              <w:t>edian</w:t>
            </w:r>
          </w:p>
        </w:tc>
        <w:tc>
          <w:tcPr>
            <w:tcW w:w="464" w:type="pct"/>
            <w:tcBorders>
              <w:top w:val="single" w:sz="4" w:space="0" w:color="auto"/>
              <w:left w:val="single" w:sz="4" w:space="0" w:color="auto"/>
              <w:bottom w:val="single" w:sz="4" w:space="0" w:color="auto"/>
              <w:right w:val="single" w:sz="4" w:space="0" w:color="auto"/>
            </w:tcBorders>
            <w:vAlign w:val="center"/>
            <w:hideMark/>
          </w:tcPr>
          <w:p w14:paraId="757B31F1" w14:textId="15BC31ED" w:rsidR="00724212" w:rsidRPr="00FC59B5" w:rsidRDefault="00F657E6" w:rsidP="00724212">
            <w:pPr>
              <w:spacing w:after="0" w:line="240" w:lineRule="auto"/>
              <w:contextualSpacing/>
              <w:jc w:val="center"/>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M</w:t>
            </w:r>
            <w:r w:rsidR="00724212" w:rsidRPr="00FC59B5">
              <w:rPr>
                <w:rFonts w:ascii="Times New Roman" w:eastAsia="Times New Roman" w:hAnsi="Times New Roman" w:cs="Times New Roman"/>
                <w:b/>
                <w:bCs/>
                <w:color w:val="000000" w:themeColor="text1"/>
                <w:sz w:val="20"/>
                <w:szCs w:val="20"/>
                <w:lang w:eastAsia="en-GB"/>
              </w:rPr>
              <w:t>ean</w:t>
            </w:r>
          </w:p>
        </w:tc>
        <w:tc>
          <w:tcPr>
            <w:tcW w:w="452" w:type="pct"/>
            <w:tcBorders>
              <w:top w:val="single" w:sz="4" w:space="0" w:color="auto"/>
              <w:left w:val="single" w:sz="4" w:space="0" w:color="auto"/>
              <w:bottom w:val="single" w:sz="4" w:space="0" w:color="auto"/>
              <w:right w:val="single" w:sz="4" w:space="0" w:color="auto"/>
            </w:tcBorders>
            <w:vAlign w:val="center"/>
            <w:hideMark/>
          </w:tcPr>
          <w:p w14:paraId="1237D028" w14:textId="453D9223" w:rsidR="00724212" w:rsidRPr="00FC59B5" w:rsidRDefault="00F657E6" w:rsidP="00F657E6">
            <w:pPr>
              <w:spacing w:after="0" w:line="240" w:lineRule="auto"/>
              <w:contextualSpacing/>
              <w:jc w:val="center"/>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SD</w:t>
            </w:r>
          </w:p>
        </w:tc>
        <w:tc>
          <w:tcPr>
            <w:tcW w:w="565" w:type="pct"/>
            <w:tcBorders>
              <w:top w:val="single" w:sz="4" w:space="0" w:color="auto"/>
              <w:left w:val="single" w:sz="4" w:space="0" w:color="auto"/>
              <w:bottom w:val="single" w:sz="4" w:space="0" w:color="auto"/>
              <w:right w:val="single" w:sz="4" w:space="0" w:color="auto"/>
            </w:tcBorders>
            <w:vAlign w:val="center"/>
            <w:hideMark/>
          </w:tcPr>
          <w:p w14:paraId="02394DB3" w14:textId="5FA01C2E" w:rsidR="00724212" w:rsidRPr="00FC59B5" w:rsidRDefault="00F657E6" w:rsidP="00724212">
            <w:pPr>
              <w:spacing w:after="0" w:line="240" w:lineRule="auto"/>
              <w:contextualSpacing/>
              <w:jc w:val="center"/>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M</w:t>
            </w:r>
            <w:r w:rsidR="00724212" w:rsidRPr="00FC59B5">
              <w:rPr>
                <w:rFonts w:ascii="Times New Roman" w:eastAsia="Times New Roman" w:hAnsi="Times New Roman" w:cs="Times New Roman"/>
                <w:b/>
                <w:bCs/>
                <w:color w:val="000000" w:themeColor="text1"/>
                <w:sz w:val="20"/>
                <w:szCs w:val="20"/>
                <w:lang w:eastAsia="en-GB"/>
              </w:rPr>
              <w:t>in</w:t>
            </w:r>
          </w:p>
        </w:tc>
        <w:tc>
          <w:tcPr>
            <w:tcW w:w="576" w:type="pct"/>
            <w:tcBorders>
              <w:top w:val="single" w:sz="4" w:space="0" w:color="auto"/>
              <w:left w:val="single" w:sz="4" w:space="0" w:color="auto"/>
              <w:bottom w:val="single" w:sz="4" w:space="0" w:color="auto"/>
              <w:right w:val="single" w:sz="4" w:space="0" w:color="auto"/>
            </w:tcBorders>
            <w:vAlign w:val="center"/>
            <w:hideMark/>
          </w:tcPr>
          <w:p w14:paraId="6B668439" w14:textId="77777777" w:rsidR="00724212" w:rsidRPr="00FC59B5" w:rsidRDefault="00724212" w:rsidP="00724212">
            <w:pPr>
              <w:spacing w:after="0" w:line="240" w:lineRule="auto"/>
              <w:contextualSpacing/>
              <w:jc w:val="center"/>
              <w:rPr>
                <w:rFonts w:ascii="Times New Roman" w:eastAsia="Times New Roman" w:hAnsi="Times New Roman" w:cs="Times New Roman"/>
                <w:b/>
                <w:bCs/>
                <w:color w:val="000000" w:themeColor="text1"/>
                <w:sz w:val="20"/>
                <w:szCs w:val="20"/>
                <w:lang w:eastAsia="en-GB"/>
              </w:rPr>
            </w:pPr>
            <w:r w:rsidRPr="00FC59B5">
              <w:rPr>
                <w:rFonts w:ascii="Times New Roman" w:eastAsia="Times New Roman" w:hAnsi="Times New Roman" w:cs="Times New Roman"/>
                <w:b/>
                <w:bCs/>
                <w:color w:val="000000" w:themeColor="text1"/>
                <w:sz w:val="20"/>
                <w:szCs w:val="20"/>
                <w:lang w:eastAsia="en-GB"/>
              </w:rPr>
              <w:t>Max</w:t>
            </w:r>
          </w:p>
        </w:tc>
      </w:tr>
      <w:tr w:rsidR="00724212" w:rsidRPr="00FC59B5" w14:paraId="2CAEB787"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1F040C47"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proofErr w:type="spellStart"/>
            <w:r w:rsidRPr="00FC59B5">
              <w:rPr>
                <w:rFonts w:ascii="Times New Roman" w:eastAsia="Times New Roman" w:hAnsi="Times New Roman" w:cs="Times New Roman"/>
                <w:color w:val="000000" w:themeColor="text1"/>
                <w:sz w:val="20"/>
                <w:szCs w:val="20"/>
                <w:lang w:eastAsia="en-GB"/>
              </w:rPr>
              <w:t>CSR_LM_Net_Tone</w:t>
            </w:r>
            <w:proofErr w:type="spellEnd"/>
          </w:p>
        </w:tc>
        <w:tc>
          <w:tcPr>
            <w:tcW w:w="567" w:type="pct"/>
            <w:tcBorders>
              <w:top w:val="single" w:sz="4" w:space="0" w:color="auto"/>
              <w:left w:val="single" w:sz="4" w:space="0" w:color="auto"/>
              <w:bottom w:val="single" w:sz="4" w:space="0" w:color="auto"/>
              <w:right w:val="single" w:sz="4" w:space="0" w:color="auto"/>
            </w:tcBorders>
            <w:vAlign w:val="center"/>
            <w:hideMark/>
          </w:tcPr>
          <w:p w14:paraId="7957B630"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842</w:t>
            </w:r>
          </w:p>
        </w:tc>
        <w:tc>
          <w:tcPr>
            <w:tcW w:w="577" w:type="pct"/>
            <w:tcBorders>
              <w:top w:val="single" w:sz="4" w:space="0" w:color="auto"/>
              <w:left w:val="single" w:sz="4" w:space="0" w:color="auto"/>
              <w:bottom w:val="single" w:sz="4" w:space="0" w:color="auto"/>
              <w:right w:val="single" w:sz="4" w:space="0" w:color="auto"/>
            </w:tcBorders>
            <w:vAlign w:val="center"/>
            <w:hideMark/>
          </w:tcPr>
          <w:p w14:paraId="34F54AB2"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0.23</w:t>
            </w:r>
          </w:p>
        </w:tc>
        <w:tc>
          <w:tcPr>
            <w:tcW w:w="464" w:type="pct"/>
            <w:tcBorders>
              <w:top w:val="single" w:sz="4" w:space="0" w:color="auto"/>
              <w:left w:val="single" w:sz="4" w:space="0" w:color="auto"/>
              <w:bottom w:val="single" w:sz="4" w:space="0" w:color="auto"/>
              <w:right w:val="single" w:sz="4" w:space="0" w:color="auto"/>
            </w:tcBorders>
            <w:vAlign w:val="center"/>
            <w:hideMark/>
          </w:tcPr>
          <w:p w14:paraId="413F60D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0.21</w:t>
            </w:r>
          </w:p>
        </w:tc>
        <w:tc>
          <w:tcPr>
            <w:tcW w:w="452" w:type="pct"/>
            <w:tcBorders>
              <w:top w:val="single" w:sz="4" w:space="0" w:color="auto"/>
              <w:left w:val="single" w:sz="4" w:space="0" w:color="auto"/>
              <w:bottom w:val="single" w:sz="4" w:space="0" w:color="auto"/>
              <w:right w:val="single" w:sz="4" w:space="0" w:color="auto"/>
            </w:tcBorders>
            <w:vAlign w:val="center"/>
            <w:hideMark/>
          </w:tcPr>
          <w:p w14:paraId="3773BBBA"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0.24</w:t>
            </w:r>
          </w:p>
        </w:tc>
        <w:tc>
          <w:tcPr>
            <w:tcW w:w="565" w:type="pct"/>
            <w:tcBorders>
              <w:top w:val="single" w:sz="4" w:space="0" w:color="auto"/>
              <w:left w:val="single" w:sz="4" w:space="0" w:color="auto"/>
              <w:bottom w:val="single" w:sz="4" w:space="0" w:color="auto"/>
              <w:right w:val="single" w:sz="4" w:space="0" w:color="auto"/>
            </w:tcBorders>
            <w:vAlign w:val="center"/>
            <w:hideMark/>
          </w:tcPr>
          <w:p w14:paraId="6DF5A64F"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03FA1971"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w:t>
            </w:r>
          </w:p>
        </w:tc>
      </w:tr>
      <w:tr w:rsidR="00724212" w:rsidRPr="00FC59B5" w14:paraId="19B51854"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45C387B7"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CSR_H08_Net_Tone</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3A50DE"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839</w:t>
            </w:r>
          </w:p>
        </w:tc>
        <w:tc>
          <w:tcPr>
            <w:tcW w:w="577" w:type="pct"/>
            <w:tcBorders>
              <w:top w:val="single" w:sz="4" w:space="0" w:color="auto"/>
              <w:left w:val="single" w:sz="4" w:space="0" w:color="auto"/>
              <w:bottom w:val="single" w:sz="4" w:space="0" w:color="auto"/>
              <w:right w:val="single" w:sz="4" w:space="0" w:color="auto"/>
            </w:tcBorders>
            <w:vAlign w:val="center"/>
            <w:hideMark/>
          </w:tcPr>
          <w:p w14:paraId="4D3D493D"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0.60</w:t>
            </w:r>
          </w:p>
        </w:tc>
        <w:tc>
          <w:tcPr>
            <w:tcW w:w="464" w:type="pct"/>
            <w:tcBorders>
              <w:top w:val="single" w:sz="4" w:space="0" w:color="auto"/>
              <w:left w:val="single" w:sz="4" w:space="0" w:color="auto"/>
              <w:bottom w:val="single" w:sz="4" w:space="0" w:color="auto"/>
              <w:right w:val="single" w:sz="4" w:space="0" w:color="auto"/>
            </w:tcBorders>
            <w:vAlign w:val="center"/>
            <w:hideMark/>
          </w:tcPr>
          <w:p w14:paraId="432F74EA"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0.56</w:t>
            </w:r>
          </w:p>
        </w:tc>
        <w:tc>
          <w:tcPr>
            <w:tcW w:w="452" w:type="pct"/>
            <w:tcBorders>
              <w:top w:val="single" w:sz="4" w:space="0" w:color="auto"/>
              <w:left w:val="single" w:sz="4" w:space="0" w:color="auto"/>
              <w:bottom w:val="single" w:sz="4" w:space="0" w:color="auto"/>
              <w:right w:val="single" w:sz="4" w:space="0" w:color="auto"/>
            </w:tcBorders>
            <w:vAlign w:val="center"/>
            <w:hideMark/>
          </w:tcPr>
          <w:p w14:paraId="0EA500FD"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0.25</w:t>
            </w:r>
          </w:p>
        </w:tc>
        <w:tc>
          <w:tcPr>
            <w:tcW w:w="565" w:type="pct"/>
            <w:tcBorders>
              <w:top w:val="single" w:sz="4" w:space="0" w:color="auto"/>
              <w:left w:val="single" w:sz="4" w:space="0" w:color="auto"/>
              <w:bottom w:val="single" w:sz="4" w:space="0" w:color="auto"/>
              <w:right w:val="single" w:sz="4" w:space="0" w:color="auto"/>
            </w:tcBorders>
            <w:vAlign w:val="center"/>
            <w:hideMark/>
          </w:tcPr>
          <w:p w14:paraId="6B23A46D"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-0.81</w:t>
            </w:r>
          </w:p>
        </w:tc>
        <w:tc>
          <w:tcPr>
            <w:tcW w:w="576" w:type="pct"/>
            <w:tcBorders>
              <w:top w:val="single" w:sz="4" w:space="0" w:color="auto"/>
              <w:left w:val="single" w:sz="4" w:space="0" w:color="auto"/>
              <w:bottom w:val="single" w:sz="4" w:space="0" w:color="auto"/>
              <w:right w:val="single" w:sz="4" w:space="0" w:color="auto"/>
            </w:tcBorders>
            <w:vAlign w:val="center"/>
            <w:hideMark/>
          </w:tcPr>
          <w:p w14:paraId="5167E47B"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w:t>
            </w:r>
          </w:p>
        </w:tc>
      </w:tr>
      <w:tr w:rsidR="00724212" w:rsidRPr="00FC59B5" w14:paraId="2028D8EF" w14:textId="77777777" w:rsidTr="007327AF">
        <w:trPr>
          <w:trHeight w:val="237"/>
        </w:trPr>
        <w:tc>
          <w:tcPr>
            <w:tcW w:w="1799" w:type="pct"/>
            <w:tcBorders>
              <w:top w:val="single" w:sz="4" w:space="0" w:color="auto"/>
              <w:left w:val="single" w:sz="4" w:space="0" w:color="auto"/>
              <w:bottom w:val="single" w:sz="4" w:space="0" w:color="auto"/>
              <w:right w:val="single" w:sz="4" w:space="0" w:color="auto"/>
            </w:tcBorders>
            <w:vAlign w:val="center"/>
            <w:hideMark/>
          </w:tcPr>
          <w:p w14:paraId="53731998"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CSR_LM11_Pos_Tone</w:t>
            </w:r>
          </w:p>
        </w:tc>
        <w:tc>
          <w:tcPr>
            <w:tcW w:w="567" w:type="pct"/>
            <w:tcBorders>
              <w:top w:val="single" w:sz="4" w:space="0" w:color="auto"/>
              <w:left w:val="single" w:sz="4" w:space="0" w:color="auto"/>
              <w:bottom w:val="single" w:sz="4" w:space="0" w:color="auto"/>
              <w:right w:val="single" w:sz="4" w:space="0" w:color="auto"/>
            </w:tcBorders>
            <w:vAlign w:val="center"/>
            <w:hideMark/>
          </w:tcPr>
          <w:p w14:paraId="01A9B636"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842</w:t>
            </w:r>
          </w:p>
        </w:tc>
        <w:tc>
          <w:tcPr>
            <w:tcW w:w="577" w:type="pct"/>
            <w:tcBorders>
              <w:top w:val="single" w:sz="4" w:space="0" w:color="auto"/>
              <w:left w:val="single" w:sz="4" w:space="0" w:color="auto"/>
              <w:bottom w:val="single" w:sz="4" w:space="0" w:color="auto"/>
              <w:right w:val="single" w:sz="4" w:space="0" w:color="auto"/>
            </w:tcBorders>
            <w:vAlign w:val="center"/>
            <w:hideMark/>
          </w:tcPr>
          <w:p w14:paraId="66BFEED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0.62</w:t>
            </w:r>
          </w:p>
        </w:tc>
        <w:tc>
          <w:tcPr>
            <w:tcW w:w="464" w:type="pct"/>
            <w:tcBorders>
              <w:top w:val="single" w:sz="4" w:space="0" w:color="auto"/>
              <w:left w:val="single" w:sz="4" w:space="0" w:color="auto"/>
              <w:bottom w:val="single" w:sz="4" w:space="0" w:color="auto"/>
              <w:right w:val="single" w:sz="4" w:space="0" w:color="auto"/>
            </w:tcBorders>
            <w:vAlign w:val="center"/>
            <w:hideMark/>
          </w:tcPr>
          <w:p w14:paraId="6C3B656E"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0.61</w:t>
            </w:r>
          </w:p>
        </w:tc>
        <w:tc>
          <w:tcPr>
            <w:tcW w:w="452" w:type="pct"/>
            <w:tcBorders>
              <w:top w:val="single" w:sz="4" w:space="0" w:color="auto"/>
              <w:left w:val="single" w:sz="4" w:space="0" w:color="auto"/>
              <w:bottom w:val="single" w:sz="4" w:space="0" w:color="auto"/>
              <w:right w:val="single" w:sz="4" w:space="0" w:color="auto"/>
            </w:tcBorders>
            <w:vAlign w:val="center"/>
            <w:hideMark/>
          </w:tcPr>
          <w:p w14:paraId="3DAF2DC3"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0.12</w:t>
            </w:r>
          </w:p>
        </w:tc>
        <w:tc>
          <w:tcPr>
            <w:tcW w:w="565" w:type="pct"/>
            <w:tcBorders>
              <w:top w:val="single" w:sz="4" w:space="0" w:color="auto"/>
              <w:left w:val="single" w:sz="4" w:space="0" w:color="auto"/>
              <w:bottom w:val="single" w:sz="4" w:space="0" w:color="auto"/>
              <w:right w:val="single" w:sz="4" w:space="0" w:color="auto"/>
            </w:tcBorders>
            <w:vAlign w:val="center"/>
            <w:hideMark/>
          </w:tcPr>
          <w:p w14:paraId="047B74F9"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0F4333DA"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w:t>
            </w:r>
          </w:p>
        </w:tc>
      </w:tr>
      <w:tr w:rsidR="00724212" w:rsidRPr="00FC59B5" w14:paraId="28A7BBF8"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5A171F24"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CSR_LM11_Neg_Tone</w:t>
            </w:r>
          </w:p>
        </w:tc>
        <w:tc>
          <w:tcPr>
            <w:tcW w:w="567" w:type="pct"/>
            <w:tcBorders>
              <w:top w:val="single" w:sz="4" w:space="0" w:color="auto"/>
              <w:left w:val="single" w:sz="4" w:space="0" w:color="auto"/>
              <w:bottom w:val="single" w:sz="4" w:space="0" w:color="auto"/>
              <w:right w:val="single" w:sz="4" w:space="0" w:color="auto"/>
            </w:tcBorders>
            <w:vAlign w:val="center"/>
            <w:hideMark/>
          </w:tcPr>
          <w:p w14:paraId="44128B82"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842</w:t>
            </w:r>
          </w:p>
        </w:tc>
        <w:tc>
          <w:tcPr>
            <w:tcW w:w="577" w:type="pct"/>
            <w:tcBorders>
              <w:top w:val="single" w:sz="4" w:space="0" w:color="auto"/>
              <w:left w:val="single" w:sz="4" w:space="0" w:color="auto"/>
              <w:bottom w:val="single" w:sz="4" w:space="0" w:color="auto"/>
              <w:right w:val="single" w:sz="4" w:space="0" w:color="auto"/>
            </w:tcBorders>
            <w:vAlign w:val="center"/>
            <w:hideMark/>
          </w:tcPr>
          <w:p w14:paraId="167ED57E"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-0.38</w:t>
            </w:r>
          </w:p>
        </w:tc>
        <w:tc>
          <w:tcPr>
            <w:tcW w:w="464" w:type="pct"/>
            <w:tcBorders>
              <w:top w:val="single" w:sz="4" w:space="0" w:color="auto"/>
              <w:left w:val="single" w:sz="4" w:space="0" w:color="auto"/>
              <w:bottom w:val="single" w:sz="4" w:space="0" w:color="auto"/>
              <w:right w:val="single" w:sz="4" w:space="0" w:color="auto"/>
            </w:tcBorders>
            <w:vAlign w:val="center"/>
            <w:hideMark/>
          </w:tcPr>
          <w:p w14:paraId="1AD0FF65"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-0.39</w:t>
            </w:r>
          </w:p>
        </w:tc>
        <w:tc>
          <w:tcPr>
            <w:tcW w:w="452" w:type="pct"/>
            <w:tcBorders>
              <w:top w:val="single" w:sz="4" w:space="0" w:color="auto"/>
              <w:left w:val="single" w:sz="4" w:space="0" w:color="auto"/>
              <w:bottom w:val="single" w:sz="4" w:space="0" w:color="auto"/>
              <w:right w:val="single" w:sz="4" w:space="0" w:color="auto"/>
            </w:tcBorders>
            <w:vAlign w:val="center"/>
            <w:hideMark/>
          </w:tcPr>
          <w:p w14:paraId="5EE27724"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0.12</w:t>
            </w:r>
          </w:p>
        </w:tc>
        <w:tc>
          <w:tcPr>
            <w:tcW w:w="565" w:type="pct"/>
            <w:tcBorders>
              <w:top w:val="single" w:sz="4" w:space="0" w:color="auto"/>
              <w:left w:val="single" w:sz="4" w:space="0" w:color="auto"/>
              <w:bottom w:val="single" w:sz="4" w:space="0" w:color="auto"/>
              <w:right w:val="single" w:sz="4" w:space="0" w:color="auto"/>
            </w:tcBorders>
            <w:vAlign w:val="center"/>
            <w:hideMark/>
          </w:tcPr>
          <w:p w14:paraId="31019BC9"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25C24397"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0.00</w:t>
            </w:r>
          </w:p>
        </w:tc>
      </w:tr>
      <w:tr w:rsidR="00724212" w:rsidRPr="00FC59B5" w14:paraId="742C63DE"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45E2D0D7"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BRD_SZ</w:t>
            </w:r>
          </w:p>
        </w:tc>
        <w:tc>
          <w:tcPr>
            <w:tcW w:w="567" w:type="pct"/>
            <w:tcBorders>
              <w:top w:val="single" w:sz="4" w:space="0" w:color="auto"/>
              <w:left w:val="single" w:sz="4" w:space="0" w:color="auto"/>
              <w:bottom w:val="single" w:sz="4" w:space="0" w:color="auto"/>
              <w:right w:val="single" w:sz="4" w:space="0" w:color="auto"/>
            </w:tcBorders>
            <w:vAlign w:val="center"/>
            <w:hideMark/>
          </w:tcPr>
          <w:p w14:paraId="2972A757"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1,007</w:t>
            </w:r>
          </w:p>
        </w:tc>
        <w:tc>
          <w:tcPr>
            <w:tcW w:w="577" w:type="pct"/>
            <w:tcBorders>
              <w:top w:val="single" w:sz="4" w:space="0" w:color="auto"/>
              <w:left w:val="single" w:sz="4" w:space="0" w:color="auto"/>
              <w:bottom w:val="single" w:sz="4" w:space="0" w:color="auto"/>
              <w:right w:val="single" w:sz="4" w:space="0" w:color="auto"/>
            </w:tcBorders>
            <w:vAlign w:val="center"/>
            <w:hideMark/>
          </w:tcPr>
          <w:p w14:paraId="2E8A8947"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10.00</w:t>
            </w:r>
          </w:p>
        </w:tc>
        <w:tc>
          <w:tcPr>
            <w:tcW w:w="464" w:type="pct"/>
            <w:tcBorders>
              <w:top w:val="single" w:sz="4" w:space="0" w:color="auto"/>
              <w:left w:val="single" w:sz="4" w:space="0" w:color="auto"/>
              <w:bottom w:val="single" w:sz="4" w:space="0" w:color="auto"/>
              <w:right w:val="single" w:sz="4" w:space="0" w:color="auto"/>
            </w:tcBorders>
            <w:vAlign w:val="center"/>
            <w:hideMark/>
          </w:tcPr>
          <w:p w14:paraId="13C12603"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10.64</w:t>
            </w:r>
          </w:p>
        </w:tc>
        <w:tc>
          <w:tcPr>
            <w:tcW w:w="452" w:type="pct"/>
            <w:tcBorders>
              <w:top w:val="single" w:sz="4" w:space="0" w:color="auto"/>
              <w:left w:val="single" w:sz="4" w:space="0" w:color="auto"/>
              <w:bottom w:val="single" w:sz="4" w:space="0" w:color="auto"/>
              <w:right w:val="single" w:sz="4" w:space="0" w:color="auto"/>
            </w:tcBorders>
            <w:vAlign w:val="center"/>
            <w:hideMark/>
          </w:tcPr>
          <w:p w14:paraId="73DC03E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2.47</w:t>
            </w:r>
          </w:p>
        </w:tc>
        <w:tc>
          <w:tcPr>
            <w:tcW w:w="565" w:type="pct"/>
            <w:tcBorders>
              <w:top w:val="single" w:sz="4" w:space="0" w:color="auto"/>
              <w:left w:val="single" w:sz="4" w:space="0" w:color="auto"/>
              <w:bottom w:val="single" w:sz="4" w:space="0" w:color="auto"/>
              <w:right w:val="single" w:sz="4" w:space="0" w:color="auto"/>
            </w:tcBorders>
            <w:vAlign w:val="center"/>
            <w:hideMark/>
          </w:tcPr>
          <w:p w14:paraId="5A8F75D6"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4.00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4CA86B62"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21.00</w:t>
            </w:r>
          </w:p>
        </w:tc>
      </w:tr>
      <w:tr w:rsidR="00724212" w:rsidRPr="00FC59B5" w14:paraId="2155A9DA"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6600309C"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PCT_INED</w:t>
            </w:r>
          </w:p>
        </w:tc>
        <w:tc>
          <w:tcPr>
            <w:tcW w:w="567" w:type="pct"/>
            <w:tcBorders>
              <w:top w:val="single" w:sz="4" w:space="0" w:color="auto"/>
              <w:left w:val="single" w:sz="4" w:space="0" w:color="auto"/>
              <w:bottom w:val="single" w:sz="4" w:space="0" w:color="auto"/>
              <w:right w:val="single" w:sz="4" w:space="0" w:color="auto"/>
            </w:tcBorders>
            <w:vAlign w:val="center"/>
            <w:hideMark/>
          </w:tcPr>
          <w:p w14:paraId="3055BF58"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1,008</w:t>
            </w:r>
          </w:p>
        </w:tc>
        <w:tc>
          <w:tcPr>
            <w:tcW w:w="577" w:type="pct"/>
            <w:tcBorders>
              <w:top w:val="single" w:sz="4" w:space="0" w:color="auto"/>
              <w:left w:val="single" w:sz="4" w:space="0" w:color="auto"/>
              <w:bottom w:val="single" w:sz="4" w:space="0" w:color="auto"/>
              <w:right w:val="single" w:sz="4" w:space="0" w:color="auto"/>
            </w:tcBorders>
            <w:vAlign w:val="center"/>
            <w:hideMark/>
          </w:tcPr>
          <w:p w14:paraId="649A514F"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0.67</w:t>
            </w:r>
          </w:p>
        </w:tc>
        <w:tc>
          <w:tcPr>
            <w:tcW w:w="464" w:type="pct"/>
            <w:tcBorders>
              <w:top w:val="single" w:sz="4" w:space="0" w:color="auto"/>
              <w:left w:val="single" w:sz="4" w:space="0" w:color="auto"/>
              <w:bottom w:val="single" w:sz="4" w:space="0" w:color="auto"/>
              <w:right w:val="single" w:sz="4" w:space="0" w:color="auto"/>
            </w:tcBorders>
            <w:vAlign w:val="center"/>
            <w:hideMark/>
          </w:tcPr>
          <w:p w14:paraId="0F2E2256"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0.65</w:t>
            </w:r>
          </w:p>
        </w:tc>
        <w:tc>
          <w:tcPr>
            <w:tcW w:w="452" w:type="pct"/>
            <w:tcBorders>
              <w:top w:val="single" w:sz="4" w:space="0" w:color="auto"/>
              <w:left w:val="single" w:sz="4" w:space="0" w:color="auto"/>
              <w:bottom w:val="single" w:sz="4" w:space="0" w:color="auto"/>
              <w:right w:val="single" w:sz="4" w:space="0" w:color="auto"/>
            </w:tcBorders>
            <w:vAlign w:val="center"/>
            <w:hideMark/>
          </w:tcPr>
          <w:p w14:paraId="77E80086"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0.12</w:t>
            </w:r>
          </w:p>
        </w:tc>
        <w:tc>
          <w:tcPr>
            <w:tcW w:w="565" w:type="pct"/>
            <w:tcBorders>
              <w:top w:val="single" w:sz="4" w:space="0" w:color="auto"/>
              <w:left w:val="single" w:sz="4" w:space="0" w:color="auto"/>
              <w:bottom w:val="single" w:sz="4" w:space="0" w:color="auto"/>
              <w:right w:val="single" w:sz="4" w:space="0" w:color="auto"/>
            </w:tcBorders>
            <w:vAlign w:val="center"/>
            <w:hideMark/>
          </w:tcPr>
          <w:p w14:paraId="1A69193B"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0.33</w:t>
            </w:r>
          </w:p>
        </w:tc>
        <w:tc>
          <w:tcPr>
            <w:tcW w:w="576" w:type="pct"/>
            <w:tcBorders>
              <w:top w:val="single" w:sz="4" w:space="0" w:color="auto"/>
              <w:left w:val="single" w:sz="4" w:space="0" w:color="auto"/>
              <w:bottom w:val="single" w:sz="4" w:space="0" w:color="auto"/>
              <w:right w:val="single" w:sz="4" w:space="0" w:color="auto"/>
            </w:tcBorders>
            <w:vAlign w:val="center"/>
            <w:hideMark/>
          </w:tcPr>
          <w:p w14:paraId="4CF9AC59"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0.93</w:t>
            </w:r>
          </w:p>
        </w:tc>
      </w:tr>
      <w:tr w:rsidR="00724212" w:rsidRPr="00FC59B5" w14:paraId="01A83E54"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6E61C9AA"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PCT_BRD_WOMEN</w:t>
            </w:r>
          </w:p>
        </w:tc>
        <w:tc>
          <w:tcPr>
            <w:tcW w:w="567" w:type="pct"/>
            <w:tcBorders>
              <w:top w:val="single" w:sz="4" w:space="0" w:color="auto"/>
              <w:left w:val="single" w:sz="4" w:space="0" w:color="auto"/>
              <w:bottom w:val="single" w:sz="4" w:space="0" w:color="auto"/>
              <w:right w:val="single" w:sz="4" w:space="0" w:color="auto"/>
            </w:tcBorders>
            <w:vAlign w:val="center"/>
            <w:hideMark/>
          </w:tcPr>
          <w:p w14:paraId="388264D0"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998</w:t>
            </w:r>
          </w:p>
        </w:tc>
        <w:tc>
          <w:tcPr>
            <w:tcW w:w="577" w:type="pct"/>
            <w:tcBorders>
              <w:top w:val="single" w:sz="4" w:space="0" w:color="auto"/>
              <w:left w:val="single" w:sz="4" w:space="0" w:color="auto"/>
              <w:bottom w:val="single" w:sz="4" w:space="0" w:color="auto"/>
              <w:right w:val="single" w:sz="4" w:space="0" w:color="auto"/>
            </w:tcBorders>
            <w:vAlign w:val="center"/>
            <w:hideMark/>
          </w:tcPr>
          <w:p w14:paraId="7D624252"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0.20</w:t>
            </w:r>
          </w:p>
        </w:tc>
        <w:tc>
          <w:tcPr>
            <w:tcW w:w="464" w:type="pct"/>
            <w:tcBorders>
              <w:top w:val="single" w:sz="4" w:space="0" w:color="auto"/>
              <w:left w:val="single" w:sz="4" w:space="0" w:color="auto"/>
              <w:bottom w:val="single" w:sz="4" w:space="0" w:color="auto"/>
              <w:right w:val="single" w:sz="4" w:space="0" w:color="auto"/>
            </w:tcBorders>
            <w:vAlign w:val="center"/>
            <w:hideMark/>
          </w:tcPr>
          <w:p w14:paraId="3D973DE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0.20</w:t>
            </w:r>
          </w:p>
        </w:tc>
        <w:tc>
          <w:tcPr>
            <w:tcW w:w="452" w:type="pct"/>
            <w:tcBorders>
              <w:top w:val="single" w:sz="4" w:space="0" w:color="auto"/>
              <w:left w:val="single" w:sz="4" w:space="0" w:color="auto"/>
              <w:bottom w:val="single" w:sz="4" w:space="0" w:color="auto"/>
              <w:right w:val="single" w:sz="4" w:space="0" w:color="auto"/>
            </w:tcBorders>
            <w:vAlign w:val="center"/>
            <w:hideMark/>
          </w:tcPr>
          <w:p w14:paraId="6E2F6391"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0.10</w:t>
            </w:r>
          </w:p>
        </w:tc>
        <w:tc>
          <w:tcPr>
            <w:tcW w:w="565" w:type="pct"/>
            <w:tcBorders>
              <w:top w:val="single" w:sz="4" w:space="0" w:color="auto"/>
              <w:left w:val="single" w:sz="4" w:space="0" w:color="auto"/>
              <w:bottom w:val="single" w:sz="4" w:space="0" w:color="auto"/>
              <w:right w:val="single" w:sz="4" w:space="0" w:color="auto"/>
            </w:tcBorders>
            <w:vAlign w:val="center"/>
            <w:hideMark/>
          </w:tcPr>
          <w:p w14:paraId="2B0BB3E7"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7B017311"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0.50</w:t>
            </w:r>
          </w:p>
        </w:tc>
      </w:tr>
      <w:tr w:rsidR="00724212" w:rsidRPr="00FC59B5" w14:paraId="06638A48" w14:textId="77777777" w:rsidTr="007327AF">
        <w:trPr>
          <w:trHeight w:val="237"/>
        </w:trPr>
        <w:tc>
          <w:tcPr>
            <w:tcW w:w="1799" w:type="pct"/>
            <w:tcBorders>
              <w:top w:val="single" w:sz="4" w:space="0" w:color="auto"/>
              <w:left w:val="single" w:sz="4" w:space="0" w:color="auto"/>
              <w:bottom w:val="single" w:sz="4" w:space="0" w:color="auto"/>
              <w:right w:val="single" w:sz="4" w:space="0" w:color="auto"/>
            </w:tcBorders>
            <w:vAlign w:val="center"/>
            <w:hideMark/>
          </w:tcPr>
          <w:p w14:paraId="2E6BC667"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AUDCOM_SZ</w:t>
            </w:r>
          </w:p>
        </w:tc>
        <w:tc>
          <w:tcPr>
            <w:tcW w:w="567" w:type="pct"/>
            <w:tcBorders>
              <w:top w:val="single" w:sz="4" w:space="0" w:color="auto"/>
              <w:left w:val="single" w:sz="4" w:space="0" w:color="auto"/>
              <w:bottom w:val="single" w:sz="4" w:space="0" w:color="auto"/>
              <w:right w:val="single" w:sz="4" w:space="0" w:color="auto"/>
            </w:tcBorders>
            <w:vAlign w:val="center"/>
            <w:hideMark/>
          </w:tcPr>
          <w:p w14:paraId="77A7257F"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998</w:t>
            </w:r>
          </w:p>
        </w:tc>
        <w:tc>
          <w:tcPr>
            <w:tcW w:w="577" w:type="pct"/>
            <w:tcBorders>
              <w:top w:val="single" w:sz="4" w:space="0" w:color="auto"/>
              <w:left w:val="single" w:sz="4" w:space="0" w:color="auto"/>
              <w:bottom w:val="single" w:sz="4" w:space="0" w:color="auto"/>
              <w:right w:val="single" w:sz="4" w:space="0" w:color="auto"/>
            </w:tcBorders>
            <w:vAlign w:val="center"/>
            <w:hideMark/>
          </w:tcPr>
          <w:p w14:paraId="62567AC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4.00</w:t>
            </w:r>
          </w:p>
        </w:tc>
        <w:tc>
          <w:tcPr>
            <w:tcW w:w="464" w:type="pct"/>
            <w:tcBorders>
              <w:top w:val="single" w:sz="4" w:space="0" w:color="auto"/>
              <w:left w:val="single" w:sz="4" w:space="0" w:color="auto"/>
              <w:bottom w:val="single" w:sz="4" w:space="0" w:color="auto"/>
              <w:right w:val="single" w:sz="4" w:space="0" w:color="auto"/>
            </w:tcBorders>
            <w:vAlign w:val="center"/>
            <w:hideMark/>
          </w:tcPr>
          <w:p w14:paraId="2AB1DDDF"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4.24</w:t>
            </w:r>
          </w:p>
        </w:tc>
        <w:tc>
          <w:tcPr>
            <w:tcW w:w="452" w:type="pct"/>
            <w:tcBorders>
              <w:top w:val="single" w:sz="4" w:space="0" w:color="auto"/>
              <w:left w:val="single" w:sz="4" w:space="0" w:color="auto"/>
              <w:bottom w:val="single" w:sz="4" w:space="0" w:color="auto"/>
              <w:right w:val="single" w:sz="4" w:space="0" w:color="auto"/>
            </w:tcBorders>
            <w:vAlign w:val="center"/>
            <w:hideMark/>
          </w:tcPr>
          <w:p w14:paraId="04996DD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1.90</w:t>
            </w:r>
          </w:p>
        </w:tc>
        <w:tc>
          <w:tcPr>
            <w:tcW w:w="565" w:type="pct"/>
            <w:tcBorders>
              <w:top w:val="single" w:sz="4" w:space="0" w:color="auto"/>
              <w:left w:val="single" w:sz="4" w:space="0" w:color="auto"/>
              <w:bottom w:val="single" w:sz="4" w:space="0" w:color="auto"/>
              <w:right w:val="single" w:sz="4" w:space="0" w:color="auto"/>
            </w:tcBorders>
            <w:vAlign w:val="center"/>
            <w:hideMark/>
          </w:tcPr>
          <w:p w14:paraId="0D184D18"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78523FB9"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8.00</w:t>
            </w:r>
          </w:p>
        </w:tc>
      </w:tr>
      <w:tr w:rsidR="00724212" w:rsidRPr="00FC59B5" w14:paraId="60068C74"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33BC9930"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ESG</w:t>
            </w:r>
          </w:p>
        </w:tc>
        <w:tc>
          <w:tcPr>
            <w:tcW w:w="567" w:type="pct"/>
            <w:tcBorders>
              <w:top w:val="single" w:sz="4" w:space="0" w:color="auto"/>
              <w:left w:val="single" w:sz="4" w:space="0" w:color="auto"/>
              <w:bottom w:val="single" w:sz="4" w:space="0" w:color="auto"/>
              <w:right w:val="single" w:sz="4" w:space="0" w:color="auto"/>
            </w:tcBorders>
            <w:vAlign w:val="center"/>
            <w:hideMark/>
          </w:tcPr>
          <w:p w14:paraId="654DA6A5"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998</w:t>
            </w:r>
          </w:p>
        </w:tc>
        <w:tc>
          <w:tcPr>
            <w:tcW w:w="577" w:type="pct"/>
            <w:tcBorders>
              <w:top w:val="single" w:sz="4" w:space="0" w:color="auto"/>
              <w:left w:val="single" w:sz="4" w:space="0" w:color="auto"/>
              <w:bottom w:val="single" w:sz="4" w:space="0" w:color="auto"/>
              <w:right w:val="single" w:sz="4" w:space="0" w:color="auto"/>
            </w:tcBorders>
            <w:vAlign w:val="center"/>
            <w:hideMark/>
          </w:tcPr>
          <w:p w14:paraId="6EFEEA78"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0.40</w:t>
            </w:r>
          </w:p>
        </w:tc>
        <w:tc>
          <w:tcPr>
            <w:tcW w:w="464" w:type="pct"/>
            <w:tcBorders>
              <w:top w:val="single" w:sz="4" w:space="0" w:color="auto"/>
              <w:left w:val="single" w:sz="4" w:space="0" w:color="auto"/>
              <w:bottom w:val="single" w:sz="4" w:space="0" w:color="auto"/>
              <w:right w:val="single" w:sz="4" w:space="0" w:color="auto"/>
            </w:tcBorders>
            <w:vAlign w:val="center"/>
            <w:hideMark/>
          </w:tcPr>
          <w:p w14:paraId="4475F854"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0.41</w:t>
            </w:r>
          </w:p>
        </w:tc>
        <w:tc>
          <w:tcPr>
            <w:tcW w:w="452" w:type="pct"/>
            <w:tcBorders>
              <w:top w:val="single" w:sz="4" w:space="0" w:color="auto"/>
              <w:left w:val="single" w:sz="4" w:space="0" w:color="auto"/>
              <w:bottom w:val="single" w:sz="4" w:space="0" w:color="auto"/>
              <w:right w:val="single" w:sz="4" w:space="0" w:color="auto"/>
            </w:tcBorders>
            <w:vAlign w:val="center"/>
            <w:hideMark/>
          </w:tcPr>
          <w:p w14:paraId="7CC4765E"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0.12</w:t>
            </w:r>
          </w:p>
        </w:tc>
        <w:tc>
          <w:tcPr>
            <w:tcW w:w="565" w:type="pct"/>
            <w:tcBorders>
              <w:top w:val="single" w:sz="4" w:space="0" w:color="auto"/>
              <w:left w:val="single" w:sz="4" w:space="0" w:color="auto"/>
              <w:bottom w:val="single" w:sz="4" w:space="0" w:color="auto"/>
              <w:right w:val="single" w:sz="4" w:space="0" w:color="auto"/>
            </w:tcBorders>
            <w:vAlign w:val="center"/>
            <w:hideMark/>
          </w:tcPr>
          <w:p w14:paraId="17FDFBC5"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0.03</w:t>
            </w:r>
          </w:p>
        </w:tc>
        <w:tc>
          <w:tcPr>
            <w:tcW w:w="576" w:type="pct"/>
            <w:tcBorders>
              <w:top w:val="single" w:sz="4" w:space="0" w:color="auto"/>
              <w:left w:val="single" w:sz="4" w:space="0" w:color="auto"/>
              <w:bottom w:val="single" w:sz="4" w:space="0" w:color="auto"/>
              <w:right w:val="single" w:sz="4" w:space="0" w:color="auto"/>
            </w:tcBorders>
            <w:vAlign w:val="center"/>
            <w:hideMark/>
          </w:tcPr>
          <w:p w14:paraId="05B085B8"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0.69</w:t>
            </w:r>
          </w:p>
        </w:tc>
      </w:tr>
      <w:tr w:rsidR="00724212" w:rsidRPr="00FC59B5" w14:paraId="1EC0F650"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76472936"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ROA</w:t>
            </w:r>
          </w:p>
        </w:tc>
        <w:tc>
          <w:tcPr>
            <w:tcW w:w="567" w:type="pct"/>
            <w:tcBorders>
              <w:top w:val="single" w:sz="4" w:space="0" w:color="auto"/>
              <w:left w:val="single" w:sz="4" w:space="0" w:color="auto"/>
              <w:bottom w:val="single" w:sz="4" w:space="0" w:color="auto"/>
              <w:right w:val="single" w:sz="4" w:space="0" w:color="auto"/>
            </w:tcBorders>
            <w:vAlign w:val="center"/>
            <w:hideMark/>
          </w:tcPr>
          <w:p w14:paraId="2304EC1D"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1,008</w:t>
            </w:r>
          </w:p>
        </w:tc>
        <w:tc>
          <w:tcPr>
            <w:tcW w:w="577" w:type="pct"/>
            <w:tcBorders>
              <w:top w:val="single" w:sz="4" w:space="0" w:color="auto"/>
              <w:left w:val="single" w:sz="4" w:space="0" w:color="auto"/>
              <w:bottom w:val="single" w:sz="4" w:space="0" w:color="auto"/>
              <w:right w:val="single" w:sz="4" w:space="0" w:color="auto"/>
            </w:tcBorders>
            <w:vAlign w:val="center"/>
            <w:hideMark/>
          </w:tcPr>
          <w:p w14:paraId="0EE2D2CE"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5.88</w:t>
            </w:r>
          </w:p>
        </w:tc>
        <w:tc>
          <w:tcPr>
            <w:tcW w:w="464" w:type="pct"/>
            <w:tcBorders>
              <w:top w:val="single" w:sz="4" w:space="0" w:color="auto"/>
              <w:left w:val="single" w:sz="4" w:space="0" w:color="auto"/>
              <w:bottom w:val="single" w:sz="4" w:space="0" w:color="auto"/>
              <w:right w:val="single" w:sz="4" w:space="0" w:color="auto"/>
            </w:tcBorders>
            <w:vAlign w:val="center"/>
            <w:hideMark/>
          </w:tcPr>
          <w:p w14:paraId="2EBDDA24"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8.75</w:t>
            </w:r>
          </w:p>
        </w:tc>
        <w:tc>
          <w:tcPr>
            <w:tcW w:w="452" w:type="pct"/>
            <w:tcBorders>
              <w:top w:val="single" w:sz="4" w:space="0" w:color="auto"/>
              <w:left w:val="single" w:sz="4" w:space="0" w:color="auto"/>
              <w:bottom w:val="single" w:sz="4" w:space="0" w:color="auto"/>
              <w:right w:val="single" w:sz="4" w:space="0" w:color="auto"/>
            </w:tcBorders>
            <w:vAlign w:val="center"/>
            <w:hideMark/>
          </w:tcPr>
          <w:p w14:paraId="44665E7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20.61</w:t>
            </w:r>
          </w:p>
        </w:tc>
        <w:tc>
          <w:tcPr>
            <w:tcW w:w="565" w:type="pct"/>
            <w:tcBorders>
              <w:top w:val="single" w:sz="4" w:space="0" w:color="auto"/>
              <w:left w:val="single" w:sz="4" w:space="0" w:color="auto"/>
              <w:bottom w:val="single" w:sz="4" w:space="0" w:color="auto"/>
              <w:right w:val="single" w:sz="4" w:space="0" w:color="auto"/>
            </w:tcBorders>
            <w:vAlign w:val="center"/>
            <w:hideMark/>
          </w:tcPr>
          <w:p w14:paraId="264398DC"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-21.75</w:t>
            </w:r>
          </w:p>
        </w:tc>
        <w:tc>
          <w:tcPr>
            <w:tcW w:w="576" w:type="pct"/>
            <w:tcBorders>
              <w:top w:val="single" w:sz="4" w:space="0" w:color="auto"/>
              <w:left w:val="single" w:sz="4" w:space="0" w:color="auto"/>
              <w:bottom w:val="single" w:sz="4" w:space="0" w:color="auto"/>
              <w:right w:val="single" w:sz="4" w:space="0" w:color="auto"/>
            </w:tcBorders>
            <w:vAlign w:val="center"/>
            <w:hideMark/>
          </w:tcPr>
          <w:p w14:paraId="0A4BF349"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236.78</w:t>
            </w:r>
          </w:p>
        </w:tc>
      </w:tr>
      <w:tr w:rsidR="00724212" w:rsidRPr="00FC59B5" w14:paraId="7E184244"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6BB616C7"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FNCL_LVRG</w:t>
            </w:r>
          </w:p>
        </w:tc>
        <w:tc>
          <w:tcPr>
            <w:tcW w:w="567" w:type="pct"/>
            <w:tcBorders>
              <w:top w:val="single" w:sz="4" w:space="0" w:color="auto"/>
              <w:left w:val="single" w:sz="4" w:space="0" w:color="auto"/>
              <w:bottom w:val="single" w:sz="4" w:space="0" w:color="auto"/>
              <w:right w:val="single" w:sz="4" w:space="0" w:color="auto"/>
            </w:tcBorders>
            <w:vAlign w:val="center"/>
            <w:hideMark/>
          </w:tcPr>
          <w:p w14:paraId="4394C794"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1,008</w:t>
            </w:r>
          </w:p>
        </w:tc>
        <w:tc>
          <w:tcPr>
            <w:tcW w:w="577" w:type="pct"/>
            <w:tcBorders>
              <w:top w:val="single" w:sz="4" w:space="0" w:color="auto"/>
              <w:left w:val="single" w:sz="4" w:space="0" w:color="auto"/>
              <w:bottom w:val="single" w:sz="4" w:space="0" w:color="auto"/>
              <w:right w:val="single" w:sz="4" w:space="0" w:color="auto"/>
            </w:tcBorders>
            <w:vAlign w:val="center"/>
            <w:hideMark/>
          </w:tcPr>
          <w:p w14:paraId="3DB95933"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2.92</w:t>
            </w:r>
          </w:p>
        </w:tc>
        <w:tc>
          <w:tcPr>
            <w:tcW w:w="464" w:type="pct"/>
            <w:tcBorders>
              <w:top w:val="single" w:sz="4" w:space="0" w:color="auto"/>
              <w:left w:val="single" w:sz="4" w:space="0" w:color="auto"/>
              <w:bottom w:val="single" w:sz="4" w:space="0" w:color="auto"/>
              <w:right w:val="single" w:sz="4" w:space="0" w:color="auto"/>
            </w:tcBorders>
            <w:vAlign w:val="center"/>
            <w:hideMark/>
          </w:tcPr>
          <w:p w14:paraId="0A9FCA9A"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7.35</w:t>
            </w:r>
          </w:p>
        </w:tc>
        <w:tc>
          <w:tcPr>
            <w:tcW w:w="452" w:type="pct"/>
            <w:tcBorders>
              <w:top w:val="single" w:sz="4" w:space="0" w:color="auto"/>
              <w:left w:val="single" w:sz="4" w:space="0" w:color="auto"/>
              <w:bottom w:val="single" w:sz="4" w:space="0" w:color="auto"/>
              <w:right w:val="single" w:sz="4" w:space="0" w:color="auto"/>
            </w:tcBorders>
            <w:vAlign w:val="center"/>
            <w:hideMark/>
          </w:tcPr>
          <w:p w14:paraId="2F2C3DF4"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13.72</w:t>
            </w:r>
          </w:p>
        </w:tc>
        <w:tc>
          <w:tcPr>
            <w:tcW w:w="565" w:type="pct"/>
            <w:tcBorders>
              <w:top w:val="single" w:sz="4" w:space="0" w:color="auto"/>
              <w:left w:val="single" w:sz="4" w:space="0" w:color="auto"/>
              <w:bottom w:val="single" w:sz="4" w:space="0" w:color="auto"/>
              <w:right w:val="single" w:sz="4" w:space="0" w:color="auto"/>
            </w:tcBorders>
            <w:vAlign w:val="center"/>
            <w:hideMark/>
          </w:tcPr>
          <w:p w14:paraId="4F518278"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-2.37</w:t>
            </w:r>
          </w:p>
        </w:tc>
        <w:tc>
          <w:tcPr>
            <w:tcW w:w="576" w:type="pct"/>
            <w:tcBorders>
              <w:top w:val="single" w:sz="4" w:space="0" w:color="auto"/>
              <w:left w:val="single" w:sz="4" w:space="0" w:color="auto"/>
              <w:bottom w:val="single" w:sz="4" w:space="0" w:color="auto"/>
              <w:right w:val="single" w:sz="4" w:space="0" w:color="auto"/>
            </w:tcBorders>
            <w:vAlign w:val="center"/>
            <w:hideMark/>
          </w:tcPr>
          <w:p w14:paraId="050724B7"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149.60</w:t>
            </w:r>
          </w:p>
        </w:tc>
      </w:tr>
      <w:tr w:rsidR="00724212" w:rsidRPr="00FC59B5" w14:paraId="0DFD6CFE" w14:textId="77777777" w:rsidTr="007327AF">
        <w:trPr>
          <w:trHeight w:val="222"/>
        </w:trPr>
        <w:tc>
          <w:tcPr>
            <w:tcW w:w="1799" w:type="pct"/>
            <w:tcBorders>
              <w:top w:val="single" w:sz="4" w:space="0" w:color="auto"/>
              <w:left w:val="single" w:sz="4" w:space="0" w:color="auto"/>
              <w:bottom w:val="single" w:sz="4" w:space="0" w:color="auto"/>
              <w:right w:val="single" w:sz="4" w:space="0" w:color="auto"/>
            </w:tcBorders>
            <w:vAlign w:val="center"/>
            <w:hideMark/>
          </w:tcPr>
          <w:p w14:paraId="03B316FB" w14:textId="77777777" w:rsidR="00724212" w:rsidRPr="00FC59B5" w:rsidRDefault="00724212" w:rsidP="00724212">
            <w:pPr>
              <w:spacing w:after="0" w:line="240" w:lineRule="auto"/>
              <w:contextualSpacing/>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LN_TRNOVR</w:t>
            </w:r>
          </w:p>
        </w:tc>
        <w:tc>
          <w:tcPr>
            <w:tcW w:w="567" w:type="pct"/>
            <w:tcBorders>
              <w:top w:val="single" w:sz="4" w:space="0" w:color="auto"/>
              <w:left w:val="single" w:sz="4" w:space="0" w:color="auto"/>
              <w:bottom w:val="single" w:sz="4" w:space="0" w:color="auto"/>
              <w:right w:val="single" w:sz="4" w:space="0" w:color="auto"/>
            </w:tcBorders>
            <w:vAlign w:val="center"/>
            <w:hideMark/>
          </w:tcPr>
          <w:p w14:paraId="08853A6F"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992</w:t>
            </w:r>
          </w:p>
        </w:tc>
        <w:tc>
          <w:tcPr>
            <w:tcW w:w="577" w:type="pct"/>
            <w:tcBorders>
              <w:top w:val="single" w:sz="4" w:space="0" w:color="auto"/>
              <w:left w:val="single" w:sz="4" w:space="0" w:color="auto"/>
              <w:bottom w:val="single" w:sz="4" w:space="0" w:color="auto"/>
              <w:right w:val="single" w:sz="4" w:space="0" w:color="auto"/>
            </w:tcBorders>
            <w:vAlign w:val="center"/>
            <w:hideMark/>
          </w:tcPr>
          <w:p w14:paraId="7A1F5DFB"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8.76</w:t>
            </w:r>
          </w:p>
        </w:tc>
        <w:tc>
          <w:tcPr>
            <w:tcW w:w="464" w:type="pct"/>
            <w:tcBorders>
              <w:top w:val="single" w:sz="4" w:space="0" w:color="auto"/>
              <w:left w:val="single" w:sz="4" w:space="0" w:color="auto"/>
              <w:bottom w:val="single" w:sz="4" w:space="0" w:color="auto"/>
              <w:right w:val="single" w:sz="4" w:space="0" w:color="auto"/>
            </w:tcBorders>
            <w:vAlign w:val="center"/>
            <w:hideMark/>
          </w:tcPr>
          <w:p w14:paraId="20656617"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8.59</w:t>
            </w:r>
          </w:p>
        </w:tc>
        <w:tc>
          <w:tcPr>
            <w:tcW w:w="452" w:type="pct"/>
            <w:tcBorders>
              <w:top w:val="single" w:sz="4" w:space="0" w:color="auto"/>
              <w:left w:val="single" w:sz="4" w:space="0" w:color="auto"/>
              <w:bottom w:val="single" w:sz="4" w:space="0" w:color="auto"/>
              <w:right w:val="single" w:sz="4" w:space="0" w:color="auto"/>
            </w:tcBorders>
            <w:vAlign w:val="center"/>
            <w:hideMark/>
          </w:tcPr>
          <w:p w14:paraId="6D0A363A"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1.83</w:t>
            </w:r>
          </w:p>
        </w:tc>
        <w:tc>
          <w:tcPr>
            <w:tcW w:w="565" w:type="pct"/>
            <w:tcBorders>
              <w:top w:val="single" w:sz="4" w:space="0" w:color="auto"/>
              <w:left w:val="single" w:sz="4" w:space="0" w:color="auto"/>
              <w:bottom w:val="single" w:sz="4" w:space="0" w:color="auto"/>
              <w:right w:val="single" w:sz="4" w:space="0" w:color="auto"/>
            </w:tcBorders>
            <w:vAlign w:val="center"/>
            <w:hideMark/>
          </w:tcPr>
          <w:p w14:paraId="3BCF3FEA"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0.89</w:t>
            </w:r>
          </w:p>
        </w:tc>
        <w:tc>
          <w:tcPr>
            <w:tcW w:w="576" w:type="pct"/>
            <w:tcBorders>
              <w:top w:val="single" w:sz="4" w:space="0" w:color="auto"/>
              <w:left w:val="single" w:sz="4" w:space="0" w:color="auto"/>
              <w:bottom w:val="single" w:sz="4" w:space="0" w:color="auto"/>
              <w:right w:val="single" w:sz="4" w:space="0" w:color="auto"/>
            </w:tcBorders>
            <w:vAlign w:val="center"/>
            <w:hideMark/>
          </w:tcPr>
          <w:p w14:paraId="18D3BCC4" w14:textId="77777777" w:rsidR="00724212" w:rsidRPr="00FC59B5" w:rsidRDefault="00724212" w:rsidP="00724212">
            <w:pPr>
              <w:spacing w:after="0" w:line="240" w:lineRule="auto"/>
              <w:contextualSpacing/>
              <w:jc w:val="center"/>
              <w:rPr>
                <w:rFonts w:ascii="Times New Roman" w:eastAsia="Times New Roman" w:hAnsi="Times New Roman" w:cs="Times New Roman"/>
                <w:color w:val="000000" w:themeColor="text1"/>
                <w:sz w:val="20"/>
                <w:szCs w:val="20"/>
                <w:lang w:eastAsia="en-GB"/>
              </w:rPr>
            </w:pPr>
            <w:r w:rsidRPr="00FC59B5">
              <w:rPr>
                <w:rFonts w:ascii="Times New Roman" w:eastAsia="Times New Roman" w:hAnsi="Times New Roman" w:cs="Times New Roman"/>
                <w:color w:val="000000" w:themeColor="text1"/>
                <w:sz w:val="20"/>
                <w:szCs w:val="20"/>
                <w:lang w:eastAsia="en-GB"/>
              </w:rPr>
              <w:t>13.06</w:t>
            </w:r>
          </w:p>
        </w:tc>
      </w:tr>
    </w:tbl>
    <w:p w14:paraId="3DA5C0EC" w14:textId="4ED9DCC9" w:rsidR="00EC7068" w:rsidRPr="00FC59B5" w:rsidRDefault="00EC7068" w:rsidP="002E5090">
      <w:pPr>
        <w:spacing w:after="120"/>
        <w:contextualSpacing/>
        <w:jc w:val="both"/>
        <w:rPr>
          <w:i/>
          <w:iCs/>
          <w:sz w:val="16"/>
          <w:szCs w:val="16"/>
        </w:rPr>
      </w:pPr>
      <w:proofErr w:type="spellStart"/>
      <w:r w:rsidRPr="00FC59B5">
        <w:rPr>
          <w:b/>
          <w:bCs/>
          <w:i/>
          <w:iCs/>
          <w:sz w:val="16"/>
          <w:szCs w:val="16"/>
        </w:rPr>
        <w:t>CSR_LM_Net_Tone</w:t>
      </w:r>
      <w:proofErr w:type="spellEnd"/>
      <w:r w:rsidRPr="00FC59B5">
        <w:rPr>
          <w:i/>
          <w:iCs/>
          <w:sz w:val="16"/>
          <w:szCs w:val="16"/>
        </w:rPr>
        <w:t>:</w:t>
      </w:r>
      <w:r w:rsidR="0078253A" w:rsidRPr="00FC59B5">
        <w:rPr>
          <w:i/>
          <w:iCs/>
          <w:sz w:val="16"/>
          <w:szCs w:val="16"/>
        </w:rPr>
        <w:t xml:space="preserve"> Ratio of Net Tone of CSR Narratives</w:t>
      </w:r>
      <w:r w:rsidR="00A2737A" w:rsidRPr="00FC59B5">
        <w:rPr>
          <w:i/>
          <w:iCs/>
          <w:sz w:val="16"/>
          <w:szCs w:val="16"/>
        </w:rPr>
        <w:t xml:space="preserve">, based on Loughran and </w:t>
      </w:r>
      <w:proofErr w:type="spellStart"/>
      <w:r w:rsidR="00A2737A" w:rsidRPr="00FC59B5">
        <w:rPr>
          <w:i/>
          <w:iCs/>
          <w:sz w:val="16"/>
          <w:szCs w:val="16"/>
        </w:rPr>
        <w:t>Mcdonald</w:t>
      </w:r>
      <w:proofErr w:type="spellEnd"/>
      <w:r w:rsidR="00A2737A" w:rsidRPr="00FC59B5">
        <w:rPr>
          <w:i/>
          <w:iCs/>
          <w:sz w:val="16"/>
          <w:szCs w:val="16"/>
        </w:rPr>
        <w:t xml:space="preserve"> (2011)</w:t>
      </w:r>
      <w:r w:rsidR="002E5090" w:rsidRPr="00FC59B5">
        <w:rPr>
          <w:i/>
          <w:iCs/>
          <w:sz w:val="16"/>
          <w:szCs w:val="16"/>
        </w:rPr>
        <w:t xml:space="preserve">, </w:t>
      </w:r>
      <w:r w:rsidRPr="00FC59B5">
        <w:rPr>
          <w:b/>
          <w:bCs/>
          <w:i/>
          <w:iCs/>
          <w:sz w:val="16"/>
          <w:szCs w:val="16"/>
        </w:rPr>
        <w:t>CSR_H08_Net_Tone</w:t>
      </w:r>
      <w:r w:rsidRPr="00FC59B5">
        <w:rPr>
          <w:i/>
          <w:iCs/>
          <w:sz w:val="16"/>
          <w:szCs w:val="16"/>
        </w:rPr>
        <w:t>:</w:t>
      </w:r>
      <w:r w:rsidR="0078253A" w:rsidRPr="00FC59B5">
        <w:rPr>
          <w:i/>
          <w:iCs/>
          <w:sz w:val="16"/>
          <w:szCs w:val="16"/>
        </w:rPr>
        <w:t xml:space="preserve"> Ratio of Net Tone of CSR Narratives</w:t>
      </w:r>
      <w:r w:rsidR="00A2737A" w:rsidRPr="00FC59B5">
        <w:rPr>
          <w:i/>
          <w:iCs/>
          <w:sz w:val="16"/>
          <w:szCs w:val="16"/>
        </w:rPr>
        <w:t>, based on Henry (2008)</w:t>
      </w:r>
      <w:r w:rsidR="002E5090" w:rsidRPr="00FC59B5">
        <w:rPr>
          <w:i/>
          <w:iCs/>
          <w:sz w:val="16"/>
          <w:szCs w:val="16"/>
        </w:rPr>
        <w:t xml:space="preserve">, </w:t>
      </w:r>
      <w:r w:rsidRPr="00FC59B5">
        <w:rPr>
          <w:b/>
          <w:bCs/>
          <w:i/>
          <w:iCs/>
          <w:sz w:val="16"/>
          <w:szCs w:val="16"/>
        </w:rPr>
        <w:t>CSR_LM11_Pos_Tone</w:t>
      </w:r>
      <w:r w:rsidRPr="00FC59B5">
        <w:rPr>
          <w:i/>
          <w:iCs/>
          <w:sz w:val="16"/>
          <w:szCs w:val="16"/>
        </w:rPr>
        <w:t>:</w:t>
      </w:r>
      <w:r w:rsidR="0078253A" w:rsidRPr="00FC59B5">
        <w:rPr>
          <w:i/>
          <w:iCs/>
          <w:sz w:val="16"/>
          <w:szCs w:val="16"/>
        </w:rPr>
        <w:t xml:space="preserve"> Ratio of Positive Tone of CSR Narratives</w:t>
      </w:r>
      <w:r w:rsidR="007A4944" w:rsidRPr="00FC59B5">
        <w:rPr>
          <w:i/>
          <w:iCs/>
          <w:sz w:val="16"/>
          <w:szCs w:val="16"/>
        </w:rPr>
        <w:t xml:space="preserve">, based on Loughran and </w:t>
      </w:r>
      <w:proofErr w:type="spellStart"/>
      <w:r w:rsidR="007A4944" w:rsidRPr="00FC59B5">
        <w:rPr>
          <w:i/>
          <w:iCs/>
          <w:sz w:val="16"/>
          <w:szCs w:val="16"/>
        </w:rPr>
        <w:t>Mcdonald</w:t>
      </w:r>
      <w:proofErr w:type="spellEnd"/>
      <w:r w:rsidR="007A4944" w:rsidRPr="00FC59B5">
        <w:rPr>
          <w:i/>
          <w:iCs/>
          <w:sz w:val="16"/>
          <w:szCs w:val="16"/>
        </w:rPr>
        <w:t xml:space="preserve"> (2011)</w:t>
      </w:r>
      <w:r w:rsidR="002E5090" w:rsidRPr="00FC59B5">
        <w:rPr>
          <w:i/>
          <w:iCs/>
          <w:sz w:val="16"/>
          <w:szCs w:val="16"/>
        </w:rPr>
        <w:t xml:space="preserve">, </w:t>
      </w:r>
      <w:r w:rsidRPr="00FC59B5">
        <w:rPr>
          <w:b/>
          <w:bCs/>
          <w:i/>
          <w:iCs/>
          <w:sz w:val="16"/>
          <w:szCs w:val="16"/>
        </w:rPr>
        <w:t>CSR_LM11_Neg_Tone</w:t>
      </w:r>
      <w:r w:rsidRPr="00FC59B5">
        <w:rPr>
          <w:i/>
          <w:iCs/>
          <w:sz w:val="16"/>
          <w:szCs w:val="16"/>
        </w:rPr>
        <w:t>:</w:t>
      </w:r>
      <w:r w:rsidR="0078253A" w:rsidRPr="00FC59B5">
        <w:rPr>
          <w:i/>
          <w:iCs/>
          <w:sz w:val="16"/>
          <w:szCs w:val="16"/>
        </w:rPr>
        <w:t xml:space="preserve"> Ratio of Negative Tone of CSR Narratives</w:t>
      </w:r>
      <w:r w:rsidR="007A4944" w:rsidRPr="00FC59B5">
        <w:rPr>
          <w:i/>
          <w:iCs/>
          <w:sz w:val="16"/>
          <w:szCs w:val="16"/>
        </w:rPr>
        <w:t xml:space="preserve">, based on Loughran and </w:t>
      </w:r>
      <w:proofErr w:type="spellStart"/>
      <w:r w:rsidR="007A4944" w:rsidRPr="00FC59B5">
        <w:rPr>
          <w:i/>
          <w:iCs/>
          <w:sz w:val="16"/>
          <w:szCs w:val="16"/>
        </w:rPr>
        <w:t>Mcdonald</w:t>
      </w:r>
      <w:proofErr w:type="spellEnd"/>
      <w:r w:rsidR="007A4944" w:rsidRPr="00FC59B5">
        <w:rPr>
          <w:i/>
          <w:iCs/>
          <w:sz w:val="16"/>
          <w:szCs w:val="16"/>
        </w:rPr>
        <w:t xml:space="preserve"> (2011)</w:t>
      </w:r>
      <w:r w:rsidR="002E5090" w:rsidRPr="00FC59B5">
        <w:rPr>
          <w:i/>
          <w:iCs/>
          <w:sz w:val="16"/>
          <w:szCs w:val="16"/>
        </w:rPr>
        <w:t xml:space="preserve">, </w:t>
      </w:r>
      <w:r w:rsidRPr="00FC59B5">
        <w:rPr>
          <w:b/>
          <w:bCs/>
          <w:i/>
          <w:iCs/>
          <w:sz w:val="16"/>
          <w:szCs w:val="16"/>
        </w:rPr>
        <w:t>BRD_SZ</w:t>
      </w:r>
      <w:r w:rsidRPr="00FC59B5">
        <w:rPr>
          <w:i/>
          <w:iCs/>
          <w:sz w:val="16"/>
          <w:szCs w:val="16"/>
        </w:rPr>
        <w:t xml:space="preserve">: Board Size, </w:t>
      </w:r>
      <w:r w:rsidRPr="00FC59B5">
        <w:rPr>
          <w:b/>
          <w:bCs/>
          <w:i/>
          <w:iCs/>
          <w:sz w:val="16"/>
          <w:szCs w:val="16"/>
        </w:rPr>
        <w:t>PCT_INED</w:t>
      </w:r>
      <w:r w:rsidRPr="00FC59B5">
        <w:rPr>
          <w:i/>
          <w:iCs/>
          <w:sz w:val="16"/>
          <w:szCs w:val="16"/>
        </w:rPr>
        <w:t xml:space="preserve">: Ratio of Independent Non-Executive Directors, </w:t>
      </w:r>
      <w:r w:rsidRPr="00FC59B5">
        <w:rPr>
          <w:b/>
          <w:bCs/>
          <w:i/>
          <w:iCs/>
          <w:sz w:val="16"/>
          <w:szCs w:val="16"/>
        </w:rPr>
        <w:t>PCT_BRD_WOMEN</w:t>
      </w:r>
      <w:r w:rsidRPr="00FC59B5">
        <w:rPr>
          <w:i/>
          <w:iCs/>
          <w:sz w:val="16"/>
          <w:szCs w:val="16"/>
        </w:rPr>
        <w:t xml:space="preserve">: Ratio of Women on Board, </w:t>
      </w:r>
      <w:r w:rsidRPr="00FC59B5">
        <w:rPr>
          <w:b/>
          <w:bCs/>
          <w:i/>
          <w:iCs/>
          <w:sz w:val="16"/>
          <w:szCs w:val="16"/>
        </w:rPr>
        <w:t>AUDCOM_SZ</w:t>
      </w:r>
      <w:r w:rsidRPr="00FC59B5">
        <w:rPr>
          <w:i/>
          <w:iCs/>
          <w:sz w:val="16"/>
          <w:szCs w:val="16"/>
        </w:rPr>
        <w:t xml:space="preserve">: Audit Committee Size, </w:t>
      </w:r>
      <w:r w:rsidRPr="00FC59B5">
        <w:rPr>
          <w:b/>
          <w:bCs/>
          <w:i/>
          <w:iCs/>
          <w:sz w:val="16"/>
          <w:szCs w:val="16"/>
        </w:rPr>
        <w:t>ESG</w:t>
      </w:r>
      <w:r w:rsidRPr="00FC59B5">
        <w:rPr>
          <w:i/>
          <w:iCs/>
          <w:sz w:val="16"/>
          <w:szCs w:val="16"/>
        </w:rPr>
        <w:t xml:space="preserve">: ESG Disclosure, </w:t>
      </w:r>
      <w:r w:rsidRPr="00FC59B5">
        <w:rPr>
          <w:b/>
          <w:bCs/>
          <w:i/>
          <w:iCs/>
          <w:sz w:val="16"/>
          <w:szCs w:val="16"/>
        </w:rPr>
        <w:t>ROA</w:t>
      </w:r>
      <w:r w:rsidRPr="00FC59B5">
        <w:rPr>
          <w:i/>
          <w:iCs/>
          <w:sz w:val="16"/>
          <w:szCs w:val="16"/>
        </w:rPr>
        <w:t xml:space="preserve">: Return on Assets, </w:t>
      </w:r>
      <w:r w:rsidRPr="00FC59B5">
        <w:rPr>
          <w:b/>
          <w:bCs/>
          <w:i/>
          <w:iCs/>
          <w:sz w:val="16"/>
          <w:szCs w:val="16"/>
        </w:rPr>
        <w:t>FNCL_LVRG</w:t>
      </w:r>
      <w:r w:rsidRPr="00FC59B5">
        <w:rPr>
          <w:i/>
          <w:iCs/>
          <w:sz w:val="16"/>
          <w:szCs w:val="16"/>
        </w:rPr>
        <w:t xml:space="preserve">: Financial Leverage, </w:t>
      </w:r>
      <w:r w:rsidRPr="00FC59B5">
        <w:rPr>
          <w:b/>
          <w:bCs/>
          <w:i/>
          <w:iCs/>
          <w:sz w:val="16"/>
          <w:szCs w:val="16"/>
        </w:rPr>
        <w:t>LN_TRNOVR</w:t>
      </w:r>
      <w:r w:rsidRPr="00FC59B5">
        <w:rPr>
          <w:i/>
          <w:iCs/>
          <w:sz w:val="16"/>
          <w:szCs w:val="16"/>
        </w:rPr>
        <w:t>: Firm Size</w:t>
      </w:r>
    </w:p>
    <w:p w14:paraId="4E4B122E" w14:textId="77777777" w:rsidR="00724212" w:rsidRPr="00FC59B5" w:rsidRDefault="00724212" w:rsidP="00724212">
      <w:pPr>
        <w:contextualSpacing/>
        <w:jc w:val="both"/>
        <w:rPr>
          <w:rFonts w:asciiTheme="majorBidi" w:hAnsiTheme="majorBidi" w:cstheme="majorBidi"/>
          <w:color w:val="000000" w:themeColor="text1"/>
          <w:sz w:val="24"/>
          <w:szCs w:val="24"/>
        </w:rPr>
      </w:pPr>
    </w:p>
    <w:p w14:paraId="31055A9C" w14:textId="77777777" w:rsidR="00724212" w:rsidRPr="00FC59B5" w:rsidRDefault="00724212" w:rsidP="00724212">
      <w:pPr>
        <w:spacing w:after="120" w:line="360" w:lineRule="auto"/>
        <w:ind w:firstLine="720"/>
        <w:contextualSpacing/>
        <w:jc w:val="both"/>
        <w:rPr>
          <w:rFonts w:ascii="Times New Roman" w:hAnsi="Times New Roman" w:cs="Times New Roman"/>
          <w:color w:val="000000" w:themeColor="text1"/>
          <w:sz w:val="24"/>
        </w:rPr>
      </w:pPr>
    </w:p>
    <w:p w14:paraId="3571DBBA" w14:textId="471CD7EC" w:rsidR="00724212" w:rsidRPr="00FC59B5" w:rsidRDefault="00724212" w:rsidP="00724212">
      <w:pPr>
        <w:contextualSpacing/>
        <w:jc w:val="both"/>
        <w:rPr>
          <w:rFonts w:ascii="Times New Roman" w:hAnsi="Times New Roman" w:cs="Times New Roman"/>
          <w:color w:val="000000" w:themeColor="text1"/>
          <w:sz w:val="24"/>
          <w:szCs w:val="24"/>
        </w:rPr>
      </w:pPr>
      <w:r w:rsidRPr="00FC59B5">
        <w:rPr>
          <w:rFonts w:ascii="Times New Roman" w:hAnsi="Times New Roman" w:cs="Times New Roman"/>
          <w:color w:val="000000" w:themeColor="text1"/>
          <w:sz w:val="24"/>
        </w:rPr>
        <w:t xml:space="preserve">Table </w:t>
      </w:r>
      <w:r w:rsidRPr="00FC59B5">
        <w:rPr>
          <w:rFonts w:ascii="Times New Roman" w:hAnsi="Times New Roman"/>
          <w:sz w:val="24"/>
        </w:rPr>
        <w:t>3</w:t>
      </w:r>
      <w:r w:rsidRPr="00FC59B5">
        <w:rPr>
          <w:rFonts w:ascii="Times New Roman" w:hAnsi="Times New Roman" w:cs="Times New Roman"/>
          <w:color w:val="000000" w:themeColor="text1"/>
          <w:sz w:val="24"/>
        </w:rPr>
        <w:t xml:space="preserve">. Robustness </w:t>
      </w:r>
      <w:r w:rsidR="002D154D" w:rsidRPr="00FC59B5">
        <w:rPr>
          <w:rFonts w:ascii="Times New Roman" w:hAnsi="Times New Roman" w:cs="Times New Roman"/>
          <w:color w:val="000000" w:themeColor="text1"/>
          <w:sz w:val="24"/>
        </w:rPr>
        <w:t>T</w:t>
      </w:r>
      <w:r w:rsidRPr="00FC59B5">
        <w:rPr>
          <w:rFonts w:ascii="Times New Roman" w:hAnsi="Times New Roman" w:cs="Times New Roman"/>
          <w:color w:val="000000" w:themeColor="text1"/>
          <w:sz w:val="24"/>
        </w:rPr>
        <w:t>ests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31"/>
        <w:gridCol w:w="1231"/>
        <w:gridCol w:w="1231"/>
        <w:gridCol w:w="1231"/>
        <w:gridCol w:w="1231"/>
      </w:tblGrid>
      <w:tr w:rsidR="00724212" w:rsidRPr="00FC59B5" w14:paraId="7CFAD9F2" w14:textId="77777777" w:rsidTr="007327AF">
        <w:trPr>
          <w:trHeight w:val="340"/>
          <w:tblHeader/>
        </w:trPr>
        <w:tc>
          <w:tcPr>
            <w:tcW w:w="2861" w:type="dxa"/>
            <w:shd w:val="clear" w:color="auto" w:fill="auto"/>
            <w:vAlign w:val="center"/>
            <w:hideMark/>
          </w:tcPr>
          <w:p w14:paraId="6C074C3A" w14:textId="77777777" w:rsidR="00724212" w:rsidRPr="00FC59B5" w:rsidRDefault="00724212" w:rsidP="00724212">
            <w:pPr>
              <w:spacing w:line="240" w:lineRule="auto"/>
              <w:contextualSpacing/>
              <w:jc w:val="center"/>
              <w:rPr>
                <w:b/>
                <w:bCs/>
                <w:color w:val="000000" w:themeColor="text1"/>
                <w:sz w:val="20"/>
                <w:szCs w:val="20"/>
                <w:lang w:eastAsia="en-GB"/>
              </w:rPr>
            </w:pPr>
            <w:r w:rsidRPr="00FC59B5">
              <w:rPr>
                <w:b/>
                <w:bCs/>
                <w:color w:val="000000" w:themeColor="text1"/>
                <w:sz w:val="20"/>
                <w:szCs w:val="20"/>
                <w:lang w:eastAsia="en-GB"/>
              </w:rPr>
              <w:t>Robustness Checks</w:t>
            </w:r>
          </w:p>
        </w:tc>
        <w:tc>
          <w:tcPr>
            <w:tcW w:w="1231" w:type="dxa"/>
            <w:shd w:val="clear" w:color="auto" w:fill="auto"/>
            <w:vAlign w:val="center"/>
          </w:tcPr>
          <w:p w14:paraId="6F044F38" w14:textId="77777777" w:rsidR="00724212" w:rsidRPr="00FC59B5" w:rsidRDefault="00724212" w:rsidP="00724212">
            <w:pPr>
              <w:spacing w:line="240" w:lineRule="auto"/>
              <w:contextualSpacing/>
              <w:jc w:val="center"/>
              <w:rPr>
                <w:b/>
                <w:bCs/>
                <w:color w:val="000000" w:themeColor="text1"/>
                <w:sz w:val="20"/>
                <w:szCs w:val="20"/>
                <w:lang w:eastAsia="en-GB"/>
              </w:rPr>
            </w:pPr>
            <w:r w:rsidRPr="00FC59B5">
              <w:rPr>
                <w:b/>
                <w:bCs/>
                <w:color w:val="000000" w:themeColor="text1"/>
                <w:sz w:val="20"/>
                <w:szCs w:val="20"/>
              </w:rPr>
              <w:t>Model 01</w:t>
            </w:r>
          </w:p>
        </w:tc>
        <w:tc>
          <w:tcPr>
            <w:tcW w:w="1231" w:type="dxa"/>
            <w:shd w:val="clear" w:color="auto" w:fill="auto"/>
            <w:vAlign w:val="center"/>
          </w:tcPr>
          <w:p w14:paraId="136004D1" w14:textId="77777777" w:rsidR="00724212" w:rsidRPr="00FC59B5" w:rsidRDefault="00724212" w:rsidP="00724212">
            <w:pPr>
              <w:spacing w:line="240" w:lineRule="auto"/>
              <w:contextualSpacing/>
              <w:jc w:val="center"/>
              <w:rPr>
                <w:b/>
                <w:bCs/>
                <w:color w:val="000000" w:themeColor="text1"/>
                <w:sz w:val="20"/>
                <w:szCs w:val="20"/>
              </w:rPr>
            </w:pPr>
            <w:r w:rsidRPr="00FC59B5">
              <w:rPr>
                <w:b/>
                <w:bCs/>
                <w:color w:val="000000" w:themeColor="text1"/>
                <w:sz w:val="20"/>
                <w:szCs w:val="20"/>
              </w:rPr>
              <w:t>Model 02</w:t>
            </w:r>
          </w:p>
        </w:tc>
        <w:tc>
          <w:tcPr>
            <w:tcW w:w="1231" w:type="dxa"/>
            <w:shd w:val="clear" w:color="auto" w:fill="auto"/>
            <w:vAlign w:val="center"/>
          </w:tcPr>
          <w:p w14:paraId="65A587F0" w14:textId="77777777" w:rsidR="00724212" w:rsidRPr="00FC59B5" w:rsidRDefault="00724212" w:rsidP="00724212">
            <w:pPr>
              <w:spacing w:line="240" w:lineRule="auto"/>
              <w:contextualSpacing/>
              <w:jc w:val="center"/>
              <w:rPr>
                <w:b/>
                <w:bCs/>
                <w:color w:val="000000" w:themeColor="text1"/>
                <w:sz w:val="20"/>
                <w:szCs w:val="20"/>
              </w:rPr>
            </w:pPr>
            <w:r w:rsidRPr="00FC59B5">
              <w:rPr>
                <w:b/>
                <w:bCs/>
                <w:color w:val="000000" w:themeColor="text1"/>
                <w:sz w:val="20"/>
                <w:szCs w:val="20"/>
              </w:rPr>
              <w:t>Model 03</w:t>
            </w:r>
          </w:p>
        </w:tc>
        <w:tc>
          <w:tcPr>
            <w:tcW w:w="1231" w:type="dxa"/>
            <w:shd w:val="clear" w:color="auto" w:fill="auto"/>
            <w:vAlign w:val="center"/>
          </w:tcPr>
          <w:p w14:paraId="1A5CDD01" w14:textId="77777777" w:rsidR="00724212" w:rsidRPr="00FC59B5" w:rsidRDefault="00724212" w:rsidP="00724212">
            <w:pPr>
              <w:spacing w:line="240" w:lineRule="auto"/>
              <w:contextualSpacing/>
              <w:jc w:val="center"/>
              <w:rPr>
                <w:b/>
                <w:bCs/>
                <w:color w:val="000000" w:themeColor="text1"/>
                <w:sz w:val="20"/>
                <w:szCs w:val="20"/>
              </w:rPr>
            </w:pPr>
            <w:r w:rsidRPr="00FC59B5">
              <w:rPr>
                <w:b/>
                <w:bCs/>
                <w:color w:val="000000" w:themeColor="text1"/>
                <w:sz w:val="20"/>
                <w:szCs w:val="20"/>
              </w:rPr>
              <w:t>Model 04</w:t>
            </w:r>
          </w:p>
        </w:tc>
        <w:tc>
          <w:tcPr>
            <w:tcW w:w="1231" w:type="dxa"/>
            <w:shd w:val="clear" w:color="auto" w:fill="auto"/>
            <w:vAlign w:val="center"/>
            <w:hideMark/>
          </w:tcPr>
          <w:p w14:paraId="77972888" w14:textId="77777777" w:rsidR="00724212" w:rsidRPr="00FC59B5" w:rsidRDefault="00724212" w:rsidP="00724212">
            <w:pPr>
              <w:spacing w:line="240" w:lineRule="auto"/>
              <w:contextualSpacing/>
              <w:jc w:val="center"/>
              <w:rPr>
                <w:b/>
                <w:bCs/>
                <w:color w:val="000000" w:themeColor="text1"/>
                <w:sz w:val="20"/>
                <w:szCs w:val="20"/>
              </w:rPr>
            </w:pPr>
            <w:r w:rsidRPr="00FC59B5">
              <w:rPr>
                <w:b/>
                <w:bCs/>
                <w:color w:val="000000" w:themeColor="text1"/>
                <w:sz w:val="20"/>
                <w:szCs w:val="20"/>
              </w:rPr>
              <w:t>Model 05</w:t>
            </w:r>
          </w:p>
        </w:tc>
      </w:tr>
      <w:tr w:rsidR="00724212" w:rsidRPr="00FC59B5" w14:paraId="058BCDCB" w14:textId="77777777" w:rsidTr="007327AF">
        <w:trPr>
          <w:trHeight w:val="340"/>
        </w:trPr>
        <w:tc>
          <w:tcPr>
            <w:tcW w:w="2861" w:type="dxa"/>
            <w:shd w:val="clear" w:color="auto" w:fill="auto"/>
            <w:vAlign w:val="center"/>
            <w:hideMark/>
          </w:tcPr>
          <w:p w14:paraId="3E881286" w14:textId="77777777" w:rsidR="00724212" w:rsidRPr="00FC59B5" w:rsidRDefault="00724212" w:rsidP="00724212">
            <w:pPr>
              <w:tabs>
                <w:tab w:val="left" w:pos="6804"/>
              </w:tabs>
              <w:spacing w:after="0" w:line="360" w:lineRule="auto"/>
              <w:contextualSpacing/>
              <w:jc w:val="both"/>
              <w:rPr>
                <w:rFonts w:ascii="Cambria" w:hAnsi="Cambria"/>
                <w:color w:val="000000" w:themeColor="text1"/>
                <w:sz w:val="18"/>
                <w:szCs w:val="18"/>
              </w:rPr>
            </w:pPr>
            <w:r w:rsidRPr="00FC59B5">
              <w:rPr>
                <w:rFonts w:ascii="Cambria" w:hAnsi="Cambria"/>
                <w:color w:val="000000" w:themeColor="text1"/>
                <w:sz w:val="18"/>
                <w:szCs w:val="18"/>
              </w:rPr>
              <w:t>Multicollinearity Test (VIF)</w:t>
            </w:r>
          </w:p>
          <w:p w14:paraId="053B7108" w14:textId="77777777" w:rsidR="00724212" w:rsidRPr="00FC59B5" w:rsidRDefault="00724212" w:rsidP="00724212">
            <w:pPr>
              <w:spacing w:after="0" w:line="360" w:lineRule="auto"/>
              <w:contextualSpacing/>
              <w:jc w:val="both"/>
              <w:rPr>
                <w:rFonts w:ascii="Cambria" w:hAnsi="Cambria"/>
                <w:i/>
                <w:iCs/>
                <w:color w:val="000000" w:themeColor="text1"/>
                <w:sz w:val="14"/>
                <w:szCs w:val="14"/>
              </w:rPr>
            </w:pPr>
            <w:r w:rsidRPr="00FC59B5">
              <w:rPr>
                <w:rFonts w:ascii="Cambria" w:hAnsi="Cambria"/>
                <w:i/>
                <w:iCs/>
                <w:color w:val="000000" w:themeColor="text1"/>
                <w:sz w:val="14"/>
                <w:szCs w:val="14"/>
              </w:rPr>
              <w:t>* [if VIF &gt;10 → there is multicollinearity problem]</w:t>
            </w:r>
          </w:p>
        </w:tc>
        <w:tc>
          <w:tcPr>
            <w:tcW w:w="1231" w:type="dxa"/>
            <w:shd w:val="clear" w:color="auto" w:fill="auto"/>
            <w:vAlign w:val="center"/>
          </w:tcPr>
          <w:p w14:paraId="546BE4EB" w14:textId="77777777" w:rsidR="00724212" w:rsidRPr="00FC59B5" w:rsidRDefault="00724212" w:rsidP="00724212">
            <w:pPr>
              <w:jc w:val="center"/>
              <w:rPr>
                <w:color w:val="000000" w:themeColor="text1"/>
                <w:sz w:val="20"/>
                <w:szCs w:val="20"/>
              </w:rPr>
            </w:pPr>
            <w:r w:rsidRPr="00FC59B5">
              <w:rPr>
                <w:color w:val="000000" w:themeColor="text1"/>
                <w:sz w:val="20"/>
                <w:szCs w:val="20"/>
              </w:rPr>
              <w:t>Mean VIF = 1.50</w:t>
            </w:r>
          </w:p>
        </w:tc>
        <w:tc>
          <w:tcPr>
            <w:tcW w:w="1231" w:type="dxa"/>
            <w:shd w:val="clear" w:color="auto" w:fill="auto"/>
            <w:vAlign w:val="center"/>
          </w:tcPr>
          <w:p w14:paraId="4A3A013C" w14:textId="77777777" w:rsidR="00724212" w:rsidRPr="00FC59B5" w:rsidRDefault="00724212" w:rsidP="00724212">
            <w:pPr>
              <w:jc w:val="center"/>
              <w:rPr>
                <w:color w:val="000000" w:themeColor="text1"/>
                <w:sz w:val="20"/>
                <w:szCs w:val="20"/>
              </w:rPr>
            </w:pPr>
            <w:r w:rsidRPr="00FC59B5">
              <w:rPr>
                <w:color w:val="000000" w:themeColor="text1"/>
                <w:sz w:val="20"/>
                <w:szCs w:val="20"/>
              </w:rPr>
              <w:t>Mean VIF = 1.50</w:t>
            </w:r>
          </w:p>
        </w:tc>
        <w:tc>
          <w:tcPr>
            <w:tcW w:w="1231" w:type="dxa"/>
            <w:shd w:val="clear" w:color="auto" w:fill="auto"/>
            <w:vAlign w:val="center"/>
          </w:tcPr>
          <w:p w14:paraId="2E4E29EC" w14:textId="77777777" w:rsidR="00724212" w:rsidRPr="00FC59B5" w:rsidRDefault="00724212" w:rsidP="00724212">
            <w:pPr>
              <w:jc w:val="center"/>
              <w:rPr>
                <w:color w:val="000000" w:themeColor="text1"/>
                <w:sz w:val="20"/>
                <w:szCs w:val="20"/>
              </w:rPr>
            </w:pPr>
            <w:r w:rsidRPr="00FC59B5">
              <w:rPr>
                <w:color w:val="000000" w:themeColor="text1"/>
                <w:sz w:val="20"/>
                <w:szCs w:val="20"/>
              </w:rPr>
              <w:t>Mean VIF = 1.50</w:t>
            </w:r>
          </w:p>
        </w:tc>
        <w:tc>
          <w:tcPr>
            <w:tcW w:w="1231" w:type="dxa"/>
            <w:shd w:val="clear" w:color="auto" w:fill="auto"/>
            <w:vAlign w:val="center"/>
          </w:tcPr>
          <w:p w14:paraId="07AB1562" w14:textId="77777777" w:rsidR="00724212" w:rsidRPr="00FC59B5" w:rsidRDefault="00724212" w:rsidP="00724212">
            <w:pPr>
              <w:jc w:val="center"/>
              <w:rPr>
                <w:color w:val="000000" w:themeColor="text1"/>
                <w:sz w:val="20"/>
                <w:szCs w:val="20"/>
              </w:rPr>
            </w:pPr>
            <w:r w:rsidRPr="00FC59B5">
              <w:rPr>
                <w:color w:val="000000" w:themeColor="text1"/>
                <w:sz w:val="20"/>
                <w:szCs w:val="20"/>
              </w:rPr>
              <w:t>Mean VIF = 1.50</w:t>
            </w:r>
          </w:p>
        </w:tc>
        <w:tc>
          <w:tcPr>
            <w:tcW w:w="1231" w:type="dxa"/>
            <w:shd w:val="clear" w:color="auto" w:fill="auto"/>
            <w:vAlign w:val="center"/>
          </w:tcPr>
          <w:p w14:paraId="4960117D" w14:textId="77777777" w:rsidR="00724212" w:rsidRPr="00FC59B5" w:rsidRDefault="00724212" w:rsidP="00724212">
            <w:pPr>
              <w:jc w:val="center"/>
              <w:rPr>
                <w:color w:val="000000" w:themeColor="text1"/>
                <w:sz w:val="20"/>
                <w:szCs w:val="20"/>
              </w:rPr>
            </w:pPr>
            <w:r w:rsidRPr="00FC59B5">
              <w:rPr>
                <w:color w:val="000000" w:themeColor="text1"/>
                <w:sz w:val="20"/>
                <w:szCs w:val="20"/>
              </w:rPr>
              <w:t>Mean VIF = 1.50</w:t>
            </w:r>
          </w:p>
        </w:tc>
      </w:tr>
      <w:tr w:rsidR="00724212" w:rsidRPr="00FC59B5" w14:paraId="76C6E2E3" w14:textId="77777777" w:rsidTr="007327AF">
        <w:trPr>
          <w:trHeight w:val="340"/>
        </w:trPr>
        <w:tc>
          <w:tcPr>
            <w:tcW w:w="2861" w:type="dxa"/>
            <w:shd w:val="clear" w:color="auto" w:fill="auto"/>
            <w:vAlign w:val="center"/>
          </w:tcPr>
          <w:p w14:paraId="5F628F01" w14:textId="77777777" w:rsidR="00724212" w:rsidRPr="00FC59B5" w:rsidRDefault="00724212" w:rsidP="00724212">
            <w:pPr>
              <w:tabs>
                <w:tab w:val="left" w:pos="6804"/>
              </w:tabs>
              <w:spacing w:after="0" w:line="360" w:lineRule="auto"/>
              <w:contextualSpacing/>
              <w:jc w:val="both"/>
              <w:rPr>
                <w:rFonts w:ascii="Cambria" w:hAnsi="Cambria"/>
                <w:i/>
                <w:iCs/>
                <w:color w:val="000000" w:themeColor="text1"/>
                <w:sz w:val="16"/>
                <w:szCs w:val="16"/>
              </w:rPr>
            </w:pPr>
            <w:r w:rsidRPr="00FC59B5">
              <w:rPr>
                <w:rFonts w:ascii="Cambria" w:hAnsi="Cambria"/>
                <w:color w:val="000000" w:themeColor="text1"/>
                <w:sz w:val="18"/>
                <w:szCs w:val="18"/>
              </w:rPr>
              <w:t xml:space="preserve">Heteroskedasticity Test - </w:t>
            </w:r>
            <w:r w:rsidRPr="00FC59B5">
              <w:rPr>
                <w:rFonts w:ascii="Cambria" w:hAnsi="Cambria"/>
                <w:i/>
                <w:iCs/>
                <w:color w:val="000000" w:themeColor="text1"/>
                <w:sz w:val="16"/>
                <w:szCs w:val="16"/>
              </w:rPr>
              <w:t xml:space="preserve">Using </w:t>
            </w:r>
            <w:proofErr w:type="spellStart"/>
            <w:r w:rsidRPr="00FC59B5">
              <w:rPr>
                <w:rFonts w:ascii="Cambria" w:hAnsi="Cambria"/>
                <w:i/>
                <w:iCs/>
                <w:color w:val="000000" w:themeColor="text1"/>
                <w:sz w:val="16"/>
                <w:szCs w:val="16"/>
              </w:rPr>
              <w:t>estat</w:t>
            </w:r>
            <w:proofErr w:type="spellEnd"/>
            <w:r w:rsidRPr="00FC59B5">
              <w:rPr>
                <w:rFonts w:ascii="Cambria" w:hAnsi="Cambria"/>
                <w:i/>
                <w:iCs/>
                <w:color w:val="000000" w:themeColor="text1"/>
                <w:sz w:val="16"/>
                <w:szCs w:val="16"/>
              </w:rPr>
              <w:t xml:space="preserve"> hottest * [if&lt;0.05 </w:t>
            </w:r>
            <w:r w:rsidRPr="00FC59B5">
              <w:rPr>
                <w:rFonts w:ascii="Cambria" w:hAnsi="Cambria"/>
                <w:i/>
                <w:iCs/>
                <w:color w:val="000000" w:themeColor="text1"/>
                <w:sz w:val="14"/>
                <w:szCs w:val="14"/>
              </w:rPr>
              <w:t>→</w:t>
            </w:r>
            <w:r w:rsidRPr="00FC59B5">
              <w:rPr>
                <w:rFonts w:ascii="Cambria" w:hAnsi="Cambria"/>
                <w:i/>
                <w:iCs/>
                <w:color w:val="000000" w:themeColor="text1"/>
                <w:sz w:val="16"/>
                <w:szCs w:val="16"/>
              </w:rPr>
              <w:t xml:space="preserve"> there is Heteroskedasticity]</w:t>
            </w:r>
          </w:p>
        </w:tc>
        <w:tc>
          <w:tcPr>
            <w:tcW w:w="1231" w:type="dxa"/>
            <w:shd w:val="clear" w:color="auto" w:fill="auto"/>
            <w:vAlign w:val="center"/>
          </w:tcPr>
          <w:p w14:paraId="63150449"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 &gt; chi2 = 0.5088</w:t>
            </w:r>
          </w:p>
        </w:tc>
        <w:tc>
          <w:tcPr>
            <w:tcW w:w="1231" w:type="dxa"/>
            <w:shd w:val="clear" w:color="auto" w:fill="auto"/>
            <w:vAlign w:val="center"/>
          </w:tcPr>
          <w:p w14:paraId="38524614"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Prob&gt;chi2 = 0.0000</w:t>
            </w:r>
          </w:p>
        </w:tc>
        <w:tc>
          <w:tcPr>
            <w:tcW w:w="1231" w:type="dxa"/>
            <w:shd w:val="clear" w:color="auto" w:fill="auto"/>
            <w:vAlign w:val="center"/>
          </w:tcPr>
          <w:p w14:paraId="475733C6"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Prob&gt;chi2 = 0.0196</w:t>
            </w:r>
          </w:p>
        </w:tc>
        <w:tc>
          <w:tcPr>
            <w:tcW w:w="1231" w:type="dxa"/>
            <w:shd w:val="clear" w:color="auto" w:fill="auto"/>
            <w:vAlign w:val="center"/>
          </w:tcPr>
          <w:p w14:paraId="776A09D8"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Prob&gt;chi = 0.5088</w:t>
            </w:r>
          </w:p>
        </w:tc>
        <w:tc>
          <w:tcPr>
            <w:tcW w:w="1231" w:type="dxa"/>
            <w:shd w:val="clear" w:color="auto" w:fill="auto"/>
            <w:vAlign w:val="center"/>
          </w:tcPr>
          <w:p w14:paraId="3A089848"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Prob&gt;chi = 0.5088</w:t>
            </w:r>
          </w:p>
        </w:tc>
      </w:tr>
      <w:tr w:rsidR="00724212" w:rsidRPr="00FC59B5" w14:paraId="0239ADB6" w14:textId="77777777" w:rsidTr="007327AF">
        <w:trPr>
          <w:trHeight w:val="340"/>
        </w:trPr>
        <w:tc>
          <w:tcPr>
            <w:tcW w:w="2861" w:type="dxa"/>
            <w:shd w:val="clear" w:color="auto" w:fill="auto"/>
            <w:vAlign w:val="center"/>
            <w:hideMark/>
          </w:tcPr>
          <w:p w14:paraId="46FB0B69" w14:textId="77777777" w:rsidR="00724212" w:rsidRPr="00FC59B5" w:rsidRDefault="00724212" w:rsidP="00724212">
            <w:pPr>
              <w:tabs>
                <w:tab w:val="left" w:pos="6804"/>
              </w:tabs>
              <w:spacing w:after="0" w:line="360" w:lineRule="auto"/>
              <w:contextualSpacing/>
              <w:jc w:val="both"/>
              <w:rPr>
                <w:rFonts w:ascii="Cambria" w:hAnsi="Cambria"/>
                <w:color w:val="000000" w:themeColor="text1"/>
                <w:sz w:val="18"/>
                <w:szCs w:val="18"/>
              </w:rPr>
            </w:pPr>
            <w:r w:rsidRPr="00FC59B5">
              <w:rPr>
                <w:rFonts w:ascii="Cambria" w:hAnsi="Cambria"/>
                <w:color w:val="000000" w:themeColor="text1"/>
                <w:sz w:val="18"/>
                <w:szCs w:val="18"/>
              </w:rPr>
              <w:t>Serial Correlation Test</w:t>
            </w:r>
          </w:p>
          <w:p w14:paraId="27F1992E" w14:textId="77777777" w:rsidR="00724212" w:rsidRPr="00FC59B5" w:rsidRDefault="00724212" w:rsidP="00724212">
            <w:pPr>
              <w:spacing w:after="0" w:line="360" w:lineRule="auto"/>
              <w:contextualSpacing/>
              <w:jc w:val="both"/>
              <w:rPr>
                <w:rFonts w:ascii="Cambria" w:hAnsi="Cambria"/>
                <w:i/>
                <w:iCs/>
                <w:color w:val="000000" w:themeColor="text1"/>
                <w:sz w:val="16"/>
                <w:szCs w:val="16"/>
              </w:rPr>
            </w:pPr>
            <w:r w:rsidRPr="00FC59B5">
              <w:rPr>
                <w:rFonts w:ascii="Cambria" w:hAnsi="Cambria"/>
                <w:i/>
                <w:iCs/>
                <w:color w:val="000000" w:themeColor="text1"/>
                <w:sz w:val="16"/>
                <w:szCs w:val="16"/>
              </w:rPr>
              <w:t xml:space="preserve">* [if&lt;0.05 </w:t>
            </w:r>
            <w:r w:rsidRPr="00FC59B5">
              <w:rPr>
                <w:rFonts w:ascii="Cambria" w:hAnsi="Cambria"/>
                <w:i/>
                <w:iCs/>
                <w:color w:val="000000" w:themeColor="text1"/>
                <w:sz w:val="14"/>
                <w:szCs w:val="14"/>
              </w:rPr>
              <w:t>→</w:t>
            </w:r>
            <w:r w:rsidRPr="00FC59B5">
              <w:rPr>
                <w:rFonts w:ascii="Cambria" w:hAnsi="Cambria"/>
                <w:i/>
                <w:iCs/>
                <w:color w:val="000000" w:themeColor="text1"/>
                <w:sz w:val="16"/>
                <w:szCs w:val="16"/>
              </w:rPr>
              <w:t xml:space="preserve"> Variables are serially correlated]</w:t>
            </w:r>
          </w:p>
        </w:tc>
        <w:tc>
          <w:tcPr>
            <w:tcW w:w="1231" w:type="dxa"/>
            <w:shd w:val="clear" w:color="auto" w:fill="auto"/>
            <w:vAlign w:val="center"/>
          </w:tcPr>
          <w:p w14:paraId="7A8E51F9"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 &gt; F = 0.0267</w:t>
            </w:r>
          </w:p>
        </w:tc>
        <w:tc>
          <w:tcPr>
            <w:tcW w:w="1231" w:type="dxa"/>
            <w:shd w:val="clear" w:color="auto" w:fill="auto"/>
            <w:vAlign w:val="center"/>
          </w:tcPr>
          <w:p w14:paraId="40EBBC9C"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 &gt; F = 0.1182</w:t>
            </w:r>
          </w:p>
        </w:tc>
        <w:tc>
          <w:tcPr>
            <w:tcW w:w="1231" w:type="dxa"/>
            <w:shd w:val="clear" w:color="auto" w:fill="auto"/>
            <w:vAlign w:val="center"/>
          </w:tcPr>
          <w:p w14:paraId="2EAF8FF4"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 &gt; F = 0.0556</w:t>
            </w:r>
          </w:p>
        </w:tc>
        <w:tc>
          <w:tcPr>
            <w:tcW w:w="1231" w:type="dxa"/>
            <w:shd w:val="clear" w:color="auto" w:fill="auto"/>
            <w:vAlign w:val="center"/>
          </w:tcPr>
          <w:p w14:paraId="203250F8"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 &gt; F = 0.0267</w:t>
            </w:r>
          </w:p>
        </w:tc>
        <w:tc>
          <w:tcPr>
            <w:tcW w:w="1231" w:type="dxa"/>
            <w:shd w:val="clear" w:color="auto" w:fill="auto"/>
            <w:vAlign w:val="center"/>
          </w:tcPr>
          <w:p w14:paraId="4558FEF4" w14:textId="77777777" w:rsidR="00724212" w:rsidRPr="00FC59B5" w:rsidRDefault="00724212" w:rsidP="00724212">
            <w:pPr>
              <w:spacing w:line="240" w:lineRule="auto"/>
              <w:contextualSpacing/>
              <w:jc w:val="center"/>
              <w:rPr>
                <w:color w:val="000000" w:themeColor="text1"/>
                <w:sz w:val="20"/>
                <w:szCs w:val="20"/>
              </w:rPr>
            </w:pPr>
            <w:r w:rsidRPr="00FC59B5">
              <w:rPr>
                <w:color w:val="000000" w:themeColor="text1"/>
                <w:sz w:val="20"/>
                <w:szCs w:val="20"/>
              </w:rPr>
              <w:t>Prob &gt; F = 0.0267</w:t>
            </w:r>
          </w:p>
        </w:tc>
      </w:tr>
      <w:tr w:rsidR="00724212" w:rsidRPr="00FC59B5" w14:paraId="66E0BBFD" w14:textId="77777777" w:rsidTr="007327AF">
        <w:trPr>
          <w:trHeight w:val="340"/>
        </w:trPr>
        <w:tc>
          <w:tcPr>
            <w:tcW w:w="2861" w:type="dxa"/>
            <w:shd w:val="clear" w:color="auto" w:fill="auto"/>
            <w:vAlign w:val="center"/>
            <w:hideMark/>
          </w:tcPr>
          <w:p w14:paraId="79C9D523" w14:textId="77777777" w:rsidR="00724212" w:rsidRPr="00FC59B5" w:rsidRDefault="00724212" w:rsidP="00724212">
            <w:pPr>
              <w:spacing w:line="240" w:lineRule="auto"/>
              <w:contextualSpacing/>
              <w:rPr>
                <w:b/>
                <w:bCs/>
                <w:color w:val="000000" w:themeColor="text1"/>
                <w:sz w:val="20"/>
                <w:szCs w:val="20"/>
                <w:lang w:eastAsia="en-GB"/>
              </w:rPr>
            </w:pPr>
            <w:r w:rsidRPr="00FC59B5">
              <w:rPr>
                <w:b/>
                <w:bCs/>
                <w:color w:val="000000" w:themeColor="text1"/>
                <w:sz w:val="20"/>
                <w:szCs w:val="20"/>
                <w:lang w:eastAsia="en-GB"/>
              </w:rPr>
              <w:lastRenderedPageBreak/>
              <w:t>Decision</w:t>
            </w:r>
          </w:p>
        </w:tc>
        <w:tc>
          <w:tcPr>
            <w:tcW w:w="1231" w:type="dxa"/>
            <w:shd w:val="clear" w:color="auto" w:fill="auto"/>
            <w:vAlign w:val="center"/>
          </w:tcPr>
          <w:p w14:paraId="4F029E7F" w14:textId="77777777" w:rsidR="00724212" w:rsidRPr="00FC59B5" w:rsidRDefault="00724212" w:rsidP="00724212">
            <w:pPr>
              <w:spacing w:line="240" w:lineRule="auto"/>
              <w:contextualSpacing/>
              <w:jc w:val="center"/>
              <w:rPr>
                <w:b/>
                <w:bCs/>
                <w:color w:val="000000" w:themeColor="text1"/>
                <w:sz w:val="20"/>
                <w:szCs w:val="20"/>
              </w:rPr>
            </w:pPr>
            <w:proofErr w:type="spellStart"/>
            <w:r w:rsidRPr="00FC59B5">
              <w:rPr>
                <w:b/>
                <w:bCs/>
                <w:color w:val="000000" w:themeColor="text1"/>
                <w:sz w:val="20"/>
                <w:szCs w:val="20"/>
              </w:rPr>
              <w:t>vce</w:t>
            </w:r>
            <w:proofErr w:type="spellEnd"/>
            <w:r w:rsidRPr="00FC59B5">
              <w:rPr>
                <w:b/>
                <w:bCs/>
                <w:color w:val="000000" w:themeColor="text1"/>
                <w:sz w:val="20"/>
                <w:szCs w:val="20"/>
              </w:rPr>
              <w:t>(robust)</w:t>
            </w:r>
          </w:p>
        </w:tc>
        <w:tc>
          <w:tcPr>
            <w:tcW w:w="1231" w:type="dxa"/>
            <w:shd w:val="clear" w:color="auto" w:fill="auto"/>
            <w:vAlign w:val="center"/>
          </w:tcPr>
          <w:p w14:paraId="32874594" w14:textId="77777777" w:rsidR="00724212" w:rsidRPr="00FC59B5" w:rsidRDefault="00724212" w:rsidP="00724212">
            <w:pPr>
              <w:spacing w:line="240" w:lineRule="auto"/>
              <w:contextualSpacing/>
              <w:jc w:val="center"/>
              <w:rPr>
                <w:b/>
                <w:bCs/>
                <w:color w:val="000000" w:themeColor="text1"/>
                <w:sz w:val="20"/>
                <w:szCs w:val="20"/>
              </w:rPr>
            </w:pPr>
            <w:proofErr w:type="spellStart"/>
            <w:r w:rsidRPr="00FC59B5">
              <w:rPr>
                <w:b/>
                <w:bCs/>
                <w:color w:val="000000" w:themeColor="text1"/>
                <w:sz w:val="20"/>
                <w:szCs w:val="20"/>
              </w:rPr>
              <w:t>vce</w:t>
            </w:r>
            <w:proofErr w:type="spellEnd"/>
            <w:r w:rsidRPr="00FC59B5">
              <w:rPr>
                <w:b/>
                <w:bCs/>
                <w:color w:val="000000" w:themeColor="text1"/>
                <w:sz w:val="20"/>
                <w:szCs w:val="20"/>
              </w:rPr>
              <w:t>(robust)</w:t>
            </w:r>
          </w:p>
        </w:tc>
        <w:tc>
          <w:tcPr>
            <w:tcW w:w="1231" w:type="dxa"/>
            <w:shd w:val="clear" w:color="auto" w:fill="auto"/>
            <w:vAlign w:val="center"/>
          </w:tcPr>
          <w:p w14:paraId="0A8517A2" w14:textId="77777777" w:rsidR="00724212" w:rsidRPr="00FC59B5" w:rsidRDefault="00724212" w:rsidP="00724212">
            <w:pPr>
              <w:spacing w:line="240" w:lineRule="auto"/>
              <w:contextualSpacing/>
              <w:jc w:val="center"/>
              <w:rPr>
                <w:b/>
                <w:bCs/>
                <w:color w:val="000000" w:themeColor="text1"/>
                <w:sz w:val="20"/>
                <w:szCs w:val="20"/>
              </w:rPr>
            </w:pPr>
            <w:proofErr w:type="spellStart"/>
            <w:r w:rsidRPr="00FC59B5">
              <w:rPr>
                <w:b/>
                <w:bCs/>
                <w:color w:val="000000" w:themeColor="text1"/>
                <w:sz w:val="20"/>
                <w:szCs w:val="20"/>
              </w:rPr>
              <w:t>vce</w:t>
            </w:r>
            <w:proofErr w:type="spellEnd"/>
            <w:r w:rsidRPr="00FC59B5">
              <w:rPr>
                <w:b/>
                <w:bCs/>
                <w:color w:val="000000" w:themeColor="text1"/>
                <w:sz w:val="20"/>
                <w:szCs w:val="20"/>
              </w:rPr>
              <w:t>(robust)</w:t>
            </w:r>
          </w:p>
        </w:tc>
        <w:tc>
          <w:tcPr>
            <w:tcW w:w="1231" w:type="dxa"/>
            <w:shd w:val="clear" w:color="auto" w:fill="auto"/>
            <w:vAlign w:val="center"/>
          </w:tcPr>
          <w:p w14:paraId="2EE865AA" w14:textId="77777777" w:rsidR="00724212" w:rsidRPr="00FC59B5" w:rsidRDefault="00724212" w:rsidP="00724212">
            <w:pPr>
              <w:spacing w:line="240" w:lineRule="auto"/>
              <w:contextualSpacing/>
              <w:jc w:val="center"/>
              <w:rPr>
                <w:b/>
                <w:bCs/>
                <w:color w:val="000000" w:themeColor="text1"/>
                <w:sz w:val="20"/>
                <w:szCs w:val="20"/>
              </w:rPr>
            </w:pPr>
            <w:proofErr w:type="spellStart"/>
            <w:r w:rsidRPr="00FC59B5">
              <w:rPr>
                <w:b/>
                <w:bCs/>
                <w:color w:val="000000" w:themeColor="text1"/>
                <w:sz w:val="20"/>
                <w:szCs w:val="20"/>
              </w:rPr>
              <w:t>vce</w:t>
            </w:r>
            <w:proofErr w:type="spellEnd"/>
            <w:r w:rsidRPr="00FC59B5">
              <w:rPr>
                <w:b/>
                <w:bCs/>
                <w:color w:val="000000" w:themeColor="text1"/>
                <w:sz w:val="20"/>
                <w:szCs w:val="20"/>
              </w:rPr>
              <w:t>(robust)</w:t>
            </w:r>
          </w:p>
        </w:tc>
        <w:tc>
          <w:tcPr>
            <w:tcW w:w="1231" w:type="dxa"/>
            <w:shd w:val="clear" w:color="auto" w:fill="auto"/>
            <w:vAlign w:val="center"/>
          </w:tcPr>
          <w:p w14:paraId="2490ECFF" w14:textId="77777777" w:rsidR="00724212" w:rsidRPr="00FC59B5" w:rsidRDefault="00724212" w:rsidP="00724212">
            <w:pPr>
              <w:spacing w:line="240" w:lineRule="auto"/>
              <w:contextualSpacing/>
              <w:jc w:val="center"/>
              <w:rPr>
                <w:b/>
                <w:bCs/>
                <w:color w:val="000000" w:themeColor="text1"/>
                <w:sz w:val="20"/>
                <w:szCs w:val="20"/>
              </w:rPr>
            </w:pPr>
            <w:proofErr w:type="spellStart"/>
            <w:r w:rsidRPr="00FC59B5">
              <w:rPr>
                <w:b/>
                <w:bCs/>
                <w:color w:val="000000" w:themeColor="text1"/>
                <w:sz w:val="20"/>
                <w:szCs w:val="20"/>
              </w:rPr>
              <w:t>vce</w:t>
            </w:r>
            <w:proofErr w:type="spellEnd"/>
            <w:r w:rsidRPr="00FC59B5">
              <w:rPr>
                <w:b/>
                <w:bCs/>
                <w:color w:val="000000" w:themeColor="text1"/>
                <w:sz w:val="20"/>
                <w:szCs w:val="20"/>
              </w:rPr>
              <w:t>(robust)</w:t>
            </w:r>
          </w:p>
        </w:tc>
      </w:tr>
    </w:tbl>
    <w:p w14:paraId="5698D271" w14:textId="77777777" w:rsidR="00724212" w:rsidRPr="00FC59B5" w:rsidRDefault="00724212" w:rsidP="00724212">
      <w:pPr>
        <w:contextualSpacing/>
        <w:jc w:val="both"/>
        <w:rPr>
          <w:rFonts w:ascii="Times New Roman" w:hAnsi="Times New Roman" w:cs="Times New Roman"/>
          <w:color w:val="000000" w:themeColor="text1"/>
          <w:sz w:val="28"/>
          <w:szCs w:val="28"/>
        </w:rPr>
      </w:pPr>
    </w:p>
    <w:p w14:paraId="3FCE2AB8" w14:textId="77777777" w:rsidR="00724212" w:rsidRPr="00FC59B5" w:rsidRDefault="00724212" w:rsidP="00724212">
      <w:pPr>
        <w:spacing w:after="120" w:line="360" w:lineRule="auto"/>
        <w:ind w:firstLine="720"/>
        <w:contextualSpacing/>
        <w:jc w:val="both"/>
        <w:rPr>
          <w:rFonts w:asciiTheme="majorBidi" w:hAnsiTheme="majorBidi" w:cstheme="majorBidi"/>
          <w:color w:val="000000" w:themeColor="text1"/>
          <w:sz w:val="24"/>
          <w:szCs w:val="24"/>
        </w:rPr>
      </w:pPr>
    </w:p>
    <w:p w14:paraId="63499D5F" w14:textId="085A83CE" w:rsidR="00724212" w:rsidRPr="00FC59B5" w:rsidRDefault="00724212" w:rsidP="00724212">
      <w:pPr>
        <w:jc w:val="both"/>
        <w:rPr>
          <w:rFonts w:ascii="Times New Roman" w:hAnsi="Times New Roman"/>
          <w:color w:val="000000" w:themeColor="text1"/>
          <w:sz w:val="24"/>
        </w:rPr>
      </w:pPr>
      <w:r w:rsidRPr="00FC59B5">
        <w:rPr>
          <w:rFonts w:ascii="Times New Roman" w:hAnsi="Times New Roman"/>
          <w:color w:val="000000" w:themeColor="text1"/>
          <w:sz w:val="24"/>
        </w:rPr>
        <w:t xml:space="preserve">Table 4. </w:t>
      </w:r>
      <w:r w:rsidRPr="00FC59B5">
        <w:rPr>
          <w:rFonts w:ascii="Times New Roman" w:hAnsi="Times New Roman"/>
          <w:color w:val="000000" w:themeColor="text1"/>
        </w:rPr>
        <w:t xml:space="preserve">Regression </w:t>
      </w:r>
      <w:r w:rsidR="00EC7068" w:rsidRPr="00FC59B5">
        <w:rPr>
          <w:rFonts w:ascii="Times New Roman" w:hAnsi="Times New Roman"/>
          <w:color w:val="000000" w:themeColor="text1"/>
        </w:rPr>
        <w:t>R</w:t>
      </w:r>
      <w:r w:rsidRPr="00FC59B5">
        <w:rPr>
          <w:rFonts w:ascii="Times New Roman" w:hAnsi="Times New Roman"/>
          <w:color w:val="000000" w:themeColor="text1"/>
        </w:rPr>
        <w:t>esults</w:t>
      </w:r>
    </w:p>
    <w:tbl>
      <w:tblPr>
        <w:tblW w:w="5000" w:type="pct"/>
        <w:jc w:val="center"/>
        <w:tblLayout w:type="fixed"/>
        <w:tblCellMar>
          <w:left w:w="75" w:type="dxa"/>
          <w:right w:w="75" w:type="dxa"/>
        </w:tblCellMar>
        <w:tblLook w:val="0000" w:firstRow="0" w:lastRow="0" w:firstColumn="0" w:lastColumn="0" w:noHBand="0" w:noVBand="0"/>
      </w:tblPr>
      <w:tblGrid>
        <w:gridCol w:w="1843"/>
        <w:gridCol w:w="1436"/>
        <w:gridCol w:w="1437"/>
        <w:gridCol w:w="1436"/>
        <w:gridCol w:w="1437"/>
        <w:gridCol w:w="1437"/>
      </w:tblGrid>
      <w:tr w:rsidR="00724212" w:rsidRPr="00FC59B5" w14:paraId="628AC9BA" w14:textId="77777777" w:rsidTr="007327AF">
        <w:trPr>
          <w:trHeight w:val="567"/>
          <w:jc w:val="center"/>
        </w:trPr>
        <w:tc>
          <w:tcPr>
            <w:tcW w:w="1843" w:type="dxa"/>
            <w:tcBorders>
              <w:top w:val="single" w:sz="6" w:space="0" w:color="auto"/>
              <w:left w:val="nil"/>
              <w:bottom w:val="nil"/>
              <w:right w:val="nil"/>
            </w:tcBorders>
          </w:tcPr>
          <w:p w14:paraId="1A273F1F"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single" w:sz="6" w:space="0" w:color="auto"/>
              <w:left w:val="nil"/>
              <w:bottom w:val="nil"/>
              <w:right w:val="nil"/>
            </w:tcBorders>
          </w:tcPr>
          <w:p w14:paraId="6EAD5A8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w:t>
            </w:r>
          </w:p>
        </w:tc>
        <w:tc>
          <w:tcPr>
            <w:tcW w:w="1437" w:type="dxa"/>
            <w:tcBorders>
              <w:top w:val="single" w:sz="6" w:space="0" w:color="auto"/>
              <w:left w:val="nil"/>
              <w:bottom w:val="nil"/>
              <w:right w:val="nil"/>
            </w:tcBorders>
          </w:tcPr>
          <w:p w14:paraId="0B76FE2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(2)</w:t>
            </w:r>
          </w:p>
        </w:tc>
        <w:tc>
          <w:tcPr>
            <w:tcW w:w="1436" w:type="dxa"/>
            <w:tcBorders>
              <w:top w:val="single" w:sz="6" w:space="0" w:color="auto"/>
              <w:left w:val="nil"/>
              <w:bottom w:val="nil"/>
              <w:right w:val="nil"/>
            </w:tcBorders>
          </w:tcPr>
          <w:p w14:paraId="6F01FE6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(3)</w:t>
            </w:r>
          </w:p>
        </w:tc>
        <w:tc>
          <w:tcPr>
            <w:tcW w:w="1437" w:type="dxa"/>
            <w:tcBorders>
              <w:top w:val="single" w:sz="6" w:space="0" w:color="auto"/>
              <w:left w:val="nil"/>
              <w:bottom w:val="nil"/>
              <w:right w:val="nil"/>
            </w:tcBorders>
          </w:tcPr>
          <w:p w14:paraId="3A89B18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(4)</w:t>
            </w:r>
          </w:p>
        </w:tc>
        <w:tc>
          <w:tcPr>
            <w:tcW w:w="1437" w:type="dxa"/>
            <w:tcBorders>
              <w:top w:val="single" w:sz="6" w:space="0" w:color="auto"/>
              <w:left w:val="nil"/>
              <w:bottom w:val="nil"/>
              <w:right w:val="nil"/>
            </w:tcBorders>
          </w:tcPr>
          <w:p w14:paraId="4F6B4D8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(5)</w:t>
            </w:r>
          </w:p>
        </w:tc>
      </w:tr>
      <w:tr w:rsidR="00724212" w:rsidRPr="00FC59B5" w14:paraId="25F0D615" w14:textId="77777777" w:rsidTr="007327AF">
        <w:trPr>
          <w:jc w:val="center"/>
        </w:trPr>
        <w:tc>
          <w:tcPr>
            <w:tcW w:w="1843" w:type="dxa"/>
            <w:tcBorders>
              <w:top w:val="nil"/>
              <w:left w:val="nil"/>
              <w:bottom w:val="nil"/>
              <w:right w:val="nil"/>
            </w:tcBorders>
          </w:tcPr>
          <w:p w14:paraId="0169C48F"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tcPr>
          <w:p w14:paraId="51A6493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[LM11]</w:t>
            </w:r>
          </w:p>
        </w:tc>
        <w:tc>
          <w:tcPr>
            <w:tcW w:w="1437" w:type="dxa"/>
            <w:tcBorders>
              <w:top w:val="nil"/>
              <w:left w:val="nil"/>
              <w:bottom w:val="nil"/>
              <w:right w:val="nil"/>
            </w:tcBorders>
          </w:tcPr>
          <w:p w14:paraId="73537D5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[LM11] Dummy</w:t>
            </w:r>
          </w:p>
        </w:tc>
        <w:tc>
          <w:tcPr>
            <w:tcW w:w="1436" w:type="dxa"/>
            <w:tcBorders>
              <w:top w:val="nil"/>
              <w:left w:val="nil"/>
              <w:bottom w:val="nil"/>
              <w:right w:val="nil"/>
            </w:tcBorders>
          </w:tcPr>
          <w:p w14:paraId="64FCB7B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[H08]</w:t>
            </w:r>
          </w:p>
        </w:tc>
        <w:tc>
          <w:tcPr>
            <w:tcW w:w="1437" w:type="dxa"/>
            <w:tcBorders>
              <w:top w:val="nil"/>
              <w:left w:val="nil"/>
              <w:bottom w:val="nil"/>
              <w:right w:val="nil"/>
            </w:tcBorders>
          </w:tcPr>
          <w:p w14:paraId="4E21C9F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Positive Tone [LM11]</w:t>
            </w:r>
          </w:p>
        </w:tc>
        <w:tc>
          <w:tcPr>
            <w:tcW w:w="1437" w:type="dxa"/>
            <w:tcBorders>
              <w:top w:val="nil"/>
              <w:left w:val="nil"/>
              <w:bottom w:val="nil"/>
              <w:right w:val="nil"/>
            </w:tcBorders>
          </w:tcPr>
          <w:p w14:paraId="014DEFB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Negative Tone [LM11]</w:t>
            </w:r>
          </w:p>
        </w:tc>
      </w:tr>
      <w:tr w:rsidR="00724212" w:rsidRPr="00FC59B5" w14:paraId="31E8DC06" w14:textId="77777777" w:rsidTr="007327AF">
        <w:trPr>
          <w:jc w:val="center"/>
        </w:trPr>
        <w:tc>
          <w:tcPr>
            <w:tcW w:w="1843" w:type="dxa"/>
            <w:tcBorders>
              <w:top w:val="nil"/>
              <w:left w:val="nil"/>
              <w:bottom w:val="single" w:sz="6" w:space="0" w:color="auto"/>
              <w:right w:val="nil"/>
            </w:tcBorders>
          </w:tcPr>
          <w:p w14:paraId="23519E60"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VARIABLES</w:t>
            </w:r>
          </w:p>
        </w:tc>
        <w:tc>
          <w:tcPr>
            <w:tcW w:w="1436" w:type="dxa"/>
            <w:tcBorders>
              <w:top w:val="nil"/>
              <w:left w:val="nil"/>
              <w:bottom w:val="single" w:sz="6" w:space="0" w:color="auto"/>
              <w:right w:val="nil"/>
            </w:tcBorders>
          </w:tcPr>
          <w:p w14:paraId="0D35977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437" w:type="dxa"/>
            <w:tcBorders>
              <w:top w:val="nil"/>
              <w:left w:val="nil"/>
              <w:bottom w:val="single" w:sz="6" w:space="0" w:color="auto"/>
              <w:right w:val="nil"/>
            </w:tcBorders>
          </w:tcPr>
          <w:p w14:paraId="5BFF7B9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FE</w:t>
            </w:r>
          </w:p>
        </w:tc>
        <w:tc>
          <w:tcPr>
            <w:tcW w:w="1436" w:type="dxa"/>
            <w:tcBorders>
              <w:top w:val="nil"/>
              <w:left w:val="nil"/>
              <w:bottom w:val="single" w:sz="6" w:space="0" w:color="auto"/>
              <w:right w:val="nil"/>
            </w:tcBorders>
          </w:tcPr>
          <w:p w14:paraId="7336290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437" w:type="dxa"/>
            <w:tcBorders>
              <w:top w:val="nil"/>
              <w:left w:val="nil"/>
              <w:bottom w:val="single" w:sz="6" w:space="0" w:color="auto"/>
              <w:right w:val="nil"/>
            </w:tcBorders>
          </w:tcPr>
          <w:p w14:paraId="7FD03AB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437" w:type="dxa"/>
            <w:tcBorders>
              <w:top w:val="nil"/>
              <w:left w:val="nil"/>
              <w:bottom w:val="single" w:sz="6" w:space="0" w:color="auto"/>
              <w:right w:val="nil"/>
            </w:tcBorders>
          </w:tcPr>
          <w:p w14:paraId="72689A0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r>
      <w:tr w:rsidR="00724212" w:rsidRPr="00FC59B5" w14:paraId="73BEE696" w14:textId="77777777" w:rsidTr="007327AF">
        <w:trPr>
          <w:jc w:val="center"/>
        </w:trPr>
        <w:tc>
          <w:tcPr>
            <w:tcW w:w="1843" w:type="dxa"/>
            <w:tcBorders>
              <w:top w:val="nil"/>
              <w:left w:val="nil"/>
              <w:bottom w:val="nil"/>
              <w:right w:val="nil"/>
            </w:tcBorders>
          </w:tcPr>
          <w:p w14:paraId="4D4DACE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tcPr>
          <w:p w14:paraId="37EF8BF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7" w:type="dxa"/>
            <w:tcBorders>
              <w:top w:val="nil"/>
              <w:left w:val="nil"/>
              <w:bottom w:val="nil"/>
              <w:right w:val="nil"/>
            </w:tcBorders>
          </w:tcPr>
          <w:p w14:paraId="7BD8447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6" w:type="dxa"/>
            <w:tcBorders>
              <w:top w:val="nil"/>
              <w:left w:val="nil"/>
              <w:bottom w:val="nil"/>
              <w:right w:val="nil"/>
            </w:tcBorders>
          </w:tcPr>
          <w:p w14:paraId="32C8422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7" w:type="dxa"/>
            <w:tcBorders>
              <w:top w:val="nil"/>
              <w:left w:val="nil"/>
              <w:bottom w:val="nil"/>
              <w:right w:val="nil"/>
            </w:tcBorders>
          </w:tcPr>
          <w:p w14:paraId="479DDA3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7" w:type="dxa"/>
            <w:tcBorders>
              <w:top w:val="nil"/>
              <w:left w:val="nil"/>
              <w:bottom w:val="nil"/>
              <w:right w:val="nil"/>
            </w:tcBorders>
          </w:tcPr>
          <w:p w14:paraId="0DC9048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724212" w:rsidRPr="00FC59B5" w14:paraId="06E3E5E0" w14:textId="77777777" w:rsidTr="007327AF">
        <w:trPr>
          <w:jc w:val="center"/>
        </w:trPr>
        <w:tc>
          <w:tcPr>
            <w:tcW w:w="1843" w:type="dxa"/>
            <w:tcBorders>
              <w:top w:val="nil"/>
              <w:left w:val="nil"/>
              <w:bottom w:val="nil"/>
              <w:right w:val="nil"/>
            </w:tcBorders>
          </w:tcPr>
          <w:p w14:paraId="7DA0EFE4"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BRD_SZ</w:t>
            </w:r>
          </w:p>
        </w:tc>
        <w:tc>
          <w:tcPr>
            <w:tcW w:w="1436" w:type="dxa"/>
            <w:tcBorders>
              <w:top w:val="nil"/>
              <w:left w:val="nil"/>
              <w:bottom w:val="nil"/>
              <w:right w:val="nil"/>
            </w:tcBorders>
          </w:tcPr>
          <w:p w14:paraId="221FF12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-0.00490</w:t>
            </w:r>
          </w:p>
        </w:tc>
        <w:tc>
          <w:tcPr>
            <w:tcW w:w="1437" w:type="dxa"/>
            <w:tcBorders>
              <w:top w:val="nil"/>
              <w:left w:val="nil"/>
              <w:bottom w:val="nil"/>
              <w:right w:val="nil"/>
            </w:tcBorders>
          </w:tcPr>
          <w:p w14:paraId="3E72E0E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-0.0182</w:t>
            </w:r>
          </w:p>
        </w:tc>
        <w:tc>
          <w:tcPr>
            <w:tcW w:w="1436" w:type="dxa"/>
            <w:tcBorders>
              <w:top w:val="nil"/>
              <w:left w:val="nil"/>
              <w:bottom w:val="nil"/>
              <w:right w:val="nil"/>
            </w:tcBorders>
          </w:tcPr>
          <w:p w14:paraId="582AA3D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-0.00836</w:t>
            </w:r>
          </w:p>
        </w:tc>
        <w:tc>
          <w:tcPr>
            <w:tcW w:w="1437" w:type="dxa"/>
            <w:tcBorders>
              <w:top w:val="nil"/>
              <w:bottom w:val="nil"/>
            </w:tcBorders>
          </w:tcPr>
          <w:p w14:paraId="76DBF8C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-0.00245</w:t>
            </w:r>
          </w:p>
        </w:tc>
        <w:tc>
          <w:tcPr>
            <w:tcW w:w="1437" w:type="dxa"/>
            <w:tcBorders>
              <w:top w:val="nil"/>
              <w:bottom w:val="nil"/>
            </w:tcBorders>
          </w:tcPr>
          <w:p w14:paraId="6FE387F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-0.00671</w:t>
            </w:r>
          </w:p>
        </w:tc>
      </w:tr>
      <w:tr w:rsidR="00724212" w:rsidRPr="00FC59B5" w14:paraId="64896D0B" w14:textId="77777777" w:rsidTr="007327AF">
        <w:trPr>
          <w:jc w:val="center"/>
        </w:trPr>
        <w:tc>
          <w:tcPr>
            <w:tcW w:w="1843" w:type="dxa"/>
            <w:tcBorders>
              <w:top w:val="nil"/>
              <w:left w:val="nil"/>
              <w:bottom w:val="nil"/>
              <w:right w:val="nil"/>
            </w:tcBorders>
            <w:shd w:val="clear" w:color="auto" w:fill="auto"/>
          </w:tcPr>
          <w:p w14:paraId="6FF67F70"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5E83ED5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(0.338)</w:t>
            </w:r>
          </w:p>
        </w:tc>
        <w:tc>
          <w:tcPr>
            <w:tcW w:w="1437" w:type="dxa"/>
            <w:tcBorders>
              <w:top w:val="nil"/>
              <w:left w:val="nil"/>
              <w:bottom w:val="nil"/>
              <w:right w:val="nil"/>
            </w:tcBorders>
            <w:shd w:val="clear" w:color="auto" w:fill="auto"/>
          </w:tcPr>
          <w:p w14:paraId="0633F93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(0.417)</w:t>
            </w:r>
          </w:p>
        </w:tc>
        <w:tc>
          <w:tcPr>
            <w:tcW w:w="1436" w:type="dxa"/>
            <w:tcBorders>
              <w:top w:val="nil"/>
              <w:left w:val="nil"/>
              <w:bottom w:val="nil"/>
              <w:right w:val="nil"/>
            </w:tcBorders>
            <w:shd w:val="clear" w:color="auto" w:fill="auto"/>
          </w:tcPr>
          <w:p w14:paraId="12EBB28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(0.118)</w:t>
            </w:r>
          </w:p>
        </w:tc>
        <w:tc>
          <w:tcPr>
            <w:tcW w:w="1437" w:type="dxa"/>
            <w:tcBorders>
              <w:top w:val="nil"/>
              <w:bottom w:val="nil"/>
            </w:tcBorders>
          </w:tcPr>
          <w:p w14:paraId="772DBEA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(0.338)</w:t>
            </w:r>
          </w:p>
        </w:tc>
        <w:tc>
          <w:tcPr>
            <w:tcW w:w="1437" w:type="dxa"/>
            <w:tcBorders>
              <w:top w:val="nil"/>
              <w:bottom w:val="nil"/>
            </w:tcBorders>
          </w:tcPr>
          <w:p w14:paraId="30F93C4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(0.107)</w:t>
            </w:r>
          </w:p>
        </w:tc>
      </w:tr>
      <w:tr w:rsidR="00724212" w:rsidRPr="00FC59B5" w14:paraId="54BC9814" w14:textId="77777777" w:rsidTr="007327AF">
        <w:trPr>
          <w:jc w:val="center"/>
        </w:trPr>
        <w:tc>
          <w:tcPr>
            <w:tcW w:w="1843" w:type="dxa"/>
            <w:tcBorders>
              <w:top w:val="nil"/>
              <w:left w:val="nil"/>
              <w:bottom w:val="nil"/>
              <w:right w:val="nil"/>
            </w:tcBorders>
            <w:shd w:val="clear" w:color="auto" w:fill="auto"/>
          </w:tcPr>
          <w:p w14:paraId="07291A4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PCT_INED</w:t>
            </w:r>
          </w:p>
        </w:tc>
        <w:tc>
          <w:tcPr>
            <w:tcW w:w="1436" w:type="dxa"/>
            <w:tcBorders>
              <w:top w:val="nil"/>
              <w:left w:val="nil"/>
              <w:bottom w:val="nil"/>
              <w:right w:val="nil"/>
            </w:tcBorders>
            <w:shd w:val="clear" w:color="auto" w:fill="auto"/>
          </w:tcPr>
          <w:p w14:paraId="4EE138F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-0.333***</w:t>
            </w:r>
          </w:p>
        </w:tc>
        <w:tc>
          <w:tcPr>
            <w:tcW w:w="1437" w:type="dxa"/>
            <w:tcBorders>
              <w:top w:val="nil"/>
              <w:left w:val="nil"/>
              <w:bottom w:val="nil"/>
              <w:right w:val="nil"/>
            </w:tcBorders>
            <w:shd w:val="clear" w:color="auto" w:fill="auto"/>
          </w:tcPr>
          <w:p w14:paraId="3152E6D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-1.423***</w:t>
            </w:r>
          </w:p>
        </w:tc>
        <w:tc>
          <w:tcPr>
            <w:tcW w:w="1436" w:type="dxa"/>
            <w:tcBorders>
              <w:top w:val="nil"/>
              <w:left w:val="nil"/>
              <w:bottom w:val="nil"/>
              <w:right w:val="nil"/>
            </w:tcBorders>
            <w:shd w:val="clear" w:color="auto" w:fill="auto"/>
          </w:tcPr>
          <w:p w14:paraId="546DDBA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-0.174*</w:t>
            </w:r>
          </w:p>
        </w:tc>
        <w:tc>
          <w:tcPr>
            <w:tcW w:w="1437" w:type="dxa"/>
            <w:tcBorders>
              <w:top w:val="nil"/>
              <w:bottom w:val="nil"/>
            </w:tcBorders>
          </w:tcPr>
          <w:p w14:paraId="158FAB6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-0.166***</w:t>
            </w:r>
          </w:p>
        </w:tc>
        <w:tc>
          <w:tcPr>
            <w:tcW w:w="1437" w:type="dxa"/>
            <w:tcBorders>
              <w:top w:val="nil"/>
              <w:bottom w:val="nil"/>
            </w:tcBorders>
          </w:tcPr>
          <w:p w14:paraId="43B0125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0.153*</w:t>
            </w:r>
          </w:p>
        </w:tc>
      </w:tr>
      <w:tr w:rsidR="00724212" w:rsidRPr="00FC59B5" w14:paraId="474EFF48" w14:textId="77777777" w:rsidTr="007327AF">
        <w:trPr>
          <w:jc w:val="center"/>
        </w:trPr>
        <w:tc>
          <w:tcPr>
            <w:tcW w:w="1843" w:type="dxa"/>
            <w:tcBorders>
              <w:top w:val="nil"/>
              <w:left w:val="nil"/>
              <w:bottom w:val="nil"/>
              <w:right w:val="nil"/>
            </w:tcBorders>
            <w:shd w:val="clear" w:color="auto" w:fill="auto"/>
          </w:tcPr>
          <w:p w14:paraId="6223167F"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7723012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(0.00455)</w:t>
            </w:r>
          </w:p>
        </w:tc>
        <w:tc>
          <w:tcPr>
            <w:tcW w:w="1437" w:type="dxa"/>
            <w:tcBorders>
              <w:top w:val="nil"/>
              <w:left w:val="nil"/>
              <w:bottom w:val="nil"/>
              <w:right w:val="nil"/>
            </w:tcBorders>
            <w:shd w:val="clear" w:color="auto" w:fill="auto"/>
          </w:tcPr>
          <w:p w14:paraId="14F0B23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(0.00214)</w:t>
            </w:r>
          </w:p>
        </w:tc>
        <w:tc>
          <w:tcPr>
            <w:tcW w:w="1436" w:type="dxa"/>
            <w:tcBorders>
              <w:top w:val="nil"/>
              <w:left w:val="nil"/>
              <w:bottom w:val="nil"/>
              <w:right w:val="nil"/>
            </w:tcBorders>
            <w:shd w:val="clear" w:color="auto" w:fill="auto"/>
          </w:tcPr>
          <w:p w14:paraId="70F137C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(0.0854)</w:t>
            </w:r>
          </w:p>
        </w:tc>
        <w:tc>
          <w:tcPr>
            <w:tcW w:w="1437" w:type="dxa"/>
            <w:tcBorders>
              <w:top w:val="nil"/>
              <w:bottom w:val="nil"/>
            </w:tcBorders>
          </w:tcPr>
          <w:p w14:paraId="70F6952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(0.00455)</w:t>
            </w:r>
          </w:p>
        </w:tc>
        <w:tc>
          <w:tcPr>
            <w:tcW w:w="1437" w:type="dxa"/>
            <w:tcBorders>
              <w:top w:val="nil"/>
              <w:bottom w:val="nil"/>
            </w:tcBorders>
          </w:tcPr>
          <w:p w14:paraId="3EC5DA2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(0.0591)</w:t>
            </w:r>
          </w:p>
        </w:tc>
      </w:tr>
      <w:tr w:rsidR="00724212" w:rsidRPr="00FC59B5" w14:paraId="190F5F95" w14:textId="77777777" w:rsidTr="007327AF">
        <w:trPr>
          <w:jc w:val="center"/>
        </w:trPr>
        <w:tc>
          <w:tcPr>
            <w:tcW w:w="1843" w:type="dxa"/>
            <w:tcBorders>
              <w:top w:val="nil"/>
              <w:left w:val="nil"/>
              <w:bottom w:val="nil"/>
              <w:right w:val="nil"/>
            </w:tcBorders>
            <w:shd w:val="clear" w:color="auto" w:fill="auto"/>
          </w:tcPr>
          <w:p w14:paraId="3CA4435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PCT_BRD_WOMEN</w:t>
            </w:r>
          </w:p>
        </w:tc>
        <w:tc>
          <w:tcPr>
            <w:tcW w:w="1436" w:type="dxa"/>
            <w:tcBorders>
              <w:top w:val="nil"/>
              <w:left w:val="nil"/>
              <w:bottom w:val="nil"/>
              <w:right w:val="nil"/>
            </w:tcBorders>
            <w:shd w:val="clear" w:color="auto" w:fill="auto"/>
          </w:tcPr>
          <w:p w14:paraId="04B79CA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0.173</w:t>
            </w:r>
          </w:p>
        </w:tc>
        <w:tc>
          <w:tcPr>
            <w:tcW w:w="1437" w:type="dxa"/>
            <w:tcBorders>
              <w:top w:val="nil"/>
              <w:left w:val="nil"/>
              <w:bottom w:val="nil"/>
              <w:right w:val="nil"/>
            </w:tcBorders>
            <w:shd w:val="clear" w:color="auto" w:fill="auto"/>
          </w:tcPr>
          <w:p w14:paraId="1301497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0.359</w:t>
            </w:r>
          </w:p>
        </w:tc>
        <w:tc>
          <w:tcPr>
            <w:tcW w:w="1436" w:type="dxa"/>
            <w:tcBorders>
              <w:top w:val="nil"/>
              <w:left w:val="nil"/>
              <w:bottom w:val="nil"/>
              <w:right w:val="nil"/>
            </w:tcBorders>
            <w:shd w:val="clear" w:color="auto" w:fill="auto"/>
          </w:tcPr>
          <w:p w14:paraId="336B7CA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0.0598</w:t>
            </w:r>
          </w:p>
        </w:tc>
        <w:tc>
          <w:tcPr>
            <w:tcW w:w="1437" w:type="dxa"/>
            <w:tcBorders>
              <w:top w:val="nil"/>
              <w:bottom w:val="nil"/>
            </w:tcBorders>
          </w:tcPr>
          <w:p w14:paraId="3D99A4C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0.0864</w:t>
            </w:r>
          </w:p>
        </w:tc>
        <w:tc>
          <w:tcPr>
            <w:tcW w:w="1437" w:type="dxa"/>
            <w:tcBorders>
              <w:top w:val="nil"/>
              <w:bottom w:val="nil"/>
            </w:tcBorders>
          </w:tcPr>
          <w:p w14:paraId="4A5424A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-0.165**</w:t>
            </w:r>
          </w:p>
        </w:tc>
      </w:tr>
      <w:tr w:rsidR="00724212" w:rsidRPr="00FC59B5" w14:paraId="24604BED" w14:textId="77777777" w:rsidTr="007327AF">
        <w:trPr>
          <w:jc w:val="center"/>
        </w:trPr>
        <w:tc>
          <w:tcPr>
            <w:tcW w:w="1843" w:type="dxa"/>
            <w:tcBorders>
              <w:top w:val="nil"/>
              <w:left w:val="nil"/>
              <w:bottom w:val="nil"/>
              <w:right w:val="nil"/>
            </w:tcBorders>
            <w:shd w:val="clear" w:color="auto" w:fill="auto"/>
          </w:tcPr>
          <w:p w14:paraId="7DD2981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132196B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(0.194)</w:t>
            </w:r>
          </w:p>
        </w:tc>
        <w:tc>
          <w:tcPr>
            <w:tcW w:w="1437" w:type="dxa"/>
            <w:tcBorders>
              <w:top w:val="nil"/>
              <w:left w:val="nil"/>
              <w:bottom w:val="nil"/>
              <w:right w:val="nil"/>
            </w:tcBorders>
            <w:shd w:val="clear" w:color="auto" w:fill="auto"/>
          </w:tcPr>
          <w:p w14:paraId="0A9F440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(0.431)</w:t>
            </w:r>
          </w:p>
        </w:tc>
        <w:tc>
          <w:tcPr>
            <w:tcW w:w="1436" w:type="dxa"/>
            <w:tcBorders>
              <w:top w:val="nil"/>
              <w:left w:val="nil"/>
              <w:bottom w:val="nil"/>
              <w:right w:val="nil"/>
            </w:tcBorders>
            <w:shd w:val="clear" w:color="auto" w:fill="auto"/>
          </w:tcPr>
          <w:p w14:paraId="1B022CD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(0.670)</w:t>
            </w:r>
          </w:p>
        </w:tc>
        <w:tc>
          <w:tcPr>
            <w:tcW w:w="1437" w:type="dxa"/>
            <w:tcBorders>
              <w:top w:val="nil"/>
              <w:bottom w:val="nil"/>
            </w:tcBorders>
          </w:tcPr>
          <w:p w14:paraId="3D80167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(0.194)</w:t>
            </w:r>
          </w:p>
        </w:tc>
        <w:tc>
          <w:tcPr>
            <w:tcW w:w="1437" w:type="dxa"/>
            <w:tcBorders>
              <w:top w:val="nil"/>
              <w:bottom w:val="nil"/>
            </w:tcBorders>
          </w:tcPr>
          <w:p w14:paraId="75E9C61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(0.0396)</w:t>
            </w:r>
          </w:p>
        </w:tc>
      </w:tr>
      <w:tr w:rsidR="00724212" w:rsidRPr="00FC59B5" w14:paraId="063C1A32" w14:textId="77777777" w:rsidTr="007327AF">
        <w:trPr>
          <w:jc w:val="center"/>
        </w:trPr>
        <w:tc>
          <w:tcPr>
            <w:tcW w:w="1843" w:type="dxa"/>
            <w:tcBorders>
              <w:top w:val="nil"/>
              <w:left w:val="nil"/>
              <w:bottom w:val="nil"/>
              <w:right w:val="nil"/>
            </w:tcBorders>
            <w:shd w:val="clear" w:color="auto" w:fill="auto"/>
          </w:tcPr>
          <w:p w14:paraId="1D4D7D2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AUDCOM_SZ</w:t>
            </w:r>
          </w:p>
        </w:tc>
        <w:tc>
          <w:tcPr>
            <w:tcW w:w="1436" w:type="dxa"/>
            <w:tcBorders>
              <w:top w:val="nil"/>
              <w:left w:val="nil"/>
              <w:bottom w:val="nil"/>
              <w:right w:val="nil"/>
            </w:tcBorders>
            <w:shd w:val="clear" w:color="auto" w:fill="auto"/>
          </w:tcPr>
          <w:p w14:paraId="40C7ABB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0.00117</w:t>
            </w:r>
          </w:p>
        </w:tc>
        <w:tc>
          <w:tcPr>
            <w:tcW w:w="1437" w:type="dxa"/>
            <w:tcBorders>
              <w:top w:val="nil"/>
              <w:left w:val="nil"/>
              <w:bottom w:val="nil"/>
              <w:right w:val="nil"/>
            </w:tcBorders>
            <w:shd w:val="clear" w:color="auto" w:fill="auto"/>
          </w:tcPr>
          <w:p w14:paraId="471293A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0.0525**</w:t>
            </w:r>
          </w:p>
        </w:tc>
        <w:tc>
          <w:tcPr>
            <w:tcW w:w="1436" w:type="dxa"/>
            <w:tcBorders>
              <w:top w:val="nil"/>
              <w:left w:val="nil"/>
              <w:bottom w:val="nil"/>
              <w:right w:val="nil"/>
            </w:tcBorders>
            <w:shd w:val="clear" w:color="auto" w:fill="auto"/>
          </w:tcPr>
          <w:p w14:paraId="2EB7F65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0.00377</w:t>
            </w:r>
          </w:p>
        </w:tc>
        <w:tc>
          <w:tcPr>
            <w:tcW w:w="1437" w:type="dxa"/>
            <w:tcBorders>
              <w:top w:val="nil"/>
              <w:bottom w:val="nil"/>
            </w:tcBorders>
          </w:tcPr>
          <w:p w14:paraId="62714A2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0.000584</w:t>
            </w:r>
          </w:p>
        </w:tc>
        <w:tc>
          <w:tcPr>
            <w:tcW w:w="1437" w:type="dxa"/>
            <w:tcBorders>
              <w:top w:val="nil"/>
              <w:bottom w:val="nil"/>
            </w:tcBorders>
          </w:tcPr>
          <w:p w14:paraId="2F37AED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0.00522</w:t>
            </w:r>
          </w:p>
        </w:tc>
      </w:tr>
      <w:tr w:rsidR="00724212" w:rsidRPr="00FC59B5" w14:paraId="20D2287D" w14:textId="77777777" w:rsidTr="007327AF">
        <w:trPr>
          <w:trHeight w:val="101"/>
          <w:jc w:val="center"/>
        </w:trPr>
        <w:tc>
          <w:tcPr>
            <w:tcW w:w="1843" w:type="dxa"/>
            <w:tcBorders>
              <w:top w:val="nil"/>
              <w:left w:val="nil"/>
              <w:bottom w:val="nil"/>
              <w:right w:val="nil"/>
            </w:tcBorders>
            <w:shd w:val="clear" w:color="auto" w:fill="auto"/>
          </w:tcPr>
          <w:p w14:paraId="4AC5B5B2"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1DD85D1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(0.828)</w:t>
            </w:r>
          </w:p>
        </w:tc>
        <w:tc>
          <w:tcPr>
            <w:tcW w:w="1437" w:type="dxa"/>
            <w:tcBorders>
              <w:top w:val="nil"/>
              <w:left w:val="nil"/>
              <w:bottom w:val="nil"/>
              <w:right w:val="nil"/>
            </w:tcBorders>
            <w:shd w:val="clear" w:color="auto" w:fill="auto"/>
          </w:tcPr>
          <w:p w14:paraId="1077CC4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(0.0162)</w:t>
            </w:r>
          </w:p>
        </w:tc>
        <w:tc>
          <w:tcPr>
            <w:tcW w:w="1436" w:type="dxa"/>
            <w:tcBorders>
              <w:top w:val="nil"/>
              <w:left w:val="nil"/>
              <w:bottom w:val="nil"/>
              <w:right w:val="nil"/>
            </w:tcBorders>
            <w:shd w:val="clear" w:color="auto" w:fill="auto"/>
          </w:tcPr>
          <w:p w14:paraId="5EE50EA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(0.537)</w:t>
            </w:r>
          </w:p>
        </w:tc>
        <w:tc>
          <w:tcPr>
            <w:tcW w:w="1437" w:type="dxa"/>
            <w:tcBorders>
              <w:top w:val="nil"/>
              <w:bottom w:val="nil"/>
            </w:tcBorders>
          </w:tcPr>
          <w:p w14:paraId="1470A38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(0.828)</w:t>
            </w:r>
          </w:p>
        </w:tc>
        <w:tc>
          <w:tcPr>
            <w:tcW w:w="1437" w:type="dxa"/>
            <w:tcBorders>
              <w:top w:val="nil"/>
              <w:bottom w:val="nil"/>
            </w:tcBorders>
          </w:tcPr>
          <w:p w14:paraId="403DE04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(0.173)</w:t>
            </w:r>
          </w:p>
        </w:tc>
      </w:tr>
      <w:tr w:rsidR="00724212" w:rsidRPr="00FC59B5" w14:paraId="7BBB07BE" w14:textId="77777777" w:rsidTr="007327AF">
        <w:trPr>
          <w:jc w:val="center"/>
        </w:trPr>
        <w:tc>
          <w:tcPr>
            <w:tcW w:w="1843" w:type="dxa"/>
            <w:tcBorders>
              <w:top w:val="nil"/>
              <w:left w:val="nil"/>
              <w:bottom w:val="nil"/>
              <w:right w:val="nil"/>
            </w:tcBorders>
            <w:shd w:val="clear" w:color="auto" w:fill="auto"/>
          </w:tcPr>
          <w:p w14:paraId="39680054"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ESG</w:t>
            </w:r>
          </w:p>
        </w:tc>
        <w:tc>
          <w:tcPr>
            <w:tcW w:w="1436" w:type="dxa"/>
            <w:tcBorders>
              <w:top w:val="nil"/>
              <w:left w:val="nil"/>
              <w:bottom w:val="nil"/>
              <w:right w:val="nil"/>
            </w:tcBorders>
            <w:shd w:val="clear" w:color="auto" w:fill="auto"/>
          </w:tcPr>
          <w:p w14:paraId="65E163D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0.313**</w:t>
            </w:r>
          </w:p>
        </w:tc>
        <w:tc>
          <w:tcPr>
            <w:tcW w:w="1437" w:type="dxa"/>
            <w:tcBorders>
              <w:top w:val="nil"/>
              <w:left w:val="nil"/>
              <w:bottom w:val="nil"/>
              <w:right w:val="nil"/>
            </w:tcBorders>
            <w:shd w:val="clear" w:color="auto" w:fill="auto"/>
          </w:tcPr>
          <w:p w14:paraId="12C01A5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1.308*</w:t>
            </w:r>
          </w:p>
        </w:tc>
        <w:tc>
          <w:tcPr>
            <w:tcW w:w="1436" w:type="dxa"/>
            <w:tcBorders>
              <w:top w:val="nil"/>
              <w:left w:val="nil"/>
              <w:bottom w:val="nil"/>
              <w:right w:val="nil"/>
            </w:tcBorders>
            <w:shd w:val="clear" w:color="auto" w:fill="auto"/>
          </w:tcPr>
          <w:p w14:paraId="6EBEDF9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0.343***</w:t>
            </w:r>
          </w:p>
        </w:tc>
        <w:tc>
          <w:tcPr>
            <w:tcW w:w="1437" w:type="dxa"/>
            <w:tcBorders>
              <w:top w:val="nil"/>
              <w:bottom w:val="nil"/>
            </w:tcBorders>
          </w:tcPr>
          <w:p w14:paraId="2B94338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0.157**</w:t>
            </w:r>
          </w:p>
        </w:tc>
        <w:tc>
          <w:tcPr>
            <w:tcW w:w="1437" w:type="dxa"/>
            <w:tcBorders>
              <w:top w:val="nil"/>
              <w:bottom w:val="nil"/>
            </w:tcBorders>
          </w:tcPr>
          <w:p w14:paraId="6F89277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-0.162</w:t>
            </w:r>
          </w:p>
        </w:tc>
      </w:tr>
      <w:tr w:rsidR="00724212" w:rsidRPr="00FC59B5" w14:paraId="11731867" w14:textId="77777777" w:rsidTr="007327AF">
        <w:trPr>
          <w:jc w:val="center"/>
        </w:trPr>
        <w:tc>
          <w:tcPr>
            <w:tcW w:w="1843" w:type="dxa"/>
            <w:tcBorders>
              <w:top w:val="nil"/>
              <w:left w:val="nil"/>
              <w:bottom w:val="nil"/>
              <w:right w:val="nil"/>
            </w:tcBorders>
            <w:shd w:val="clear" w:color="auto" w:fill="auto"/>
          </w:tcPr>
          <w:p w14:paraId="5125013A"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13ACFBF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(0.0246)</w:t>
            </w:r>
          </w:p>
        </w:tc>
        <w:tc>
          <w:tcPr>
            <w:tcW w:w="1437" w:type="dxa"/>
            <w:tcBorders>
              <w:top w:val="nil"/>
              <w:left w:val="nil"/>
              <w:bottom w:val="nil"/>
              <w:right w:val="nil"/>
            </w:tcBorders>
            <w:shd w:val="clear" w:color="auto" w:fill="auto"/>
          </w:tcPr>
          <w:p w14:paraId="6E4C04A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(0.0705)</w:t>
            </w:r>
          </w:p>
        </w:tc>
        <w:tc>
          <w:tcPr>
            <w:tcW w:w="1436" w:type="dxa"/>
            <w:tcBorders>
              <w:top w:val="nil"/>
              <w:left w:val="nil"/>
              <w:bottom w:val="nil"/>
              <w:right w:val="nil"/>
            </w:tcBorders>
            <w:shd w:val="clear" w:color="auto" w:fill="auto"/>
          </w:tcPr>
          <w:p w14:paraId="755B828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(0.00609)</w:t>
            </w:r>
          </w:p>
        </w:tc>
        <w:tc>
          <w:tcPr>
            <w:tcW w:w="1437" w:type="dxa"/>
            <w:tcBorders>
              <w:top w:val="nil"/>
              <w:bottom w:val="nil"/>
            </w:tcBorders>
          </w:tcPr>
          <w:p w14:paraId="52AAC19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(0.0246)</w:t>
            </w:r>
          </w:p>
        </w:tc>
        <w:tc>
          <w:tcPr>
            <w:tcW w:w="1437" w:type="dxa"/>
            <w:tcBorders>
              <w:top w:val="nil"/>
              <w:bottom w:val="nil"/>
            </w:tcBorders>
          </w:tcPr>
          <w:p w14:paraId="7BD0B9C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(0.120)</w:t>
            </w:r>
          </w:p>
        </w:tc>
      </w:tr>
      <w:tr w:rsidR="00724212" w:rsidRPr="00FC59B5" w14:paraId="0CE08634" w14:textId="77777777" w:rsidTr="007327AF">
        <w:trPr>
          <w:jc w:val="center"/>
        </w:trPr>
        <w:tc>
          <w:tcPr>
            <w:tcW w:w="1843" w:type="dxa"/>
            <w:tcBorders>
              <w:top w:val="nil"/>
              <w:left w:val="nil"/>
              <w:bottom w:val="nil"/>
              <w:right w:val="nil"/>
            </w:tcBorders>
            <w:shd w:val="clear" w:color="auto" w:fill="auto"/>
          </w:tcPr>
          <w:p w14:paraId="077BE17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ROA</w:t>
            </w:r>
          </w:p>
        </w:tc>
        <w:tc>
          <w:tcPr>
            <w:tcW w:w="1436" w:type="dxa"/>
            <w:tcBorders>
              <w:top w:val="nil"/>
              <w:left w:val="nil"/>
              <w:bottom w:val="nil"/>
              <w:right w:val="nil"/>
            </w:tcBorders>
            <w:shd w:val="clear" w:color="auto" w:fill="auto"/>
          </w:tcPr>
          <w:p w14:paraId="3686497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-0.000402</w:t>
            </w:r>
          </w:p>
        </w:tc>
        <w:tc>
          <w:tcPr>
            <w:tcW w:w="1437" w:type="dxa"/>
            <w:tcBorders>
              <w:top w:val="nil"/>
              <w:left w:val="nil"/>
              <w:bottom w:val="nil"/>
              <w:right w:val="nil"/>
            </w:tcBorders>
            <w:shd w:val="clear" w:color="auto" w:fill="auto"/>
          </w:tcPr>
          <w:p w14:paraId="58BDE20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-0.00483</w:t>
            </w:r>
          </w:p>
        </w:tc>
        <w:tc>
          <w:tcPr>
            <w:tcW w:w="1436" w:type="dxa"/>
            <w:tcBorders>
              <w:top w:val="nil"/>
              <w:left w:val="nil"/>
              <w:bottom w:val="nil"/>
              <w:right w:val="nil"/>
            </w:tcBorders>
            <w:shd w:val="clear" w:color="auto" w:fill="auto"/>
          </w:tcPr>
          <w:p w14:paraId="0795FBE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-0.000466*</w:t>
            </w:r>
          </w:p>
        </w:tc>
        <w:tc>
          <w:tcPr>
            <w:tcW w:w="1437" w:type="dxa"/>
            <w:tcBorders>
              <w:top w:val="nil"/>
              <w:bottom w:val="nil"/>
            </w:tcBorders>
          </w:tcPr>
          <w:p w14:paraId="1FEE2F2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-0.000201</w:t>
            </w:r>
          </w:p>
        </w:tc>
        <w:tc>
          <w:tcPr>
            <w:tcW w:w="1437" w:type="dxa"/>
            <w:tcBorders>
              <w:top w:val="nil"/>
              <w:bottom w:val="nil"/>
            </w:tcBorders>
          </w:tcPr>
          <w:p w14:paraId="0F92C6C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9.94e-07</w:t>
            </w:r>
          </w:p>
        </w:tc>
      </w:tr>
      <w:tr w:rsidR="00724212" w:rsidRPr="00FC59B5" w14:paraId="3CA3A2A6" w14:textId="77777777" w:rsidTr="007327AF">
        <w:trPr>
          <w:jc w:val="center"/>
        </w:trPr>
        <w:tc>
          <w:tcPr>
            <w:tcW w:w="1843" w:type="dxa"/>
            <w:tcBorders>
              <w:top w:val="nil"/>
              <w:left w:val="nil"/>
              <w:bottom w:val="nil"/>
              <w:right w:val="nil"/>
            </w:tcBorders>
            <w:shd w:val="clear" w:color="auto" w:fill="auto"/>
          </w:tcPr>
          <w:p w14:paraId="1C893E6D"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582CA4A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(0.237)</w:t>
            </w:r>
          </w:p>
        </w:tc>
        <w:tc>
          <w:tcPr>
            <w:tcW w:w="1437" w:type="dxa"/>
            <w:tcBorders>
              <w:top w:val="nil"/>
              <w:left w:val="nil"/>
              <w:bottom w:val="nil"/>
              <w:right w:val="nil"/>
            </w:tcBorders>
            <w:shd w:val="clear" w:color="auto" w:fill="auto"/>
          </w:tcPr>
          <w:p w14:paraId="43B5785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(0.115)</w:t>
            </w:r>
          </w:p>
        </w:tc>
        <w:tc>
          <w:tcPr>
            <w:tcW w:w="1436" w:type="dxa"/>
            <w:tcBorders>
              <w:top w:val="nil"/>
              <w:left w:val="nil"/>
              <w:bottom w:val="nil"/>
              <w:right w:val="nil"/>
            </w:tcBorders>
            <w:shd w:val="clear" w:color="auto" w:fill="auto"/>
          </w:tcPr>
          <w:p w14:paraId="23D60A4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(0.0956)</w:t>
            </w:r>
          </w:p>
        </w:tc>
        <w:tc>
          <w:tcPr>
            <w:tcW w:w="1437" w:type="dxa"/>
            <w:tcBorders>
              <w:top w:val="nil"/>
              <w:bottom w:val="nil"/>
            </w:tcBorders>
          </w:tcPr>
          <w:p w14:paraId="6556195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(0.237)</w:t>
            </w:r>
          </w:p>
        </w:tc>
        <w:tc>
          <w:tcPr>
            <w:tcW w:w="1437" w:type="dxa"/>
            <w:tcBorders>
              <w:top w:val="nil"/>
              <w:bottom w:val="nil"/>
            </w:tcBorders>
          </w:tcPr>
          <w:p w14:paraId="33180C7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(0.998)</w:t>
            </w:r>
          </w:p>
        </w:tc>
      </w:tr>
      <w:tr w:rsidR="00724212" w:rsidRPr="00FC59B5" w14:paraId="1426F741" w14:textId="77777777" w:rsidTr="007327AF">
        <w:trPr>
          <w:jc w:val="center"/>
        </w:trPr>
        <w:tc>
          <w:tcPr>
            <w:tcW w:w="1843" w:type="dxa"/>
            <w:tcBorders>
              <w:top w:val="nil"/>
              <w:left w:val="nil"/>
              <w:bottom w:val="nil"/>
              <w:right w:val="nil"/>
            </w:tcBorders>
            <w:shd w:val="clear" w:color="auto" w:fill="auto"/>
          </w:tcPr>
          <w:p w14:paraId="6CA39D95"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FNCL_LVRG</w:t>
            </w:r>
          </w:p>
        </w:tc>
        <w:tc>
          <w:tcPr>
            <w:tcW w:w="1436" w:type="dxa"/>
            <w:tcBorders>
              <w:top w:val="nil"/>
              <w:left w:val="nil"/>
              <w:bottom w:val="nil"/>
              <w:right w:val="nil"/>
            </w:tcBorders>
            <w:shd w:val="clear" w:color="auto" w:fill="auto"/>
          </w:tcPr>
          <w:p w14:paraId="5BE150D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-0.00101</w:t>
            </w:r>
          </w:p>
        </w:tc>
        <w:tc>
          <w:tcPr>
            <w:tcW w:w="1437" w:type="dxa"/>
            <w:tcBorders>
              <w:top w:val="nil"/>
              <w:left w:val="nil"/>
              <w:bottom w:val="nil"/>
              <w:right w:val="nil"/>
            </w:tcBorders>
            <w:shd w:val="clear" w:color="auto" w:fill="auto"/>
          </w:tcPr>
          <w:p w14:paraId="6DE64D2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0.00734**</w:t>
            </w:r>
          </w:p>
        </w:tc>
        <w:tc>
          <w:tcPr>
            <w:tcW w:w="1436" w:type="dxa"/>
            <w:tcBorders>
              <w:top w:val="nil"/>
              <w:left w:val="nil"/>
              <w:bottom w:val="nil"/>
              <w:right w:val="nil"/>
            </w:tcBorders>
            <w:shd w:val="clear" w:color="auto" w:fill="auto"/>
          </w:tcPr>
          <w:p w14:paraId="372A81D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-0.000428</w:t>
            </w:r>
          </w:p>
        </w:tc>
        <w:tc>
          <w:tcPr>
            <w:tcW w:w="1437" w:type="dxa"/>
            <w:tcBorders>
              <w:top w:val="nil"/>
              <w:bottom w:val="nil"/>
            </w:tcBorders>
          </w:tcPr>
          <w:p w14:paraId="74C5248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-0.000503</w:t>
            </w:r>
          </w:p>
        </w:tc>
        <w:tc>
          <w:tcPr>
            <w:tcW w:w="1437" w:type="dxa"/>
            <w:tcBorders>
              <w:top w:val="nil"/>
              <w:bottom w:val="nil"/>
            </w:tcBorders>
          </w:tcPr>
          <w:p w14:paraId="4A17F53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0.00142***</w:t>
            </w:r>
          </w:p>
        </w:tc>
      </w:tr>
      <w:tr w:rsidR="00724212" w:rsidRPr="00FC59B5" w14:paraId="415F6715" w14:textId="77777777" w:rsidTr="007327AF">
        <w:trPr>
          <w:jc w:val="center"/>
        </w:trPr>
        <w:tc>
          <w:tcPr>
            <w:tcW w:w="1843" w:type="dxa"/>
            <w:tcBorders>
              <w:top w:val="nil"/>
              <w:left w:val="nil"/>
              <w:bottom w:val="nil"/>
              <w:right w:val="nil"/>
            </w:tcBorders>
            <w:shd w:val="clear" w:color="auto" w:fill="auto"/>
          </w:tcPr>
          <w:p w14:paraId="35E83BE6"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294EC4B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(0.302)</w:t>
            </w:r>
          </w:p>
        </w:tc>
        <w:tc>
          <w:tcPr>
            <w:tcW w:w="1437" w:type="dxa"/>
            <w:tcBorders>
              <w:top w:val="nil"/>
              <w:left w:val="nil"/>
              <w:bottom w:val="nil"/>
              <w:right w:val="nil"/>
            </w:tcBorders>
            <w:shd w:val="clear" w:color="auto" w:fill="auto"/>
          </w:tcPr>
          <w:p w14:paraId="4DDE6CD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(0.0446)</w:t>
            </w:r>
          </w:p>
        </w:tc>
        <w:tc>
          <w:tcPr>
            <w:tcW w:w="1436" w:type="dxa"/>
            <w:tcBorders>
              <w:top w:val="nil"/>
              <w:left w:val="nil"/>
              <w:bottom w:val="nil"/>
              <w:right w:val="nil"/>
            </w:tcBorders>
            <w:shd w:val="clear" w:color="auto" w:fill="auto"/>
          </w:tcPr>
          <w:p w14:paraId="69032AD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(0.552)</w:t>
            </w:r>
          </w:p>
        </w:tc>
        <w:tc>
          <w:tcPr>
            <w:tcW w:w="1437" w:type="dxa"/>
            <w:tcBorders>
              <w:top w:val="nil"/>
              <w:bottom w:val="nil"/>
            </w:tcBorders>
          </w:tcPr>
          <w:p w14:paraId="398F115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(0.302)</w:t>
            </w:r>
          </w:p>
        </w:tc>
        <w:tc>
          <w:tcPr>
            <w:tcW w:w="1437" w:type="dxa"/>
            <w:tcBorders>
              <w:top w:val="nil"/>
              <w:bottom w:val="nil"/>
            </w:tcBorders>
          </w:tcPr>
          <w:p w14:paraId="4098CF8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(0.00215)</w:t>
            </w:r>
          </w:p>
        </w:tc>
      </w:tr>
      <w:tr w:rsidR="00724212" w:rsidRPr="00FC59B5" w14:paraId="4121A94B" w14:textId="77777777" w:rsidTr="007327AF">
        <w:trPr>
          <w:jc w:val="center"/>
        </w:trPr>
        <w:tc>
          <w:tcPr>
            <w:tcW w:w="1843" w:type="dxa"/>
            <w:tcBorders>
              <w:top w:val="nil"/>
              <w:left w:val="nil"/>
              <w:bottom w:val="nil"/>
              <w:right w:val="nil"/>
            </w:tcBorders>
            <w:shd w:val="clear" w:color="auto" w:fill="auto"/>
          </w:tcPr>
          <w:p w14:paraId="04026B12"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LN_TRNOVR</w:t>
            </w:r>
          </w:p>
        </w:tc>
        <w:tc>
          <w:tcPr>
            <w:tcW w:w="1436" w:type="dxa"/>
            <w:tcBorders>
              <w:top w:val="nil"/>
              <w:left w:val="nil"/>
              <w:bottom w:val="nil"/>
              <w:right w:val="nil"/>
            </w:tcBorders>
            <w:shd w:val="clear" w:color="auto" w:fill="auto"/>
          </w:tcPr>
          <w:p w14:paraId="6BD24E3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-0.00237</w:t>
            </w:r>
          </w:p>
        </w:tc>
        <w:tc>
          <w:tcPr>
            <w:tcW w:w="1437" w:type="dxa"/>
            <w:tcBorders>
              <w:top w:val="nil"/>
              <w:left w:val="nil"/>
              <w:bottom w:val="nil"/>
              <w:right w:val="nil"/>
            </w:tcBorders>
            <w:shd w:val="clear" w:color="auto" w:fill="auto"/>
          </w:tcPr>
          <w:p w14:paraId="7E100C3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-0.157**</w:t>
            </w:r>
          </w:p>
        </w:tc>
        <w:tc>
          <w:tcPr>
            <w:tcW w:w="1436" w:type="dxa"/>
            <w:tcBorders>
              <w:top w:val="nil"/>
              <w:left w:val="nil"/>
              <w:bottom w:val="nil"/>
              <w:right w:val="nil"/>
            </w:tcBorders>
            <w:shd w:val="clear" w:color="auto" w:fill="auto"/>
          </w:tcPr>
          <w:p w14:paraId="48B191A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-0.00872</w:t>
            </w:r>
          </w:p>
        </w:tc>
        <w:tc>
          <w:tcPr>
            <w:tcW w:w="1437" w:type="dxa"/>
            <w:tcBorders>
              <w:top w:val="nil"/>
              <w:bottom w:val="nil"/>
            </w:tcBorders>
          </w:tcPr>
          <w:p w14:paraId="5F2D1D9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-0.00119</w:t>
            </w:r>
          </w:p>
        </w:tc>
        <w:tc>
          <w:tcPr>
            <w:tcW w:w="1437" w:type="dxa"/>
            <w:tcBorders>
              <w:top w:val="nil"/>
              <w:bottom w:val="nil"/>
            </w:tcBorders>
          </w:tcPr>
          <w:p w14:paraId="60D4071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0.000867</w:t>
            </w:r>
          </w:p>
        </w:tc>
      </w:tr>
      <w:tr w:rsidR="00724212" w:rsidRPr="00FC59B5" w14:paraId="16BC4EE4" w14:textId="77777777" w:rsidTr="007327AF">
        <w:trPr>
          <w:jc w:val="center"/>
        </w:trPr>
        <w:tc>
          <w:tcPr>
            <w:tcW w:w="1843" w:type="dxa"/>
            <w:tcBorders>
              <w:top w:val="nil"/>
              <w:left w:val="nil"/>
              <w:bottom w:val="nil"/>
              <w:right w:val="nil"/>
            </w:tcBorders>
            <w:shd w:val="clear" w:color="auto" w:fill="auto"/>
          </w:tcPr>
          <w:p w14:paraId="43688035"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1B0B428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(0.807)</w:t>
            </w:r>
          </w:p>
        </w:tc>
        <w:tc>
          <w:tcPr>
            <w:tcW w:w="1437" w:type="dxa"/>
            <w:tcBorders>
              <w:top w:val="nil"/>
              <w:left w:val="nil"/>
              <w:bottom w:val="nil"/>
              <w:right w:val="nil"/>
            </w:tcBorders>
            <w:shd w:val="clear" w:color="auto" w:fill="auto"/>
          </w:tcPr>
          <w:p w14:paraId="1A04F82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(0.0205)</w:t>
            </w:r>
          </w:p>
        </w:tc>
        <w:tc>
          <w:tcPr>
            <w:tcW w:w="1436" w:type="dxa"/>
            <w:tcBorders>
              <w:top w:val="nil"/>
              <w:left w:val="nil"/>
              <w:bottom w:val="nil"/>
              <w:right w:val="nil"/>
            </w:tcBorders>
            <w:shd w:val="clear" w:color="auto" w:fill="auto"/>
          </w:tcPr>
          <w:p w14:paraId="4BB0132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(0.307)</w:t>
            </w:r>
          </w:p>
        </w:tc>
        <w:tc>
          <w:tcPr>
            <w:tcW w:w="1437" w:type="dxa"/>
            <w:tcBorders>
              <w:top w:val="nil"/>
              <w:bottom w:val="nil"/>
            </w:tcBorders>
          </w:tcPr>
          <w:p w14:paraId="3CDCBBF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(0.807)</w:t>
            </w:r>
          </w:p>
        </w:tc>
        <w:tc>
          <w:tcPr>
            <w:tcW w:w="1437" w:type="dxa"/>
            <w:tcBorders>
              <w:top w:val="nil"/>
              <w:bottom w:val="nil"/>
            </w:tcBorders>
          </w:tcPr>
          <w:p w14:paraId="7B235D3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(0.895)</w:t>
            </w:r>
          </w:p>
        </w:tc>
      </w:tr>
      <w:tr w:rsidR="00724212" w:rsidRPr="00FC59B5" w14:paraId="75ADB4D1" w14:textId="77777777" w:rsidTr="007327AF">
        <w:trPr>
          <w:jc w:val="center"/>
        </w:trPr>
        <w:tc>
          <w:tcPr>
            <w:tcW w:w="1843" w:type="dxa"/>
            <w:tcBorders>
              <w:top w:val="nil"/>
              <w:left w:val="nil"/>
              <w:bottom w:val="nil"/>
              <w:right w:val="nil"/>
            </w:tcBorders>
            <w:shd w:val="clear" w:color="auto" w:fill="auto"/>
          </w:tcPr>
          <w:p w14:paraId="512B4BF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Constant</w:t>
            </w:r>
          </w:p>
        </w:tc>
        <w:tc>
          <w:tcPr>
            <w:tcW w:w="1436" w:type="dxa"/>
            <w:tcBorders>
              <w:top w:val="nil"/>
              <w:left w:val="nil"/>
              <w:bottom w:val="nil"/>
              <w:right w:val="nil"/>
            </w:tcBorders>
            <w:shd w:val="clear" w:color="auto" w:fill="auto"/>
          </w:tcPr>
          <w:p w14:paraId="050EBD2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0.352***</w:t>
            </w:r>
          </w:p>
        </w:tc>
        <w:tc>
          <w:tcPr>
            <w:tcW w:w="1437" w:type="dxa"/>
            <w:tcBorders>
              <w:top w:val="nil"/>
              <w:left w:val="nil"/>
              <w:bottom w:val="nil"/>
              <w:right w:val="nil"/>
            </w:tcBorders>
            <w:shd w:val="clear" w:color="auto" w:fill="auto"/>
          </w:tcPr>
          <w:p w14:paraId="217AE99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2.279***</w:t>
            </w:r>
          </w:p>
        </w:tc>
        <w:tc>
          <w:tcPr>
            <w:tcW w:w="1436" w:type="dxa"/>
            <w:tcBorders>
              <w:top w:val="nil"/>
              <w:left w:val="nil"/>
              <w:bottom w:val="nil"/>
              <w:right w:val="nil"/>
            </w:tcBorders>
            <w:shd w:val="clear" w:color="auto" w:fill="auto"/>
          </w:tcPr>
          <w:p w14:paraId="035F313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0.678***</w:t>
            </w:r>
          </w:p>
        </w:tc>
        <w:tc>
          <w:tcPr>
            <w:tcW w:w="1437" w:type="dxa"/>
            <w:tcBorders>
              <w:top w:val="nil"/>
              <w:bottom w:val="nil"/>
            </w:tcBorders>
          </w:tcPr>
          <w:p w14:paraId="75EF3CF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0.676***</w:t>
            </w:r>
          </w:p>
        </w:tc>
        <w:tc>
          <w:tcPr>
            <w:tcW w:w="1437" w:type="dxa"/>
            <w:tcBorders>
              <w:top w:val="nil"/>
              <w:bottom w:val="nil"/>
            </w:tcBorders>
          </w:tcPr>
          <w:p w14:paraId="76033FA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0.359***</w:t>
            </w:r>
          </w:p>
        </w:tc>
      </w:tr>
      <w:tr w:rsidR="00724212" w:rsidRPr="00FC59B5" w14:paraId="059993B0" w14:textId="77777777" w:rsidTr="007327AF">
        <w:trPr>
          <w:jc w:val="center"/>
        </w:trPr>
        <w:tc>
          <w:tcPr>
            <w:tcW w:w="1843" w:type="dxa"/>
            <w:tcBorders>
              <w:top w:val="nil"/>
              <w:left w:val="nil"/>
              <w:bottom w:val="nil"/>
              <w:right w:val="nil"/>
            </w:tcBorders>
            <w:shd w:val="clear" w:color="auto" w:fill="auto"/>
          </w:tcPr>
          <w:p w14:paraId="23FEBD5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7EB1D55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(0.000111)</w:t>
            </w:r>
          </w:p>
        </w:tc>
        <w:tc>
          <w:tcPr>
            <w:tcW w:w="1437" w:type="dxa"/>
            <w:tcBorders>
              <w:top w:val="nil"/>
              <w:left w:val="nil"/>
              <w:bottom w:val="nil"/>
              <w:right w:val="nil"/>
            </w:tcBorders>
            <w:shd w:val="clear" w:color="auto" w:fill="auto"/>
          </w:tcPr>
          <w:p w14:paraId="07517F2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(0.00160)</w:t>
            </w:r>
          </w:p>
        </w:tc>
        <w:tc>
          <w:tcPr>
            <w:tcW w:w="1436" w:type="dxa"/>
            <w:tcBorders>
              <w:top w:val="nil"/>
              <w:left w:val="nil"/>
              <w:bottom w:val="nil"/>
              <w:right w:val="nil"/>
            </w:tcBorders>
            <w:shd w:val="clear" w:color="auto" w:fill="auto"/>
          </w:tcPr>
          <w:p w14:paraId="5C880FC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w:t>
            </w:r>
          </w:p>
        </w:tc>
        <w:tc>
          <w:tcPr>
            <w:tcW w:w="1437" w:type="dxa"/>
            <w:tcBorders>
              <w:top w:val="nil"/>
              <w:bottom w:val="nil"/>
            </w:tcBorders>
          </w:tcPr>
          <w:p w14:paraId="6AD11A0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w:t>
            </w:r>
          </w:p>
        </w:tc>
        <w:tc>
          <w:tcPr>
            <w:tcW w:w="1437" w:type="dxa"/>
            <w:tcBorders>
              <w:top w:val="nil"/>
              <w:bottom w:val="nil"/>
            </w:tcBorders>
          </w:tcPr>
          <w:p w14:paraId="72DF8FB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w:t>
            </w:r>
          </w:p>
        </w:tc>
      </w:tr>
      <w:tr w:rsidR="00724212" w:rsidRPr="00FC59B5" w14:paraId="7A1F908C" w14:textId="77777777" w:rsidTr="007327AF">
        <w:trPr>
          <w:jc w:val="center"/>
        </w:trPr>
        <w:tc>
          <w:tcPr>
            <w:tcW w:w="1843" w:type="dxa"/>
            <w:tcBorders>
              <w:top w:val="nil"/>
              <w:left w:val="nil"/>
              <w:bottom w:val="nil"/>
              <w:right w:val="nil"/>
            </w:tcBorders>
            <w:shd w:val="clear" w:color="auto" w:fill="auto"/>
          </w:tcPr>
          <w:p w14:paraId="6FC3749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385BD04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7" w:type="dxa"/>
            <w:tcBorders>
              <w:top w:val="nil"/>
              <w:left w:val="nil"/>
              <w:bottom w:val="nil"/>
              <w:right w:val="nil"/>
            </w:tcBorders>
            <w:shd w:val="clear" w:color="auto" w:fill="auto"/>
          </w:tcPr>
          <w:p w14:paraId="3551A8A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6" w:type="dxa"/>
            <w:tcBorders>
              <w:top w:val="nil"/>
              <w:left w:val="nil"/>
              <w:bottom w:val="nil"/>
              <w:right w:val="nil"/>
            </w:tcBorders>
            <w:shd w:val="clear" w:color="auto" w:fill="auto"/>
          </w:tcPr>
          <w:p w14:paraId="18BEFFD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7" w:type="dxa"/>
            <w:tcBorders>
              <w:top w:val="nil"/>
              <w:left w:val="nil"/>
              <w:bottom w:val="nil"/>
              <w:right w:val="nil"/>
            </w:tcBorders>
          </w:tcPr>
          <w:p w14:paraId="726A467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37" w:type="dxa"/>
            <w:tcBorders>
              <w:top w:val="nil"/>
              <w:left w:val="nil"/>
              <w:bottom w:val="nil"/>
              <w:right w:val="nil"/>
            </w:tcBorders>
          </w:tcPr>
          <w:p w14:paraId="721DBE6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724212" w:rsidRPr="00FC59B5" w14:paraId="6433EF09" w14:textId="77777777" w:rsidTr="007327AF">
        <w:trPr>
          <w:jc w:val="center"/>
        </w:trPr>
        <w:tc>
          <w:tcPr>
            <w:tcW w:w="1843" w:type="dxa"/>
            <w:tcBorders>
              <w:top w:val="nil"/>
              <w:left w:val="nil"/>
              <w:right w:val="nil"/>
            </w:tcBorders>
            <w:shd w:val="clear" w:color="auto" w:fill="auto"/>
          </w:tcPr>
          <w:p w14:paraId="27F93E2D"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Observations</w:t>
            </w:r>
          </w:p>
        </w:tc>
        <w:tc>
          <w:tcPr>
            <w:tcW w:w="1436" w:type="dxa"/>
            <w:tcBorders>
              <w:top w:val="nil"/>
              <w:left w:val="nil"/>
              <w:right w:val="nil"/>
            </w:tcBorders>
            <w:shd w:val="clear" w:color="auto" w:fill="auto"/>
          </w:tcPr>
          <w:p w14:paraId="1FD30CC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829</w:t>
            </w:r>
          </w:p>
        </w:tc>
        <w:tc>
          <w:tcPr>
            <w:tcW w:w="1437" w:type="dxa"/>
            <w:tcBorders>
              <w:top w:val="nil"/>
              <w:left w:val="nil"/>
              <w:right w:val="nil"/>
            </w:tcBorders>
            <w:shd w:val="clear" w:color="auto" w:fill="auto"/>
          </w:tcPr>
          <w:p w14:paraId="7E9F071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829</w:t>
            </w:r>
          </w:p>
        </w:tc>
        <w:tc>
          <w:tcPr>
            <w:tcW w:w="1436" w:type="dxa"/>
            <w:tcBorders>
              <w:top w:val="nil"/>
              <w:left w:val="nil"/>
              <w:right w:val="nil"/>
            </w:tcBorders>
            <w:shd w:val="clear" w:color="auto" w:fill="auto"/>
          </w:tcPr>
          <w:p w14:paraId="35E0B9E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826</w:t>
            </w:r>
          </w:p>
        </w:tc>
        <w:tc>
          <w:tcPr>
            <w:tcW w:w="1437" w:type="dxa"/>
            <w:tcBorders>
              <w:top w:val="nil"/>
              <w:left w:val="nil"/>
              <w:right w:val="nil"/>
            </w:tcBorders>
          </w:tcPr>
          <w:p w14:paraId="0949A39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829</w:t>
            </w:r>
          </w:p>
        </w:tc>
        <w:tc>
          <w:tcPr>
            <w:tcW w:w="1437" w:type="dxa"/>
            <w:tcBorders>
              <w:top w:val="nil"/>
              <w:left w:val="nil"/>
              <w:right w:val="nil"/>
            </w:tcBorders>
          </w:tcPr>
          <w:p w14:paraId="6914F62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829</w:t>
            </w:r>
          </w:p>
        </w:tc>
      </w:tr>
      <w:tr w:rsidR="00724212" w:rsidRPr="00FC59B5" w14:paraId="7334E567" w14:textId="77777777" w:rsidTr="007327AF">
        <w:trPr>
          <w:jc w:val="center"/>
        </w:trPr>
        <w:tc>
          <w:tcPr>
            <w:tcW w:w="1843" w:type="dxa"/>
            <w:tcBorders>
              <w:top w:val="nil"/>
              <w:left w:val="nil"/>
              <w:right w:val="nil"/>
            </w:tcBorders>
            <w:shd w:val="clear" w:color="auto" w:fill="auto"/>
          </w:tcPr>
          <w:p w14:paraId="3766274D"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Year effect</w:t>
            </w:r>
          </w:p>
        </w:tc>
        <w:tc>
          <w:tcPr>
            <w:tcW w:w="1436" w:type="dxa"/>
            <w:tcBorders>
              <w:top w:val="nil"/>
              <w:left w:val="nil"/>
              <w:right w:val="nil"/>
            </w:tcBorders>
            <w:shd w:val="clear" w:color="auto" w:fill="auto"/>
          </w:tcPr>
          <w:p w14:paraId="64FE988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437" w:type="dxa"/>
            <w:tcBorders>
              <w:top w:val="nil"/>
              <w:left w:val="nil"/>
              <w:right w:val="nil"/>
            </w:tcBorders>
            <w:shd w:val="clear" w:color="auto" w:fill="auto"/>
          </w:tcPr>
          <w:p w14:paraId="162F426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436" w:type="dxa"/>
            <w:tcBorders>
              <w:top w:val="nil"/>
              <w:left w:val="nil"/>
              <w:right w:val="nil"/>
            </w:tcBorders>
            <w:shd w:val="clear" w:color="auto" w:fill="auto"/>
          </w:tcPr>
          <w:p w14:paraId="2E1403F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437" w:type="dxa"/>
            <w:tcBorders>
              <w:top w:val="nil"/>
              <w:left w:val="nil"/>
              <w:right w:val="nil"/>
            </w:tcBorders>
          </w:tcPr>
          <w:p w14:paraId="50E9400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437" w:type="dxa"/>
            <w:tcBorders>
              <w:top w:val="nil"/>
              <w:left w:val="nil"/>
              <w:right w:val="nil"/>
            </w:tcBorders>
          </w:tcPr>
          <w:p w14:paraId="1F49F47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18"/>
                <w:szCs w:val="18"/>
              </w:rPr>
              <w:t>Yes</w:t>
            </w:r>
          </w:p>
        </w:tc>
      </w:tr>
      <w:tr w:rsidR="00724212" w:rsidRPr="00FC59B5" w14:paraId="37206F80" w14:textId="77777777" w:rsidTr="007327AF">
        <w:trPr>
          <w:trHeight w:val="355"/>
          <w:jc w:val="center"/>
        </w:trPr>
        <w:tc>
          <w:tcPr>
            <w:tcW w:w="1843" w:type="dxa"/>
            <w:tcBorders>
              <w:top w:val="nil"/>
              <w:left w:val="nil"/>
              <w:bottom w:val="single" w:sz="4" w:space="0" w:color="auto"/>
              <w:right w:val="nil"/>
            </w:tcBorders>
          </w:tcPr>
          <w:p w14:paraId="4F518EA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R-squared</w:t>
            </w:r>
          </w:p>
        </w:tc>
        <w:tc>
          <w:tcPr>
            <w:tcW w:w="1436" w:type="dxa"/>
            <w:tcBorders>
              <w:top w:val="nil"/>
              <w:left w:val="nil"/>
              <w:bottom w:val="single" w:sz="4" w:space="0" w:color="auto"/>
              <w:right w:val="nil"/>
            </w:tcBorders>
          </w:tcPr>
          <w:p w14:paraId="06D9E48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0.0170</w:t>
            </w:r>
          </w:p>
        </w:tc>
        <w:tc>
          <w:tcPr>
            <w:tcW w:w="1437" w:type="dxa"/>
            <w:tcBorders>
              <w:top w:val="nil"/>
              <w:left w:val="nil"/>
              <w:bottom w:val="single" w:sz="4" w:space="0" w:color="auto"/>
              <w:right w:val="nil"/>
            </w:tcBorders>
          </w:tcPr>
          <w:p w14:paraId="7021A6D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0.0314</w:t>
            </w:r>
          </w:p>
        </w:tc>
        <w:tc>
          <w:tcPr>
            <w:tcW w:w="1436" w:type="dxa"/>
            <w:tcBorders>
              <w:top w:val="nil"/>
              <w:left w:val="nil"/>
              <w:bottom w:val="single" w:sz="4" w:space="0" w:color="auto"/>
              <w:right w:val="nil"/>
            </w:tcBorders>
          </w:tcPr>
          <w:p w14:paraId="5609CFE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0.0162</w:t>
            </w:r>
          </w:p>
        </w:tc>
        <w:tc>
          <w:tcPr>
            <w:tcW w:w="1437" w:type="dxa"/>
            <w:tcBorders>
              <w:top w:val="nil"/>
              <w:left w:val="nil"/>
              <w:bottom w:val="single" w:sz="4" w:space="0" w:color="auto"/>
              <w:right w:val="nil"/>
            </w:tcBorders>
          </w:tcPr>
          <w:p w14:paraId="517AD13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0.0170</w:t>
            </w:r>
          </w:p>
        </w:tc>
        <w:tc>
          <w:tcPr>
            <w:tcW w:w="1437" w:type="dxa"/>
            <w:tcBorders>
              <w:top w:val="nil"/>
              <w:left w:val="nil"/>
              <w:bottom w:val="single" w:sz="4" w:space="0" w:color="auto"/>
              <w:right w:val="nil"/>
            </w:tcBorders>
          </w:tcPr>
          <w:p w14:paraId="6FB969E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0.0190</w:t>
            </w:r>
          </w:p>
        </w:tc>
      </w:tr>
    </w:tbl>
    <w:p w14:paraId="72625E55" w14:textId="77777777" w:rsidR="00724212" w:rsidRPr="00FC59B5" w:rsidRDefault="00724212" w:rsidP="000571A7">
      <w:pPr>
        <w:spacing w:after="120"/>
        <w:contextualSpacing/>
        <w:jc w:val="center"/>
        <w:rPr>
          <w:i/>
          <w:iCs/>
          <w:color w:val="000000" w:themeColor="text1"/>
          <w:sz w:val="16"/>
          <w:szCs w:val="16"/>
        </w:rPr>
      </w:pPr>
      <w:r w:rsidRPr="00FC59B5">
        <w:rPr>
          <w:i/>
          <w:iCs/>
          <w:color w:val="000000" w:themeColor="text1"/>
          <w:sz w:val="16"/>
          <w:szCs w:val="16"/>
        </w:rPr>
        <w:t xml:space="preserve">Robust </w:t>
      </w:r>
      <w:proofErr w:type="spellStart"/>
      <w:r w:rsidRPr="00FC59B5">
        <w:rPr>
          <w:i/>
          <w:iCs/>
          <w:color w:val="000000" w:themeColor="text1"/>
          <w:sz w:val="16"/>
          <w:szCs w:val="16"/>
        </w:rPr>
        <w:t>pval</w:t>
      </w:r>
      <w:proofErr w:type="spellEnd"/>
      <w:r w:rsidRPr="00FC59B5">
        <w:rPr>
          <w:i/>
          <w:iCs/>
          <w:color w:val="000000" w:themeColor="text1"/>
          <w:sz w:val="16"/>
          <w:szCs w:val="16"/>
        </w:rPr>
        <w:t xml:space="preserve"> in parentheses</w:t>
      </w:r>
    </w:p>
    <w:p w14:paraId="42C9E51B" w14:textId="2375A637" w:rsidR="00724212" w:rsidRPr="00FC59B5" w:rsidRDefault="00724212" w:rsidP="000571A7">
      <w:pPr>
        <w:spacing w:after="120"/>
        <w:contextualSpacing/>
        <w:jc w:val="center"/>
        <w:rPr>
          <w:i/>
          <w:iCs/>
          <w:color w:val="000000" w:themeColor="text1"/>
          <w:sz w:val="16"/>
          <w:szCs w:val="16"/>
        </w:rPr>
      </w:pPr>
      <w:r w:rsidRPr="00FC59B5">
        <w:rPr>
          <w:i/>
          <w:iCs/>
          <w:color w:val="000000" w:themeColor="text1"/>
          <w:sz w:val="16"/>
          <w:szCs w:val="16"/>
        </w:rPr>
        <w:t>*** p&lt;0.01, ** p&lt;0.05, * p&lt;0.1</w:t>
      </w:r>
    </w:p>
    <w:p w14:paraId="56670AF5" w14:textId="6BEB1672" w:rsidR="00724212" w:rsidRPr="00FC59B5" w:rsidRDefault="000571A7" w:rsidP="002E5090">
      <w:pPr>
        <w:spacing w:after="120"/>
        <w:contextualSpacing/>
        <w:jc w:val="both"/>
        <w:rPr>
          <w:i/>
          <w:iCs/>
          <w:sz w:val="16"/>
          <w:szCs w:val="16"/>
        </w:rPr>
      </w:pPr>
      <w:r w:rsidRPr="00FC59B5">
        <w:rPr>
          <w:b/>
          <w:bCs/>
          <w:i/>
          <w:iCs/>
          <w:sz w:val="16"/>
          <w:szCs w:val="16"/>
        </w:rPr>
        <w:t>CSR Net Tone [LM11]</w:t>
      </w:r>
      <w:r w:rsidRPr="00FC59B5">
        <w:rPr>
          <w:i/>
          <w:iCs/>
          <w:sz w:val="16"/>
          <w:szCs w:val="16"/>
        </w:rPr>
        <w:t xml:space="preserve">: </w:t>
      </w:r>
      <w:r w:rsidR="00A2737A" w:rsidRPr="00FC59B5">
        <w:rPr>
          <w:i/>
          <w:iCs/>
          <w:sz w:val="16"/>
          <w:szCs w:val="16"/>
        </w:rPr>
        <w:t xml:space="preserve">Ratio of Net Tone of CSR Narratives, based on Loughran and </w:t>
      </w:r>
      <w:proofErr w:type="spellStart"/>
      <w:r w:rsidR="00A2737A" w:rsidRPr="00FC59B5">
        <w:rPr>
          <w:i/>
          <w:iCs/>
          <w:sz w:val="16"/>
          <w:szCs w:val="16"/>
        </w:rPr>
        <w:t>Mcdonald</w:t>
      </w:r>
      <w:proofErr w:type="spellEnd"/>
      <w:r w:rsidR="00A2737A" w:rsidRPr="00FC59B5">
        <w:rPr>
          <w:i/>
          <w:iCs/>
          <w:sz w:val="16"/>
          <w:szCs w:val="16"/>
        </w:rPr>
        <w:t xml:space="preserve"> (2011)</w:t>
      </w:r>
      <w:r w:rsidR="002E5090" w:rsidRPr="00FC59B5">
        <w:rPr>
          <w:i/>
          <w:iCs/>
          <w:sz w:val="16"/>
          <w:szCs w:val="16"/>
        </w:rPr>
        <w:t xml:space="preserve">, </w:t>
      </w:r>
      <w:r w:rsidRPr="00FC59B5">
        <w:rPr>
          <w:b/>
          <w:bCs/>
          <w:i/>
          <w:iCs/>
          <w:sz w:val="16"/>
          <w:szCs w:val="16"/>
        </w:rPr>
        <w:t>CSR Net Tone [LM11]</w:t>
      </w:r>
      <w:r w:rsidRPr="00FC59B5">
        <w:rPr>
          <w:i/>
          <w:iCs/>
          <w:sz w:val="16"/>
          <w:szCs w:val="16"/>
        </w:rPr>
        <w:t xml:space="preserve"> </w:t>
      </w:r>
      <w:r w:rsidRPr="00FC59B5">
        <w:rPr>
          <w:b/>
          <w:bCs/>
          <w:i/>
          <w:iCs/>
          <w:sz w:val="16"/>
          <w:szCs w:val="16"/>
        </w:rPr>
        <w:t>Dummy</w:t>
      </w:r>
      <w:r w:rsidRPr="00FC59B5">
        <w:rPr>
          <w:i/>
          <w:iCs/>
          <w:sz w:val="16"/>
          <w:szCs w:val="16"/>
        </w:rPr>
        <w:t>:</w:t>
      </w:r>
      <w:r w:rsidR="007A4944" w:rsidRPr="00FC59B5">
        <w:rPr>
          <w:i/>
          <w:iCs/>
          <w:sz w:val="16"/>
          <w:szCs w:val="16"/>
        </w:rPr>
        <w:t xml:space="preserve"> Net Tone of CSR Narrative, based on Loughran and </w:t>
      </w:r>
      <w:proofErr w:type="spellStart"/>
      <w:r w:rsidR="007A4944" w:rsidRPr="00FC59B5">
        <w:rPr>
          <w:i/>
          <w:iCs/>
          <w:sz w:val="16"/>
          <w:szCs w:val="16"/>
        </w:rPr>
        <w:t>Mcdonald</w:t>
      </w:r>
      <w:proofErr w:type="spellEnd"/>
      <w:r w:rsidR="007A4944" w:rsidRPr="00FC59B5">
        <w:rPr>
          <w:i/>
          <w:iCs/>
          <w:sz w:val="16"/>
          <w:szCs w:val="16"/>
        </w:rPr>
        <w:t xml:space="preserve"> (2011), as a dummy variable [0 if between 1% and -1%, +1 if higher than 1%</w:t>
      </w:r>
      <w:r w:rsidR="002E5090" w:rsidRPr="00FC59B5">
        <w:rPr>
          <w:i/>
          <w:iCs/>
          <w:sz w:val="16"/>
          <w:szCs w:val="16"/>
        </w:rPr>
        <w:t xml:space="preserve">, </w:t>
      </w:r>
      <w:r w:rsidR="007A4944" w:rsidRPr="00FC59B5">
        <w:rPr>
          <w:i/>
          <w:iCs/>
          <w:sz w:val="16"/>
          <w:szCs w:val="16"/>
        </w:rPr>
        <w:t>and -1 if less than -1%</w:t>
      </w:r>
      <w:r w:rsidR="002E5090" w:rsidRPr="00FC59B5">
        <w:rPr>
          <w:i/>
          <w:iCs/>
          <w:sz w:val="16"/>
          <w:szCs w:val="16"/>
        </w:rPr>
        <w:t xml:space="preserve">], </w:t>
      </w:r>
      <w:r w:rsidRPr="00FC59B5">
        <w:rPr>
          <w:b/>
          <w:bCs/>
          <w:i/>
          <w:iCs/>
          <w:sz w:val="16"/>
          <w:szCs w:val="16"/>
        </w:rPr>
        <w:t>CSR Net Tone [H08]</w:t>
      </w:r>
      <w:r w:rsidRPr="00FC59B5">
        <w:rPr>
          <w:i/>
          <w:iCs/>
          <w:sz w:val="16"/>
          <w:szCs w:val="16"/>
        </w:rPr>
        <w:t xml:space="preserve">: </w:t>
      </w:r>
      <w:r w:rsidR="00A2737A" w:rsidRPr="00FC59B5">
        <w:rPr>
          <w:i/>
          <w:iCs/>
          <w:sz w:val="16"/>
          <w:szCs w:val="16"/>
        </w:rPr>
        <w:t>Ratio of Net Tone of CSR Narratives, based on Henry (2008)</w:t>
      </w:r>
      <w:r w:rsidR="002E5090" w:rsidRPr="00FC59B5">
        <w:rPr>
          <w:i/>
          <w:iCs/>
          <w:sz w:val="16"/>
          <w:szCs w:val="16"/>
        </w:rPr>
        <w:t xml:space="preserve">, </w:t>
      </w:r>
      <w:r w:rsidRPr="00FC59B5">
        <w:rPr>
          <w:b/>
          <w:bCs/>
          <w:i/>
          <w:iCs/>
          <w:sz w:val="16"/>
          <w:szCs w:val="16"/>
        </w:rPr>
        <w:t>CSR Positive Tone [LM11]</w:t>
      </w:r>
      <w:r w:rsidRPr="00FC59B5">
        <w:rPr>
          <w:i/>
          <w:iCs/>
          <w:sz w:val="16"/>
          <w:szCs w:val="16"/>
        </w:rPr>
        <w:t>:</w:t>
      </w:r>
      <w:r w:rsidR="007A4944" w:rsidRPr="00FC59B5">
        <w:rPr>
          <w:i/>
          <w:iCs/>
          <w:sz w:val="16"/>
          <w:szCs w:val="16"/>
        </w:rPr>
        <w:t xml:space="preserve"> Ratio of Positive Tone of CSR Narratives, based on Loughran and </w:t>
      </w:r>
      <w:proofErr w:type="spellStart"/>
      <w:r w:rsidR="007A4944" w:rsidRPr="00FC59B5">
        <w:rPr>
          <w:i/>
          <w:iCs/>
          <w:sz w:val="16"/>
          <w:szCs w:val="16"/>
        </w:rPr>
        <w:t>Mcdonald</w:t>
      </w:r>
      <w:proofErr w:type="spellEnd"/>
      <w:r w:rsidR="007A4944" w:rsidRPr="00FC59B5">
        <w:rPr>
          <w:i/>
          <w:iCs/>
          <w:sz w:val="16"/>
          <w:szCs w:val="16"/>
        </w:rPr>
        <w:t xml:space="preserve"> (2011)</w:t>
      </w:r>
      <w:r w:rsidR="002E5090" w:rsidRPr="00FC59B5">
        <w:rPr>
          <w:i/>
          <w:iCs/>
          <w:sz w:val="16"/>
          <w:szCs w:val="16"/>
        </w:rPr>
        <w:t xml:space="preserve">, </w:t>
      </w:r>
      <w:r w:rsidRPr="00FC59B5">
        <w:rPr>
          <w:b/>
          <w:bCs/>
          <w:i/>
          <w:iCs/>
          <w:sz w:val="16"/>
          <w:szCs w:val="16"/>
        </w:rPr>
        <w:t>CSR Negative Tone [LM11]</w:t>
      </w:r>
      <w:r w:rsidRPr="00FC59B5">
        <w:rPr>
          <w:i/>
          <w:iCs/>
          <w:sz w:val="16"/>
          <w:szCs w:val="16"/>
        </w:rPr>
        <w:t>:</w:t>
      </w:r>
      <w:r w:rsidR="007A4944" w:rsidRPr="00FC59B5">
        <w:rPr>
          <w:i/>
          <w:iCs/>
          <w:sz w:val="16"/>
          <w:szCs w:val="16"/>
        </w:rPr>
        <w:t xml:space="preserve"> Ratio of Negative Tone of CSR Narratives, based on Loughran and </w:t>
      </w:r>
      <w:proofErr w:type="spellStart"/>
      <w:r w:rsidR="007A4944" w:rsidRPr="00FC59B5">
        <w:rPr>
          <w:i/>
          <w:iCs/>
          <w:sz w:val="16"/>
          <w:szCs w:val="16"/>
        </w:rPr>
        <w:t>Mcdonald</w:t>
      </w:r>
      <w:proofErr w:type="spellEnd"/>
      <w:r w:rsidR="007A4944" w:rsidRPr="00FC59B5">
        <w:rPr>
          <w:i/>
          <w:iCs/>
          <w:sz w:val="16"/>
          <w:szCs w:val="16"/>
        </w:rPr>
        <w:t xml:space="preserve"> (2011)</w:t>
      </w:r>
      <w:r w:rsidR="002E5090" w:rsidRPr="00FC59B5">
        <w:rPr>
          <w:i/>
          <w:iCs/>
          <w:sz w:val="16"/>
          <w:szCs w:val="16"/>
        </w:rPr>
        <w:t xml:space="preserve">, </w:t>
      </w:r>
      <w:r w:rsidRPr="00FC59B5">
        <w:rPr>
          <w:b/>
          <w:bCs/>
          <w:i/>
          <w:iCs/>
          <w:sz w:val="16"/>
          <w:szCs w:val="16"/>
        </w:rPr>
        <w:t>BRD_SZ</w:t>
      </w:r>
      <w:r w:rsidRPr="00FC59B5">
        <w:rPr>
          <w:i/>
          <w:iCs/>
          <w:sz w:val="16"/>
          <w:szCs w:val="16"/>
        </w:rPr>
        <w:t xml:space="preserve">: Board Size, </w:t>
      </w:r>
      <w:r w:rsidRPr="00FC59B5">
        <w:rPr>
          <w:b/>
          <w:bCs/>
          <w:i/>
          <w:iCs/>
          <w:sz w:val="16"/>
          <w:szCs w:val="16"/>
        </w:rPr>
        <w:t>PCT_INED</w:t>
      </w:r>
      <w:r w:rsidRPr="00FC59B5">
        <w:rPr>
          <w:i/>
          <w:iCs/>
          <w:sz w:val="16"/>
          <w:szCs w:val="16"/>
        </w:rPr>
        <w:t xml:space="preserve">: Ratio of Independent Non-Executive Directors, </w:t>
      </w:r>
      <w:r w:rsidRPr="00FC59B5">
        <w:rPr>
          <w:b/>
          <w:bCs/>
          <w:i/>
          <w:iCs/>
          <w:sz w:val="16"/>
          <w:szCs w:val="16"/>
        </w:rPr>
        <w:t>PCT_BRD_WOMEN</w:t>
      </w:r>
      <w:r w:rsidRPr="00FC59B5">
        <w:rPr>
          <w:i/>
          <w:iCs/>
          <w:sz w:val="16"/>
          <w:szCs w:val="16"/>
        </w:rPr>
        <w:t xml:space="preserve">: Ratio of Women on Board, </w:t>
      </w:r>
      <w:r w:rsidRPr="00FC59B5">
        <w:rPr>
          <w:b/>
          <w:bCs/>
          <w:i/>
          <w:iCs/>
          <w:sz w:val="16"/>
          <w:szCs w:val="16"/>
        </w:rPr>
        <w:t>AUDCOM_SZ</w:t>
      </w:r>
      <w:r w:rsidRPr="00FC59B5">
        <w:rPr>
          <w:i/>
          <w:iCs/>
          <w:sz w:val="16"/>
          <w:szCs w:val="16"/>
        </w:rPr>
        <w:t xml:space="preserve">: Audit Committee Size, </w:t>
      </w:r>
      <w:r w:rsidRPr="00FC59B5">
        <w:rPr>
          <w:b/>
          <w:bCs/>
          <w:i/>
          <w:iCs/>
          <w:sz w:val="16"/>
          <w:szCs w:val="16"/>
        </w:rPr>
        <w:t>ESG</w:t>
      </w:r>
      <w:r w:rsidRPr="00FC59B5">
        <w:rPr>
          <w:i/>
          <w:iCs/>
          <w:sz w:val="16"/>
          <w:szCs w:val="16"/>
        </w:rPr>
        <w:t xml:space="preserve">: ESG Disclosure, </w:t>
      </w:r>
      <w:r w:rsidRPr="00FC59B5">
        <w:rPr>
          <w:b/>
          <w:bCs/>
          <w:i/>
          <w:iCs/>
          <w:sz w:val="16"/>
          <w:szCs w:val="16"/>
        </w:rPr>
        <w:t>ROA</w:t>
      </w:r>
      <w:r w:rsidRPr="00FC59B5">
        <w:rPr>
          <w:i/>
          <w:iCs/>
          <w:sz w:val="16"/>
          <w:szCs w:val="16"/>
        </w:rPr>
        <w:t xml:space="preserve">: Return on Assets, </w:t>
      </w:r>
      <w:r w:rsidRPr="00FC59B5">
        <w:rPr>
          <w:b/>
          <w:bCs/>
          <w:i/>
          <w:iCs/>
          <w:sz w:val="16"/>
          <w:szCs w:val="16"/>
        </w:rPr>
        <w:t>FNCL_LVRG</w:t>
      </w:r>
      <w:r w:rsidRPr="00FC59B5">
        <w:rPr>
          <w:i/>
          <w:iCs/>
          <w:sz w:val="16"/>
          <w:szCs w:val="16"/>
        </w:rPr>
        <w:t xml:space="preserve">: Financial Leverage, </w:t>
      </w:r>
      <w:r w:rsidRPr="00FC59B5">
        <w:rPr>
          <w:b/>
          <w:bCs/>
          <w:i/>
          <w:iCs/>
          <w:sz w:val="16"/>
          <w:szCs w:val="16"/>
        </w:rPr>
        <w:t>LN_TRNOVR</w:t>
      </w:r>
      <w:r w:rsidRPr="00FC59B5">
        <w:rPr>
          <w:i/>
          <w:iCs/>
          <w:sz w:val="16"/>
          <w:szCs w:val="16"/>
        </w:rPr>
        <w:t>: Firm Size</w:t>
      </w:r>
    </w:p>
    <w:p w14:paraId="4A1C4427" w14:textId="77777777" w:rsidR="00724212" w:rsidRPr="00FC59B5" w:rsidRDefault="00724212" w:rsidP="00724212"/>
    <w:p w14:paraId="396F5C44" w14:textId="34BC8724" w:rsidR="00724212" w:rsidRPr="00FC59B5" w:rsidRDefault="00724212" w:rsidP="00724212">
      <w:pPr>
        <w:jc w:val="both"/>
        <w:rPr>
          <w:rFonts w:ascii="Times New Roman" w:hAnsi="Times New Roman"/>
          <w:color w:val="000000" w:themeColor="text1"/>
          <w:sz w:val="24"/>
        </w:rPr>
      </w:pPr>
      <w:r w:rsidRPr="00FC59B5">
        <w:rPr>
          <w:rFonts w:ascii="Times New Roman" w:hAnsi="Times New Roman"/>
          <w:color w:val="000000" w:themeColor="text1"/>
          <w:sz w:val="24"/>
        </w:rPr>
        <w:t xml:space="preserve">Table 5. </w:t>
      </w:r>
      <w:r w:rsidRPr="00FC59B5">
        <w:rPr>
          <w:rFonts w:ascii="Times New Roman" w:hAnsi="Times New Roman"/>
          <w:color w:val="000000" w:themeColor="text1"/>
        </w:rPr>
        <w:t xml:space="preserve">Additional </w:t>
      </w:r>
      <w:r w:rsidR="000571A7" w:rsidRPr="00FC59B5">
        <w:rPr>
          <w:rFonts w:ascii="Times New Roman" w:hAnsi="Times New Roman"/>
          <w:color w:val="000000" w:themeColor="text1"/>
        </w:rPr>
        <w:t>A</w:t>
      </w:r>
      <w:r w:rsidRPr="00FC59B5">
        <w:rPr>
          <w:rFonts w:ascii="Times New Roman" w:hAnsi="Times New Roman"/>
          <w:color w:val="000000" w:themeColor="text1"/>
        </w:rPr>
        <w:t xml:space="preserve">nalysis 1 </w:t>
      </w:r>
    </w:p>
    <w:tbl>
      <w:tblPr>
        <w:tblW w:w="4457" w:type="pct"/>
        <w:jc w:val="center"/>
        <w:tblLayout w:type="fixed"/>
        <w:tblCellMar>
          <w:left w:w="75" w:type="dxa"/>
          <w:right w:w="75" w:type="dxa"/>
        </w:tblCellMar>
        <w:tblLook w:val="0000" w:firstRow="0" w:lastRow="0" w:firstColumn="0" w:lastColumn="0" w:noHBand="0" w:noVBand="0"/>
      </w:tblPr>
      <w:tblGrid>
        <w:gridCol w:w="1843"/>
        <w:gridCol w:w="1276"/>
        <w:gridCol w:w="1290"/>
        <w:gridCol w:w="1120"/>
        <w:gridCol w:w="1304"/>
        <w:gridCol w:w="1213"/>
      </w:tblGrid>
      <w:tr w:rsidR="00724212" w:rsidRPr="00FC59B5" w14:paraId="0D1AEA64" w14:textId="77777777" w:rsidTr="00785435">
        <w:trPr>
          <w:trHeight w:val="331"/>
          <w:jc w:val="center"/>
        </w:trPr>
        <w:tc>
          <w:tcPr>
            <w:tcW w:w="1843" w:type="dxa"/>
            <w:tcBorders>
              <w:top w:val="single" w:sz="4" w:space="0" w:color="auto"/>
            </w:tcBorders>
          </w:tcPr>
          <w:p w14:paraId="00337D3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single" w:sz="4" w:space="0" w:color="auto"/>
            </w:tcBorders>
          </w:tcPr>
          <w:p w14:paraId="525758A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(6)</w:t>
            </w:r>
          </w:p>
        </w:tc>
        <w:tc>
          <w:tcPr>
            <w:tcW w:w="1290" w:type="dxa"/>
            <w:tcBorders>
              <w:top w:val="single" w:sz="4" w:space="0" w:color="auto"/>
            </w:tcBorders>
          </w:tcPr>
          <w:p w14:paraId="7BF10F4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(7)</w:t>
            </w:r>
          </w:p>
        </w:tc>
        <w:tc>
          <w:tcPr>
            <w:tcW w:w="1120" w:type="dxa"/>
            <w:tcBorders>
              <w:top w:val="single" w:sz="4" w:space="0" w:color="auto"/>
            </w:tcBorders>
          </w:tcPr>
          <w:p w14:paraId="69E414B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(8)</w:t>
            </w:r>
          </w:p>
        </w:tc>
        <w:tc>
          <w:tcPr>
            <w:tcW w:w="1304" w:type="dxa"/>
            <w:tcBorders>
              <w:top w:val="single" w:sz="4" w:space="0" w:color="auto"/>
            </w:tcBorders>
          </w:tcPr>
          <w:p w14:paraId="6DFCCA4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(9)</w:t>
            </w:r>
          </w:p>
        </w:tc>
        <w:tc>
          <w:tcPr>
            <w:tcW w:w="1213" w:type="dxa"/>
            <w:tcBorders>
              <w:top w:val="single" w:sz="4" w:space="0" w:color="auto"/>
            </w:tcBorders>
          </w:tcPr>
          <w:p w14:paraId="15E8553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(10)</w:t>
            </w:r>
          </w:p>
        </w:tc>
      </w:tr>
      <w:tr w:rsidR="00724212" w:rsidRPr="00FC59B5" w14:paraId="4949E475" w14:textId="77777777" w:rsidTr="00785435">
        <w:trPr>
          <w:trHeight w:val="331"/>
          <w:jc w:val="center"/>
        </w:trPr>
        <w:tc>
          <w:tcPr>
            <w:tcW w:w="1843" w:type="dxa"/>
            <w:tcBorders>
              <w:left w:val="nil"/>
              <w:bottom w:val="nil"/>
            </w:tcBorders>
          </w:tcPr>
          <w:p w14:paraId="5C9EC10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bottom w:val="nil"/>
            </w:tcBorders>
          </w:tcPr>
          <w:p w14:paraId="132BB37B" w14:textId="77777777" w:rsidR="004C6E4C" w:rsidRPr="00FC59B5" w:rsidRDefault="004C6E4C"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515F8341" w14:textId="1300A7D2" w:rsidR="00724212" w:rsidRPr="00FC59B5" w:rsidRDefault="00785435"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 xml:space="preserve">IF </w:t>
            </w:r>
            <w:r w:rsidR="004C6E4C" w:rsidRPr="00FC59B5">
              <w:rPr>
                <w:rFonts w:ascii="Times New Roman" w:hAnsi="Times New Roman" w:cs="Times New Roman"/>
                <w:color w:val="000000" w:themeColor="text1"/>
                <w:sz w:val="18"/>
                <w:szCs w:val="18"/>
              </w:rPr>
              <w:t>(</w:t>
            </w:r>
            <w:r w:rsidR="00724212" w:rsidRPr="00FC59B5">
              <w:rPr>
                <w:rFonts w:ascii="Times New Roman" w:hAnsi="Times New Roman" w:cs="Times New Roman"/>
                <w:color w:val="000000" w:themeColor="text1"/>
                <w:sz w:val="18"/>
                <w:szCs w:val="18"/>
              </w:rPr>
              <w:t>ESG 0-25%</w:t>
            </w:r>
            <w:r w:rsidR="004C6E4C" w:rsidRPr="00FC59B5">
              <w:rPr>
                <w:rFonts w:ascii="Times New Roman" w:hAnsi="Times New Roman" w:cs="Times New Roman"/>
                <w:color w:val="000000" w:themeColor="text1"/>
                <w:sz w:val="18"/>
                <w:szCs w:val="18"/>
              </w:rPr>
              <w:t>)</w:t>
            </w:r>
          </w:p>
        </w:tc>
        <w:tc>
          <w:tcPr>
            <w:tcW w:w="1290" w:type="dxa"/>
            <w:tcBorders>
              <w:bottom w:val="nil"/>
            </w:tcBorders>
          </w:tcPr>
          <w:p w14:paraId="5DE63752" w14:textId="77777777" w:rsidR="004C6E4C" w:rsidRPr="00FC59B5" w:rsidRDefault="004C6E4C"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583B356B" w14:textId="43D53493" w:rsidR="00724212" w:rsidRPr="00FC59B5" w:rsidRDefault="00785435"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 xml:space="preserve">IF </w:t>
            </w:r>
            <w:r w:rsidR="004C6E4C" w:rsidRPr="00FC59B5">
              <w:rPr>
                <w:rFonts w:ascii="Times New Roman" w:hAnsi="Times New Roman" w:cs="Times New Roman"/>
                <w:color w:val="000000" w:themeColor="text1"/>
                <w:sz w:val="18"/>
                <w:szCs w:val="18"/>
              </w:rPr>
              <w:t>(</w:t>
            </w:r>
            <w:r w:rsidR="00724212" w:rsidRPr="00FC59B5">
              <w:rPr>
                <w:rFonts w:ascii="Times New Roman" w:hAnsi="Times New Roman" w:cs="Times New Roman"/>
                <w:color w:val="000000" w:themeColor="text1"/>
                <w:sz w:val="18"/>
                <w:szCs w:val="18"/>
              </w:rPr>
              <w:t>ESG 25-50%</w:t>
            </w:r>
            <w:r w:rsidR="004C6E4C" w:rsidRPr="00FC59B5">
              <w:rPr>
                <w:rFonts w:ascii="Times New Roman" w:hAnsi="Times New Roman" w:cs="Times New Roman"/>
                <w:color w:val="000000" w:themeColor="text1"/>
                <w:sz w:val="18"/>
                <w:szCs w:val="18"/>
              </w:rPr>
              <w:t>)</w:t>
            </w:r>
          </w:p>
        </w:tc>
        <w:tc>
          <w:tcPr>
            <w:tcW w:w="1120" w:type="dxa"/>
            <w:tcBorders>
              <w:bottom w:val="nil"/>
            </w:tcBorders>
          </w:tcPr>
          <w:p w14:paraId="0616A159" w14:textId="77777777" w:rsidR="004C6E4C" w:rsidRPr="00FC59B5" w:rsidRDefault="004C6E4C" w:rsidP="004C6E4C">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727D3DC8" w14:textId="13387E91" w:rsidR="00724212" w:rsidRPr="00FC59B5" w:rsidRDefault="00785435" w:rsidP="004C6E4C">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 xml:space="preserve">IF </w:t>
            </w:r>
            <w:r w:rsidR="004C6E4C" w:rsidRPr="00FC59B5">
              <w:rPr>
                <w:rFonts w:ascii="Times New Roman" w:hAnsi="Times New Roman" w:cs="Times New Roman"/>
                <w:color w:val="000000" w:themeColor="text1"/>
                <w:sz w:val="18"/>
                <w:szCs w:val="18"/>
              </w:rPr>
              <w:t>(</w:t>
            </w:r>
            <w:r w:rsidR="00724212" w:rsidRPr="00FC59B5">
              <w:rPr>
                <w:rFonts w:ascii="Times New Roman" w:hAnsi="Times New Roman" w:cs="Times New Roman"/>
                <w:color w:val="000000" w:themeColor="text1"/>
                <w:sz w:val="18"/>
                <w:szCs w:val="18"/>
              </w:rPr>
              <w:t>ESG &gt;50%</w:t>
            </w:r>
            <w:r w:rsidR="004C6E4C" w:rsidRPr="00FC59B5">
              <w:rPr>
                <w:rFonts w:ascii="Times New Roman" w:hAnsi="Times New Roman" w:cs="Times New Roman"/>
                <w:color w:val="000000" w:themeColor="text1"/>
                <w:sz w:val="18"/>
                <w:szCs w:val="18"/>
              </w:rPr>
              <w:t>)</w:t>
            </w:r>
          </w:p>
        </w:tc>
        <w:tc>
          <w:tcPr>
            <w:tcW w:w="1304" w:type="dxa"/>
            <w:tcBorders>
              <w:bottom w:val="nil"/>
            </w:tcBorders>
          </w:tcPr>
          <w:p w14:paraId="31B1C3FA" w14:textId="77777777" w:rsidR="004C6E4C" w:rsidRPr="00FC59B5" w:rsidRDefault="004C6E4C" w:rsidP="004C6E4C">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49B821C9" w14:textId="1FDC2600" w:rsidR="00724212" w:rsidRPr="00FC59B5" w:rsidRDefault="00785435" w:rsidP="004C6E4C">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 xml:space="preserve">IF </w:t>
            </w:r>
            <w:r w:rsidR="004C6E4C" w:rsidRPr="00FC59B5">
              <w:rPr>
                <w:rFonts w:ascii="Times New Roman" w:hAnsi="Times New Roman" w:cs="Times New Roman"/>
                <w:color w:val="000000" w:themeColor="text1"/>
                <w:sz w:val="18"/>
                <w:szCs w:val="18"/>
              </w:rPr>
              <w:t>(</w:t>
            </w:r>
            <w:r w:rsidR="00724212" w:rsidRPr="00FC59B5">
              <w:rPr>
                <w:rFonts w:ascii="Times New Roman" w:hAnsi="Times New Roman" w:cs="Times New Roman"/>
                <w:color w:val="000000" w:themeColor="text1"/>
                <w:sz w:val="18"/>
                <w:szCs w:val="18"/>
              </w:rPr>
              <w:t>BRDSZ&lt;=1</w:t>
            </w:r>
            <w:r w:rsidRPr="00FC59B5">
              <w:rPr>
                <w:rFonts w:ascii="Times New Roman" w:hAnsi="Times New Roman" w:cs="Times New Roman"/>
                <w:color w:val="000000" w:themeColor="text1"/>
                <w:sz w:val="18"/>
                <w:szCs w:val="18"/>
              </w:rPr>
              <w:t>0</w:t>
            </w:r>
            <w:r w:rsidR="004C6E4C" w:rsidRPr="00FC59B5">
              <w:rPr>
                <w:rFonts w:ascii="Times New Roman" w:hAnsi="Times New Roman" w:cs="Times New Roman"/>
                <w:color w:val="000000" w:themeColor="text1"/>
                <w:sz w:val="18"/>
                <w:szCs w:val="18"/>
              </w:rPr>
              <w:t>)</w:t>
            </w:r>
          </w:p>
        </w:tc>
        <w:tc>
          <w:tcPr>
            <w:tcW w:w="1213" w:type="dxa"/>
            <w:tcBorders>
              <w:bottom w:val="nil"/>
            </w:tcBorders>
          </w:tcPr>
          <w:p w14:paraId="63852434" w14:textId="77777777" w:rsidR="004C6E4C" w:rsidRPr="00FC59B5" w:rsidRDefault="004C6E4C" w:rsidP="004C6E4C">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37F4E6E0" w14:textId="4E2CED17" w:rsidR="00724212" w:rsidRPr="00FC59B5" w:rsidRDefault="00785435" w:rsidP="004C6E4C">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 xml:space="preserve">IF </w:t>
            </w:r>
            <w:r w:rsidR="004C6E4C" w:rsidRPr="00FC59B5">
              <w:rPr>
                <w:rFonts w:ascii="Times New Roman" w:hAnsi="Times New Roman" w:cs="Times New Roman"/>
                <w:color w:val="000000" w:themeColor="text1"/>
                <w:sz w:val="18"/>
                <w:szCs w:val="18"/>
              </w:rPr>
              <w:t>(</w:t>
            </w:r>
            <w:r w:rsidR="00724212" w:rsidRPr="00FC59B5">
              <w:rPr>
                <w:rFonts w:ascii="Times New Roman" w:hAnsi="Times New Roman" w:cs="Times New Roman"/>
                <w:color w:val="000000" w:themeColor="text1"/>
                <w:sz w:val="18"/>
                <w:szCs w:val="18"/>
              </w:rPr>
              <w:t>BRDSZ&gt;10</w:t>
            </w:r>
            <w:r w:rsidR="004C6E4C" w:rsidRPr="00FC59B5">
              <w:rPr>
                <w:rFonts w:ascii="Times New Roman" w:hAnsi="Times New Roman" w:cs="Times New Roman"/>
                <w:color w:val="000000" w:themeColor="text1"/>
                <w:sz w:val="18"/>
                <w:szCs w:val="18"/>
              </w:rPr>
              <w:t>)</w:t>
            </w:r>
          </w:p>
        </w:tc>
      </w:tr>
      <w:tr w:rsidR="00724212" w:rsidRPr="00FC59B5" w14:paraId="40032FDF" w14:textId="77777777" w:rsidTr="00785435">
        <w:trPr>
          <w:trHeight w:val="204"/>
          <w:jc w:val="center"/>
        </w:trPr>
        <w:tc>
          <w:tcPr>
            <w:tcW w:w="1843" w:type="dxa"/>
            <w:tcBorders>
              <w:top w:val="nil"/>
              <w:left w:val="nil"/>
              <w:bottom w:val="single" w:sz="4" w:space="0" w:color="auto"/>
            </w:tcBorders>
          </w:tcPr>
          <w:p w14:paraId="32CE487A"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VARIABLES</w:t>
            </w:r>
          </w:p>
        </w:tc>
        <w:tc>
          <w:tcPr>
            <w:tcW w:w="1276" w:type="dxa"/>
            <w:tcBorders>
              <w:top w:val="nil"/>
              <w:bottom w:val="single" w:sz="4" w:space="0" w:color="auto"/>
            </w:tcBorders>
          </w:tcPr>
          <w:p w14:paraId="2EBF405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290" w:type="dxa"/>
            <w:tcBorders>
              <w:top w:val="nil"/>
              <w:bottom w:val="single" w:sz="4" w:space="0" w:color="auto"/>
            </w:tcBorders>
          </w:tcPr>
          <w:p w14:paraId="7A14498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120" w:type="dxa"/>
            <w:tcBorders>
              <w:top w:val="nil"/>
              <w:bottom w:val="single" w:sz="4" w:space="0" w:color="auto"/>
            </w:tcBorders>
          </w:tcPr>
          <w:p w14:paraId="7754DC6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304" w:type="dxa"/>
            <w:tcBorders>
              <w:top w:val="nil"/>
              <w:bottom w:val="single" w:sz="4" w:space="0" w:color="auto"/>
            </w:tcBorders>
          </w:tcPr>
          <w:p w14:paraId="0D97ABF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213" w:type="dxa"/>
            <w:tcBorders>
              <w:top w:val="nil"/>
              <w:bottom w:val="single" w:sz="4" w:space="0" w:color="auto"/>
            </w:tcBorders>
          </w:tcPr>
          <w:p w14:paraId="0EADE3A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r>
      <w:tr w:rsidR="00724212" w:rsidRPr="00FC59B5" w14:paraId="19D324C0" w14:textId="77777777" w:rsidTr="00785435">
        <w:trPr>
          <w:trHeight w:val="331"/>
          <w:jc w:val="center"/>
        </w:trPr>
        <w:tc>
          <w:tcPr>
            <w:tcW w:w="1843" w:type="dxa"/>
            <w:tcBorders>
              <w:top w:val="single" w:sz="4" w:space="0" w:color="auto"/>
              <w:left w:val="nil"/>
              <w:bottom w:val="nil"/>
            </w:tcBorders>
          </w:tcPr>
          <w:p w14:paraId="55504C50"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single" w:sz="4" w:space="0" w:color="auto"/>
              <w:bottom w:val="nil"/>
            </w:tcBorders>
          </w:tcPr>
          <w:p w14:paraId="048C6BC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90" w:type="dxa"/>
            <w:tcBorders>
              <w:top w:val="single" w:sz="4" w:space="0" w:color="auto"/>
              <w:bottom w:val="nil"/>
            </w:tcBorders>
          </w:tcPr>
          <w:p w14:paraId="1A0FC5E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20" w:type="dxa"/>
            <w:tcBorders>
              <w:top w:val="single" w:sz="4" w:space="0" w:color="auto"/>
              <w:bottom w:val="nil"/>
            </w:tcBorders>
          </w:tcPr>
          <w:p w14:paraId="6A2703A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304" w:type="dxa"/>
            <w:tcBorders>
              <w:top w:val="single" w:sz="4" w:space="0" w:color="auto"/>
              <w:bottom w:val="nil"/>
            </w:tcBorders>
          </w:tcPr>
          <w:p w14:paraId="75C32ED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13" w:type="dxa"/>
            <w:tcBorders>
              <w:top w:val="single" w:sz="4" w:space="0" w:color="auto"/>
              <w:bottom w:val="nil"/>
            </w:tcBorders>
          </w:tcPr>
          <w:p w14:paraId="5BE9223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724212" w:rsidRPr="00FC59B5" w14:paraId="228C5E01" w14:textId="77777777" w:rsidTr="00785435">
        <w:trPr>
          <w:trHeight w:val="362"/>
          <w:jc w:val="center"/>
        </w:trPr>
        <w:tc>
          <w:tcPr>
            <w:tcW w:w="1843" w:type="dxa"/>
            <w:tcBorders>
              <w:top w:val="nil"/>
              <w:left w:val="nil"/>
              <w:bottom w:val="nil"/>
            </w:tcBorders>
          </w:tcPr>
          <w:p w14:paraId="5435A22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BRD_SZ</w:t>
            </w:r>
          </w:p>
        </w:tc>
        <w:tc>
          <w:tcPr>
            <w:tcW w:w="1276" w:type="dxa"/>
            <w:tcBorders>
              <w:top w:val="nil"/>
              <w:bottom w:val="nil"/>
            </w:tcBorders>
            <w:shd w:val="clear" w:color="auto" w:fill="auto"/>
          </w:tcPr>
          <w:p w14:paraId="2899B7A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-0.0332**</w:t>
            </w:r>
          </w:p>
        </w:tc>
        <w:tc>
          <w:tcPr>
            <w:tcW w:w="1290" w:type="dxa"/>
            <w:tcBorders>
              <w:top w:val="nil"/>
              <w:bottom w:val="nil"/>
            </w:tcBorders>
          </w:tcPr>
          <w:p w14:paraId="2C27A8E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-0.00237</w:t>
            </w:r>
          </w:p>
        </w:tc>
        <w:tc>
          <w:tcPr>
            <w:tcW w:w="1120" w:type="dxa"/>
            <w:tcBorders>
              <w:top w:val="nil"/>
              <w:bottom w:val="nil"/>
            </w:tcBorders>
          </w:tcPr>
          <w:p w14:paraId="0887B64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0.00288</w:t>
            </w:r>
          </w:p>
        </w:tc>
        <w:tc>
          <w:tcPr>
            <w:tcW w:w="1304" w:type="dxa"/>
            <w:tcBorders>
              <w:top w:val="nil"/>
              <w:bottom w:val="nil"/>
            </w:tcBorders>
          </w:tcPr>
          <w:p w14:paraId="5969A8F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-0.00981</w:t>
            </w:r>
          </w:p>
        </w:tc>
        <w:tc>
          <w:tcPr>
            <w:tcW w:w="1213" w:type="dxa"/>
            <w:tcBorders>
              <w:top w:val="nil"/>
              <w:bottom w:val="nil"/>
            </w:tcBorders>
          </w:tcPr>
          <w:p w14:paraId="4585369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-0.00254</w:t>
            </w:r>
          </w:p>
        </w:tc>
      </w:tr>
      <w:tr w:rsidR="00724212" w:rsidRPr="00FC59B5" w14:paraId="0AF2A29F" w14:textId="77777777" w:rsidTr="00785435">
        <w:trPr>
          <w:trHeight w:val="331"/>
          <w:jc w:val="center"/>
        </w:trPr>
        <w:tc>
          <w:tcPr>
            <w:tcW w:w="1843" w:type="dxa"/>
            <w:tcBorders>
              <w:top w:val="nil"/>
              <w:left w:val="nil"/>
              <w:bottom w:val="nil"/>
            </w:tcBorders>
          </w:tcPr>
          <w:p w14:paraId="7DFF1EB5"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shd w:val="clear" w:color="auto" w:fill="auto"/>
          </w:tcPr>
          <w:p w14:paraId="3F49F77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(0.0137)</w:t>
            </w:r>
          </w:p>
        </w:tc>
        <w:tc>
          <w:tcPr>
            <w:tcW w:w="1290" w:type="dxa"/>
            <w:tcBorders>
              <w:top w:val="nil"/>
              <w:bottom w:val="nil"/>
            </w:tcBorders>
          </w:tcPr>
          <w:p w14:paraId="13A892C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(0.612)</w:t>
            </w:r>
          </w:p>
        </w:tc>
        <w:tc>
          <w:tcPr>
            <w:tcW w:w="1120" w:type="dxa"/>
            <w:tcBorders>
              <w:top w:val="nil"/>
              <w:bottom w:val="nil"/>
            </w:tcBorders>
          </w:tcPr>
          <w:p w14:paraId="4514061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(0.820)</w:t>
            </w:r>
          </w:p>
        </w:tc>
        <w:tc>
          <w:tcPr>
            <w:tcW w:w="1304" w:type="dxa"/>
            <w:tcBorders>
              <w:top w:val="nil"/>
              <w:bottom w:val="nil"/>
            </w:tcBorders>
          </w:tcPr>
          <w:p w14:paraId="2C3A1E0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(0.477)</w:t>
            </w:r>
          </w:p>
        </w:tc>
        <w:tc>
          <w:tcPr>
            <w:tcW w:w="1213" w:type="dxa"/>
            <w:tcBorders>
              <w:top w:val="nil"/>
              <w:bottom w:val="nil"/>
            </w:tcBorders>
          </w:tcPr>
          <w:p w14:paraId="4C9F00E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(0.775)</w:t>
            </w:r>
          </w:p>
        </w:tc>
      </w:tr>
      <w:tr w:rsidR="00724212" w:rsidRPr="00FC59B5" w14:paraId="3CD4FE27" w14:textId="77777777" w:rsidTr="00785435">
        <w:trPr>
          <w:trHeight w:val="331"/>
          <w:jc w:val="center"/>
        </w:trPr>
        <w:tc>
          <w:tcPr>
            <w:tcW w:w="1843" w:type="dxa"/>
            <w:tcBorders>
              <w:top w:val="nil"/>
              <w:left w:val="nil"/>
              <w:bottom w:val="nil"/>
            </w:tcBorders>
          </w:tcPr>
          <w:p w14:paraId="1955552D"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lastRenderedPageBreak/>
              <w:t>PCT_INED</w:t>
            </w:r>
          </w:p>
        </w:tc>
        <w:tc>
          <w:tcPr>
            <w:tcW w:w="1276" w:type="dxa"/>
            <w:tcBorders>
              <w:top w:val="nil"/>
              <w:bottom w:val="nil"/>
            </w:tcBorders>
          </w:tcPr>
          <w:p w14:paraId="79B167A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-0.339</w:t>
            </w:r>
          </w:p>
        </w:tc>
        <w:tc>
          <w:tcPr>
            <w:tcW w:w="1290" w:type="dxa"/>
            <w:tcBorders>
              <w:top w:val="nil"/>
              <w:bottom w:val="nil"/>
            </w:tcBorders>
            <w:shd w:val="clear" w:color="auto" w:fill="auto"/>
          </w:tcPr>
          <w:p w14:paraId="25E2566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-0.194*</w:t>
            </w:r>
          </w:p>
        </w:tc>
        <w:tc>
          <w:tcPr>
            <w:tcW w:w="1120" w:type="dxa"/>
            <w:tcBorders>
              <w:top w:val="nil"/>
              <w:bottom w:val="nil"/>
            </w:tcBorders>
          </w:tcPr>
          <w:p w14:paraId="7718592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-0.0750</w:t>
            </w:r>
          </w:p>
        </w:tc>
        <w:tc>
          <w:tcPr>
            <w:tcW w:w="1304" w:type="dxa"/>
            <w:tcBorders>
              <w:top w:val="nil"/>
              <w:bottom w:val="nil"/>
            </w:tcBorders>
          </w:tcPr>
          <w:p w14:paraId="7C20CA1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-0.523***</w:t>
            </w:r>
          </w:p>
        </w:tc>
        <w:tc>
          <w:tcPr>
            <w:tcW w:w="1213" w:type="dxa"/>
            <w:tcBorders>
              <w:top w:val="nil"/>
              <w:bottom w:val="nil"/>
            </w:tcBorders>
          </w:tcPr>
          <w:p w14:paraId="10F5B2B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-0.305**</w:t>
            </w:r>
          </w:p>
        </w:tc>
      </w:tr>
      <w:tr w:rsidR="00724212" w:rsidRPr="00FC59B5" w14:paraId="7005748D" w14:textId="77777777" w:rsidTr="00785435">
        <w:trPr>
          <w:trHeight w:val="331"/>
          <w:jc w:val="center"/>
        </w:trPr>
        <w:tc>
          <w:tcPr>
            <w:tcW w:w="1843" w:type="dxa"/>
            <w:tcBorders>
              <w:top w:val="nil"/>
              <w:left w:val="nil"/>
              <w:bottom w:val="nil"/>
            </w:tcBorders>
          </w:tcPr>
          <w:p w14:paraId="5226ED7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3A6FE8A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(0.330)</w:t>
            </w:r>
          </w:p>
        </w:tc>
        <w:tc>
          <w:tcPr>
            <w:tcW w:w="1290" w:type="dxa"/>
            <w:tcBorders>
              <w:top w:val="nil"/>
              <w:bottom w:val="nil"/>
            </w:tcBorders>
            <w:shd w:val="clear" w:color="auto" w:fill="auto"/>
          </w:tcPr>
          <w:p w14:paraId="723C6DD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(0.0578)</w:t>
            </w:r>
          </w:p>
        </w:tc>
        <w:tc>
          <w:tcPr>
            <w:tcW w:w="1120" w:type="dxa"/>
            <w:tcBorders>
              <w:top w:val="nil"/>
              <w:bottom w:val="nil"/>
            </w:tcBorders>
          </w:tcPr>
          <w:p w14:paraId="134F770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(0.806)</w:t>
            </w:r>
          </w:p>
        </w:tc>
        <w:tc>
          <w:tcPr>
            <w:tcW w:w="1304" w:type="dxa"/>
            <w:tcBorders>
              <w:top w:val="nil"/>
              <w:bottom w:val="nil"/>
            </w:tcBorders>
          </w:tcPr>
          <w:p w14:paraId="6A96F76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(0.00699)</w:t>
            </w:r>
          </w:p>
        </w:tc>
        <w:tc>
          <w:tcPr>
            <w:tcW w:w="1213" w:type="dxa"/>
            <w:tcBorders>
              <w:top w:val="nil"/>
              <w:bottom w:val="nil"/>
            </w:tcBorders>
          </w:tcPr>
          <w:p w14:paraId="3C9D0CE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(0.0470)</w:t>
            </w:r>
          </w:p>
        </w:tc>
      </w:tr>
      <w:tr w:rsidR="00724212" w:rsidRPr="00FC59B5" w14:paraId="3415FF4D" w14:textId="77777777" w:rsidTr="00785435">
        <w:trPr>
          <w:trHeight w:val="362"/>
          <w:jc w:val="center"/>
        </w:trPr>
        <w:tc>
          <w:tcPr>
            <w:tcW w:w="1843" w:type="dxa"/>
            <w:tcBorders>
              <w:top w:val="nil"/>
              <w:left w:val="nil"/>
              <w:bottom w:val="nil"/>
            </w:tcBorders>
          </w:tcPr>
          <w:p w14:paraId="1C55359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PCT_BRD_WOMEN</w:t>
            </w:r>
          </w:p>
        </w:tc>
        <w:tc>
          <w:tcPr>
            <w:tcW w:w="1276" w:type="dxa"/>
            <w:tcBorders>
              <w:top w:val="nil"/>
              <w:bottom w:val="nil"/>
            </w:tcBorders>
          </w:tcPr>
          <w:p w14:paraId="0BF6B39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0.0437</w:t>
            </w:r>
          </w:p>
        </w:tc>
        <w:tc>
          <w:tcPr>
            <w:tcW w:w="1290" w:type="dxa"/>
            <w:tcBorders>
              <w:top w:val="nil"/>
              <w:bottom w:val="nil"/>
            </w:tcBorders>
            <w:shd w:val="clear" w:color="auto" w:fill="auto"/>
          </w:tcPr>
          <w:p w14:paraId="1253418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0.182*</w:t>
            </w:r>
          </w:p>
        </w:tc>
        <w:tc>
          <w:tcPr>
            <w:tcW w:w="1120" w:type="dxa"/>
            <w:tcBorders>
              <w:top w:val="nil"/>
              <w:bottom w:val="nil"/>
            </w:tcBorders>
            <w:shd w:val="clear" w:color="auto" w:fill="auto"/>
          </w:tcPr>
          <w:p w14:paraId="1F05A3F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0.643**</w:t>
            </w:r>
          </w:p>
        </w:tc>
        <w:tc>
          <w:tcPr>
            <w:tcW w:w="1304" w:type="dxa"/>
            <w:tcBorders>
              <w:top w:val="nil"/>
              <w:bottom w:val="nil"/>
            </w:tcBorders>
          </w:tcPr>
          <w:p w14:paraId="366F54D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0.0338</w:t>
            </w:r>
          </w:p>
        </w:tc>
        <w:tc>
          <w:tcPr>
            <w:tcW w:w="1213" w:type="dxa"/>
            <w:tcBorders>
              <w:top w:val="nil"/>
              <w:bottom w:val="nil"/>
            </w:tcBorders>
          </w:tcPr>
          <w:p w14:paraId="681621A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0.430***</w:t>
            </w:r>
          </w:p>
        </w:tc>
      </w:tr>
      <w:tr w:rsidR="00724212" w:rsidRPr="00FC59B5" w14:paraId="32006B98" w14:textId="77777777" w:rsidTr="00785435">
        <w:trPr>
          <w:trHeight w:val="331"/>
          <w:jc w:val="center"/>
        </w:trPr>
        <w:tc>
          <w:tcPr>
            <w:tcW w:w="1843" w:type="dxa"/>
            <w:tcBorders>
              <w:top w:val="nil"/>
              <w:left w:val="nil"/>
              <w:bottom w:val="nil"/>
            </w:tcBorders>
          </w:tcPr>
          <w:p w14:paraId="4AEFFB92"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7392FEA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(0.892)</w:t>
            </w:r>
          </w:p>
        </w:tc>
        <w:tc>
          <w:tcPr>
            <w:tcW w:w="1290" w:type="dxa"/>
            <w:tcBorders>
              <w:top w:val="nil"/>
              <w:bottom w:val="nil"/>
            </w:tcBorders>
            <w:shd w:val="clear" w:color="auto" w:fill="auto"/>
          </w:tcPr>
          <w:p w14:paraId="693F6A9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(0.0916)</w:t>
            </w:r>
          </w:p>
        </w:tc>
        <w:tc>
          <w:tcPr>
            <w:tcW w:w="1120" w:type="dxa"/>
            <w:tcBorders>
              <w:top w:val="nil"/>
              <w:bottom w:val="nil"/>
            </w:tcBorders>
            <w:shd w:val="clear" w:color="auto" w:fill="auto"/>
          </w:tcPr>
          <w:p w14:paraId="40E8DF5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(0.0100)</w:t>
            </w:r>
          </w:p>
        </w:tc>
        <w:tc>
          <w:tcPr>
            <w:tcW w:w="1304" w:type="dxa"/>
            <w:tcBorders>
              <w:top w:val="nil"/>
              <w:bottom w:val="nil"/>
            </w:tcBorders>
          </w:tcPr>
          <w:p w14:paraId="40CC3D0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(0.862)</w:t>
            </w:r>
          </w:p>
        </w:tc>
        <w:tc>
          <w:tcPr>
            <w:tcW w:w="1213" w:type="dxa"/>
            <w:tcBorders>
              <w:top w:val="nil"/>
              <w:bottom w:val="nil"/>
            </w:tcBorders>
          </w:tcPr>
          <w:p w14:paraId="764E397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(0.00737)</w:t>
            </w:r>
          </w:p>
        </w:tc>
      </w:tr>
      <w:tr w:rsidR="00724212" w:rsidRPr="00FC59B5" w14:paraId="65227B61" w14:textId="77777777" w:rsidTr="00785435">
        <w:trPr>
          <w:trHeight w:val="331"/>
          <w:jc w:val="center"/>
        </w:trPr>
        <w:tc>
          <w:tcPr>
            <w:tcW w:w="1843" w:type="dxa"/>
            <w:tcBorders>
              <w:top w:val="nil"/>
              <w:left w:val="nil"/>
              <w:bottom w:val="nil"/>
            </w:tcBorders>
          </w:tcPr>
          <w:p w14:paraId="552C715F"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AUDCOM_SZ</w:t>
            </w:r>
          </w:p>
        </w:tc>
        <w:tc>
          <w:tcPr>
            <w:tcW w:w="1276" w:type="dxa"/>
            <w:tcBorders>
              <w:top w:val="nil"/>
              <w:bottom w:val="nil"/>
            </w:tcBorders>
            <w:shd w:val="clear" w:color="auto" w:fill="auto"/>
          </w:tcPr>
          <w:p w14:paraId="25062A7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0.00954***</w:t>
            </w:r>
          </w:p>
        </w:tc>
        <w:tc>
          <w:tcPr>
            <w:tcW w:w="1290" w:type="dxa"/>
            <w:tcBorders>
              <w:top w:val="nil"/>
              <w:bottom w:val="nil"/>
            </w:tcBorders>
          </w:tcPr>
          <w:p w14:paraId="7898191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0.00407</w:t>
            </w:r>
          </w:p>
        </w:tc>
        <w:tc>
          <w:tcPr>
            <w:tcW w:w="1120" w:type="dxa"/>
            <w:tcBorders>
              <w:top w:val="nil"/>
              <w:bottom w:val="nil"/>
            </w:tcBorders>
          </w:tcPr>
          <w:p w14:paraId="7E070C2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-0.000289</w:t>
            </w:r>
          </w:p>
        </w:tc>
        <w:tc>
          <w:tcPr>
            <w:tcW w:w="1304" w:type="dxa"/>
            <w:tcBorders>
              <w:top w:val="nil"/>
              <w:bottom w:val="nil"/>
            </w:tcBorders>
          </w:tcPr>
          <w:p w14:paraId="6F69FF9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0.0174</w:t>
            </w:r>
          </w:p>
        </w:tc>
        <w:tc>
          <w:tcPr>
            <w:tcW w:w="1213" w:type="dxa"/>
            <w:tcBorders>
              <w:top w:val="nil"/>
              <w:bottom w:val="nil"/>
            </w:tcBorders>
          </w:tcPr>
          <w:p w14:paraId="50804D4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0.00152</w:t>
            </w:r>
          </w:p>
        </w:tc>
      </w:tr>
      <w:tr w:rsidR="00724212" w:rsidRPr="00FC59B5" w14:paraId="20026A9E" w14:textId="77777777" w:rsidTr="00785435">
        <w:trPr>
          <w:trHeight w:val="331"/>
          <w:jc w:val="center"/>
        </w:trPr>
        <w:tc>
          <w:tcPr>
            <w:tcW w:w="1843" w:type="dxa"/>
            <w:tcBorders>
              <w:top w:val="nil"/>
              <w:left w:val="nil"/>
              <w:bottom w:val="nil"/>
            </w:tcBorders>
          </w:tcPr>
          <w:p w14:paraId="76E4347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shd w:val="clear" w:color="auto" w:fill="auto"/>
          </w:tcPr>
          <w:p w14:paraId="2BBDBF9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(0.00784)</w:t>
            </w:r>
          </w:p>
        </w:tc>
        <w:tc>
          <w:tcPr>
            <w:tcW w:w="1290" w:type="dxa"/>
            <w:tcBorders>
              <w:top w:val="nil"/>
              <w:bottom w:val="nil"/>
            </w:tcBorders>
          </w:tcPr>
          <w:p w14:paraId="296B5E7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(0.695)</w:t>
            </w:r>
          </w:p>
        </w:tc>
        <w:tc>
          <w:tcPr>
            <w:tcW w:w="1120" w:type="dxa"/>
            <w:tcBorders>
              <w:top w:val="nil"/>
              <w:bottom w:val="nil"/>
            </w:tcBorders>
          </w:tcPr>
          <w:p w14:paraId="1713E2E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(0.984)</w:t>
            </w:r>
          </w:p>
        </w:tc>
        <w:tc>
          <w:tcPr>
            <w:tcW w:w="1304" w:type="dxa"/>
            <w:tcBorders>
              <w:top w:val="nil"/>
              <w:bottom w:val="nil"/>
            </w:tcBorders>
          </w:tcPr>
          <w:p w14:paraId="70F5AD4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(0.313)</w:t>
            </w:r>
          </w:p>
        </w:tc>
        <w:tc>
          <w:tcPr>
            <w:tcW w:w="1213" w:type="dxa"/>
            <w:tcBorders>
              <w:top w:val="nil"/>
              <w:bottom w:val="nil"/>
            </w:tcBorders>
          </w:tcPr>
          <w:p w14:paraId="1C05A7C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(0.741)</w:t>
            </w:r>
          </w:p>
        </w:tc>
      </w:tr>
      <w:tr w:rsidR="00724212" w:rsidRPr="00FC59B5" w14:paraId="71F07133" w14:textId="77777777" w:rsidTr="00785435">
        <w:trPr>
          <w:trHeight w:val="331"/>
          <w:jc w:val="center"/>
        </w:trPr>
        <w:tc>
          <w:tcPr>
            <w:tcW w:w="1843" w:type="dxa"/>
            <w:tcBorders>
              <w:top w:val="nil"/>
              <w:left w:val="nil"/>
              <w:bottom w:val="nil"/>
            </w:tcBorders>
          </w:tcPr>
          <w:p w14:paraId="17C0E36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ESG</w:t>
            </w:r>
          </w:p>
        </w:tc>
        <w:tc>
          <w:tcPr>
            <w:tcW w:w="1276" w:type="dxa"/>
            <w:tcBorders>
              <w:top w:val="nil"/>
              <w:bottom w:val="nil"/>
            </w:tcBorders>
            <w:shd w:val="clear" w:color="auto" w:fill="auto"/>
          </w:tcPr>
          <w:p w14:paraId="5DE09C2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1.207*</w:t>
            </w:r>
          </w:p>
        </w:tc>
        <w:tc>
          <w:tcPr>
            <w:tcW w:w="1290" w:type="dxa"/>
            <w:tcBorders>
              <w:top w:val="nil"/>
              <w:bottom w:val="nil"/>
            </w:tcBorders>
          </w:tcPr>
          <w:p w14:paraId="0CD2F3F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0.160</w:t>
            </w:r>
          </w:p>
        </w:tc>
        <w:tc>
          <w:tcPr>
            <w:tcW w:w="1120" w:type="dxa"/>
            <w:tcBorders>
              <w:top w:val="nil"/>
              <w:bottom w:val="nil"/>
            </w:tcBorders>
          </w:tcPr>
          <w:p w14:paraId="13E6DB6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-0.0280</w:t>
            </w:r>
          </w:p>
        </w:tc>
        <w:tc>
          <w:tcPr>
            <w:tcW w:w="1304" w:type="dxa"/>
            <w:tcBorders>
              <w:top w:val="nil"/>
              <w:bottom w:val="nil"/>
            </w:tcBorders>
          </w:tcPr>
          <w:p w14:paraId="1A7B8B2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0.222</w:t>
            </w:r>
          </w:p>
        </w:tc>
        <w:tc>
          <w:tcPr>
            <w:tcW w:w="1213" w:type="dxa"/>
            <w:tcBorders>
              <w:top w:val="nil"/>
              <w:bottom w:val="nil"/>
            </w:tcBorders>
          </w:tcPr>
          <w:p w14:paraId="109652B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0.425**</w:t>
            </w:r>
          </w:p>
        </w:tc>
      </w:tr>
      <w:tr w:rsidR="00724212" w:rsidRPr="00FC59B5" w14:paraId="793D7A9C" w14:textId="77777777" w:rsidTr="00785435">
        <w:trPr>
          <w:trHeight w:val="362"/>
          <w:jc w:val="center"/>
        </w:trPr>
        <w:tc>
          <w:tcPr>
            <w:tcW w:w="1843" w:type="dxa"/>
            <w:tcBorders>
              <w:top w:val="nil"/>
              <w:left w:val="nil"/>
              <w:bottom w:val="nil"/>
            </w:tcBorders>
          </w:tcPr>
          <w:p w14:paraId="3033A43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shd w:val="clear" w:color="auto" w:fill="auto"/>
          </w:tcPr>
          <w:p w14:paraId="4830BBF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(0.0800)</w:t>
            </w:r>
          </w:p>
        </w:tc>
        <w:tc>
          <w:tcPr>
            <w:tcW w:w="1290" w:type="dxa"/>
            <w:tcBorders>
              <w:top w:val="nil"/>
              <w:bottom w:val="nil"/>
            </w:tcBorders>
          </w:tcPr>
          <w:p w14:paraId="10A7934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(0.188)</w:t>
            </w:r>
          </w:p>
        </w:tc>
        <w:tc>
          <w:tcPr>
            <w:tcW w:w="1120" w:type="dxa"/>
            <w:tcBorders>
              <w:top w:val="nil"/>
              <w:bottom w:val="nil"/>
            </w:tcBorders>
          </w:tcPr>
          <w:p w14:paraId="07C8D1A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(0.958)</w:t>
            </w:r>
          </w:p>
        </w:tc>
        <w:tc>
          <w:tcPr>
            <w:tcW w:w="1304" w:type="dxa"/>
            <w:tcBorders>
              <w:top w:val="nil"/>
              <w:bottom w:val="nil"/>
            </w:tcBorders>
          </w:tcPr>
          <w:p w14:paraId="3E1F872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(0.211)</w:t>
            </w:r>
          </w:p>
        </w:tc>
        <w:tc>
          <w:tcPr>
            <w:tcW w:w="1213" w:type="dxa"/>
            <w:tcBorders>
              <w:top w:val="nil"/>
              <w:bottom w:val="nil"/>
            </w:tcBorders>
          </w:tcPr>
          <w:p w14:paraId="5A909F5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(0.0366)</w:t>
            </w:r>
          </w:p>
        </w:tc>
      </w:tr>
      <w:tr w:rsidR="00724212" w:rsidRPr="00FC59B5" w14:paraId="0EF01DA7" w14:textId="77777777" w:rsidTr="00785435">
        <w:trPr>
          <w:trHeight w:val="331"/>
          <w:jc w:val="center"/>
        </w:trPr>
        <w:tc>
          <w:tcPr>
            <w:tcW w:w="1843" w:type="dxa"/>
            <w:tcBorders>
              <w:top w:val="nil"/>
              <w:left w:val="nil"/>
              <w:bottom w:val="nil"/>
            </w:tcBorders>
          </w:tcPr>
          <w:p w14:paraId="4695A0B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ROA</w:t>
            </w:r>
          </w:p>
        </w:tc>
        <w:tc>
          <w:tcPr>
            <w:tcW w:w="1276" w:type="dxa"/>
            <w:tcBorders>
              <w:top w:val="nil"/>
              <w:bottom w:val="nil"/>
            </w:tcBorders>
          </w:tcPr>
          <w:p w14:paraId="75446C6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-1.77e-05</w:t>
            </w:r>
          </w:p>
        </w:tc>
        <w:tc>
          <w:tcPr>
            <w:tcW w:w="1290" w:type="dxa"/>
            <w:tcBorders>
              <w:top w:val="nil"/>
              <w:bottom w:val="nil"/>
            </w:tcBorders>
          </w:tcPr>
          <w:p w14:paraId="5D00251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-5.83e-06</w:t>
            </w:r>
          </w:p>
        </w:tc>
        <w:tc>
          <w:tcPr>
            <w:tcW w:w="1120" w:type="dxa"/>
            <w:tcBorders>
              <w:top w:val="nil"/>
              <w:bottom w:val="nil"/>
            </w:tcBorders>
            <w:shd w:val="clear" w:color="auto" w:fill="auto"/>
          </w:tcPr>
          <w:p w14:paraId="699B52C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-0.00601**</w:t>
            </w:r>
          </w:p>
        </w:tc>
        <w:tc>
          <w:tcPr>
            <w:tcW w:w="1304" w:type="dxa"/>
            <w:tcBorders>
              <w:top w:val="nil"/>
              <w:bottom w:val="nil"/>
            </w:tcBorders>
          </w:tcPr>
          <w:p w14:paraId="06C4307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-0.000236</w:t>
            </w:r>
          </w:p>
        </w:tc>
        <w:tc>
          <w:tcPr>
            <w:tcW w:w="1213" w:type="dxa"/>
            <w:tcBorders>
              <w:top w:val="nil"/>
              <w:bottom w:val="nil"/>
            </w:tcBorders>
          </w:tcPr>
          <w:p w14:paraId="2F84A66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-0.00109</w:t>
            </w:r>
          </w:p>
        </w:tc>
      </w:tr>
      <w:tr w:rsidR="00724212" w:rsidRPr="00FC59B5" w14:paraId="24F8A5C6" w14:textId="77777777" w:rsidTr="00785435">
        <w:trPr>
          <w:trHeight w:val="331"/>
          <w:jc w:val="center"/>
        </w:trPr>
        <w:tc>
          <w:tcPr>
            <w:tcW w:w="1843" w:type="dxa"/>
            <w:tcBorders>
              <w:top w:val="nil"/>
              <w:left w:val="nil"/>
              <w:bottom w:val="nil"/>
            </w:tcBorders>
          </w:tcPr>
          <w:p w14:paraId="2CAE428C"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343BB52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(0.986)</w:t>
            </w:r>
          </w:p>
        </w:tc>
        <w:tc>
          <w:tcPr>
            <w:tcW w:w="1290" w:type="dxa"/>
            <w:tcBorders>
              <w:top w:val="nil"/>
              <w:bottom w:val="nil"/>
            </w:tcBorders>
          </w:tcPr>
          <w:p w14:paraId="71A146C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(0.982)</w:t>
            </w:r>
          </w:p>
        </w:tc>
        <w:tc>
          <w:tcPr>
            <w:tcW w:w="1120" w:type="dxa"/>
            <w:tcBorders>
              <w:top w:val="nil"/>
              <w:bottom w:val="nil"/>
            </w:tcBorders>
            <w:shd w:val="clear" w:color="auto" w:fill="auto"/>
          </w:tcPr>
          <w:p w14:paraId="5325F1B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(0.0121)</w:t>
            </w:r>
          </w:p>
        </w:tc>
        <w:tc>
          <w:tcPr>
            <w:tcW w:w="1304" w:type="dxa"/>
            <w:tcBorders>
              <w:top w:val="nil"/>
              <w:bottom w:val="nil"/>
            </w:tcBorders>
          </w:tcPr>
          <w:p w14:paraId="71B647F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(0.488)</w:t>
            </w:r>
          </w:p>
        </w:tc>
        <w:tc>
          <w:tcPr>
            <w:tcW w:w="1213" w:type="dxa"/>
            <w:tcBorders>
              <w:top w:val="nil"/>
              <w:bottom w:val="nil"/>
            </w:tcBorders>
          </w:tcPr>
          <w:p w14:paraId="78F3330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(0.653)</w:t>
            </w:r>
          </w:p>
        </w:tc>
      </w:tr>
      <w:tr w:rsidR="00724212" w:rsidRPr="00FC59B5" w14:paraId="2EAAA878" w14:textId="77777777" w:rsidTr="00785435">
        <w:trPr>
          <w:trHeight w:val="331"/>
          <w:jc w:val="center"/>
        </w:trPr>
        <w:tc>
          <w:tcPr>
            <w:tcW w:w="1843" w:type="dxa"/>
            <w:tcBorders>
              <w:top w:val="nil"/>
              <w:left w:val="nil"/>
              <w:bottom w:val="nil"/>
            </w:tcBorders>
          </w:tcPr>
          <w:p w14:paraId="71FC72DF"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FNCL_LVRG</w:t>
            </w:r>
          </w:p>
        </w:tc>
        <w:tc>
          <w:tcPr>
            <w:tcW w:w="1276" w:type="dxa"/>
            <w:tcBorders>
              <w:top w:val="nil"/>
              <w:bottom w:val="nil"/>
            </w:tcBorders>
          </w:tcPr>
          <w:p w14:paraId="7CCFBBF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0.000509</w:t>
            </w:r>
          </w:p>
        </w:tc>
        <w:tc>
          <w:tcPr>
            <w:tcW w:w="1290" w:type="dxa"/>
            <w:tcBorders>
              <w:top w:val="nil"/>
              <w:bottom w:val="nil"/>
            </w:tcBorders>
          </w:tcPr>
          <w:p w14:paraId="486ABC6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-0.00132</w:t>
            </w:r>
          </w:p>
        </w:tc>
        <w:tc>
          <w:tcPr>
            <w:tcW w:w="1120" w:type="dxa"/>
            <w:tcBorders>
              <w:top w:val="nil"/>
              <w:bottom w:val="nil"/>
            </w:tcBorders>
          </w:tcPr>
          <w:p w14:paraId="41C9EAB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-0.00316</w:t>
            </w:r>
          </w:p>
        </w:tc>
        <w:tc>
          <w:tcPr>
            <w:tcW w:w="1304" w:type="dxa"/>
            <w:tcBorders>
              <w:top w:val="nil"/>
              <w:bottom w:val="nil"/>
            </w:tcBorders>
          </w:tcPr>
          <w:p w14:paraId="7A3E7CF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-0.000580</w:t>
            </w:r>
          </w:p>
        </w:tc>
        <w:tc>
          <w:tcPr>
            <w:tcW w:w="1213" w:type="dxa"/>
            <w:tcBorders>
              <w:top w:val="nil"/>
              <w:bottom w:val="nil"/>
            </w:tcBorders>
          </w:tcPr>
          <w:p w14:paraId="4A4E088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-0.000710</w:t>
            </w:r>
          </w:p>
        </w:tc>
      </w:tr>
      <w:tr w:rsidR="00724212" w:rsidRPr="00FC59B5" w14:paraId="575D021B" w14:textId="77777777" w:rsidTr="00785435">
        <w:trPr>
          <w:trHeight w:val="331"/>
          <w:jc w:val="center"/>
        </w:trPr>
        <w:tc>
          <w:tcPr>
            <w:tcW w:w="1843" w:type="dxa"/>
            <w:tcBorders>
              <w:top w:val="nil"/>
              <w:left w:val="nil"/>
              <w:bottom w:val="nil"/>
            </w:tcBorders>
          </w:tcPr>
          <w:p w14:paraId="640DD39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017C2DF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(0.859)</w:t>
            </w:r>
          </w:p>
        </w:tc>
        <w:tc>
          <w:tcPr>
            <w:tcW w:w="1290" w:type="dxa"/>
            <w:tcBorders>
              <w:top w:val="nil"/>
              <w:bottom w:val="nil"/>
            </w:tcBorders>
          </w:tcPr>
          <w:p w14:paraId="13FB2C5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(0.120)</w:t>
            </w:r>
          </w:p>
        </w:tc>
        <w:tc>
          <w:tcPr>
            <w:tcW w:w="1120" w:type="dxa"/>
            <w:tcBorders>
              <w:top w:val="nil"/>
              <w:bottom w:val="nil"/>
            </w:tcBorders>
          </w:tcPr>
          <w:p w14:paraId="25E13C3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(0.203)</w:t>
            </w:r>
          </w:p>
        </w:tc>
        <w:tc>
          <w:tcPr>
            <w:tcW w:w="1304" w:type="dxa"/>
            <w:tcBorders>
              <w:top w:val="nil"/>
              <w:bottom w:val="nil"/>
            </w:tcBorders>
          </w:tcPr>
          <w:p w14:paraId="4CCF957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(0.537)</w:t>
            </w:r>
          </w:p>
        </w:tc>
        <w:tc>
          <w:tcPr>
            <w:tcW w:w="1213" w:type="dxa"/>
            <w:tcBorders>
              <w:top w:val="nil"/>
              <w:bottom w:val="nil"/>
            </w:tcBorders>
          </w:tcPr>
          <w:p w14:paraId="52A6782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(0.532)</w:t>
            </w:r>
          </w:p>
        </w:tc>
      </w:tr>
      <w:tr w:rsidR="00724212" w:rsidRPr="00FC59B5" w14:paraId="3BCB85A3" w14:textId="77777777" w:rsidTr="00785435">
        <w:trPr>
          <w:trHeight w:val="362"/>
          <w:jc w:val="center"/>
        </w:trPr>
        <w:tc>
          <w:tcPr>
            <w:tcW w:w="1843" w:type="dxa"/>
            <w:tcBorders>
              <w:top w:val="nil"/>
              <w:left w:val="nil"/>
              <w:bottom w:val="nil"/>
            </w:tcBorders>
          </w:tcPr>
          <w:p w14:paraId="2626A2A6"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LN_TRNOVR</w:t>
            </w:r>
          </w:p>
        </w:tc>
        <w:tc>
          <w:tcPr>
            <w:tcW w:w="1276" w:type="dxa"/>
            <w:tcBorders>
              <w:top w:val="nil"/>
              <w:bottom w:val="nil"/>
            </w:tcBorders>
          </w:tcPr>
          <w:p w14:paraId="333A6FC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0.00258</w:t>
            </w:r>
          </w:p>
        </w:tc>
        <w:tc>
          <w:tcPr>
            <w:tcW w:w="1290" w:type="dxa"/>
            <w:tcBorders>
              <w:top w:val="nil"/>
              <w:bottom w:val="nil"/>
            </w:tcBorders>
          </w:tcPr>
          <w:p w14:paraId="63DFFFD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-0.00716</w:t>
            </w:r>
          </w:p>
        </w:tc>
        <w:tc>
          <w:tcPr>
            <w:tcW w:w="1120" w:type="dxa"/>
            <w:tcBorders>
              <w:top w:val="nil"/>
              <w:bottom w:val="nil"/>
            </w:tcBorders>
          </w:tcPr>
          <w:p w14:paraId="236691F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0.00907</w:t>
            </w:r>
          </w:p>
        </w:tc>
        <w:tc>
          <w:tcPr>
            <w:tcW w:w="1304" w:type="dxa"/>
            <w:tcBorders>
              <w:top w:val="nil"/>
              <w:bottom w:val="nil"/>
            </w:tcBorders>
          </w:tcPr>
          <w:p w14:paraId="30FA15F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-0.00379</w:t>
            </w:r>
          </w:p>
        </w:tc>
        <w:tc>
          <w:tcPr>
            <w:tcW w:w="1213" w:type="dxa"/>
            <w:tcBorders>
              <w:top w:val="nil"/>
              <w:bottom w:val="nil"/>
            </w:tcBorders>
          </w:tcPr>
          <w:p w14:paraId="052A1DF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0.000169</w:t>
            </w:r>
          </w:p>
        </w:tc>
      </w:tr>
      <w:tr w:rsidR="00724212" w:rsidRPr="00FC59B5" w14:paraId="51227AA2" w14:textId="77777777" w:rsidTr="00785435">
        <w:trPr>
          <w:trHeight w:val="331"/>
          <w:jc w:val="center"/>
        </w:trPr>
        <w:tc>
          <w:tcPr>
            <w:tcW w:w="1843" w:type="dxa"/>
            <w:tcBorders>
              <w:top w:val="nil"/>
              <w:left w:val="nil"/>
              <w:bottom w:val="nil"/>
            </w:tcBorders>
          </w:tcPr>
          <w:p w14:paraId="09D284F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6C4323B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(0.927)</w:t>
            </w:r>
          </w:p>
        </w:tc>
        <w:tc>
          <w:tcPr>
            <w:tcW w:w="1290" w:type="dxa"/>
            <w:tcBorders>
              <w:top w:val="nil"/>
              <w:bottom w:val="nil"/>
            </w:tcBorders>
          </w:tcPr>
          <w:p w14:paraId="66BECBB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(0.385)</w:t>
            </w:r>
          </w:p>
        </w:tc>
        <w:tc>
          <w:tcPr>
            <w:tcW w:w="1120" w:type="dxa"/>
            <w:tcBorders>
              <w:top w:val="nil"/>
              <w:bottom w:val="nil"/>
            </w:tcBorders>
          </w:tcPr>
          <w:p w14:paraId="409B405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(0.634)</w:t>
            </w:r>
          </w:p>
        </w:tc>
        <w:tc>
          <w:tcPr>
            <w:tcW w:w="1304" w:type="dxa"/>
            <w:tcBorders>
              <w:top w:val="nil"/>
              <w:bottom w:val="nil"/>
            </w:tcBorders>
          </w:tcPr>
          <w:p w14:paraId="1EFF4CC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(0.834)</w:t>
            </w:r>
          </w:p>
        </w:tc>
        <w:tc>
          <w:tcPr>
            <w:tcW w:w="1213" w:type="dxa"/>
            <w:tcBorders>
              <w:top w:val="nil"/>
              <w:bottom w:val="nil"/>
            </w:tcBorders>
          </w:tcPr>
          <w:p w14:paraId="4331309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(0.988)</w:t>
            </w:r>
          </w:p>
        </w:tc>
      </w:tr>
      <w:tr w:rsidR="00724212" w:rsidRPr="00FC59B5" w14:paraId="14C5F54B" w14:textId="77777777" w:rsidTr="00785435">
        <w:trPr>
          <w:trHeight w:val="331"/>
          <w:jc w:val="center"/>
        </w:trPr>
        <w:tc>
          <w:tcPr>
            <w:tcW w:w="1843" w:type="dxa"/>
            <w:tcBorders>
              <w:top w:val="nil"/>
              <w:left w:val="nil"/>
              <w:bottom w:val="nil"/>
            </w:tcBorders>
          </w:tcPr>
          <w:p w14:paraId="32C767E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Constant</w:t>
            </w:r>
          </w:p>
        </w:tc>
        <w:tc>
          <w:tcPr>
            <w:tcW w:w="1276" w:type="dxa"/>
            <w:tcBorders>
              <w:top w:val="nil"/>
              <w:bottom w:val="nil"/>
            </w:tcBorders>
          </w:tcPr>
          <w:p w14:paraId="26E9D49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0.383</w:t>
            </w:r>
          </w:p>
        </w:tc>
        <w:tc>
          <w:tcPr>
            <w:tcW w:w="1290" w:type="dxa"/>
            <w:tcBorders>
              <w:top w:val="nil"/>
              <w:bottom w:val="nil"/>
            </w:tcBorders>
          </w:tcPr>
          <w:p w14:paraId="738DB69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0.284***</w:t>
            </w:r>
          </w:p>
        </w:tc>
        <w:tc>
          <w:tcPr>
            <w:tcW w:w="1120" w:type="dxa"/>
            <w:tcBorders>
              <w:top w:val="nil"/>
              <w:bottom w:val="nil"/>
            </w:tcBorders>
          </w:tcPr>
          <w:p w14:paraId="1EA2A3D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0.119</w:t>
            </w:r>
          </w:p>
        </w:tc>
        <w:tc>
          <w:tcPr>
            <w:tcW w:w="1304" w:type="dxa"/>
            <w:tcBorders>
              <w:top w:val="nil"/>
              <w:bottom w:val="nil"/>
            </w:tcBorders>
          </w:tcPr>
          <w:p w14:paraId="6075031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0.520***</w:t>
            </w:r>
          </w:p>
        </w:tc>
        <w:tc>
          <w:tcPr>
            <w:tcW w:w="1213" w:type="dxa"/>
            <w:tcBorders>
              <w:top w:val="nil"/>
              <w:bottom w:val="nil"/>
            </w:tcBorders>
          </w:tcPr>
          <w:p w14:paraId="04037C5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0.169</w:t>
            </w:r>
          </w:p>
        </w:tc>
      </w:tr>
      <w:tr w:rsidR="00724212" w:rsidRPr="00FC59B5" w14:paraId="7CD7AFC2" w14:textId="77777777" w:rsidTr="00785435">
        <w:trPr>
          <w:trHeight w:val="331"/>
          <w:jc w:val="center"/>
        </w:trPr>
        <w:tc>
          <w:tcPr>
            <w:tcW w:w="1843" w:type="dxa"/>
            <w:tcBorders>
              <w:top w:val="nil"/>
              <w:left w:val="nil"/>
              <w:bottom w:val="nil"/>
            </w:tcBorders>
          </w:tcPr>
          <w:p w14:paraId="095FF00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4086FAD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(0.166)</w:t>
            </w:r>
          </w:p>
        </w:tc>
        <w:tc>
          <w:tcPr>
            <w:tcW w:w="1290" w:type="dxa"/>
            <w:tcBorders>
              <w:top w:val="nil"/>
              <w:bottom w:val="nil"/>
            </w:tcBorders>
          </w:tcPr>
          <w:p w14:paraId="155268A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(5.28e-05)</w:t>
            </w:r>
          </w:p>
        </w:tc>
        <w:tc>
          <w:tcPr>
            <w:tcW w:w="1120" w:type="dxa"/>
            <w:tcBorders>
              <w:top w:val="nil"/>
              <w:bottom w:val="nil"/>
            </w:tcBorders>
          </w:tcPr>
          <w:p w14:paraId="1585478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(0.698)</w:t>
            </w:r>
          </w:p>
        </w:tc>
        <w:tc>
          <w:tcPr>
            <w:tcW w:w="1304" w:type="dxa"/>
            <w:tcBorders>
              <w:top w:val="nil"/>
              <w:bottom w:val="nil"/>
            </w:tcBorders>
          </w:tcPr>
          <w:p w14:paraId="3516BC3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(0.00166)</w:t>
            </w:r>
          </w:p>
        </w:tc>
        <w:tc>
          <w:tcPr>
            <w:tcW w:w="1213" w:type="dxa"/>
            <w:tcBorders>
              <w:top w:val="nil"/>
              <w:bottom w:val="nil"/>
            </w:tcBorders>
          </w:tcPr>
          <w:p w14:paraId="4440966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(0.227)</w:t>
            </w:r>
          </w:p>
        </w:tc>
      </w:tr>
      <w:tr w:rsidR="00724212" w:rsidRPr="00FC59B5" w14:paraId="3416E25B" w14:textId="77777777" w:rsidTr="00785435">
        <w:trPr>
          <w:trHeight w:val="331"/>
          <w:jc w:val="center"/>
        </w:trPr>
        <w:tc>
          <w:tcPr>
            <w:tcW w:w="1843" w:type="dxa"/>
            <w:tcBorders>
              <w:top w:val="nil"/>
              <w:left w:val="nil"/>
              <w:bottom w:val="nil"/>
            </w:tcBorders>
          </w:tcPr>
          <w:p w14:paraId="797E8F59"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276" w:type="dxa"/>
            <w:tcBorders>
              <w:top w:val="nil"/>
              <w:bottom w:val="nil"/>
            </w:tcBorders>
          </w:tcPr>
          <w:p w14:paraId="074E3C8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90" w:type="dxa"/>
            <w:tcBorders>
              <w:top w:val="nil"/>
              <w:bottom w:val="nil"/>
            </w:tcBorders>
          </w:tcPr>
          <w:p w14:paraId="5F73B50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20" w:type="dxa"/>
            <w:tcBorders>
              <w:top w:val="nil"/>
              <w:bottom w:val="nil"/>
            </w:tcBorders>
          </w:tcPr>
          <w:p w14:paraId="74F4555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304" w:type="dxa"/>
            <w:tcBorders>
              <w:top w:val="nil"/>
              <w:bottom w:val="nil"/>
            </w:tcBorders>
          </w:tcPr>
          <w:p w14:paraId="5C7A99E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13" w:type="dxa"/>
            <w:tcBorders>
              <w:top w:val="nil"/>
              <w:bottom w:val="nil"/>
              <w:right w:val="nil"/>
            </w:tcBorders>
          </w:tcPr>
          <w:p w14:paraId="666E649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724212" w:rsidRPr="00FC59B5" w14:paraId="4855FBE3" w14:textId="77777777" w:rsidTr="00785435">
        <w:trPr>
          <w:trHeight w:val="362"/>
          <w:jc w:val="center"/>
        </w:trPr>
        <w:tc>
          <w:tcPr>
            <w:tcW w:w="1843" w:type="dxa"/>
            <w:tcBorders>
              <w:top w:val="nil"/>
              <w:left w:val="nil"/>
            </w:tcBorders>
          </w:tcPr>
          <w:p w14:paraId="6CF6988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Observations</w:t>
            </w:r>
          </w:p>
        </w:tc>
        <w:tc>
          <w:tcPr>
            <w:tcW w:w="1276" w:type="dxa"/>
            <w:tcBorders>
              <w:top w:val="nil"/>
            </w:tcBorders>
          </w:tcPr>
          <w:p w14:paraId="4B47046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73</w:t>
            </w:r>
          </w:p>
        </w:tc>
        <w:tc>
          <w:tcPr>
            <w:tcW w:w="1290" w:type="dxa"/>
            <w:tcBorders>
              <w:top w:val="nil"/>
            </w:tcBorders>
          </w:tcPr>
          <w:p w14:paraId="7E7FEF0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679</w:t>
            </w:r>
          </w:p>
        </w:tc>
        <w:tc>
          <w:tcPr>
            <w:tcW w:w="1120" w:type="dxa"/>
            <w:tcBorders>
              <w:top w:val="nil"/>
            </w:tcBorders>
          </w:tcPr>
          <w:p w14:paraId="0D02C28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218</w:t>
            </w:r>
          </w:p>
        </w:tc>
        <w:tc>
          <w:tcPr>
            <w:tcW w:w="1304" w:type="dxa"/>
            <w:tcBorders>
              <w:top w:val="nil"/>
            </w:tcBorders>
          </w:tcPr>
          <w:p w14:paraId="3DEE8CB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443</w:t>
            </w:r>
          </w:p>
        </w:tc>
        <w:tc>
          <w:tcPr>
            <w:tcW w:w="1213" w:type="dxa"/>
            <w:tcBorders>
              <w:top w:val="nil"/>
              <w:right w:val="nil"/>
            </w:tcBorders>
          </w:tcPr>
          <w:p w14:paraId="039A0F9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386</w:t>
            </w:r>
          </w:p>
        </w:tc>
      </w:tr>
      <w:tr w:rsidR="00724212" w:rsidRPr="00FC59B5" w14:paraId="2EADC3DE" w14:textId="77777777" w:rsidTr="00785435">
        <w:trPr>
          <w:trHeight w:val="362"/>
          <w:jc w:val="center"/>
        </w:trPr>
        <w:tc>
          <w:tcPr>
            <w:tcW w:w="1843" w:type="dxa"/>
            <w:tcBorders>
              <w:top w:val="nil"/>
              <w:left w:val="nil"/>
            </w:tcBorders>
          </w:tcPr>
          <w:p w14:paraId="25AD04FD"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Year effect</w:t>
            </w:r>
          </w:p>
        </w:tc>
        <w:tc>
          <w:tcPr>
            <w:tcW w:w="1276" w:type="dxa"/>
            <w:tcBorders>
              <w:top w:val="nil"/>
            </w:tcBorders>
          </w:tcPr>
          <w:p w14:paraId="79A5295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290" w:type="dxa"/>
            <w:tcBorders>
              <w:top w:val="nil"/>
            </w:tcBorders>
          </w:tcPr>
          <w:p w14:paraId="5030AB4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120" w:type="dxa"/>
            <w:tcBorders>
              <w:top w:val="nil"/>
            </w:tcBorders>
          </w:tcPr>
          <w:p w14:paraId="7626A7C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304" w:type="dxa"/>
            <w:tcBorders>
              <w:top w:val="nil"/>
            </w:tcBorders>
          </w:tcPr>
          <w:p w14:paraId="43FEEB2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213" w:type="dxa"/>
            <w:tcBorders>
              <w:top w:val="nil"/>
              <w:right w:val="nil"/>
            </w:tcBorders>
          </w:tcPr>
          <w:p w14:paraId="25905F8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r>
      <w:tr w:rsidR="00724212" w:rsidRPr="00FC59B5" w14:paraId="7FFDE2CE" w14:textId="77777777" w:rsidTr="00785435">
        <w:tblPrEx>
          <w:tblBorders>
            <w:bottom w:val="single" w:sz="6" w:space="0" w:color="auto"/>
          </w:tblBorders>
        </w:tblPrEx>
        <w:trPr>
          <w:trHeight w:val="331"/>
          <w:jc w:val="center"/>
        </w:trPr>
        <w:tc>
          <w:tcPr>
            <w:tcW w:w="1843" w:type="dxa"/>
            <w:tcBorders>
              <w:top w:val="nil"/>
              <w:left w:val="nil"/>
              <w:bottom w:val="single" w:sz="4" w:space="0" w:color="auto"/>
              <w:right w:val="nil"/>
            </w:tcBorders>
          </w:tcPr>
          <w:p w14:paraId="5B3FDEDC"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R-Squared</w:t>
            </w:r>
          </w:p>
        </w:tc>
        <w:tc>
          <w:tcPr>
            <w:tcW w:w="1276" w:type="dxa"/>
            <w:tcBorders>
              <w:top w:val="nil"/>
              <w:left w:val="nil"/>
              <w:bottom w:val="single" w:sz="4" w:space="0" w:color="auto"/>
              <w:right w:val="nil"/>
            </w:tcBorders>
          </w:tcPr>
          <w:p w14:paraId="3C55752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0.0206</w:t>
            </w:r>
          </w:p>
        </w:tc>
        <w:tc>
          <w:tcPr>
            <w:tcW w:w="1290" w:type="dxa"/>
            <w:tcBorders>
              <w:top w:val="nil"/>
              <w:left w:val="nil"/>
              <w:bottom w:val="single" w:sz="4" w:space="0" w:color="auto"/>
              <w:right w:val="nil"/>
            </w:tcBorders>
          </w:tcPr>
          <w:p w14:paraId="357BAA0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0.0256</w:t>
            </w:r>
          </w:p>
        </w:tc>
        <w:tc>
          <w:tcPr>
            <w:tcW w:w="1120" w:type="dxa"/>
            <w:tcBorders>
              <w:top w:val="nil"/>
              <w:left w:val="nil"/>
              <w:bottom w:val="single" w:sz="4" w:space="0" w:color="auto"/>
              <w:right w:val="nil"/>
            </w:tcBorders>
          </w:tcPr>
          <w:p w14:paraId="643711C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0.0890</w:t>
            </w:r>
          </w:p>
        </w:tc>
        <w:tc>
          <w:tcPr>
            <w:tcW w:w="1304" w:type="dxa"/>
            <w:tcBorders>
              <w:top w:val="nil"/>
              <w:left w:val="nil"/>
              <w:bottom w:val="single" w:sz="4" w:space="0" w:color="auto"/>
              <w:right w:val="nil"/>
            </w:tcBorders>
          </w:tcPr>
          <w:p w14:paraId="2FB2F35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0.0108</w:t>
            </w:r>
          </w:p>
        </w:tc>
        <w:tc>
          <w:tcPr>
            <w:tcW w:w="1213" w:type="dxa"/>
            <w:tcBorders>
              <w:top w:val="nil"/>
              <w:left w:val="nil"/>
              <w:bottom w:val="single" w:sz="4" w:space="0" w:color="auto"/>
              <w:right w:val="nil"/>
            </w:tcBorders>
          </w:tcPr>
          <w:p w14:paraId="7F2D17F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FC59B5">
              <w:rPr>
                <w:rFonts w:ascii="Times New Roman" w:hAnsi="Times New Roman" w:cs="Times New Roman"/>
                <w:color w:val="000000" w:themeColor="text1"/>
                <w:sz w:val="20"/>
                <w:szCs w:val="20"/>
              </w:rPr>
              <w:t>0.0408</w:t>
            </w:r>
          </w:p>
        </w:tc>
      </w:tr>
    </w:tbl>
    <w:p w14:paraId="49F2E4F5" w14:textId="77777777" w:rsidR="00724212" w:rsidRPr="00FC59B5" w:rsidRDefault="00724212" w:rsidP="00724212">
      <w:pPr>
        <w:spacing w:after="120"/>
        <w:contextualSpacing/>
        <w:jc w:val="center"/>
        <w:rPr>
          <w:i/>
          <w:iCs/>
          <w:color w:val="000000" w:themeColor="text1"/>
          <w:sz w:val="16"/>
          <w:szCs w:val="16"/>
        </w:rPr>
      </w:pPr>
      <w:r w:rsidRPr="00FC59B5">
        <w:rPr>
          <w:i/>
          <w:iCs/>
          <w:color w:val="000000" w:themeColor="text1"/>
          <w:sz w:val="16"/>
          <w:szCs w:val="16"/>
        </w:rPr>
        <w:t xml:space="preserve">Robust </w:t>
      </w:r>
      <w:proofErr w:type="spellStart"/>
      <w:r w:rsidRPr="00FC59B5">
        <w:rPr>
          <w:i/>
          <w:iCs/>
          <w:color w:val="000000" w:themeColor="text1"/>
          <w:sz w:val="16"/>
          <w:szCs w:val="16"/>
        </w:rPr>
        <w:t>pval</w:t>
      </w:r>
      <w:proofErr w:type="spellEnd"/>
      <w:r w:rsidRPr="00FC59B5">
        <w:rPr>
          <w:i/>
          <w:iCs/>
          <w:color w:val="000000" w:themeColor="text1"/>
          <w:sz w:val="16"/>
          <w:szCs w:val="16"/>
        </w:rPr>
        <w:t xml:space="preserve"> in parentheses</w:t>
      </w:r>
    </w:p>
    <w:p w14:paraId="0646690B" w14:textId="77777777" w:rsidR="00724212" w:rsidRPr="00FC59B5" w:rsidRDefault="00724212" w:rsidP="00724212">
      <w:pPr>
        <w:spacing w:after="120"/>
        <w:contextualSpacing/>
        <w:jc w:val="center"/>
        <w:rPr>
          <w:color w:val="000000" w:themeColor="text1"/>
        </w:rPr>
      </w:pPr>
      <w:r w:rsidRPr="00FC59B5">
        <w:rPr>
          <w:i/>
          <w:iCs/>
          <w:color w:val="000000" w:themeColor="text1"/>
          <w:sz w:val="16"/>
          <w:szCs w:val="16"/>
        </w:rPr>
        <w:t>*** p&lt;0.01, ** p&lt;0.05, * p&lt;0.1</w:t>
      </w:r>
    </w:p>
    <w:p w14:paraId="6AB52206" w14:textId="2E3D8CA1" w:rsidR="000E0D77" w:rsidRPr="00FC59B5" w:rsidRDefault="004C6E4C" w:rsidP="00F657E6">
      <w:pPr>
        <w:spacing w:after="120"/>
        <w:contextualSpacing/>
        <w:jc w:val="both"/>
        <w:rPr>
          <w:i/>
          <w:iCs/>
          <w:sz w:val="16"/>
          <w:szCs w:val="16"/>
        </w:rPr>
      </w:pPr>
      <w:r w:rsidRPr="00FC59B5">
        <w:rPr>
          <w:b/>
          <w:bCs/>
          <w:i/>
          <w:iCs/>
          <w:sz w:val="16"/>
          <w:szCs w:val="16"/>
        </w:rPr>
        <w:t>CSR Net Tone [LM]</w:t>
      </w:r>
      <w:r w:rsidRPr="00FC59B5">
        <w:rPr>
          <w:i/>
          <w:iCs/>
          <w:sz w:val="16"/>
          <w:szCs w:val="16"/>
        </w:rPr>
        <w:t xml:space="preserve">: Ratio of Net Tone of CSR Narratives, based on Loughran and </w:t>
      </w:r>
      <w:proofErr w:type="spellStart"/>
      <w:r w:rsidRPr="00FC59B5">
        <w:rPr>
          <w:i/>
          <w:iCs/>
          <w:sz w:val="16"/>
          <w:szCs w:val="16"/>
        </w:rPr>
        <w:t>Mcdonald</w:t>
      </w:r>
      <w:proofErr w:type="spellEnd"/>
      <w:r w:rsidRPr="00FC59B5">
        <w:rPr>
          <w:i/>
          <w:iCs/>
          <w:sz w:val="16"/>
          <w:szCs w:val="16"/>
        </w:rPr>
        <w:t xml:space="preserve"> (2011) – IF: </w:t>
      </w:r>
      <w:r w:rsidR="000E0D77" w:rsidRPr="00FC59B5">
        <w:rPr>
          <w:b/>
          <w:bCs/>
          <w:i/>
          <w:iCs/>
          <w:sz w:val="16"/>
          <w:szCs w:val="16"/>
        </w:rPr>
        <w:t>ESG</w:t>
      </w:r>
      <w:r w:rsidR="00367CD4" w:rsidRPr="00FC59B5">
        <w:rPr>
          <w:b/>
          <w:bCs/>
          <w:i/>
          <w:iCs/>
          <w:sz w:val="16"/>
          <w:szCs w:val="16"/>
        </w:rPr>
        <w:t xml:space="preserve"> Disclosure Score</w:t>
      </w:r>
      <w:r w:rsidRPr="00FC59B5">
        <w:rPr>
          <w:b/>
          <w:bCs/>
          <w:i/>
          <w:iCs/>
          <w:sz w:val="16"/>
          <w:szCs w:val="16"/>
        </w:rPr>
        <w:t xml:space="preserve"> =</w:t>
      </w:r>
      <w:r w:rsidR="000E0D77" w:rsidRPr="00FC59B5">
        <w:rPr>
          <w:b/>
          <w:bCs/>
          <w:i/>
          <w:iCs/>
          <w:sz w:val="16"/>
          <w:szCs w:val="16"/>
        </w:rPr>
        <w:t xml:space="preserve"> 0-25%</w:t>
      </w:r>
      <w:r w:rsidRPr="00FC59B5">
        <w:rPr>
          <w:i/>
          <w:iCs/>
          <w:sz w:val="16"/>
          <w:szCs w:val="16"/>
        </w:rPr>
        <w:t>,</w:t>
      </w:r>
      <w:r w:rsidR="00F657E6" w:rsidRPr="00FC59B5">
        <w:rPr>
          <w:i/>
          <w:iCs/>
          <w:sz w:val="16"/>
          <w:szCs w:val="16"/>
        </w:rPr>
        <w:t xml:space="preserve"> OR</w:t>
      </w:r>
      <w:r w:rsidRPr="00FC59B5">
        <w:rPr>
          <w:i/>
          <w:iCs/>
          <w:sz w:val="16"/>
          <w:szCs w:val="16"/>
        </w:rPr>
        <w:t xml:space="preserve"> </w:t>
      </w:r>
      <w:r w:rsidR="000E0D77" w:rsidRPr="00FC59B5">
        <w:rPr>
          <w:b/>
          <w:bCs/>
          <w:i/>
          <w:iCs/>
          <w:sz w:val="16"/>
          <w:szCs w:val="16"/>
        </w:rPr>
        <w:t>ESG</w:t>
      </w:r>
      <w:r w:rsidRPr="00FC59B5">
        <w:rPr>
          <w:b/>
          <w:bCs/>
          <w:i/>
          <w:iCs/>
          <w:sz w:val="16"/>
          <w:szCs w:val="16"/>
        </w:rPr>
        <w:t xml:space="preserve"> =</w:t>
      </w:r>
      <w:r w:rsidR="000E0D77" w:rsidRPr="00FC59B5">
        <w:rPr>
          <w:b/>
          <w:bCs/>
          <w:i/>
          <w:iCs/>
          <w:sz w:val="16"/>
          <w:szCs w:val="16"/>
        </w:rPr>
        <w:t xml:space="preserve"> 25-50%</w:t>
      </w:r>
      <w:r w:rsidRPr="00FC59B5">
        <w:rPr>
          <w:i/>
          <w:iCs/>
          <w:sz w:val="16"/>
          <w:szCs w:val="16"/>
        </w:rPr>
        <w:t>,</w:t>
      </w:r>
      <w:r w:rsidR="00F657E6" w:rsidRPr="00FC59B5">
        <w:rPr>
          <w:i/>
          <w:iCs/>
          <w:sz w:val="16"/>
          <w:szCs w:val="16"/>
        </w:rPr>
        <w:t xml:space="preserve"> OR</w:t>
      </w:r>
      <w:r w:rsidRPr="00FC59B5">
        <w:rPr>
          <w:i/>
          <w:iCs/>
          <w:sz w:val="16"/>
          <w:szCs w:val="16"/>
        </w:rPr>
        <w:t xml:space="preserve"> </w:t>
      </w:r>
      <w:r w:rsidR="000E0D77" w:rsidRPr="00FC59B5">
        <w:rPr>
          <w:b/>
          <w:bCs/>
          <w:i/>
          <w:iCs/>
          <w:sz w:val="16"/>
          <w:szCs w:val="16"/>
        </w:rPr>
        <w:t>ESG &gt;50%</w:t>
      </w:r>
      <w:r w:rsidRPr="00FC59B5">
        <w:rPr>
          <w:i/>
          <w:iCs/>
          <w:sz w:val="16"/>
          <w:szCs w:val="16"/>
        </w:rPr>
        <w:t xml:space="preserve">, </w:t>
      </w:r>
      <w:r w:rsidR="00F657E6" w:rsidRPr="00FC59B5">
        <w:rPr>
          <w:i/>
          <w:iCs/>
          <w:sz w:val="16"/>
          <w:szCs w:val="16"/>
        </w:rPr>
        <w:t>OR</w:t>
      </w:r>
      <w:r w:rsidRPr="00FC59B5">
        <w:rPr>
          <w:i/>
          <w:iCs/>
          <w:sz w:val="16"/>
          <w:szCs w:val="16"/>
        </w:rPr>
        <w:t xml:space="preserve"> IF </w:t>
      </w:r>
      <w:r w:rsidR="000E0D77" w:rsidRPr="00FC59B5">
        <w:rPr>
          <w:b/>
          <w:bCs/>
          <w:i/>
          <w:iCs/>
          <w:sz w:val="16"/>
          <w:szCs w:val="16"/>
        </w:rPr>
        <w:t>BRDSZ</w:t>
      </w:r>
      <w:r w:rsidR="00367CD4" w:rsidRPr="00FC59B5">
        <w:rPr>
          <w:b/>
          <w:bCs/>
          <w:i/>
          <w:iCs/>
          <w:sz w:val="16"/>
          <w:szCs w:val="16"/>
        </w:rPr>
        <w:t xml:space="preserve"> (Board Size) </w:t>
      </w:r>
      <w:r w:rsidR="000E0D77" w:rsidRPr="00FC59B5">
        <w:rPr>
          <w:b/>
          <w:bCs/>
          <w:i/>
          <w:iCs/>
          <w:sz w:val="16"/>
          <w:szCs w:val="16"/>
        </w:rPr>
        <w:t>&lt;=10</w:t>
      </w:r>
      <w:r w:rsidR="00367CD4" w:rsidRPr="00FC59B5">
        <w:rPr>
          <w:i/>
          <w:iCs/>
          <w:sz w:val="16"/>
          <w:szCs w:val="16"/>
        </w:rPr>
        <w:t>,</w:t>
      </w:r>
      <w:r w:rsidR="00F657E6" w:rsidRPr="00FC59B5">
        <w:rPr>
          <w:i/>
          <w:iCs/>
          <w:sz w:val="16"/>
          <w:szCs w:val="16"/>
        </w:rPr>
        <w:t xml:space="preserve"> OR</w:t>
      </w:r>
      <w:r w:rsidR="00367CD4" w:rsidRPr="00FC59B5">
        <w:rPr>
          <w:i/>
          <w:iCs/>
          <w:sz w:val="16"/>
          <w:szCs w:val="16"/>
        </w:rPr>
        <w:t xml:space="preserve"> </w:t>
      </w:r>
      <w:r w:rsidR="000E0D77" w:rsidRPr="00FC59B5">
        <w:rPr>
          <w:b/>
          <w:bCs/>
          <w:i/>
          <w:iCs/>
          <w:sz w:val="16"/>
          <w:szCs w:val="16"/>
        </w:rPr>
        <w:t>BRDSZ&gt;10</w:t>
      </w:r>
      <w:r w:rsidR="00367CD4" w:rsidRPr="00FC59B5">
        <w:rPr>
          <w:sz w:val="16"/>
          <w:szCs w:val="16"/>
        </w:rPr>
        <w:t>.</w:t>
      </w:r>
    </w:p>
    <w:p w14:paraId="45CEF012" w14:textId="77777777" w:rsidR="000571A7" w:rsidRPr="00FC59B5" w:rsidRDefault="000571A7" w:rsidP="00F657E6">
      <w:pPr>
        <w:spacing w:after="120"/>
        <w:contextualSpacing/>
        <w:jc w:val="both"/>
        <w:rPr>
          <w:i/>
          <w:iCs/>
          <w:color w:val="000000" w:themeColor="text1"/>
          <w:sz w:val="16"/>
          <w:szCs w:val="16"/>
        </w:rPr>
      </w:pPr>
      <w:r w:rsidRPr="00FC59B5">
        <w:rPr>
          <w:b/>
          <w:bCs/>
          <w:i/>
          <w:iCs/>
          <w:color w:val="000000" w:themeColor="text1"/>
          <w:sz w:val="16"/>
          <w:szCs w:val="16"/>
        </w:rPr>
        <w:t>BRD_SZ</w:t>
      </w:r>
      <w:r w:rsidRPr="00FC59B5">
        <w:rPr>
          <w:i/>
          <w:iCs/>
          <w:color w:val="000000" w:themeColor="text1"/>
          <w:sz w:val="16"/>
          <w:szCs w:val="16"/>
        </w:rPr>
        <w:t xml:space="preserve">: Board Size, </w:t>
      </w:r>
      <w:r w:rsidRPr="00FC59B5">
        <w:rPr>
          <w:b/>
          <w:bCs/>
          <w:i/>
          <w:iCs/>
          <w:color w:val="000000" w:themeColor="text1"/>
          <w:sz w:val="16"/>
          <w:szCs w:val="16"/>
        </w:rPr>
        <w:t>PCT_INED</w:t>
      </w:r>
      <w:r w:rsidRPr="00FC59B5">
        <w:rPr>
          <w:i/>
          <w:iCs/>
          <w:color w:val="000000" w:themeColor="text1"/>
          <w:sz w:val="16"/>
          <w:szCs w:val="16"/>
        </w:rPr>
        <w:t xml:space="preserve">: Ratio of Independent Non-Executive Directors, </w:t>
      </w:r>
      <w:r w:rsidRPr="00FC59B5">
        <w:rPr>
          <w:b/>
          <w:bCs/>
          <w:i/>
          <w:iCs/>
          <w:color w:val="000000" w:themeColor="text1"/>
          <w:sz w:val="16"/>
          <w:szCs w:val="16"/>
        </w:rPr>
        <w:t>PCT_BRD_WOMEN</w:t>
      </w:r>
      <w:r w:rsidRPr="00FC59B5">
        <w:rPr>
          <w:i/>
          <w:iCs/>
          <w:color w:val="000000" w:themeColor="text1"/>
          <w:sz w:val="16"/>
          <w:szCs w:val="16"/>
        </w:rPr>
        <w:t xml:space="preserve">: Ratio of Women on Board, </w:t>
      </w:r>
      <w:r w:rsidRPr="00FC59B5">
        <w:rPr>
          <w:b/>
          <w:bCs/>
          <w:i/>
          <w:iCs/>
          <w:color w:val="000000" w:themeColor="text1"/>
          <w:sz w:val="16"/>
          <w:szCs w:val="16"/>
        </w:rPr>
        <w:t>AUDCOM_SZ</w:t>
      </w:r>
      <w:r w:rsidRPr="00FC59B5">
        <w:rPr>
          <w:i/>
          <w:iCs/>
          <w:color w:val="000000" w:themeColor="text1"/>
          <w:sz w:val="16"/>
          <w:szCs w:val="16"/>
        </w:rPr>
        <w:t xml:space="preserve">: Audit Committee Size, </w:t>
      </w:r>
      <w:r w:rsidRPr="00FC59B5">
        <w:rPr>
          <w:b/>
          <w:bCs/>
          <w:i/>
          <w:iCs/>
          <w:color w:val="000000" w:themeColor="text1"/>
          <w:sz w:val="16"/>
          <w:szCs w:val="16"/>
        </w:rPr>
        <w:t>ESG</w:t>
      </w:r>
      <w:r w:rsidRPr="00FC59B5">
        <w:rPr>
          <w:i/>
          <w:iCs/>
          <w:color w:val="000000" w:themeColor="text1"/>
          <w:sz w:val="16"/>
          <w:szCs w:val="16"/>
        </w:rPr>
        <w:t xml:space="preserve">: ESG Disclosure, </w:t>
      </w:r>
      <w:r w:rsidRPr="00FC59B5">
        <w:rPr>
          <w:b/>
          <w:bCs/>
          <w:i/>
          <w:iCs/>
          <w:color w:val="000000" w:themeColor="text1"/>
          <w:sz w:val="16"/>
          <w:szCs w:val="16"/>
        </w:rPr>
        <w:t>ROA</w:t>
      </w:r>
      <w:r w:rsidRPr="00FC59B5">
        <w:rPr>
          <w:i/>
          <w:iCs/>
          <w:color w:val="000000" w:themeColor="text1"/>
          <w:sz w:val="16"/>
          <w:szCs w:val="16"/>
        </w:rPr>
        <w:t xml:space="preserve">: Return on Assets, </w:t>
      </w:r>
      <w:r w:rsidRPr="00FC59B5">
        <w:rPr>
          <w:b/>
          <w:bCs/>
          <w:i/>
          <w:iCs/>
          <w:color w:val="000000" w:themeColor="text1"/>
          <w:sz w:val="16"/>
          <w:szCs w:val="16"/>
        </w:rPr>
        <w:t>FNCL_LVRG</w:t>
      </w:r>
      <w:r w:rsidRPr="00FC59B5">
        <w:rPr>
          <w:i/>
          <w:iCs/>
          <w:color w:val="000000" w:themeColor="text1"/>
          <w:sz w:val="16"/>
          <w:szCs w:val="16"/>
        </w:rPr>
        <w:t xml:space="preserve">: Financial Leverage, </w:t>
      </w:r>
      <w:r w:rsidRPr="00FC59B5">
        <w:rPr>
          <w:b/>
          <w:bCs/>
          <w:i/>
          <w:iCs/>
          <w:color w:val="000000" w:themeColor="text1"/>
          <w:sz w:val="16"/>
          <w:szCs w:val="16"/>
        </w:rPr>
        <w:t>LN_TRNOVR</w:t>
      </w:r>
      <w:r w:rsidRPr="00FC59B5">
        <w:rPr>
          <w:i/>
          <w:iCs/>
          <w:color w:val="000000" w:themeColor="text1"/>
          <w:sz w:val="16"/>
          <w:szCs w:val="16"/>
        </w:rPr>
        <w:t>: Firm Size</w:t>
      </w:r>
    </w:p>
    <w:p w14:paraId="56387CE6" w14:textId="77777777" w:rsidR="00724212" w:rsidRPr="00FC59B5" w:rsidRDefault="00724212" w:rsidP="00724212"/>
    <w:p w14:paraId="501C5C58" w14:textId="77777777" w:rsidR="00724212" w:rsidRPr="00FC59B5" w:rsidRDefault="00724212" w:rsidP="00724212"/>
    <w:p w14:paraId="6B0F7F2C" w14:textId="73687410" w:rsidR="00724212" w:rsidRPr="00FC59B5" w:rsidRDefault="00724212" w:rsidP="00724212">
      <w:pPr>
        <w:jc w:val="both"/>
        <w:rPr>
          <w:rFonts w:ascii="Times New Roman" w:hAnsi="Times New Roman"/>
          <w:color w:val="000000" w:themeColor="text1"/>
        </w:rPr>
      </w:pPr>
      <w:r w:rsidRPr="00FC59B5">
        <w:rPr>
          <w:rFonts w:ascii="Times New Roman" w:hAnsi="Times New Roman"/>
          <w:color w:val="000000" w:themeColor="text1"/>
          <w:sz w:val="24"/>
        </w:rPr>
        <w:t xml:space="preserve">Table 6. </w:t>
      </w:r>
      <w:r w:rsidRPr="00FC59B5">
        <w:rPr>
          <w:rFonts w:ascii="Times New Roman" w:hAnsi="Times New Roman"/>
          <w:color w:val="000000" w:themeColor="text1"/>
        </w:rPr>
        <w:t xml:space="preserve">Additional </w:t>
      </w:r>
      <w:r w:rsidR="000571A7" w:rsidRPr="00FC59B5">
        <w:rPr>
          <w:rFonts w:ascii="Times New Roman" w:hAnsi="Times New Roman"/>
          <w:color w:val="000000" w:themeColor="text1"/>
        </w:rPr>
        <w:t>A</w:t>
      </w:r>
      <w:r w:rsidRPr="00FC59B5">
        <w:rPr>
          <w:rFonts w:ascii="Times New Roman" w:hAnsi="Times New Roman"/>
          <w:color w:val="000000" w:themeColor="text1"/>
        </w:rPr>
        <w:t>nalysis 2</w:t>
      </w:r>
    </w:p>
    <w:tbl>
      <w:tblPr>
        <w:tblW w:w="5000" w:type="pct"/>
        <w:jc w:val="center"/>
        <w:tblLayout w:type="fixed"/>
        <w:tblCellMar>
          <w:left w:w="75" w:type="dxa"/>
          <w:right w:w="75" w:type="dxa"/>
        </w:tblCellMar>
        <w:tblLook w:val="0000" w:firstRow="0" w:lastRow="0" w:firstColumn="0" w:lastColumn="0" w:noHBand="0" w:noVBand="0"/>
      </w:tblPr>
      <w:tblGrid>
        <w:gridCol w:w="2049"/>
        <w:gridCol w:w="1637"/>
        <w:gridCol w:w="1701"/>
        <w:gridCol w:w="1984"/>
        <w:gridCol w:w="1655"/>
      </w:tblGrid>
      <w:tr w:rsidR="00724212" w:rsidRPr="00FC59B5" w14:paraId="785E4414" w14:textId="77777777" w:rsidTr="00785435">
        <w:trPr>
          <w:trHeight w:val="232"/>
          <w:jc w:val="center"/>
        </w:trPr>
        <w:tc>
          <w:tcPr>
            <w:tcW w:w="2049" w:type="dxa"/>
            <w:tcBorders>
              <w:top w:val="single" w:sz="6" w:space="0" w:color="auto"/>
              <w:left w:val="nil"/>
              <w:bottom w:val="nil"/>
              <w:right w:val="nil"/>
            </w:tcBorders>
          </w:tcPr>
          <w:p w14:paraId="4C8EA7B4"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single" w:sz="6" w:space="0" w:color="auto"/>
              <w:left w:val="nil"/>
              <w:bottom w:val="nil"/>
              <w:right w:val="nil"/>
            </w:tcBorders>
          </w:tcPr>
          <w:p w14:paraId="17C493D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(11)</w:t>
            </w:r>
          </w:p>
        </w:tc>
        <w:tc>
          <w:tcPr>
            <w:tcW w:w="1701" w:type="dxa"/>
            <w:tcBorders>
              <w:top w:val="single" w:sz="6" w:space="0" w:color="auto"/>
              <w:left w:val="nil"/>
              <w:bottom w:val="nil"/>
            </w:tcBorders>
          </w:tcPr>
          <w:p w14:paraId="6B6749D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(12)</w:t>
            </w:r>
          </w:p>
        </w:tc>
        <w:tc>
          <w:tcPr>
            <w:tcW w:w="1984" w:type="dxa"/>
            <w:tcBorders>
              <w:top w:val="single" w:sz="6" w:space="0" w:color="auto"/>
              <w:bottom w:val="nil"/>
              <w:right w:val="nil"/>
            </w:tcBorders>
          </w:tcPr>
          <w:p w14:paraId="748958B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(13)</w:t>
            </w:r>
          </w:p>
        </w:tc>
        <w:tc>
          <w:tcPr>
            <w:tcW w:w="1655" w:type="dxa"/>
            <w:tcBorders>
              <w:top w:val="single" w:sz="6" w:space="0" w:color="auto"/>
              <w:left w:val="nil"/>
              <w:bottom w:val="nil"/>
              <w:right w:val="nil"/>
            </w:tcBorders>
          </w:tcPr>
          <w:p w14:paraId="541D053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(14)</w:t>
            </w:r>
          </w:p>
        </w:tc>
      </w:tr>
      <w:tr w:rsidR="00724212" w:rsidRPr="00FC59B5" w14:paraId="200080C1" w14:textId="77777777" w:rsidTr="00785435">
        <w:trPr>
          <w:trHeight w:val="465"/>
          <w:jc w:val="center"/>
        </w:trPr>
        <w:tc>
          <w:tcPr>
            <w:tcW w:w="2049" w:type="dxa"/>
            <w:tcBorders>
              <w:top w:val="nil"/>
              <w:left w:val="nil"/>
              <w:bottom w:val="nil"/>
              <w:right w:val="nil"/>
            </w:tcBorders>
          </w:tcPr>
          <w:p w14:paraId="5366B47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left w:val="nil"/>
              <w:bottom w:val="nil"/>
              <w:right w:val="nil"/>
            </w:tcBorders>
          </w:tcPr>
          <w:p w14:paraId="458681B5" w14:textId="77777777" w:rsidR="00785435"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26253296" w14:textId="067A6463" w:rsidR="00724212"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IF (ESG</w:t>
            </w:r>
            <w:r w:rsidR="00724212" w:rsidRPr="00FC59B5">
              <w:rPr>
                <w:rFonts w:ascii="Times New Roman" w:hAnsi="Times New Roman" w:cs="Times New Roman"/>
                <w:color w:val="000000" w:themeColor="text1"/>
                <w:sz w:val="18"/>
                <w:szCs w:val="18"/>
              </w:rPr>
              <w:t>&lt;ESG_AVG</w:t>
            </w:r>
            <w:r w:rsidRPr="00FC59B5">
              <w:rPr>
                <w:rFonts w:ascii="Times New Roman" w:hAnsi="Times New Roman" w:cs="Times New Roman"/>
                <w:color w:val="000000" w:themeColor="text1"/>
                <w:sz w:val="18"/>
                <w:szCs w:val="18"/>
              </w:rPr>
              <w:t>)</w:t>
            </w:r>
          </w:p>
        </w:tc>
        <w:tc>
          <w:tcPr>
            <w:tcW w:w="1701" w:type="dxa"/>
            <w:tcBorders>
              <w:top w:val="nil"/>
              <w:left w:val="nil"/>
              <w:bottom w:val="nil"/>
            </w:tcBorders>
          </w:tcPr>
          <w:p w14:paraId="4106310F" w14:textId="77777777" w:rsidR="00785435"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7C126EAB" w14:textId="2069F0ED" w:rsidR="00724212"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IF (ESG</w:t>
            </w:r>
            <w:r w:rsidR="00724212" w:rsidRPr="00FC59B5">
              <w:rPr>
                <w:rFonts w:ascii="Times New Roman" w:hAnsi="Times New Roman" w:cs="Times New Roman"/>
                <w:color w:val="000000" w:themeColor="text1"/>
                <w:sz w:val="18"/>
                <w:szCs w:val="18"/>
              </w:rPr>
              <w:t>≥ESG_AVG</w:t>
            </w:r>
            <w:r w:rsidRPr="00FC59B5">
              <w:rPr>
                <w:rFonts w:ascii="Times New Roman" w:hAnsi="Times New Roman" w:cs="Times New Roman"/>
                <w:color w:val="000000" w:themeColor="text1"/>
                <w:sz w:val="18"/>
                <w:szCs w:val="18"/>
              </w:rPr>
              <w:t>)</w:t>
            </w:r>
          </w:p>
        </w:tc>
        <w:tc>
          <w:tcPr>
            <w:tcW w:w="1984" w:type="dxa"/>
            <w:tcBorders>
              <w:top w:val="nil"/>
              <w:bottom w:val="nil"/>
              <w:right w:val="nil"/>
            </w:tcBorders>
          </w:tcPr>
          <w:p w14:paraId="377FC6C8" w14:textId="77777777" w:rsidR="00785435"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6A2C8F94" w14:textId="77017DD1" w:rsidR="00724212"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IF (</w:t>
            </w:r>
            <w:r w:rsidR="00724212" w:rsidRPr="00FC59B5">
              <w:rPr>
                <w:rFonts w:ascii="Times New Roman" w:hAnsi="Times New Roman" w:cs="Times New Roman"/>
                <w:color w:val="000000" w:themeColor="text1"/>
                <w:sz w:val="18"/>
                <w:szCs w:val="18"/>
              </w:rPr>
              <w:t>WOMEN&lt;25%</w:t>
            </w:r>
            <w:r w:rsidRPr="00FC59B5">
              <w:rPr>
                <w:rFonts w:ascii="Times New Roman" w:hAnsi="Times New Roman" w:cs="Times New Roman"/>
                <w:color w:val="000000" w:themeColor="text1"/>
                <w:sz w:val="18"/>
                <w:szCs w:val="18"/>
              </w:rPr>
              <w:t>)</w:t>
            </w:r>
          </w:p>
        </w:tc>
        <w:tc>
          <w:tcPr>
            <w:tcW w:w="1655" w:type="dxa"/>
            <w:tcBorders>
              <w:top w:val="nil"/>
              <w:left w:val="nil"/>
              <w:bottom w:val="nil"/>
              <w:right w:val="nil"/>
            </w:tcBorders>
          </w:tcPr>
          <w:p w14:paraId="4B0F6FBE" w14:textId="77777777" w:rsidR="00785435"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CSR Net Tone [LM]</w:t>
            </w:r>
          </w:p>
          <w:p w14:paraId="4A8D0B8A" w14:textId="400C255B" w:rsidR="00724212" w:rsidRPr="00FC59B5" w:rsidRDefault="00785435" w:rsidP="00785435">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IF (</w:t>
            </w:r>
            <w:r w:rsidR="00724212" w:rsidRPr="00FC59B5">
              <w:rPr>
                <w:rFonts w:ascii="Times New Roman" w:hAnsi="Times New Roman" w:cs="Times New Roman"/>
                <w:color w:val="000000" w:themeColor="text1"/>
                <w:sz w:val="18"/>
                <w:szCs w:val="18"/>
              </w:rPr>
              <w:t>WOMEN ≥25%</w:t>
            </w:r>
            <w:r w:rsidRPr="00FC59B5">
              <w:rPr>
                <w:rFonts w:ascii="Times New Roman" w:hAnsi="Times New Roman" w:cs="Times New Roman"/>
                <w:color w:val="000000" w:themeColor="text1"/>
                <w:sz w:val="18"/>
                <w:szCs w:val="18"/>
              </w:rPr>
              <w:t>)</w:t>
            </w:r>
          </w:p>
        </w:tc>
      </w:tr>
      <w:tr w:rsidR="00724212" w:rsidRPr="00FC59B5" w14:paraId="5D2D39BE" w14:textId="77777777" w:rsidTr="00785435">
        <w:trPr>
          <w:trHeight w:val="254"/>
          <w:jc w:val="center"/>
        </w:trPr>
        <w:tc>
          <w:tcPr>
            <w:tcW w:w="2049" w:type="dxa"/>
            <w:tcBorders>
              <w:top w:val="nil"/>
              <w:left w:val="nil"/>
              <w:bottom w:val="single" w:sz="6" w:space="0" w:color="auto"/>
              <w:right w:val="nil"/>
            </w:tcBorders>
          </w:tcPr>
          <w:p w14:paraId="4E583ADD"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VARIABLES</w:t>
            </w:r>
          </w:p>
        </w:tc>
        <w:tc>
          <w:tcPr>
            <w:tcW w:w="1637" w:type="dxa"/>
            <w:tcBorders>
              <w:top w:val="nil"/>
              <w:left w:val="nil"/>
              <w:bottom w:val="single" w:sz="6" w:space="0" w:color="auto"/>
              <w:right w:val="nil"/>
            </w:tcBorders>
          </w:tcPr>
          <w:p w14:paraId="29D7067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701" w:type="dxa"/>
            <w:tcBorders>
              <w:top w:val="nil"/>
              <w:left w:val="nil"/>
              <w:bottom w:val="single" w:sz="6" w:space="0" w:color="auto"/>
            </w:tcBorders>
          </w:tcPr>
          <w:p w14:paraId="391F65A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984" w:type="dxa"/>
            <w:tcBorders>
              <w:top w:val="nil"/>
              <w:bottom w:val="single" w:sz="6" w:space="0" w:color="auto"/>
              <w:right w:val="nil"/>
            </w:tcBorders>
          </w:tcPr>
          <w:p w14:paraId="048ADB5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c>
          <w:tcPr>
            <w:tcW w:w="1655" w:type="dxa"/>
            <w:tcBorders>
              <w:top w:val="nil"/>
              <w:left w:val="nil"/>
              <w:bottom w:val="single" w:sz="6" w:space="0" w:color="auto"/>
              <w:right w:val="nil"/>
            </w:tcBorders>
          </w:tcPr>
          <w:p w14:paraId="5E0E144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RE</w:t>
            </w:r>
          </w:p>
        </w:tc>
      </w:tr>
      <w:tr w:rsidR="00724212" w:rsidRPr="00FC59B5" w14:paraId="06A48868" w14:textId="77777777" w:rsidTr="00785435">
        <w:trPr>
          <w:trHeight w:val="232"/>
          <w:jc w:val="center"/>
        </w:trPr>
        <w:tc>
          <w:tcPr>
            <w:tcW w:w="2049" w:type="dxa"/>
            <w:tcBorders>
              <w:top w:val="nil"/>
              <w:left w:val="nil"/>
              <w:bottom w:val="nil"/>
              <w:right w:val="nil"/>
            </w:tcBorders>
          </w:tcPr>
          <w:p w14:paraId="2B0D063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left w:val="nil"/>
              <w:bottom w:val="nil"/>
              <w:right w:val="nil"/>
            </w:tcBorders>
          </w:tcPr>
          <w:p w14:paraId="2DB43DC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701" w:type="dxa"/>
            <w:tcBorders>
              <w:top w:val="nil"/>
              <w:left w:val="nil"/>
              <w:bottom w:val="nil"/>
            </w:tcBorders>
          </w:tcPr>
          <w:p w14:paraId="76B3C8C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984" w:type="dxa"/>
            <w:tcBorders>
              <w:top w:val="nil"/>
              <w:bottom w:val="nil"/>
              <w:right w:val="nil"/>
            </w:tcBorders>
          </w:tcPr>
          <w:p w14:paraId="6A2B267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655" w:type="dxa"/>
            <w:tcBorders>
              <w:top w:val="nil"/>
              <w:left w:val="nil"/>
              <w:bottom w:val="nil"/>
              <w:right w:val="nil"/>
            </w:tcBorders>
          </w:tcPr>
          <w:p w14:paraId="146F232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724212" w:rsidRPr="00FC59B5" w14:paraId="003929E7" w14:textId="77777777" w:rsidTr="00785435">
        <w:trPr>
          <w:trHeight w:val="232"/>
          <w:jc w:val="center"/>
        </w:trPr>
        <w:tc>
          <w:tcPr>
            <w:tcW w:w="2049" w:type="dxa"/>
            <w:tcBorders>
              <w:top w:val="nil"/>
              <w:left w:val="nil"/>
              <w:bottom w:val="nil"/>
              <w:right w:val="nil"/>
            </w:tcBorders>
          </w:tcPr>
          <w:p w14:paraId="7111AD35"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BRD_SZ</w:t>
            </w:r>
          </w:p>
        </w:tc>
        <w:tc>
          <w:tcPr>
            <w:tcW w:w="1637" w:type="dxa"/>
            <w:tcBorders>
              <w:top w:val="nil"/>
              <w:bottom w:val="nil"/>
            </w:tcBorders>
          </w:tcPr>
          <w:p w14:paraId="4E2EC9A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-0.000833</w:t>
            </w:r>
          </w:p>
        </w:tc>
        <w:tc>
          <w:tcPr>
            <w:tcW w:w="1701" w:type="dxa"/>
            <w:tcBorders>
              <w:top w:val="nil"/>
              <w:bottom w:val="nil"/>
            </w:tcBorders>
          </w:tcPr>
          <w:p w14:paraId="73FA1D9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-0.00414</w:t>
            </w:r>
          </w:p>
        </w:tc>
        <w:tc>
          <w:tcPr>
            <w:tcW w:w="1984" w:type="dxa"/>
            <w:tcBorders>
              <w:top w:val="nil"/>
              <w:bottom w:val="nil"/>
              <w:right w:val="nil"/>
            </w:tcBorders>
          </w:tcPr>
          <w:p w14:paraId="5D4E56F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-0.00880</w:t>
            </w:r>
          </w:p>
        </w:tc>
        <w:tc>
          <w:tcPr>
            <w:tcW w:w="1655" w:type="dxa"/>
            <w:tcBorders>
              <w:top w:val="nil"/>
              <w:left w:val="nil"/>
              <w:bottom w:val="nil"/>
              <w:right w:val="nil"/>
            </w:tcBorders>
          </w:tcPr>
          <w:p w14:paraId="216A25C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-0.00425</w:t>
            </w:r>
          </w:p>
        </w:tc>
      </w:tr>
      <w:tr w:rsidR="00724212" w:rsidRPr="00FC59B5" w14:paraId="7EE95B4B" w14:textId="77777777" w:rsidTr="00785435">
        <w:trPr>
          <w:trHeight w:val="232"/>
          <w:jc w:val="center"/>
        </w:trPr>
        <w:tc>
          <w:tcPr>
            <w:tcW w:w="2049" w:type="dxa"/>
            <w:tcBorders>
              <w:top w:val="nil"/>
              <w:left w:val="nil"/>
              <w:bottom w:val="nil"/>
              <w:right w:val="nil"/>
            </w:tcBorders>
          </w:tcPr>
          <w:p w14:paraId="2C094322"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7A613C6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(0.843)</w:t>
            </w:r>
          </w:p>
        </w:tc>
        <w:tc>
          <w:tcPr>
            <w:tcW w:w="1701" w:type="dxa"/>
            <w:tcBorders>
              <w:top w:val="nil"/>
              <w:bottom w:val="nil"/>
            </w:tcBorders>
          </w:tcPr>
          <w:p w14:paraId="7F5632F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(0.356)</w:t>
            </w:r>
          </w:p>
        </w:tc>
        <w:tc>
          <w:tcPr>
            <w:tcW w:w="1984" w:type="dxa"/>
            <w:tcBorders>
              <w:top w:val="nil"/>
              <w:bottom w:val="nil"/>
              <w:right w:val="nil"/>
            </w:tcBorders>
          </w:tcPr>
          <w:p w14:paraId="28EE5D4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(0.241)</w:t>
            </w:r>
          </w:p>
        </w:tc>
        <w:tc>
          <w:tcPr>
            <w:tcW w:w="1655" w:type="dxa"/>
            <w:tcBorders>
              <w:top w:val="nil"/>
              <w:left w:val="nil"/>
              <w:bottom w:val="nil"/>
              <w:right w:val="nil"/>
            </w:tcBorders>
          </w:tcPr>
          <w:p w14:paraId="5B7DA9D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(0.568)</w:t>
            </w:r>
          </w:p>
        </w:tc>
      </w:tr>
      <w:tr w:rsidR="00724212" w:rsidRPr="00FC59B5" w14:paraId="02B62442" w14:textId="77777777" w:rsidTr="00785435">
        <w:trPr>
          <w:trHeight w:val="232"/>
          <w:jc w:val="center"/>
        </w:trPr>
        <w:tc>
          <w:tcPr>
            <w:tcW w:w="2049" w:type="dxa"/>
            <w:tcBorders>
              <w:top w:val="nil"/>
              <w:left w:val="nil"/>
              <w:bottom w:val="nil"/>
              <w:right w:val="nil"/>
            </w:tcBorders>
          </w:tcPr>
          <w:p w14:paraId="5960434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PCT_INED</w:t>
            </w:r>
          </w:p>
        </w:tc>
        <w:tc>
          <w:tcPr>
            <w:tcW w:w="1637" w:type="dxa"/>
            <w:tcBorders>
              <w:top w:val="nil"/>
              <w:bottom w:val="nil"/>
            </w:tcBorders>
          </w:tcPr>
          <w:p w14:paraId="5D02F94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-0.231***</w:t>
            </w:r>
          </w:p>
        </w:tc>
        <w:tc>
          <w:tcPr>
            <w:tcW w:w="1701" w:type="dxa"/>
            <w:tcBorders>
              <w:top w:val="nil"/>
              <w:bottom w:val="nil"/>
            </w:tcBorders>
          </w:tcPr>
          <w:p w14:paraId="5622E36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-0.122</w:t>
            </w:r>
          </w:p>
        </w:tc>
        <w:tc>
          <w:tcPr>
            <w:tcW w:w="1984" w:type="dxa"/>
            <w:tcBorders>
              <w:top w:val="nil"/>
              <w:bottom w:val="nil"/>
              <w:right w:val="nil"/>
            </w:tcBorders>
          </w:tcPr>
          <w:p w14:paraId="1379C30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-0.339**</w:t>
            </w:r>
          </w:p>
        </w:tc>
        <w:tc>
          <w:tcPr>
            <w:tcW w:w="1655" w:type="dxa"/>
            <w:tcBorders>
              <w:top w:val="nil"/>
              <w:left w:val="nil"/>
              <w:bottom w:val="nil"/>
              <w:right w:val="nil"/>
            </w:tcBorders>
          </w:tcPr>
          <w:p w14:paraId="413AAAC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-0.201</w:t>
            </w:r>
          </w:p>
        </w:tc>
      </w:tr>
      <w:tr w:rsidR="00724212" w:rsidRPr="00FC59B5" w14:paraId="5F617F85" w14:textId="77777777" w:rsidTr="00785435">
        <w:trPr>
          <w:trHeight w:val="254"/>
          <w:jc w:val="center"/>
        </w:trPr>
        <w:tc>
          <w:tcPr>
            <w:tcW w:w="2049" w:type="dxa"/>
            <w:tcBorders>
              <w:top w:val="nil"/>
              <w:left w:val="nil"/>
              <w:bottom w:val="nil"/>
              <w:right w:val="nil"/>
            </w:tcBorders>
          </w:tcPr>
          <w:p w14:paraId="20999F8A"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408A476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(0.00230)</w:t>
            </w:r>
          </w:p>
        </w:tc>
        <w:tc>
          <w:tcPr>
            <w:tcW w:w="1701" w:type="dxa"/>
            <w:tcBorders>
              <w:top w:val="nil"/>
              <w:bottom w:val="nil"/>
            </w:tcBorders>
          </w:tcPr>
          <w:p w14:paraId="13E1215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(0.266)</w:t>
            </w:r>
          </w:p>
        </w:tc>
        <w:tc>
          <w:tcPr>
            <w:tcW w:w="1984" w:type="dxa"/>
            <w:tcBorders>
              <w:top w:val="nil"/>
              <w:bottom w:val="nil"/>
              <w:right w:val="nil"/>
            </w:tcBorders>
          </w:tcPr>
          <w:p w14:paraId="3EC8DCE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(0.0139)</w:t>
            </w:r>
          </w:p>
        </w:tc>
        <w:tc>
          <w:tcPr>
            <w:tcW w:w="1655" w:type="dxa"/>
            <w:tcBorders>
              <w:top w:val="nil"/>
              <w:left w:val="nil"/>
              <w:bottom w:val="nil"/>
              <w:right w:val="nil"/>
            </w:tcBorders>
          </w:tcPr>
          <w:p w14:paraId="3AD02D2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(0.222)</w:t>
            </w:r>
          </w:p>
        </w:tc>
      </w:tr>
      <w:tr w:rsidR="00724212" w:rsidRPr="00FC59B5" w14:paraId="329A5583" w14:textId="77777777" w:rsidTr="00785435">
        <w:trPr>
          <w:trHeight w:val="465"/>
          <w:jc w:val="center"/>
        </w:trPr>
        <w:tc>
          <w:tcPr>
            <w:tcW w:w="2049" w:type="dxa"/>
            <w:tcBorders>
              <w:top w:val="nil"/>
              <w:left w:val="nil"/>
              <w:bottom w:val="nil"/>
              <w:right w:val="nil"/>
            </w:tcBorders>
          </w:tcPr>
          <w:p w14:paraId="3A65F44C"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PCT_BRD_WOMEN</w:t>
            </w:r>
          </w:p>
        </w:tc>
        <w:tc>
          <w:tcPr>
            <w:tcW w:w="1637" w:type="dxa"/>
            <w:tcBorders>
              <w:top w:val="nil"/>
              <w:bottom w:val="nil"/>
            </w:tcBorders>
          </w:tcPr>
          <w:p w14:paraId="7459DF6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-0.00983</w:t>
            </w:r>
          </w:p>
        </w:tc>
        <w:tc>
          <w:tcPr>
            <w:tcW w:w="1701" w:type="dxa"/>
            <w:tcBorders>
              <w:top w:val="nil"/>
              <w:bottom w:val="nil"/>
            </w:tcBorders>
          </w:tcPr>
          <w:p w14:paraId="36DD2DF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0.219**</w:t>
            </w:r>
          </w:p>
        </w:tc>
        <w:tc>
          <w:tcPr>
            <w:tcW w:w="1984" w:type="dxa"/>
            <w:tcBorders>
              <w:top w:val="nil"/>
              <w:bottom w:val="nil"/>
              <w:right w:val="nil"/>
            </w:tcBorders>
          </w:tcPr>
          <w:p w14:paraId="5E384C31"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0.295*</w:t>
            </w:r>
          </w:p>
        </w:tc>
        <w:tc>
          <w:tcPr>
            <w:tcW w:w="1655" w:type="dxa"/>
            <w:tcBorders>
              <w:top w:val="nil"/>
              <w:left w:val="nil"/>
              <w:bottom w:val="nil"/>
              <w:right w:val="nil"/>
            </w:tcBorders>
          </w:tcPr>
          <w:p w14:paraId="30CFE53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0.627**</w:t>
            </w:r>
          </w:p>
        </w:tc>
      </w:tr>
      <w:tr w:rsidR="00724212" w:rsidRPr="00FC59B5" w14:paraId="6DBB6EA2" w14:textId="77777777" w:rsidTr="00785435">
        <w:trPr>
          <w:trHeight w:val="232"/>
          <w:jc w:val="center"/>
        </w:trPr>
        <w:tc>
          <w:tcPr>
            <w:tcW w:w="2049" w:type="dxa"/>
            <w:tcBorders>
              <w:top w:val="nil"/>
              <w:left w:val="nil"/>
              <w:bottom w:val="nil"/>
              <w:right w:val="nil"/>
            </w:tcBorders>
          </w:tcPr>
          <w:p w14:paraId="65CF6232"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5FF70FA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(0.908)</w:t>
            </w:r>
          </w:p>
        </w:tc>
        <w:tc>
          <w:tcPr>
            <w:tcW w:w="1701" w:type="dxa"/>
            <w:tcBorders>
              <w:top w:val="nil"/>
              <w:bottom w:val="nil"/>
            </w:tcBorders>
          </w:tcPr>
          <w:p w14:paraId="24212ED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(0.0438)</w:t>
            </w:r>
          </w:p>
        </w:tc>
        <w:tc>
          <w:tcPr>
            <w:tcW w:w="1984" w:type="dxa"/>
            <w:tcBorders>
              <w:top w:val="nil"/>
              <w:bottom w:val="nil"/>
              <w:right w:val="nil"/>
            </w:tcBorders>
          </w:tcPr>
          <w:p w14:paraId="280E195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(0.0952)</w:t>
            </w:r>
          </w:p>
        </w:tc>
        <w:tc>
          <w:tcPr>
            <w:tcW w:w="1655" w:type="dxa"/>
            <w:tcBorders>
              <w:top w:val="nil"/>
              <w:left w:val="nil"/>
              <w:bottom w:val="nil"/>
              <w:right w:val="nil"/>
            </w:tcBorders>
          </w:tcPr>
          <w:p w14:paraId="3FEFCDE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(0.0467)</w:t>
            </w:r>
          </w:p>
        </w:tc>
      </w:tr>
      <w:tr w:rsidR="00724212" w:rsidRPr="00FC59B5" w14:paraId="38EADD6B" w14:textId="77777777" w:rsidTr="00785435">
        <w:trPr>
          <w:trHeight w:val="232"/>
          <w:jc w:val="center"/>
        </w:trPr>
        <w:tc>
          <w:tcPr>
            <w:tcW w:w="2049" w:type="dxa"/>
            <w:tcBorders>
              <w:top w:val="nil"/>
              <w:left w:val="nil"/>
              <w:bottom w:val="nil"/>
              <w:right w:val="nil"/>
            </w:tcBorders>
          </w:tcPr>
          <w:p w14:paraId="4A903AE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AUDCOM_SZ</w:t>
            </w:r>
          </w:p>
        </w:tc>
        <w:tc>
          <w:tcPr>
            <w:tcW w:w="1637" w:type="dxa"/>
            <w:tcBorders>
              <w:top w:val="nil"/>
              <w:bottom w:val="nil"/>
            </w:tcBorders>
          </w:tcPr>
          <w:p w14:paraId="1A2FB7A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0.00165</w:t>
            </w:r>
          </w:p>
        </w:tc>
        <w:tc>
          <w:tcPr>
            <w:tcW w:w="1701" w:type="dxa"/>
            <w:tcBorders>
              <w:top w:val="nil"/>
              <w:bottom w:val="nil"/>
            </w:tcBorders>
          </w:tcPr>
          <w:p w14:paraId="33A593C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0.0115*</w:t>
            </w:r>
          </w:p>
        </w:tc>
        <w:tc>
          <w:tcPr>
            <w:tcW w:w="1984" w:type="dxa"/>
            <w:tcBorders>
              <w:top w:val="nil"/>
              <w:bottom w:val="nil"/>
              <w:right w:val="nil"/>
            </w:tcBorders>
          </w:tcPr>
          <w:p w14:paraId="72231AC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0.0149</w:t>
            </w:r>
          </w:p>
        </w:tc>
        <w:tc>
          <w:tcPr>
            <w:tcW w:w="1655" w:type="dxa"/>
            <w:tcBorders>
              <w:top w:val="nil"/>
              <w:left w:val="nil"/>
              <w:bottom w:val="nil"/>
              <w:right w:val="nil"/>
            </w:tcBorders>
          </w:tcPr>
          <w:p w14:paraId="47C703D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0.00169</w:t>
            </w:r>
          </w:p>
        </w:tc>
      </w:tr>
      <w:tr w:rsidR="00724212" w:rsidRPr="00FC59B5" w14:paraId="48140C2F" w14:textId="77777777" w:rsidTr="00785435">
        <w:trPr>
          <w:trHeight w:val="254"/>
          <w:jc w:val="center"/>
        </w:trPr>
        <w:tc>
          <w:tcPr>
            <w:tcW w:w="2049" w:type="dxa"/>
            <w:tcBorders>
              <w:top w:val="nil"/>
              <w:left w:val="nil"/>
              <w:bottom w:val="nil"/>
              <w:right w:val="nil"/>
            </w:tcBorders>
          </w:tcPr>
          <w:p w14:paraId="253D1FF3"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34FF6B1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(0.520)</w:t>
            </w:r>
          </w:p>
        </w:tc>
        <w:tc>
          <w:tcPr>
            <w:tcW w:w="1701" w:type="dxa"/>
            <w:tcBorders>
              <w:top w:val="nil"/>
              <w:bottom w:val="nil"/>
            </w:tcBorders>
          </w:tcPr>
          <w:p w14:paraId="45BC4BF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(0.0909)</w:t>
            </w:r>
          </w:p>
        </w:tc>
        <w:tc>
          <w:tcPr>
            <w:tcW w:w="1984" w:type="dxa"/>
            <w:tcBorders>
              <w:top w:val="nil"/>
              <w:bottom w:val="nil"/>
              <w:right w:val="nil"/>
            </w:tcBorders>
          </w:tcPr>
          <w:p w14:paraId="63BA165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(0.350)</w:t>
            </w:r>
          </w:p>
        </w:tc>
        <w:tc>
          <w:tcPr>
            <w:tcW w:w="1655" w:type="dxa"/>
            <w:tcBorders>
              <w:top w:val="nil"/>
              <w:left w:val="nil"/>
              <w:bottom w:val="nil"/>
              <w:right w:val="nil"/>
            </w:tcBorders>
          </w:tcPr>
          <w:p w14:paraId="74F72359"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(0.692)</w:t>
            </w:r>
          </w:p>
        </w:tc>
      </w:tr>
      <w:tr w:rsidR="00724212" w:rsidRPr="00FC59B5" w14:paraId="55E56AC0" w14:textId="77777777" w:rsidTr="00785435">
        <w:trPr>
          <w:trHeight w:val="232"/>
          <w:jc w:val="center"/>
        </w:trPr>
        <w:tc>
          <w:tcPr>
            <w:tcW w:w="2049" w:type="dxa"/>
            <w:tcBorders>
              <w:top w:val="nil"/>
              <w:left w:val="nil"/>
              <w:bottom w:val="nil"/>
              <w:right w:val="nil"/>
            </w:tcBorders>
          </w:tcPr>
          <w:p w14:paraId="442454D8"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ESG</w:t>
            </w:r>
          </w:p>
        </w:tc>
        <w:tc>
          <w:tcPr>
            <w:tcW w:w="1637" w:type="dxa"/>
            <w:tcBorders>
              <w:top w:val="nil"/>
              <w:bottom w:val="nil"/>
            </w:tcBorders>
          </w:tcPr>
          <w:p w14:paraId="40D7C04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0.407***</w:t>
            </w:r>
          </w:p>
        </w:tc>
        <w:tc>
          <w:tcPr>
            <w:tcW w:w="1701" w:type="dxa"/>
            <w:tcBorders>
              <w:top w:val="nil"/>
              <w:bottom w:val="nil"/>
            </w:tcBorders>
          </w:tcPr>
          <w:p w14:paraId="2FF84D8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0.149</w:t>
            </w:r>
          </w:p>
        </w:tc>
        <w:tc>
          <w:tcPr>
            <w:tcW w:w="1984" w:type="dxa"/>
            <w:tcBorders>
              <w:top w:val="nil"/>
              <w:bottom w:val="nil"/>
              <w:right w:val="nil"/>
            </w:tcBorders>
          </w:tcPr>
          <w:p w14:paraId="63C2A61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0.147</w:t>
            </w:r>
          </w:p>
        </w:tc>
        <w:tc>
          <w:tcPr>
            <w:tcW w:w="1655" w:type="dxa"/>
            <w:tcBorders>
              <w:top w:val="nil"/>
              <w:left w:val="nil"/>
              <w:bottom w:val="nil"/>
              <w:right w:val="nil"/>
            </w:tcBorders>
          </w:tcPr>
          <w:p w14:paraId="3D6B3BE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0.636***</w:t>
            </w:r>
          </w:p>
        </w:tc>
      </w:tr>
      <w:tr w:rsidR="00724212" w:rsidRPr="00FC59B5" w14:paraId="2267F191" w14:textId="77777777" w:rsidTr="00785435">
        <w:trPr>
          <w:trHeight w:val="232"/>
          <w:jc w:val="center"/>
        </w:trPr>
        <w:tc>
          <w:tcPr>
            <w:tcW w:w="2049" w:type="dxa"/>
            <w:tcBorders>
              <w:top w:val="nil"/>
              <w:left w:val="nil"/>
              <w:bottom w:val="nil"/>
              <w:right w:val="nil"/>
            </w:tcBorders>
          </w:tcPr>
          <w:p w14:paraId="5D3D282E"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0E3B642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(0.00124)</w:t>
            </w:r>
          </w:p>
        </w:tc>
        <w:tc>
          <w:tcPr>
            <w:tcW w:w="1701" w:type="dxa"/>
            <w:tcBorders>
              <w:top w:val="nil"/>
              <w:bottom w:val="nil"/>
            </w:tcBorders>
          </w:tcPr>
          <w:p w14:paraId="177DCDD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(0.337)</w:t>
            </w:r>
          </w:p>
        </w:tc>
        <w:tc>
          <w:tcPr>
            <w:tcW w:w="1984" w:type="dxa"/>
            <w:tcBorders>
              <w:top w:val="nil"/>
              <w:bottom w:val="nil"/>
              <w:right w:val="nil"/>
            </w:tcBorders>
          </w:tcPr>
          <w:p w14:paraId="504D6D6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(0.376)</w:t>
            </w:r>
          </w:p>
        </w:tc>
        <w:tc>
          <w:tcPr>
            <w:tcW w:w="1655" w:type="dxa"/>
            <w:tcBorders>
              <w:top w:val="nil"/>
              <w:left w:val="nil"/>
              <w:bottom w:val="nil"/>
              <w:right w:val="nil"/>
            </w:tcBorders>
          </w:tcPr>
          <w:p w14:paraId="456A847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(0.00150)</w:t>
            </w:r>
          </w:p>
        </w:tc>
      </w:tr>
      <w:tr w:rsidR="00724212" w:rsidRPr="00FC59B5" w14:paraId="21E326D7" w14:textId="77777777" w:rsidTr="00785435">
        <w:trPr>
          <w:trHeight w:val="465"/>
          <w:jc w:val="center"/>
        </w:trPr>
        <w:tc>
          <w:tcPr>
            <w:tcW w:w="2049" w:type="dxa"/>
            <w:tcBorders>
              <w:top w:val="nil"/>
              <w:left w:val="nil"/>
              <w:bottom w:val="nil"/>
              <w:right w:val="nil"/>
            </w:tcBorders>
          </w:tcPr>
          <w:p w14:paraId="08AB0D96"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lastRenderedPageBreak/>
              <w:t>ROA</w:t>
            </w:r>
          </w:p>
        </w:tc>
        <w:tc>
          <w:tcPr>
            <w:tcW w:w="1637" w:type="dxa"/>
            <w:tcBorders>
              <w:top w:val="nil"/>
              <w:bottom w:val="nil"/>
            </w:tcBorders>
          </w:tcPr>
          <w:p w14:paraId="2534F90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-0.000163</w:t>
            </w:r>
          </w:p>
        </w:tc>
        <w:tc>
          <w:tcPr>
            <w:tcW w:w="1701" w:type="dxa"/>
            <w:tcBorders>
              <w:top w:val="nil"/>
              <w:bottom w:val="nil"/>
            </w:tcBorders>
          </w:tcPr>
          <w:p w14:paraId="7C424A9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-0.00163</w:t>
            </w:r>
          </w:p>
        </w:tc>
        <w:tc>
          <w:tcPr>
            <w:tcW w:w="1984" w:type="dxa"/>
            <w:tcBorders>
              <w:top w:val="nil"/>
              <w:bottom w:val="nil"/>
              <w:right w:val="nil"/>
            </w:tcBorders>
          </w:tcPr>
          <w:p w14:paraId="1634AD3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-0.000862</w:t>
            </w:r>
          </w:p>
        </w:tc>
        <w:tc>
          <w:tcPr>
            <w:tcW w:w="1655" w:type="dxa"/>
            <w:tcBorders>
              <w:top w:val="nil"/>
              <w:left w:val="nil"/>
              <w:bottom w:val="nil"/>
              <w:right w:val="nil"/>
            </w:tcBorders>
          </w:tcPr>
          <w:p w14:paraId="7DE6FF7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0.000342</w:t>
            </w:r>
          </w:p>
        </w:tc>
      </w:tr>
      <w:tr w:rsidR="00724212" w:rsidRPr="00FC59B5" w14:paraId="50162FB2" w14:textId="77777777" w:rsidTr="00785435">
        <w:trPr>
          <w:trHeight w:val="254"/>
          <w:jc w:val="center"/>
        </w:trPr>
        <w:tc>
          <w:tcPr>
            <w:tcW w:w="2049" w:type="dxa"/>
            <w:tcBorders>
              <w:top w:val="nil"/>
              <w:left w:val="nil"/>
              <w:bottom w:val="nil"/>
              <w:right w:val="nil"/>
            </w:tcBorders>
          </w:tcPr>
          <w:p w14:paraId="2255B8FC"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4DA65BD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(0.416)</w:t>
            </w:r>
          </w:p>
        </w:tc>
        <w:tc>
          <w:tcPr>
            <w:tcW w:w="1701" w:type="dxa"/>
            <w:tcBorders>
              <w:top w:val="nil"/>
              <w:bottom w:val="nil"/>
            </w:tcBorders>
          </w:tcPr>
          <w:p w14:paraId="021DF4B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(0.123)</w:t>
            </w:r>
          </w:p>
        </w:tc>
        <w:tc>
          <w:tcPr>
            <w:tcW w:w="1984" w:type="dxa"/>
            <w:tcBorders>
              <w:top w:val="nil"/>
              <w:bottom w:val="nil"/>
              <w:right w:val="nil"/>
            </w:tcBorders>
          </w:tcPr>
          <w:p w14:paraId="5242C1E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(0.254)</w:t>
            </w:r>
          </w:p>
        </w:tc>
        <w:tc>
          <w:tcPr>
            <w:tcW w:w="1655" w:type="dxa"/>
            <w:tcBorders>
              <w:top w:val="nil"/>
              <w:left w:val="nil"/>
              <w:bottom w:val="nil"/>
              <w:right w:val="nil"/>
            </w:tcBorders>
          </w:tcPr>
          <w:p w14:paraId="66150964"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(0.251)</w:t>
            </w:r>
          </w:p>
        </w:tc>
      </w:tr>
      <w:tr w:rsidR="00724212" w:rsidRPr="00FC59B5" w14:paraId="14E799F9" w14:textId="77777777" w:rsidTr="00785435">
        <w:trPr>
          <w:trHeight w:val="465"/>
          <w:jc w:val="center"/>
        </w:trPr>
        <w:tc>
          <w:tcPr>
            <w:tcW w:w="2049" w:type="dxa"/>
            <w:tcBorders>
              <w:top w:val="nil"/>
              <w:left w:val="nil"/>
              <w:bottom w:val="nil"/>
              <w:right w:val="nil"/>
            </w:tcBorders>
          </w:tcPr>
          <w:p w14:paraId="7E30AED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FNCL_LVRG</w:t>
            </w:r>
          </w:p>
        </w:tc>
        <w:tc>
          <w:tcPr>
            <w:tcW w:w="1637" w:type="dxa"/>
            <w:tcBorders>
              <w:top w:val="nil"/>
              <w:bottom w:val="nil"/>
            </w:tcBorders>
          </w:tcPr>
          <w:p w14:paraId="2CB0F6A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-0.000468</w:t>
            </w:r>
          </w:p>
        </w:tc>
        <w:tc>
          <w:tcPr>
            <w:tcW w:w="1701" w:type="dxa"/>
            <w:tcBorders>
              <w:top w:val="nil"/>
              <w:bottom w:val="nil"/>
            </w:tcBorders>
          </w:tcPr>
          <w:p w14:paraId="1BF4331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-0.000601</w:t>
            </w:r>
          </w:p>
        </w:tc>
        <w:tc>
          <w:tcPr>
            <w:tcW w:w="1984" w:type="dxa"/>
            <w:tcBorders>
              <w:top w:val="nil"/>
              <w:bottom w:val="nil"/>
              <w:right w:val="nil"/>
            </w:tcBorders>
          </w:tcPr>
          <w:p w14:paraId="02582CC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-0.00157</w:t>
            </w:r>
          </w:p>
        </w:tc>
        <w:tc>
          <w:tcPr>
            <w:tcW w:w="1655" w:type="dxa"/>
            <w:tcBorders>
              <w:top w:val="nil"/>
              <w:left w:val="nil"/>
              <w:bottom w:val="nil"/>
              <w:right w:val="nil"/>
            </w:tcBorders>
          </w:tcPr>
          <w:p w14:paraId="0BBAB61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-0.000929</w:t>
            </w:r>
          </w:p>
        </w:tc>
      </w:tr>
      <w:tr w:rsidR="00724212" w:rsidRPr="00FC59B5" w14:paraId="26594791" w14:textId="77777777" w:rsidTr="00785435">
        <w:trPr>
          <w:trHeight w:val="232"/>
          <w:jc w:val="center"/>
        </w:trPr>
        <w:tc>
          <w:tcPr>
            <w:tcW w:w="2049" w:type="dxa"/>
            <w:tcBorders>
              <w:top w:val="nil"/>
              <w:left w:val="nil"/>
              <w:bottom w:val="nil"/>
              <w:right w:val="nil"/>
            </w:tcBorders>
          </w:tcPr>
          <w:p w14:paraId="140AB03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7917764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(0.541)</w:t>
            </w:r>
          </w:p>
        </w:tc>
        <w:tc>
          <w:tcPr>
            <w:tcW w:w="1701" w:type="dxa"/>
            <w:tcBorders>
              <w:top w:val="nil"/>
              <w:bottom w:val="nil"/>
            </w:tcBorders>
          </w:tcPr>
          <w:p w14:paraId="1422464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(0.243)</w:t>
            </w:r>
          </w:p>
        </w:tc>
        <w:tc>
          <w:tcPr>
            <w:tcW w:w="1984" w:type="dxa"/>
            <w:tcBorders>
              <w:top w:val="nil"/>
              <w:bottom w:val="nil"/>
              <w:right w:val="nil"/>
            </w:tcBorders>
          </w:tcPr>
          <w:p w14:paraId="01EEA2A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(0.359)</w:t>
            </w:r>
          </w:p>
        </w:tc>
        <w:tc>
          <w:tcPr>
            <w:tcW w:w="1655" w:type="dxa"/>
            <w:tcBorders>
              <w:top w:val="nil"/>
              <w:left w:val="nil"/>
              <w:bottom w:val="nil"/>
              <w:right w:val="nil"/>
            </w:tcBorders>
          </w:tcPr>
          <w:p w14:paraId="3AE2B57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(0.215)</w:t>
            </w:r>
          </w:p>
        </w:tc>
      </w:tr>
      <w:tr w:rsidR="00724212" w:rsidRPr="00FC59B5" w14:paraId="669F927F" w14:textId="77777777" w:rsidTr="00785435">
        <w:trPr>
          <w:trHeight w:val="232"/>
          <w:jc w:val="center"/>
        </w:trPr>
        <w:tc>
          <w:tcPr>
            <w:tcW w:w="2049" w:type="dxa"/>
            <w:tcBorders>
              <w:top w:val="nil"/>
              <w:left w:val="nil"/>
              <w:bottom w:val="nil"/>
              <w:right w:val="nil"/>
            </w:tcBorders>
          </w:tcPr>
          <w:p w14:paraId="4A1B5746"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LN_TRNOVR</w:t>
            </w:r>
          </w:p>
        </w:tc>
        <w:tc>
          <w:tcPr>
            <w:tcW w:w="1637" w:type="dxa"/>
            <w:tcBorders>
              <w:top w:val="nil"/>
              <w:bottom w:val="nil"/>
            </w:tcBorders>
          </w:tcPr>
          <w:p w14:paraId="15EFEAD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-0.00991</w:t>
            </w:r>
          </w:p>
        </w:tc>
        <w:tc>
          <w:tcPr>
            <w:tcW w:w="1701" w:type="dxa"/>
            <w:tcBorders>
              <w:top w:val="nil"/>
              <w:bottom w:val="nil"/>
            </w:tcBorders>
          </w:tcPr>
          <w:p w14:paraId="30117F8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-8.00e-05</w:t>
            </w:r>
          </w:p>
        </w:tc>
        <w:tc>
          <w:tcPr>
            <w:tcW w:w="1984" w:type="dxa"/>
            <w:tcBorders>
              <w:top w:val="nil"/>
              <w:bottom w:val="nil"/>
              <w:right w:val="nil"/>
            </w:tcBorders>
          </w:tcPr>
          <w:p w14:paraId="2A56C2E0"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-0.00506</w:t>
            </w:r>
          </w:p>
        </w:tc>
        <w:tc>
          <w:tcPr>
            <w:tcW w:w="1655" w:type="dxa"/>
            <w:tcBorders>
              <w:top w:val="nil"/>
              <w:left w:val="nil"/>
              <w:bottom w:val="nil"/>
              <w:right w:val="nil"/>
            </w:tcBorders>
          </w:tcPr>
          <w:p w14:paraId="5D7EDAD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0.00122</w:t>
            </w:r>
          </w:p>
        </w:tc>
      </w:tr>
      <w:tr w:rsidR="00724212" w:rsidRPr="00FC59B5" w14:paraId="2221BC88" w14:textId="77777777" w:rsidTr="00785435">
        <w:trPr>
          <w:trHeight w:val="254"/>
          <w:jc w:val="center"/>
        </w:trPr>
        <w:tc>
          <w:tcPr>
            <w:tcW w:w="2049" w:type="dxa"/>
            <w:tcBorders>
              <w:top w:val="nil"/>
              <w:left w:val="nil"/>
              <w:bottom w:val="nil"/>
              <w:right w:val="nil"/>
            </w:tcBorders>
          </w:tcPr>
          <w:p w14:paraId="12C40B26"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05EC71B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(0.118)</w:t>
            </w:r>
          </w:p>
        </w:tc>
        <w:tc>
          <w:tcPr>
            <w:tcW w:w="1701" w:type="dxa"/>
            <w:tcBorders>
              <w:top w:val="nil"/>
              <w:bottom w:val="nil"/>
            </w:tcBorders>
          </w:tcPr>
          <w:p w14:paraId="5AD278A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(0.992)</w:t>
            </w:r>
          </w:p>
        </w:tc>
        <w:tc>
          <w:tcPr>
            <w:tcW w:w="1984" w:type="dxa"/>
            <w:tcBorders>
              <w:top w:val="nil"/>
              <w:bottom w:val="nil"/>
              <w:right w:val="nil"/>
            </w:tcBorders>
          </w:tcPr>
          <w:p w14:paraId="576C7BD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(0.738)</w:t>
            </w:r>
          </w:p>
        </w:tc>
        <w:tc>
          <w:tcPr>
            <w:tcW w:w="1655" w:type="dxa"/>
            <w:tcBorders>
              <w:top w:val="nil"/>
              <w:left w:val="nil"/>
              <w:bottom w:val="nil"/>
              <w:right w:val="nil"/>
            </w:tcBorders>
          </w:tcPr>
          <w:p w14:paraId="77D7854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(0.909)</w:t>
            </w:r>
          </w:p>
        </w:tc>
      </w:tr>
      <w:tr w:rsidR="00724212" w:rsidRPr="00FC59B5" w14:paraId="68AD82B6" w14:textId="77777777" w:rsidTr="00785435">
        <w:trPr>
          <w:trHeight w:val="232"/>
          <w:jc w:val="center"/>
        </w:trPr>
        <w:tc>
          <w:tcPr>
            <w:tcW w:w="2049" w:type="dxa"/>
            <w:tcBorders>
              <w:top w:val="nil"/>
              <w:left w:val="nil"/>
              <w:bottom w:val="nil"/>
              <w:right w:val="nil"/>
            </w:tcBorders>
          </w:tcPr>
          <w:p w14:paraId="034A7411"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Constant</w:t>
            </w:r>
          </w:p>
        </w:tc>
        <w:tc>
          <w:tcPr>
            <w:tcW w:w="1637" w:type="dxa"/>
            <w:tcBorders>
              <w:top w:val="nil"/>
              <w:bottom w:val="nil"/>
            </w:tcBorders>
          </w:tcPr>
          <w:p w14:paraId="5A536EAA"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0.704***</w:t>
            </w:r>
          </w:p>
        </w:tc>
        <w:tc>
          <w:tcPr>
            <w:tcW w:w="1701" w:type="dxa"/>
            <w:tcBorders>
              <w:top w:val="nil"/>
              <w:bottom w:val="nil"/>
            </w:tcBorders>
          </w:tcPr>
          <w:p w14:paraId="4DC95C5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0.589***</w:t>
            </w:r>
          </w:p>
        </w:tc>
        <w:tc>
          <w:tcPr>
            <w:tcW w:w="1984" w:type="dxa"/>
            <w:tcBorders>
              <w:top w:val="nil"/>
              <w:bottom w:val="nil"/>
              <w:right w:val="nil"/>
            </w:tcBorders>
          </w:tcPr>
          <w:p w14:paraId="40E7FAED"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0.430***</w:t>
            </w:r>
          </w:p>
        </w:tc>
        <w:tc>
          <w:tcPr>
            <w:tcW w:w="1655" w:type="dxa"/>
            <w:tcBorders>
              <w:top w:val="nil"/>
              <w:left w:val="nil"/>
              <w:bottom w:val="nil"/>
              <w:right w:val="nil"/>
            </w:tcBorders>
          </w:tcPr>
          <w:p w14:paraId="1E922BF8"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-0.0908</w:t>
            </w:r>
          </w:p>
        </w:tc>
      </w:tr>
      <w:tr w:rsidR="00724212" w:rsidRPr="00FC59B5" w14:paraId="567D3F0A" w14:textId="77777777" w:rsidTr="00785435">
        <w:trPr>
          <w:trHeight w:val="232"/>
          <w:jc w:val="center"/>
        </w:trPr>
        <w:tc>
          <w:tcPr>
            <w:tcW w:w="2049" w:type="dxa"/>
            <w:tcBorders>
              <w:top w:val="nil"/>
              <w:left w:val="nil"/>
              <w:bottom w:val="nil"/>
              <w:right w:val="nil"/>
            </w:tcBorders>
          </w:tcPr>
          <w:p w14:paraId="637C741B"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1637" w:type="dxa"/>
            <w:tcBorders>
              <w:top w:val="nil"/>
              <w:bottom w:val="nil"/>
            </w:tcBorders>
          </w:tcPr>
          <w:p w14:paraId="387F108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w:t>
            </w:r>
          </w:p>
        </w:tc>
        <w:tc>
          <w:tcPr>
            <w:tcW w:w="1701" w:type="dxa"/>
            <w:tcBorders>
              <w:top w:val="nil"/>
              <w:bottom w:val="nil"/>
            </w:tcBorders>
          </w:tcPr>
          <w:p w14:paraId="7DAA6B1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w:t>
            </w:r>
          </w:p>
        </w:tc>
        <w:tc>
          <w:tcPr>
            <w:tcW w:w="1984" w:type="dxa"/>
            <w:tcBorders>
              <w:top w:val="nil"/>
              <w:bottom w:val="nil"/>
              <w:right w:val="nil"/>
            </w:tcBorders>
          </w:tcPr>
          <w:p w14:paraId="0DDABC27"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(2.37e-05)</w:t>
            </w:r>
          </w:p>
        </w:tc>
        <w:tc>
          <w:tcPr>
            <w:tcW w:w="1655" w:type="dxa"/>
            <w:tcBorders>
              <w:top w:val="nil"/>
              <w:left w:val="nil"/>
              <w:bottom w:val="nil"/>
              <w:right w:val="nil"/>
            </w:tcBorders>
          </w:tcPr>
          <w:p w14:paraId="1B70EE93"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(0.601)</w:t>
            </w:r>
          </w:p>
        </w:tc>
      </w:tr>
      <w:tr w:rsidR="00724212" w:rsidRPr="00FC59B5" w14:paraId="5340E54D" w14:textId="77777777" w:rsidTr="00785435">
        <w:trPr>
          <w:trHeight w:val="254"/>
          <w:jc w:val="center"/>
        </w:trPr>
        <w:tc>
          <w:tcPr>
            <w:tcW w:w="2049" w:type="dxa"/>
            <w:tcBorders>
              <w:top w:val="nil"/>
              <w:left w:val="nil"/>
              <w:bottom w:val="nil"/>
              <w:right w:val="nil"/>
            </w:tcBorders>
          </w:tcPr>
          <w:p w14:paraId="1DE840F8"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Observations</w:t>
            </w:r>
          </w:p>
        </w:tc>
        <w:tc>
          <w:tcPr>
            <w:tcW w:w="1637" w:type="dxa"/>
            <w:tcBorders>
              <w:top w:val="nil"/>
              <w:left w:val="nil"/>
              <w:bottom w:val="nil"/>
              <w:right w:val="nil"/>
            </w:tcBorders>
          </w:tcPr>
          <w:p w14:paraId="721137D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455</w:t>
            </w:r>
          </w:p>
        </w:tc>
        <w:tc>
          <w:tcPr>
            <w:tcW w:w="1701" w:type="dxa"/>
            <w:tcBorders>
              <w:top w:val="nil"/>
              <w:left w:val="nil"/>
              <w:bottom w:val="nil"/>
            </w:tcBorders>
            <w:shd w:val="clear" w:color="auto" w:fill="auto"/>
          </w:tcPr>
          <w:p w14:paraId="19992E52"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374</w:t>
            </w:r>
          </w:p>
        </w:tc>
        <w:tc>
          <w:tcPr>
            <w:tcW w:w="1984" w:type="dxa"/>
            <w:tcBorders>
              <w:top w:val="nil"/>
              <w:bottom w:val="nil"/>
              <w:right w:val="nil"/>
            </w:tcBorders>
          </w:tcPr>
          <w:p w14:paraId="2492BE3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525</w:t>
            </w:r>
          </w:p>
        </w:tc>
        <w:tc>
          <w:tcPr>
            <w:tcW w:w="1655" w:type="dxa"/>
            <w:tcBorders>
              <w:top w:val="nil"/>
              <w:left w:val="nil"/>
              <w:bottom w:val="nil"/>
              <w:right w:val="nil"/>
            </w:tcBorders>
          </w:tcPr>
          <w:p w14:paraId="2C97B67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301</w:t>
            </w:r>
          </w:p>
        </w:tc>
      </w:tr>
      <w:tr w:rsidR="00724212" w:rsidRPr="00FC59B5" w14:paraId="2C7A40F4" w14:textId="77777777" w:rsidTr="00785435">
        <w:trPr>
          <w:trHeight w:val="254"/>
          <w:jc w:val="center"/>
        </w:trPr>
        <w:tc>
          <w:tcPr>
            <w:tcW w:w="2049" w:type="dxa"/>
            <w:tcBorders>
              <w:top w:val="nil"/>
              <w:left w:val="nil"/>
              <w:bottom w:val="nil"/>
              <w:right w:val="nil"/>
            </w:tcBorders>
          </w:tcPr>
          <w:p w14:paraId="7BA9998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Year effect</w:t>
            </w:r>
          </w:p>
        </w:tc>
        <w:tc>
          <w:tcPr>
            <w:tcW w:w="1637" w:type="dxa"/>
            <w:tcBorders>
              <w:top w:val="nil"/>
              <w:left w:val="nil"/>
              <w:bottom w:val="nil"/>
              <w:right w:val="nil"/>
            </w:tcBorders>
          </w:tcPr>
          <w:p w14:paraId="3473D916"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701" w:type="dxa"/>
            <w:tcBorders>
              <w:top w:val="nil"/>
              <w:left w:val="nil"/>
              <w:bottom w:val="nil"/>
            </w:tcBorders>
            <w:shd w:val="clear" w:color="auto" w:fill="auto"/>
          </w:tcPr>
          <w:p w14:paraId="5B5C035F"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984" w:type="dxa"/>
            <w:tcBorders>
              <w:top w:val="nil"/>
              <w:bottom w:val="nil"/>
              <w:right w:val="nil"/>
            </w:tcBorders>
          </w:tcPr>
          <w:p w14:paraId="73FA404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c>
          <w:tcPr>
            <w:tcW w:w="1655" w:type="dxa"/>
            <w:tcBorders>
              <w:top w:val="nil"/>
              <w:left w:val="nil"/>
              <w:bottom w:val="nil"/>
              <w:right w:val="nil"/>
            </w:tcBorders>
          </w:tcPr>
          <w:p w14:paraId="6281E6A5"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Yes</w:t>
            </w:r>
          </w:p>
        </w:tc>
      </w:tr>
      <w:tr w:rsidR="00724212" w:rsidRPr="00FC59B5" w14:paraId="2DD31508" w14:textId="77777777" w:rsidTr="00785435">
        <w:trPr>
          <w:trHeight w:val="254"/>
          <w:jc w:val="center"/>
        </w:trPr>
        <w:tc>
          <w:tcPr>
            <w:tcW w:w="2049" w:type="dxa"/>
            <w:tcBorders>
              <w:top w:val="nil"/>
              <w:left w:val="nil"/>
              <w:bottom w:val="single" w:sz="4" w:space="0" w:color="auto"/>
              <w:right w:val="nil"/>
            </w:tcBorders>
          </w:tcPr>
          <w:p w14:paraId="691A9187" w14:textId="77777777" w:rsidR="00724212" w:rsidRPr="00FC59B5" w:rsidRDefault="00724212" w:rsidP="00724212">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R-Squared</w:t>
            </w:r>
          </w:p>
        </w:tc>
        <w:tc>
          <w:tcPr>
            <w:tcW w:w="1637" w:type="dxa"/>
            <w:tcBorders>
              <w:top w:val="nil"/>
              <w:left w:val="nil"/>
              <w:bottom w:val="single" w:sz="4" w:space="0" w:color="auto"/>
              <w:right w:val="nil"/>
            </w:tcBorders>
          </w:tcPr>
          <w:p w14:paraId="3B4DCD6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0.0309</w:t>
            </w:r>
          </w:p>
        </w:tc>
        <w:tc>
          <w:tcPr>
            <w:tcW w:w="1701" w:type="dxa"/>
            <w:tcBorders>
              <w:top w:val="nil"/>
              <w:left w:val="nil"/>
              <w:bottom w:val="single" w:sz="4" w:space="0" w:color="auto"/>
            </w:tcBorders>
            <w:shd w:val="clear" w:color="auto" w:fill="auto"/>
          </w:tcPr>
          <w:p w14:paraId="32CE78DC"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0.0723</w:t>
            </w:r>
          </w:p>
        </w:tc>
        <w:tc>
          <w:tcPr>
            <w:tcW w:w="1984" w:type="dxa"/>
            <w:tcBorders>
              <w:top w:val="nil"/>
              <w:bottom w:val="single" w:sz="4" w:space="0" w:color="auto"/>
              <w:right w:val="nil"/>
            </w:tcBorders>
          </w:tcPr>
          <w:p w14:paraId="35FF547B"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0.0187</w:t>
            </w:r>
          </w:p>
        </w:tc>
        <w:tc>
          <w:tcPr>
            <w:tcW w:w="1655" w:type="dxa"/>
            <w:tcBorders>
              <w:top w:val="nil"/>
              <w:left w:val="nil"/>
              <w:bottom w:val="single" w:sz="4" w:space="0" w:color="auto"/>
              <w:right w:val="nil"/>
            </w:tcBorders>
          </w:tcPr>
          <w:p w14:paraId="1F58D43E" w14:textId="77777777" w:rsidR="00724212" w:rsidRPr="00FC59B5" w:rsidRDefault="00724212" w:rsidP="0072421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FC59B5">
              <w:rPr>
                <w:rFonts w:ascii="Times New Roman" w:hAnsi="Times New Roman" w:cs="Times New Roman"/>
                <w:color w:val="000000" w:themeColor="text1"/>
                <w:sz w:val="18"/>
                <w:szCs w:val="18"/>
              </w:rPr>
              <w:t>0.0271</w:t>
            </w:r>
          </w:p>
        </w:tc>
      </w:tr>
    </w:tbl>
    <w:p w14:paraId="00D82F1B" w14:textId="77777777" w:rsidR="00724212" w:rsidRPr="00FC59B5" w:rsidRDefault="00724212" w:rsidP="000E0D77">
      <w:pPr>
        <w:spacing w:after="120"/>
        <w:contextualSpacing/>
        <w:jc w:val="center"/>
        <w:rPr>
          <w:i/>
          <w:iCs/>
          <w:color w:val="000000" w:themeColor="text1"/>
          <w:sz w:val="16"/>
          <w:szCs w:val="16"/>
        </w:rPr>
      </w:pPr>
      <w:r w:rsidRPr="00FC59B5">
        <w:rPr>
          <w:i/>
          <w:iCs/>
          <w:color w:val="000000" w:themeColor="text1"/>
          <w:sz w:val="16"/>
          <w:szCs w:val="16"/>
        </w:rPr>
        <w:t xml:space="preserve">Robust </w:t>
      </w:r>
      <w:proofErr w:type="spellStart"/>
      <w:r w:rsidRPr="00FC59B5">
        <w:rPr>
          <w:i/>
          <w:iCs/>
          <w:color w:val="000000" w:themeColor="text1"/>
          <w:sz w:val="16"/>
          <w:szCs w:val="16"/>
        </w:rPr>
        <w:t>pval</w:t>
      </w:r>
      <w:proofErr w:type="spellEnd"/>
      <w:r w:rsidRPr="00FC59B5">
        <w:rPr>
          <w:i/>
          <w:iCs/>
          <w:color w:val="000000" w:themeColor="text1"/>
          <w:sz w:val="16"/>
          <w:szCs w:val="16"/>
        </w:rPr>
        <w:t xml:space="preserve"> in parentheses</w:t>
      </w:r>
    </w:p>
    <w:p w14:paraId="0093D91B" w14:textId="77777777" w:rsidR="00724212" w:rsidRPr="00FC59B5" w:rsidRDefault="00724212" w:rsidP="000E0D77">
      <w:pPr>
        <w:spacing w:after="120"/>
        <w:contextualSpacing/>
        <w:jc w:val="center"/>
        <w:rPr>
          <w:color w:val="000000" w:themeColor="text1"/>
        </w:rPr>
      </w:pPr>
      <w:r w:rsidRPr="00FC59B5">
        <w:rPr>
          <w:i/>
          <w:iCs/>
          <w:color w:val="000000" w:themeColor="text1"/>
          <w:sz w:val="16"/>
          <w:szCs w:val="16"/>
        </w:rPr>
        <w:t>*** p&lt;0.01, ** p&lt;0.05, * p&lt;0.1</w:t>
      </w:r>
    </w:p>
    <w:p w14:paraId="7238674E" w14:textId="58D4D335" w:rsidR="00306C6C" w:rsidRPr="00FC59B5" w:rsidRDefault="00306C6C" w:rsidP="00F657E6">
      <w:pPr>
        <w:spacing w:after="120"/>
        <w:contextualSpacing/>
        <w:jc w:val="both"/>
        <w:rPr>
          <w:i/>
          <w:iCs/>
          <w:sz w:val="16"/>
          <w:szCs w:val="16"/>
        </w:rPr>
      </w:pPr>
      <w:r w:rsidRPr="00FC59B5">
        <w:rPr>
          <w:b/>
          <w:bCs/>
          <w:i/>
          <w:iCs/>
          <w:sz w:val="16"/>
          <w:szCs w:val="16"/>
        </w:rPr>
        <w:t>CSR Net Tone [LM]</w:t>
      </w:r>
      <w:r w:rsidRPr="00FC59B5">
        <w:rPr>
          <w:i/>
          <w:iCs/>
          <w:sz w:val="16"/>
          <w:szCs w:val="16"/>
        </w:rPr>
        <w:t xml:space="preserve">: Ratio of Net Tone of CSR Narratives, based on Loughran and </w:t>
      </w:r>
      <w:proofErr w:type="spellStart"/>
      <w:r w:rsidRPr="00FC59B5">
        <w:rPr>
          <w:i/>
          <w:iCs/>
          <w:sz w:val="16"/>
          <w:szCs w:val="16"/>
        </w:rPr>
        <w:t>Mcdonald</w:t>
      </w:r>
      <w:proofErr w:type="spellEnd"/>
      <w:r w:rsidRPr="00FC59B5">
        <w:rPr>
          <w:i/>
          <w:iCs/>
          <w:sz w:val="16"/>
          <w:szCs w:val="16"/>
        </w:rPr>
        <w:t xml:space="preserve"> (2011) – IF: </w:t>
      </w:r>
      <w:r w:rsidRPr="00FC59B5">
        <w:rPr>
          <w:b/>
          <w:bCs/>
          <w:i/>
          <w:iCs/>
          <w:sz w:val="16"/>
          <w:szCs w:val="16"/>
        </w:rPr>
        <w:t xml:space="preserve">ESG Disclosure Score </w:t>
      </w:r>
      <w:r w:rsidR="00785435" w:rsidRPr="00FC59B5">
        <w:rPr>
          <w:b/>
          <w:bCs/>
          <w:i/>
          <w:iCs/>
          <w:sz w:val="16"/>
          <w:szCs w:val="16"/>
        </w:rPr>
        <w:t>&lt;ESG_AVG</w:t>
      </w:r>
      <w:r w:rsidR="00F657E6" w:rsidRPr="00FC59B5">
        <w:rPr>
          <w:b/>
          <w:bCs/>
          <w:i/>
          <w:iCs/>
          <w:sz w:val="16"/>
          <w:szCs w:val="16"/>
        </w:rPr>
        <w:t xml:space="preserve"> (Average ESG Score for all sample)</w:t>
      </w:r>
      <w:r w:rsidRPr="00FC59B5">
        <w:rPr>
          <w:i/>
          <w:iCs/>
          <w:sz w:val="16"/>
          <w:szCs w:val="16"/>
        </w:rPr>
        <w:t xml:space="preserve">, </w:t>
      </w:r>
      <w:r w:rsidR="00F657E6" w:rsidRPr="00FC59B5">
        <w:rPr>
          <w:i/>
          <w:iCs/>
          <w:sz w:val="16"/>
          <w:szCs w:val="16"/>
        </w:rPr>
        <w:t xml:space="preserve">OR </w:t>
      </w:r>
      <w:r w:rsidRPr="00FC59B5">
        <w:rPr>
          <w:b/>
          <w:bCs/>
          <w:i/>
          <w:iCs/>
          <w:sz w:val="16"/>
          <w:szCs w:val="16"/>
        </w:rPr>
        <w:t xml:space="preserve">ESG </w:t>
      </w:r>
      <w:r w:rsidR="00785435" w:rsidRPr="00FC59B5">
        <w:rPr>
          <w:b/>
          <w:bCs/>
          <w:i/>
          <w:iCs/>
          <w:sz w:val="16"/>
          <w:szCs w:val="16"/>
        </w:rPr>
        <w:t>≥ESG_AVG</w:t>
      </w:r>
      <w:r w:rsidRPr="00FC59B5">
        <w:rPr>
          <w:i/>
          <w:iCs/>
          <w:sz w:val="16"/>
          <w:szCs w:val="16"/>
        </w:rPr>
        <w:t xml:space="preserve">, </w:t>
      </w:r>
      <w:r w:rsidR="00F657E6" w:rsidRPr="00FC59B5">
        <w:rPr>
          <w:i/>
          <w:iCs/>
          <w:sz w:val="16"/>
          <w:szCs w:val="16"/>
        </w:rPr>
        <w:t>OR</w:t>
      </w:r>
      <w:r w:rsidRPr="00FC59B5">
        <w:rPr>
          <w:i/>
          <w:iCs/>
          <w:sz w:val="16"/>
          <w:szCs w:val="16"/>
        </w:rPr>
        <w:t xml:space="preserve"> IF </w:t>
      </w:r>
      <w:r w:rsidR="00785435" w:rsidRPr="00FC59B5">
        <w:rPr>
          <w:b/>
          <w:bCs/>
          <w:i/>
          <w:iCs/>
          <w:sz w:val="16"/>
          <w:szCs w:val="16"/>
        </w:rPr>
        <w:t>WOMEN</w:t>
      </w:r>
      <w:r w:rsidR="00F657E6" w:rsidRPr="00FC59B5">
        <w:rPr>
          <w:b/>
          <w:bCs/>
          <w:i/>
          <w:iCs/>
          <w:sz w:val="16"/>
          <w:szCs w:val="16"/>
        </w:rPr>
        <w:t xml:space="preserve"> (Ratio of Women on </w:t>
      </w:r>
      <w:proofErr w:type="gramStart"/>
      <w:r w:rsidR="00F657E6" w:rsidRPr="00FC59B5">
        <w:rPr>
          <w:b/>
          <w:bCs/>
          <w:i/>
          <w:iCs/>
          <w:sz w:val="16"/>
          <w:szCs w:val="16"/>
        </w:rPr>
        <w:t>Board)</w:t>
      </w:r>
      <w:r w:rsidR="00785435" w:rsidRPr="00FC59B5">
        <w:rPr>
          <w:b/>
          <w:bCs/>
          <w:i/>
          <w:iCs/>
          <w:sz w:val="16"/>
          <w:szCs w:val="16"/>
        </w:rPr>
        <w:t>&lt;</w:t>
      </w:r>
      <w:proofErr w:type="gramEnd"/>
      <w:r w:rsidR="00785435" w:rsidRPr="00FC59B5">
        <w:rPr>
          <w:b/>
          <w:bCs/>
          <w:i/>
          <w:iCs/>
          <w:sz w:val="16"/>
          <w:szCs w:val="16"/>
        </w:rPr>
        <w:t>25%</w:t>
      </w:r>
      <w:r w:rsidRPr="00FC59B5">
        <w:rPr>
          <w:i/>
          <w:iCs/>
          <w:sz w:val="16"/>
          <w:szCs w:val="16"/>
        </w:rPr>
        <w:t>,</w:t>
      </w:r>
      <w:r w:rsidR="00F657E6" w:rsidRPr="00FC59B5">
        <w:rPr>
          <w:i/>
          <w:iCs/>
          <w:sz w:val="16"/>
          <w:szCs w:val="16"/>
        </w:rPr>
        <w:t xml:space="preserve"> OR</w:t>
      </w:r>
      <w:r w:rsidRPr="00FC59B5">
        <w:rPr>
          <w:i/>
          <w:iCs/>
          <w:sz w:val="16"/>
          <w:szCs w:val="16"/>
        </w:rPr>
        <w:t xml:space="preserve"> </w:t>
      </w:r>
      <w:r w:rsidR="00785435" w:rsidRPr="00FC59B5">
        <w:rPr>
          <w:b/>
          <w:bCs/>
          <w:i/>
          <w:iCs/>
          <w:sz w:val="16"/>
          <w:szCs w:val="16"/>
        </w:rPr>
        <w:t>WOMEN≥25%</w:t>
      </w:r>
      <w:r w:rsidRPr="00FC59B5">
        <w:rPr>
          <w:sz w:val="16"/>
          <w:szCs w:val="16"/>
        </w:rPr>
        <w:t>.</w:t>
      </w:r>
    </w:p>
    <w:p w14:paraId="1DB95252" w14:textId="77777777" w:rsidR="000E0D77" w:rsidRPr="000571A7" w:rsidRDefault="000E0D77" w:rsidP="00F657E6">
      <w:pPr>
        <w:spacing w:after="120"/>
        <w:contextualSpacing/>
        <w:jc w:val="both"/>
        <w:rPr>
          <w:i/>
          <w:iCs/>
          <w:color w:val="000000" w:themeColor="text1"/>
          <w:sz w:val="16"/>
          <w:szCs w:val="16"/>
        </w:rPr>
      </w:pPr>
      <w:r w:rsidRPr="00FC59B5">
        <w:rPr>
          <w:b/>
          <w:bCs/>
          <w:i/>
          <w:iCs/>
          <w:color w:val="000000" w:themeColor="text1"/>
          <w:sz w:val="16"/>
          <w:szCs w:val="16"/>
        </w:rPr>
        <w:t>BRD_SZ</w:t>
      </w:r>
      <w:r w:rsidRPr="00FC59B5">
        <w:rPr>
          <w:i/>
          <w:iCs/>
          <w:color w:val="000000" w:themeColor="text1"/>
          <w:sz w:val="16"/>
          <w:szCs w:val="16"/>
        </w:rPr>
        <w:t xml:space="preserve">: Board Size, </w:t>
      </w:r>
      <w:r w:rsidRPr="00FC59B5">
        <w:rPr>
          <w:b/>
          <w:bCs/>
          <w:i/>
          <w:iCs/>
          <w:color w:val="000000" w:themeColor="text1"/>
          <w:sz w:val="16"/>
          <w:szCs w:val="16"/>
        </w:rPr>
        <w:t>PCT_INED</w:t>
      </w:r>
      <w:r w:rsidRPr="00FC59B5">
        <w:rPr>
          <w:i/>
          <w:iCs/>
          <w:color w:val="000000" w:themeColor="text1"/>
          <w:sz w:val="16"/>
          <w:szCs w:val="16"/>
        </w:rPr>
        <w:t xml:space="preserve">: Ratio of Independent Non-Executive Directors, </w:t>
      </w:r>
      <w:r w:rsidRPr="00FC59B5">
        <w:rPr>
          <w:b/>
          <w:bCs/>
          <w:i/>
          <w:iCs/>
          <w:color w:val="000000" w:themeColor="text1"/>
          <w:sz w:val="16"/>
          <w:szCs w:val="16"/>
        </w:rPr>
        <w:t>PCT_BRD_WOMEN</w:t>
      </w:r>
      <w:r w:rsidRPr="00FC59B5">
        <w:rPr>
          <w:i/>
          <w:iCs/>
          <w:color w:val="000000" w:themeColor="text1"/>
          <w:sz w:val="16"/>
          <w:szCs w:val="16"/>
        </w:rPr>
        <w:t xml:space="preserve">: Ratio of Women on Board, </w:t>
      </w:r>
      <w:r w:rsidRPr="00FC59B5">
        <w:rPr>
          <w:b/>
          <w:bCs/>
          <w:i/>
          <w:iCs/>
          <w:color w:val="000000" w:themeColor="text1"/>
          <w:sz w:val="16"/>
          <w:szCs w:val="16"/>
        </w:rPr>
        <w:t>AUDCOM_SZ</w:t>
      </w:r>
      <w:r w:rsidRPr="00FC59B5">
        <w:rPr>
          <w:i/>
          <w:iCs/>
          <w:color w:val="000000" w:themeColor="text1"/>
          <w:sz w:val="16"/>
          <w:szCs w:val="16"/>
        </w:rPr>
        <w:t xml:space="preserve">: Audit Committee Size, </w:t>
      </w:r>
      <w:r w:rsidRPr="00FC59B5">
        <w:rPr>
          <w:b/>
          <w:bCs/>
          <w:i/>
          <w:iCs/>
          <w:color w:val="000000" w:themeColor="text1"/>
          <w:sz w:val="16"/>
          <w:szCs w:val="16"/>
        </w:rPr>
        <w:t>ESG</w:t>
      </w:r>
      <w:r w:rsidRPr="00FC59B5">
        <w:rPr>
          <w:i/>
          <w:iCs/>
          <w:color w:val="000000" w:themeColor="text1"/>
          <w:sz w:val="16"/>
          <w:szCs w:val="16"/>
        </w:rPr>
        <w:t xml:space="preserve">: ESG Disclosure, </w:t>
      </w:r>
      <w:r w:rsidRPr="00FC59B5">
        <w:rPr>
          <w:b/>
          <w:bCs/>
          <w:i/>
          <w:iCs/>
          <w:color w:val="000000" w:themeColor="text1"/>
          <w:sz w:val="16"/>
          <w:szCs w:val="16"/>
        </w:rPr>
        <w:t>ROA</w:t>
      </w:r>
      <w:r w:rsidRPr="00FC59B5">
        <w:rPr>
          <w:i/>
          <w:iCs/>
          <w:color w:val="000000" w:themeColor="text1"/>
          <w:sz w:val="16"/>
          <w:szCs w:val="16"/>
        </w:rPr>
        <w:t xml:space="preserve">: Return on Assets, </w:t>
      </w:r>
      <w:r w:rsidRPr="00FC59B5">
        <w:rPr>
          <w:b/>
          <w:bCs/>
          <w:i/>
          <w:iCs/>
          <w:color w:val="000000" w:themeColor="text1"/>
          <w:sz w:val="16"/>
          <w:szCs w:val="16"/>
        </w:rPr>
        <w:t>FNCL_LVRG</w:t>
      </w:r>
      <w:r w:rsidRPr="00FC59B5">
        <w:rPr>
          <w:i/>
          <w:iCs/>
          <w:color w:val="000000" w:themeColor="text1"/>
          <w:sz w:val="16"/>
          <w:szCs w:val="16"/>
        </w:rPr>
        <w:t xml:space="preserve">: Financial Leverage, </w:t>
      </w:r>
      <w:r w:rsidRPr="00FC59B5">
        <w:rPr>
          <w:b/>
          <w:bCs/>
          <w:i/>
          <w:iCs/>
          <w:color w:val="000000" w:themeColor="text1"/>
          <w:sz w:val="16"/>
          <w:szCs w:val="16"/>
        </w:rPr>
        <w:t>LN_TRNOVR</w:t>
      </w:r>
      <w:r w:rsidRPr="00FC59B5">
        <w:rPr>
          <w:i/>
          <w:iCs/>
          <w:color w:val="000000" w:themeColor="text1"/>
          <w:sz w:val="16"/>
          <w:szCs w:val="16"/>
        </w:rPr>
        <w:t>: Firm Size</w:t>
      </w:r>
    </w:p>
    <w:p w14:paraId="7D6F19FF" w14:textId="70A33CBD" w:rsidR="00724212" w:rsidRPr="00193D0C" w:rsidRDefault="00724212" w:rsidP="00380F9B">
      <w:pPr>
        <w:spacing w:after="120" w:line="276" w:lineRule="auto"/>
        <w:contextualSpacing/>
        <w:jc w:val="both"/>
        <w:rPr>
          <w:rFonts w:asciiTheme="majorBidi" w:eastAsia="Calibri" w:hAnsiTheme="majorBidi" w:cstheme="majorBidi"/>
          <w:color w:val="000000" w:themeColor="text1"/>
          <w:sz w:val="24"/>
          <w:szCs w:val="24"/>
        </w:rPr>
      </w:pPr>
    </w:p>
    <w:sectPr w:rsidR="00724212" w:rsidRPr="00193D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EAE7" w14:textId="77777777" w:rsidR="000B2081" w:rsidRDefault="000B2081" w:rsidP="00F04D3C">
      <w:pPr>
        <w:spacing w:after="0" w:line="240" w:lineRule="auto"/>
      </w:pPr>
      <w:r>
        <w:separator/>
      </w:r>
    </w:p>
  </w:endnote>
  <w:endnote w:type="continuationSeparator" w:id="0">
    <w:p w14:paraId="2C976710" w14:textId="77777777" w:rsidR="000B2081" w:rsidRDefault="000B2081" w:rsidP="00F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EFE6" w14:textId="77777777" w:rsidR="00977231" w:rsidRDefault="0097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B33D" w14:textId="77777777" w:rsidR="00977231" w:rsidRDefault="00977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39C6" w14:textId="77777777" w:rsidR="00977231" w:rsidRDefault="0097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3FFF" w14:textId="77777777" w:rsidR="000B2081" w:rsidRDefault="000B2081" w:rsidP="00F04D3C">
      <w:pPr>
        <w:spacing w:after="0" w:line="240" w:lineRule="auto"/>
      </w:pPr>
      <w:r>
        <w:separator/>
      </w:r>
    </w:p>
  </w:footnote>
  <w:footnote w:type="continuationSeparator" w:id="0">
    <w:p w14:paraId="551E60EF" w14:textId="77777777" w:rsidR="000B2081" w:rsidRDefault="000B2081" w:rsidP="00F04D3C">
      <w:pPr>
        <w:spacing w:after="0" w:line="240" w:lineRule="auto"/>
      </w:pPr>
      <w:r>
        <w:continuationSeparator/>
      </w:r>
    </w:p>
  </w:footnote>
  <w:footnote w:id="1">
    <w:p w14:paraId="15C06436" w14:textId="77777777" w:rsidR="00977231" w:rsidRDefault="00977231">
      <w:pPr>
        <w:pStyle w:val="FootnoteText"/>
      </w:pPr>
      <w:r>
        <w:rPr>
          <w:rStyle w:val="FootnoteReference"/>
        </w:rPr>
        <w:footnoteRef/>
      </w:r>
      <w:r>
        <w:t xml:space="preserve"> CFIE </w:t>
      </w:r>
      <w:r w:rsidRPr="00D23FFF">
        <w:t>is a research programme exploring accounting and financial market text using natural language processing (NLP) and corpus linguistics methods</w:t>
      </w:r>
      <w:r w:rsidRPr="0014389B">
        <w:t xml:space="preserve"> (El-Haj et al.,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81B2" w14:textId="77777777" w:rsidR="00977231" w:rsidRDefault="0097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0A02" w14:textId="77777777" w:rsidR="00977231" w:rsidRDefault="00977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541E" w14:textId="77777777" w:rsidR="00977231" w:rsidRDefault="0097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6AE27D"/>
    <w:multiLevelType w:val="multilevel"/>
    <w:tmpl w:val="DA6AE27D"/>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5FB0F47"/>
    <w:multiLevelType w:val="hybridMultilevel"/>
    <w:tmpl w:val="B2C0E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21463"/>
    <w:multiLevelType w:val="hybridMultilevel"/>
    <w:tmpl w:val="B548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51C09"/>
    <w:multiLevelType w:val="multilevel"/>
    <w:tmpl w:val="31651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B1F238"/>
    <w:multiLevelType w:val="singleLevel"/>
    <w:tmpl w:val="31B1F238"/>
    <w:lvl w:ilvl="0">
      <w:start w:val="3"/>
      <w:numFmt w:val="decimal"/>
      <w:suff w:val="space"/>
      <w:lvlText w:val="%1."/>
      <w:lvlJc w:val="left"/>
    </w:lvl>
  </w:abstractNum>
  <w:abstractNum w:abstractNumId="5" w15:restartNumberingAfterBreak="0">
    <w:nsid w:val="34223CF6"/>
    <w:multiLevelType w:val="hybridMultilevel"/>
    <w:tmpl w:val="8F4A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E0575"/>
    <w:multiLevelType w:val="hybridMultilevel"/>
    <w:tmpl w:val="EDB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73CD6"/>
    <w:multiLevelType w:val="hybridMultilevel"/>
    <w:tmpl w:val="AE7E9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182FE9"/>
    <w:multiLevelType w:val="hybridMultilevel"/>
    <w:tmpl w:val="E80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54FBE"/>
    <w:multiLevelType w:val="hybridMultilevel"/>
    <w:tmpl w:val="AE7E9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A142A"/>
    <w:multiLevelType w:val="multilevel"/>
    <w:tmpl w:val="C94AA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0249D9"/>
    <w:multiLevelType w:val="hybridMultilevel"/>
    <w:tmpl w:val="AE7E9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77B13"/>
    <w:multiLevelType w:val="hybridMultilevel"/>
    <w:tmpl w:val="AE7E9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430663">
    <w:abstractNumId w:val="2"/>
  </w:num>
  <w:num w:numId="2" w16cid:durableId="309747283">
    <w:abstractNumId w:val="0"/>
  </w:num>
  <w:num w:numId="3" w16cid:durableId="1613392850">
    <w:abstractNumId w:val="10"/>
  </w:num>
  <w:num w:numId="4" w16cid:durableId="1449738353">
    <w:abstractNumId w:val="4"/>
  </w:num>
  <w:num w:numId="5" w16cid:durableId="621116727">
    <w:abstractNumId w:val="8"/>
  </w:num>
  <w:num w:numId="6" w16cid:durableId="1875191034">
    <w:abstractNumId w:val="5"/>
  </w:num>
  <w:num w:numId="7" w16cid:durableId="1288004689">
    <w:abstractNumId w:val="9"/>
  </w:num>
  <w:num w:numId="8" w16cid:durableId="233439637">
    <w:abstractNumId w:val="7"/>
  </w:num>
  <w:num w:numId="9" w16cid:durableId="1819685622">
    <w:abstractNumId w:val="12"/>
  </w:num>
  <w:num w:numId="10" w16cid:durableId="2061242926">
    <w:abstractNumId w:val="11"/>
  </w:num>
  <w:num w:numId="11" w16cid:durableId="1425496432">
    <w:abstractNumId w:val="1"/>
  </w:num>
  <w:num w:numId="12" w16cid:durableId="368144892">
    <w:abstractNumId w:val="3"/>
  </w:num>
  <w:num w:numId="13" w16cid:durableId="1991405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DI2NzA3NrC0tDRV0lEKTi0uzszPAykwNKkFAKvPqeEtAAAA"/>
    <w:docVar w:name="EN.InstantFormat" w:val="&lt;ENInstantFormat&gt;&lt;Enabled&gt;1&lt;/Enabled&gt;&lt;ScanUnformatted&gt;1&lt;/ScanUnformatted&gt;&lt;ScanChanges&gt;1&lt;/ScanChanges&gt;&lt;Suspended&gt;1&lt;/Suspended&gt;&lt;/ENInstantFormat&gt;"/>
    <w:docVar w:name="EN.Layout" w:val="&lt;ENLayout&gt;&lt;Style&gt;Harvard (BourneU)&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pzptt24wzv94edf05vst9kasvvf0r59w2d&quot;&gt;TONY&amp;apos;s Library&lt;record-ids&gt;&lt;item&gt;1445&lt;/item&gt;&lt;item&gt;1446&lt;/item&gt;&lt;item&gt;1465&lt;/item&gt;&lt;item&gt;2280&lt;/item&gt;&lt;item&gt;2287&lt;/item&gt;&lt;item&gt;2288&lt;/item&gt;&lt;item&gt;2328&lt;/item&gt;&lt;item&gt;2343&lt;/item&gt;&lt;item&gt;2344&lt;/item&gt;&lt;item&gt;2687&lt;/item&gt;&lt;/record-ids&gt;&lt;/item&gt;&lt;/Libraries&gt;"/>
  </w:docVars>
  <w:rsids>
    <w:rsidRoot w:val="00D25667"/>
    <w:rsid w:val="0000661A"/>
    <w:rsid w:val="0001411C"/>
    <w:rsid w:val="0001611A"/>
    <w:rsid w:val="000162D0"/>
    <w:rsid w:val="00024369"/>
    <w:rsid w:val="00047FA0"/>
    <w:rsid w:val="00051F28"/>
    <w:rsid w:val="00051FFA"/>
    <w:rsid w:val="000571A7"/>
    <w:rsid w:val="00062761"/>
    <w:rsid w:val="000634AF"/>
    <w:rsid w:val="00063BA5"/>
    <w:rsid w:val="0006700A"/>
    <w:rsid w:val="00084EB4"/>
    <w:rsid w:val="000934EF"/>
    <w:rsid w:val="000A0D55"/>
    <w:rsid w:val="000A1C9F"/>
    <w:rsid w:val="000B2081"/>
    <w:rsid w:val="000B7CF4"/>
    <w:rsid w:val="000C5DA7"/>
    <w:rsid w:val="000D5EFB"/>
    <w:rsid w:val="000E04C8"/>
    <w:rsid w:val="000E0D77"/>
    <w:rsid w:val="000E128B"/>
    <w:rsid w:val="000F70C2"/>
    <w:rsid w:val="001013F2"/>
    <w:rsid w:val="00107083"/>
    <w:rsid w:val="0012072A"/>
    <w:rsid w:val="00125453"/>
    <w:rsid w:val="00131E76"/>
    <w:rsid w:val="0013270E"/>
    <w:rsid w:val="00137162"/>
    <w:rsid w:val="00143661"/>
    <w:rsid w:val="0014389B"/>
    <w:rsid w:val="00155D4A"/>
    <w:rsid w:val="0016293B"/>
    <w:rsid w:val="00164ADC"/>
    <w:rsid w:val="00167626"/>
    <w:rsid w:val="00180132"/>
    <w:rsid w:val="00193D0C"/>
    <w:rsid w:val="001A1B07"/>
    <w:rsid w:val="001A3730"/>
    <w:rsid w:val="001C47AE"/>
    <w:rsid w:val="001C7025"/>
    <w:rsid w:val="001D0BC5"/>
    <w:rsid w:val="001F51ED"/>
    <w:rsid w:val="00235A92"/>
    <w:rsid w:val="00236230"/>
    <w:rsid w:val="00263A17"/>
    <w:rsid w:val="00266285"/>
    <w:rsid w:val="002707BD"/>
    <w:rsid w:val="002737BC"/>
    <w:rsid w:val="00280AFA"/>
    <w:rsid w:val="002C69E5"/>
    <w:rsid w:val="002D154D"/>
    <w:rsid w:val="002D608C"/>
    <w:rsid w:val="002E227C"/>
    <w:rsid w:val="002E5090"/>
    <w:rsid w:val="002E7D72"/>
    <w:rsid w:val="00305737"/>
    <w:rsid w:val="00306C6C"/>
    <w:rsid w:val="00306CCF"/>
    <w:rsid w:val="00310755"/>
    <w:rsid w:val="00310D04"/>
    <w:rsid w:val="003224FF"/>
    <w:rsid w:val="00324858"/>
    <w:rsid w:val="0032550D"/>
    <w:rsid w:val="0032728F"/>
    <w:rsid w:val="00340BC1"/>
    <w:rsid w:val="003413D9"/>
    <w:rsid w:val="003477E1"/>
    <w:rsid w:val="00355513"/>
    <w:rsid w:val="00367CD4"/>
    <w:rsid w:val="003761DA"/>
    <w:rsid w:val="00380F9B"/>
    <w:rsid w:val="003945C8"/>
    <w:rsid w:val="00395A31"/>
    <w:rsid w:val="003B2E9B"/>
    <w:rsid w:val="003C3432"/>
    <w:rsid w:val="003C4BAA"/>
    <w:rsid w:val="003D48F1"/>
    <w:rsid w:val="003E0CCE"/>
    <w:rsid w:val="003F204E"/>
    <w:rsid w:val="00407CE7"/>
    <w:rsid w:val="004119D6"/>
    <w:rsid w:val="004276D1"/>
    <w:rsid w:val="00430D9B"/>
    <w:rsid w:val="0043768B"/>
    <w:rsid w:val="004570F5"/>
    <w:rsid w:val="00461528"/>
    <w:rsid w:val="00463D43"/>
    <w:rsid w:val="00467249"/>
    <w:rsid w:val="00472230"/>
    <w:rsid w:val="004843E6"/>
    <w:rsid w:val="00485B7E"/>
    <w:rsid w:val="00486D2E"/>
    <w:rsid w:val="004A3FD9"/>
    <w:rsid w:val="004C6E4C"/>
    <w:rsid w:val="004D0CE8"/>
    <w:rsid w:val="004F7295"/>
    <w:rsid w:val="005012C5"/>
    <w:rsid w:val="00520CA9"/>
    <w:rsid w:val="00553957"/>
    <w:rsid w:val="00554470"/>
    <w:rsid w:val="00564B3D"/>
    <w:rsid w:val="0057750B"/>
    <w:rsid w:val="005808C2"/>
    <w:rsid w:val="00584AA7"/>
    <w:rsid w:val="00593666"/>
    <w:rsid w:val="005952C7"/>
    <w:rsid w:val="005A5AAD"/>
    <w:rsid w:val="005A6403"/>
    <w:rsid w:val="005B12CA"/>
    <w:rsid w:val="005B1FFA"/>
    <w:rsid w:val="005E4260"/>
    <w:rsid w:val="005E605E"/>
    <w:rsid w:val="005F6563"/>
    <w:rsid w:val="006048DA"/>
    <w:rsid w:val="0063621C"/>
    <w:rsid w:val="006433E0"/>
    <w:rsid w:val="00646768"/>
    <w:rsid w:val="006532B0"/>
    <w:rsid w:val="006615BF"/>
    <w:rsid w:val="00661754"/>
    <w:rsid w:val="006724FB"/>
    <w:rsid w:val="00675723"/>
    <w:rsid w:val="00695C64"/>
    <w:rsid w:val="00696595"/>
    <w:rsid w:val="006A14B9"/>
    <w:rsid w:val="006A165D"/>
    <w:rsid w:val="006A68E5"/>
    <w:rsid w:val="006B7D99"/>
    <w:rsid w:val="006C1A32"/>
    <w:rsid w:val="006C4324"/>
    <w:rsid w:val="006E1486"/>
    <w:rsid w:val="006F5B94"/>
    <w:rsid w:val="006F6E36"/>
    <w:rsid w:val="00700F67"/>
    <w:rsid w:val="00724212"/>
    <w:rsid w:val="007327AF"/>
    <w:rsid w:val="007458AE"/>
    <w:rsid w:val="00745CF4"/>
    <w:rsid w:val="00751E71"/>
    <w:rsid w:val="0075626C"/>
    <w:rsid w:val="00765DC2"/>
    <w:rsid w:val="0078253A"/>
    <w:rsid w:val="00785435"/>
    <w:rsid w:val="007A24F9"/>
    <w:rsid w:val="007A4944"/>
    <w:rsid w:val="007B0B12"/>
    <w:rsid w:val="007B3157"/>
    <w:rsid w:val="007B69E8"/>
    <w:rsid w:val="007D12F6"/>
    <w:rsid w:val="00831011"/>
    <w:rsid w:val="00833B54"/>
    <w:rsid w:val="00833FFF"/>
    <w:rsid w:val="00837396"/>
    <w:rsid w:val="008403B0"/>
    <w:rsid w:val="008423BC"/>
    <w:rsid w:val="00854BD1"/>
    <w:rsid w:val="00854C48"/>
    <w:rsid w:val="00861687"/>
    <w:rsid w:val="00863D8E"/>
    <w:rsid w:val="008727C6"/>
    <w:rsid w:val="00876E4A"/>
    <w:rsid w:val="00891BCC"/>
    <w:rsid w:val="008B4760"/>
    <w:rsid w:val="008B7220"/>
    <w:rsid w:val="008C2295"/>
    <w:rsid w:val="008C2849"/>
    <w:rsid w:val="008C587D"/>
    <w:rsid w:val="008D0CB8"/>
    <w:rsid w:val="008E753F"/>
    <w:rsid w:val="008F08CE"/>
    <w:rsid w:val="009028E6"/>
    <w:rsid w:val="00902C4C"/>
    <w:rsid w:val="0090573F"/>
    <w:rsid w:val="009118E5"/>
    <w:rsid w:val="009136DB"/>
    <w:rsid w:val="00914ED2"/>
    <w:rsid w:val="009226BE"/>
    <w:rsid w:val="00935419"/>
    <w:rsid w:val="009608FE"/>
    <w:rsid w:val="00970CD2"/>
    <w:rsid w:val="00970D65"/>
    <w:rsid w:val="00972801"/>
    <w:rsid w:val="009736DB"/>
    <w:rsid w:val="00974BDE"/>
    <w:rsid w:val="00977231"/>
    <w:rsid w:val="009822F7"/>
    <w:rsid w:val="00983C56"/>
    <w:rsid w:val="009935A5"/>
    <w:rsid w:val="009A7E67"/>
    <w:rsid w:val="009C5B9F"/>
    <w:rsid w:val="009C6F08"/>
    <w:rsid w:val="009C7829"/>
    <w:rsid w:val="009D4375"/>
    <w:rsid w:val="009D4E1C"/>
    <w:rsid w:val="009D7B50"/>
    <w:rsid w:val="009E083E"/>
    <w:rsid w:val="009F79E9"/>
    <w:rsid w:val="00A009B9"/>
    <w:rsid w:val="00A01051"/>
    <w:rsid w:val="00A11C60"/>
    <w:rsid w:val="00A16457"/>
    <w:rsid w:val="00A2552C"/>
    <w:rsid w:val="00A2737A"/>
    <w:rsid w:val="00A33D71"/>
    <w:rsid w:val="00A35A14"/>
    <w:rsid w:val="00A514CD"/>
    <w:rsid w:val="00A5258E"/>
    <w:rsid w:val="00A610DE"/>
    <w:rsid w:val="00A74B60"/>
    <w:rsid w:val="00A82A76"/>
    <w:rsid w:val="00A97A5D"/>
    <w:rsid w:val="00AA084A"/>
    <w:rsid w:val="00AA2043"/>
    <w:rsid w:val="00AA747F"/>
    <w:rsid w:val="00AC4F2E"/>
    <w:rsid w:val="00AC5B75"/>
    <w:rsid w:val="00AC7547"/>
    <w:rsid w:val="00AD064F"/>
    <w:rsid w:val="00AD195B"/>
    <w:rsid w:val="00AF07DE"/>
    <w:rsid w:val="00AF0BC0"/>
    <w:rsid w:val="00B152BE"/>
    <w:rsid w:val="00B15761"/>
    <w:rsid w:val="00B17DE9"/>
    <w:rsid w:val="00B25466"/>
    <w:rsid w:val="00B264B1"/>
    <w:rsid w:val="00B32A26"/>
    <w:rsid w:val="00B60C6F"/>
    <w:rsid w:val="00B60DD6"/>
    <w:rsid w:val="00B726E2"/>
    <w:rsid w:val="00B73DE3"/>
    <w:rsid w:val="00B75ACB"/>
    <w:rsid w:val="00B922DE"/>
    <w:rsid w:val="00B92F4E"/>
    <w:rsid w:val="00BA146E"/>
    <w:rsid w:val="00BA3516"/>
    <w:rsid w:val="00BA48C8"/>
    <w:rsid w:val="00BA57DD"/>
    <w:rsid w:val="00BB253C"/>
    <w:rsid w:val="00BB3F12"/>
    <w:rsid w:val="00BB5AC6"/>
    <w:rsid w:val="00BB63AF"/>
    <w:rsid w:val="00BC68EF"/>
    <w:rsid w:val="00BD4020"/>
    <w:rsid w:val="00BE5CB4"/>
    <w:rsid w:val="00C02012"/>
    <w:rsid w:val="00C03CB5"/>
    <w:rsid w:val="00C15BFF"/>
    <w:rsid w:val="00C27547"/>
    <w:rsid w:val="00C34C2E"/>
    <w:rsid w:val="00C34D85"/>
    <w:rsid w:val="00C40FBF"/>
    <w:rsid w:val="00C45989"/>
    <w:rsid w:val="00C64E6D"/>
    <w:rsid w:val="00C900F1"/>
    <w:rsid w:val="00C93C05"/>
    <w:rsid w:val="00CA26C1"/>
    <w:rsid w:val="00CB04CE"/>
    <w:rsid w:val="00CC02DE"/>
    <w:rsid w:val="00CC35D4"/>
    <w:rsid w:val="00CC6F07"/>
    <w:rsid w:val="00CC740E"/>
    <w:rsid w:val="00CC793D"/>
    <w:rsid w:val="00D01611"/>
    <w:rsid w:val="00D024DD"/>
    <w:rsid w:val="00D06313"/>
    <w:rsid w:val="00D14FFA"/>
    <w:rsid w:val="00D15A60"/>
    <w:rsid w:val="00D228C1"/>
    <w:rsid w:val="00D23FFF"/>
    <w:rsid w:val="00D25667"/>
    <w:rsid w:val="00D35046"/>
    <w:rsid w:val="00D50C99"/>
    <w:rsid w:val="00D65BD2"/>
    <w:rsid w:val="00D672C9"/>
    <w:rsid w:val="00D756EB"/>
    <w:rsid w:val="00D7680B"/>
    <w:rsid w:val="00D80380"/>
    <w:rsid w:val="00D846F3"/>
    <w:rsid w:val="00D853C8"/>
    <w:rsid w:val="00D93D06"/>
    <w:rsid w:val="00DB1BCC"/>
    <w:rsid w:val="00DB3024"/>
    <w:rsid w:val="00DB4218"/>
    <w:rsid w:val="00DB58EB"/>
    <w:rsid w:val="00DB5EC8"/>
    <w:rsid w:val="00DC3064"/>
    <w:rsid w:val="00DC7534"/>
    <w:rsid w:val="00DE65A1"/>
    <w:rsid w:val="00DF16CA"/>
    <w:rsid w:val="00DF16CF"/>
    <w:rsid w:val="00E01956"/>
    <w:rsid w:val="00E07C0A"/>
    <w:rsid w:val="00E12674"/>
    <w:rsid w:val="00E25C68"/>
    <w:rsid w:val="00E50C1D"/>
    <w:rsid w:val="00E5605F"/>
    <w:rsid w:val="00E632C3"/>
    <w:rsid w:val="00E87DF1"/>
    <w:rsid w:val="00E90DFF"/>
    <w:rsid w:val="00E94B66"/>
    <w:rsid w:val="00E96148"/>
    <w:rsid w:val="00EC2FD9"/>
    <w:rsid w:val="00EC439E"/>
    <w:rsid w:val="00EC458A"/>
    <w:rsid w:val="00EC7068"/>
    <w:rsid w:val="00EC7F62"/>
    <w:rsid w:val="00ED0978"/>
    <w:rsid w:val="00EE46F0"/>
    <w:rsid w:val="00EE7C79"/>
    <w:rsid w:val="00EE7E66"/>
    <w:rsid w:val="00F00D7E"/>
    <w:rsid w:val="00F04D3C"/>
    <w:rsid w:val="00F07ABF"/>
    <w:rsid w:val="00F110C2"/>
    <w:rsid w:val="00F14510"/>
    <w:rsid w:val="00F15181"/>
    <w:rsid w:val="00F22BC5"/>
    <w:rsid w:val="00F35029"/>
    <w:rsid w:val="00F4304A"/>
    <w:rsid w:val="00F657E6"/>
    <w:rsid w:val="00F70035"/>
    <w:rsid w:val="00F708C8"/>
    <w:rsid w:val="00F72D5F"/>
    <w:rsid w:val="00F73680"/>
    <w:rsid w:val="00F800A1"/>
    <w:rsid w:val="00FA011E"/>
    <w:rsid w:val="00FA1538"/>
    <w:rsid w:val="00FC17D8"/>
    <w:rsid w:val="00FC3E37"/>
    <w:rsid w:val="00FC59B5"/>
    <w:rsid w:val="00FC7AE0"/>
    <w:rsid w:val="00FD0094"/>
    <w:rsid w:val="00FF0FD0"/>
    <w:rsid w:val="00FF37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436C8"/>
  <w15:chartTrackingRefBased/>
  <w15:docId w15:val="{C42846F8-E41C-4088-8FCB-EE576B3C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67"/>
  </w:style>
  <w:style w:type="paragraph" w:styleId="Heading1">
    <w:name w:val="heading 1"/>
    <w:basedOn w:val="Normal"/>
    <w:next w:val="Normal"/>
    <w:link w:val="Heading1Char"/>
    <w:uiPriority w:val="9"/>
    <w:qFormat/>
    <w:rsid w:val="00DE65A1"/>
    <w:pPr>
      <w:keepNext/>
      <w:keepLines/>
      <w:spacing w:after="120" w:line="360" w:lineRule="auto"/>
      <w:contextualSpacing/>
      <w:jc w:val="both"/>
      <w:outlineLvl w:val="0"/>
    </w:pPr>
    <w:rPr>
      <w:rFonts w:ascii="Times New Roman" w:eastAsia="SimSun" w:hAnsi="Times New Roman" w:cs="Times New Roman"/>
      <w:color w:val="2E74B5" w:themeColor="accent1" w:themeShade="BF"/>
      <w:sz w:val="32"/>
      <w:szCs w:val="32"/>
      <w:lang w:val="en-US" w:eastAsia="zh-CN"/>
    </w:rPr>
  </w:style>
  <w:style w:type="paragraph" w:styleId="Heading2">
    <w:name w:val="heading 2"/>
    <w:basedOn w:val="Normal"/>
    <w:next w:val="Normal"/>
    <w:link w:val="Heading2Char"/>
    <w:uiPriority w:val="9"/>
    <w:unhideWhenUsed/>
    <w:qFormat/>
    <w:rsid w:val="00DE65A1"/>
    <w:pPr>
      <w:keepNext/>
      <w:keepLines/>
      <w:spacing w:after="120" w:line="360" w:lineRule="auto"/>
      <w:outlineLvl w:val="1"/>
    </w:pPr>
    <w:rPr>
      <w:rFonts w:ascii="Times New Roman" w:eastAsiaTheme="majorEastAsia" w:hAnsi="Times New Roman" w:cs="Times New Roman"/>
      <w:i/>
      <w:iCs/>
      <w:color w:val="2E74B5" w:themeColor="accent1" w:themeShade="BF"/>
      <w:sz w:val="26"/>
      <w:szCs w:val="26"/>
      <w:u w:val="single"/>
    </w:rPr>
  </w:style>
  <w:style w:type="paragraph" w:styleId="Heading3">
    <w:name w:val="heading 3"/>
    <w:basedOn w:val="Normal"/>
    <w:next w:val="Normal"/>
    <w:link w:val="Heading3Char"/>
    <w:uiPriority w:val="9"/>
    <w:unhideWhenUsed/>
    <w:qFormat/>
    <w:rsid w:val="00FA01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4FFA"/>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A1"/>
    <w:rPr>
      <w:rFonts w:ascii="Times New Roman" w:eastAsia="SimSun" w:hAnsi="Times New Roman" w:cs="Times New Roman"/>
      <w:color w:val="2E74B5" w:themeColor="accent1" w:themeShade="BF"/>
      <w:sz w:val="32"/>
      <w:szCs w:val="32"/>
      <w:lang w:val="en-US" w:eastAsia="zh-CN"/>
    </w:rPr>
  </w:style>
  <w:style w:type="character" w:customStyle="1" w:styleId="Heading2Char">
    <w:name w:val="Heading 2 Char"/>
    <w:basedOn w:val="DefaultParagraphFont"/>
    <w:link w:val="Heading2"/>
    <w:uiPriority w:val="9"/>
    <w:rsid w:val="00DE65A1"/>
    <w:rPr>
      <w:rFonts w:ascii="Times New Roman" w:eastAsiaTheme="majorEastAsia" w:hAnsi="Times New Roman" w:cs="Times New Roman"/>
      <w:i/>
      <w:iCs/>
      <w:color w:val="2E74B5" w:themeColor="accent1" w:themeShade="BF"/>
      <w:sz w:val="26"/>
      <w:szCs w:val="26"/>
      <w:u w:val="single"/>
    </w:rPr>
  </w:style>
  <w:style w:type="character" w:customStyle="1" w:styleId="Heading3Char">
    <w:name w:val="Heading 3 Char"/>
    <w:basedOn w:val="DefaultParagraphFont"/>
    <w:link w:val="Heading3"/>
    <w:uiPriority w:val="9"/>
    <w:rsid w:val="00FA01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14FFA"/>
    <w:rPr>
      <w:rFonts w:ascii="Calibri" w:eastAsia="Times New Roman" w:hAnsi="Calibri" w:cs="Arial"/>
      <w:b/>
      <w:bCs/>
      <w:sz w:val="28"/>
      <w:szCs w:val="28"/>
    </w:rPr>
  </w:style>
  <w:style w:type="paragraph" w:styleId="ListParagraph">
    <w:name w:val="List Paragraph"/>
    <w:basedOn w:val="Normal"/>
    <w:uiPriority w:val="34"/>
    <w:qFormat/>
    <w:rsid w:val="00D25667"/>
    <w:pPr>
      <w:ind w:left="720"/>
      <w:contextualSpacing/>
    </w:pPr>
  </w:style>
  <w:style w:type="paragraph" w:styleId="EndnoteText">
    <w:name w:val="endnote text"/>
    <w:basedOn w:val="Normal"/>
    <w:link w:val="EndnoteTextChar"/>
    <w:uiPriority w:val="99"/>
    <w:semiHidden/>
    <w:unhideWhenUsed/>
    <w:rsid w:val="00F04D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4D3C"/>
    <w:rPr>
      <w:sz w:val="20"/>
      <w:szCs w:val="20"/>
    </w:rPr>
  </w:style>
  <w:style w:type="character" w:styleId="EndnoteReference">
    <w:name w:val="endnote reference"/>
    <w:basedOn w:val="DefaultParagraphFont"/>
    <w:uiPriority w:val="99"/>
    <w:semiHidden/>
    <w:unhideWhenUsed/>
    <w:rsid w:val="00F04D3C"/>
    <w:rPr>
      <w:vertAlign w:val="superscript"/>
    </w:rPr>
  </w:style>
  <w:style w:type="paragraph" w:styleId="FootnoteText">
    <w:name w:val="footnote text"/>
    <w:basedOn w:val="Normal"/>
    <w:link w:val="FootnoteTextChar"/>
    <w:uiPriority w:val="99"/>
    <w:semiHidden/>
    <w:unhideWhenUsed/>
    <w:rsid w:val="00F04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D3C"/>
    <w:rPr>
      <w:sz w:val="20"/>
      <w:szCs w:val="20"/>
    </w:rPr>
  </w:style>
  <w:style w:type="character" w:styleId="FootnoteReference">
    <w:name w:val="footnote reference"/>
    <w:basedOn w:val="DefaultParagraphFont"/>
    <w:uiPriority w:val="99"/>
    <w:semiHidden/>
    <w:unhideWhenUsed/>
    <w:rsid w:val="00F04D3C"/>
    <w:rPr>
      <w:vertAlign w:val="superscript"/>
    </w:rPr>
  </w:style>
  <w:style w:type="paragraph" w:customStyle="1" w:styleId="Default">
    <w:name w:val="Default"/>
    <w:rsid w:val="009C5B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5723"/>
    <w:rPr>
      <w:color w:val="0000FF"/>
      <w:u w:val="single"/>
    </w:rPr>
  </w:style>
  <w:style w:type="character" w:customStyle="1" w:styleId="hlfld-contribauthor">
    <w:name w:val="hlfld-contribauthor"/>
    <w:basedOn w:val="DefaultParagraphFont"/>
    <w:rsid w:val="00407CE7"/>
  </w:style>
  <w:style w:type="character" w:customStyle="1" w:styleId="nlmgiven-names">
    <w:name w:val="nlm_given-names"/>
    <w:basedOn w:val="DefaultParagraphFont"/>
    <w:rsid w:val="00407CE7"/>
  </w:style>
  <w:style w:type="character" w:customStyle="1" w:styleId="nlmyear">
    <w:name w:val="nlm_year"/>
    <w:basedOn w:val="DefaultParagraphFont"/>
    <w:rsid w:val="00407CE7"/>
  </w:style>
  <w:style w:type="character" w:customStyle="1" w:styleId="nlmarticle-title">
    <w:name w:val="nlm_article-title"/>
    <w:basedOn w:val="DefaultParagraphFont"/>
    <w:rsid w:val="00407CE7"/>
  </w:style>
  <w:style w:type="character" w:customStyle="1" w:styleId="nlmfpage">
    <w:name w:val="nlm_fpage"/>
    <w:basedOn w:val="DefaultParagraphFont"/>
    <w:rsid w:val="00407CE7"/>
  </w:style>
  <w:style w:type="character" w:customStyle="1" w:styleId="nlmlpage">
    <w:name w:val="nlm_lpage"/>
    <w:basedOn w:val="DefaultParagraphFont"/>
    <w:rsid w:val="00407CE7"/>
  </w:style>
  <w:style w:type="character" w:customStyle="1" w:styleId="nlmpub-id">
    <w:name w:val="nlm_pub-id"/>
    <w:basedOn w:val="DefaultParagraphFont"/>
    <w:rsid w:val="00407CE7"/>
  </w:style>
  <w:style w:type="character" w:customStyle="1" w:styleId="reflink-block">
    <w:name w:val="reflink-block"/>
    <w:basedOn w:val="DefaultParagraphFont"/>
    <w:rsid w:val="00407CE7"/>
  </w:style>
  <w:style w:type="character" w:customStyle="1" w:styleId="referenceperson-group">
    <w:name w:val="reference__person-group"/>
    <w:basedOn w:val="DefaultParagraphFont"/>
    <w:rsid w:val="00407CE7"/>
  </w:style>
  <w:style w:type="character" w:customStyle="1" w:styleId="referencestring-name">
    <w:name w:val="reference__string-name"/>
    <w:basedOn w:val="DefaultParagraphFont"/>
    <w:rsid w:val="00407CE7"/>
  </w:style>
  <w:style w:type="character" w:customStyle="1" w:styleId="referencesurname">
    <w:name w:val="reference__surname"/>
    <w:basedOn w:val="DefaultParagraphFont"/>
    <w:rsid w:val="00407CE7"/>
  </w:style>
  <w:style w:type="character" w:customStyle="1" w:styleId="referencegiven-names">
    <w:name w:val="reference__given-names"/>
    <w:basedOn w:val="DefaultParagraphFont"/>
    <w:rsid w:val="00407CE7"/>
  </w:style>
  <w:style w:type="character" w:customStyle="1" w:styleId="referenceyear">
    <w:name w:val="reference__year"/>
    <w:basedOn w:val="DefaultParagraphFont"/>
    <w:rsid w:val="00407CE7"/>
  </w:style>
  <w:style w:type="character" w:customStyle="1" w:styleId="referencearticle-title">
    <w:name w:val="reference__article-title"/>
    <w:basedOn w:val="DefaultParagraphFont"/>
    <w:rsid w:val="00407CE7"/>
  </w:style>
  <w:style w:type="character" w:customStyle="1" w:styleId="referencesource">
    <w:name w:val="reference__source"/>
    <w:basedOn w:val="DefaultParagraphFont"/>
    <w:rsid w:val="00407CE7"/>
  </w:style>
  <w:style w:type="character" w:customStyle="1" w:styleId="referencevolume">
    <w:name w:val="reference__volume"/>
    <w:basedOn w:val="DefaultParagraphFont"/>
    <w:rsid w:val="00407CE7"/>
  </w:style>
  <w:style w:type="character" w:customStyle="1" w:styleId="referencefpage">
    <w:name w:val="reference__fpage"/>
    <w:basedOn w:val="DefaultParagraphFont"/>
    <w:rsid w:val="00407CE7"/>
  </w:style>
  <w:style w:type="character" w:customStyle="1" w:styleId="referencelpage">
    <w:name w:val="reference__lpage"/>
    <w:basedOn w:val="DefaultParagraphFont"/>
    <w:rsid w:val="00407CE7"/>
  </w:style>
  <w:style w:type="paragraph" w:styleId="Title">
    <w:name w:val="Title"/>
    <w:basedOn w:val="Normal"/>
    <w:next w:val="Normal"/>
    <w:link w:val="TitleChar"/>
    <w:uiPriority w:val="10"/>
    <w:qFormat/>
    <w:rsid w:val="00DE65A1"/>
    <w:pPr>
      <w:spacing w:after="120" w:line="360" w:lineRule="auto"/>
      <w:contextualSpacing/>
      <w:jc w:val="center"/>
    </w:pPr>
    <w:rPr>
      <w:rFonts w:ascii="Times New Roman" w:eastAsia="SimSun" w:hAnsi="Times New Roman" w:cs="Times New Roman"/>
      <w:b/>
      <w:bCs/>
      <w:spacing w:val="-10"/>
      <w:kern w:val="28"/>
      <w:sz w:val="52"/>
      <w:szCs w:val="52"/>
      <w:lang w:val="en-US" w:eastAsia="zh-CN"/>
    </w:rPr>
  </w:style>
  <w:style w:type="character" w:customStyle="1" w:styleId="TitleChar">
    <w:name w:val="Title Char"/>
    <w:basedOn w:val="DefaultParagraphFont"/>
    <w:link w:val="Title"/>
    <w:uiPriority w:val="10"/>
    <w:rsid w:val="00DE65A1"/>
    <w:rPr>
      <w:rFonts w:ascii="Times New Roman" w:eastAsia="SimSun" w:hAnsi="Times New Roman" w:cs="Times New Roman"/>
      <w:b/>
      <w:bCs/>
      <w:spacing w:val="-10"/>
      <w:kern w:val="28"/>
      <w:sz w:val="52"/>
      <w:szCs w:val="52"/>
      <w:lang w:val="en-US" w:eastAsia="zh-CN"/>
    </w:rPr>
  </w:style>
  <w:style w:type="paragraph" w:customStyle="1" w:styleId="EndNoteBibliographyTitle">
    <w:name w:val="EndNote Bibliography Title"/>
    <w:basedOn w:val="Normal"/>
    <w:link w:val="EndNoteBibliographyTitleChar"/>
    <w:rsid w:val="00FA011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A011E"/>
    <w:rPr>
      <w:rFonts w:ascii="Calibri" w:hAnsi="Calibri" w:cs="Calibri"/>
      <w:noProof/>
      <w:lang w:val="en-US"/>
    </w:rPr>
  </w:style>
  <w:style w:type="paragraph" w:customStyle="1" w:styleId="EndNoteBibliography">
    <w:name w:val="EndNote Bibliography"/>
    <w:basedOn w:val="Normal"/>
    <w:link w:val="EndNoteBibliographyChar"/>
    <w:rsid w:val="00FA011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A011E"/>
    <w:rPr>
      <w:rFonts w:ascii="Calibri" w:hAnsi="Calibri" w:cs="Calibri"/>
      <w:noProof/>
      <w:lang w:val="en-US"/>
    </w:rPr>
  </w:style>
  <w:style w:type="paragraph" w:styleId="BalloonText">
    <w:name w:val="Balloon Text"/>
    <w:basedOn w:val="Normal"/>
    <w:link w:val="BalloonTextChar"/>
    <w:uiPriority w:val="99"/>
    <w:semiHidden/>
    <w:unhideWhenUsed/>
    <w:rsid w:val="0012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53"/>
    <w:rPr>
      <w:rFonts w:ascii="Segoe UI" w:hAnsi="Segoe UI" w:cs="Segoe UI"/>
      <w:sz w:val="18"/>
      <w:szCs w:val="18"/>
    </w:rPr>
  </w:style>
  <w:style w:type="character" w:styleId="CommentReference">
    <w:name w:val="annotation reference"/>
    <w:basedOn w:val="DefaultParagraphFont"/>
    <w:uiPriority w:val="99"/>
    <w:semiHidden/>
    <w:unhideWhenUsed/>
    <w:rsid w:val="00AC4F2E"/>
    <w:rPr>
      <w:sz w:val="16"/>
      <w:szCs w:val="16"/>
    </w:rPr>
  </w:style>
  <w:style w:type="paragraph" w:styleId="CommentText">
    <w:name w:val="annotation text"/>
    <w:basedOn w:val="Normal"/>
    <w:link w:val="CommentTextChar"/>
    <w:uiPriority w:val="99"/>
    <w:semiHidden/>
    <w:unhideWhenUsed/>
    <w:rsid w:val="00AC4F2E"/>
    <w:pPr>
      <w:spacing w:line="240" w:lineRule="auto"/>
    </w:pPr>
    <w:rPr>
      <w:sz w:val="20"/>
      <w:szCs w:val="20"/>
    </w:rPr>
  </w:style>
  <w:style w:type="character" w:customStyle="1" w:styleId="CommentTextChar">
    <w:name w:val="Comment Text Char"/>
    <w:basedOn w:val="DefaultParagraphFont"/>
    <w:link w:val="CommentText"/>
    <w:uiPriority w:val="99"/>
    <w:semiHidden/>
    <w:rsid w:val="00AC4F2E"/>
    <w:rPr>
      <w:sz w:val="20"/>
      <w:szCs w:val="20"/>
    </w:rPr>
  </w:style>
  <w:style w:type="paragraph" w:styleId="CommentSubject">
    <w:name w:val="annotation subject"/>
    <w:basedOn w:val="CommentText"/>
    <w:next w:val="CommentText"/>
    <w:link w:val="CommentSubjectChar"/>
    <w:uiPriority w:val="99"/>
    <w:semiHidden/>
    <w:unhideWhenUsed/>
    <w:rsid w:val="00AC4F2E"/>
    <w:rPr>
      <w:b/>
      <w:bCs/>
    </w:rPr>
  </w:style>
  <w:style w:type="character" w:customStyle="1" w:styleId="CommentSubjectChar">
    <w:name w:val="Comment Subject Char"/>
    <w:basedOn w:val="CommentTextChar"/>
    <w:link w:val="CommentSubject"/>
    <w:uiPriority w:val="99"/>
    <w:semiHidden/>
    <w:rsid w:val="00AC4F2E"/>
    <w:rPr>
      <w:b/>
      <w:bCs/>
      <w:sz w:val="20"/>
      <w:szCs w:val="20"/>
    </w:rPr>
  </w:style>
  <w:style w:type="paragraph" w:styleId="Header">
    <w:name w:val="header"/>
    <w:basedOn w:val="Normal"/>
    <w:link w:val="HeaderChar"/>
    <w:uiPriority w:val="99"/>
    <w:unhideWhenUsed/>
    <w:rsid w:val="00D14FFA"/>
    <w:pPr>
      <w:tabs>
        <w:tab w:val="center" w:pos="4513"/>
        <w:tab w:val="right" w:pos="902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D14FFA"/>
    <w:rPr>
      <w:rFonts w:ascii="Calibri" w:eastAsia="Calibri" w:hAnsi="Calibri" w:cs="Arial"/>
    </w:rPr>
  </w:style>
  <w:style w:type="paragraph" w:styleId="Footer">
    <w:name w:val="footer"/>
    <w:basedOn w:val="Normal"/>
    <w:link w:val="FooterChar"/>
    <w:uiPriority w:val="99"/>
    <w:unhideWhenUsed/>
    <w:rsid w:val="00D14FFA"/>
    <w:pPr>
      <w:tabs>
        <w:tab w:val="center" w:pos="4513"/>
        <w:tab w:val="right" w:pos="902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D14FFA"/>
    <w:rPr>
      <w:rFonts w:ascii="Calibri" w:eastAsia="Calibri" w:hAnsi="Calibri" w:cs="Arial"/>
    </w:rPr>
  </w:style>
  <w:style w:type="table" w:styleId="TableGrid">
    <w:name w:val="Table Grid"/>
    <w:basedOn w:val="TableNormal"/>
    <w:uiPriority w:val="39"/>
    <w:rsid w:val="0097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50095">
      <w:bodyDiv w:val="1"/>
      <w:marLeft w:val="0"/>
      <w:marRight w:val="0"/>
      <w:marTop w:val="0"/>
      <w:marBottom w:val="0"/>
      <w:divBdr>
        <w:top w:val="none" w:sz="0" w:space="0" w:color="auto"/>
        <w:left w:val="none" w:sz="0" w:space="0" w:color="auto"/>
        <w:bottom w:val="none" w:sz="0" w:space="0" w:color="auto"/>
        <w:right w:val="none" w:sz="0" w:space="0" w:color="auto"/>
      </w:divBdr>
    </w:div>
    <w:div w:id="1257324708">
      <w:bodyDiv w:val="1"/>
      <w:marLeft w:val="0"/>
      <w:marRight w:val="0"/>
      <w:marTop w:val="0"/>
      <w:marBottom w:val="0"/>
      <w:divBdr>
        <w:top w:val="none" w:sz="0" w:space="0" w:color="auto"/>
        <w:left w:val="none" w:sz="0" w:space="0" w:color="auto"/>
        <w:bottom w:val="none" w:sz="0" w:space="0" w:color="auto"/>
        <w:right w:val="none" w:sz="0" w:space="0" w:color="auto"/>
      </w:divBdr>
    </w:div>
    <w:div w:id="1657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Khaldoon%20Albit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merald.com/insight/publication/issn/1834-7649" TargetMode="External"/><Relationship Id="rId4" Type="http://schemas.openxmlformats.org/officeDocument/2006/relationships/settings" Target="settings.xml"/><Relationship Id="rId9" Type="http://schemas.openxmlformats.org/officeDocument/2006/relationships/hyperlink" Target="https://www.emerald.com/insight/search?q=Khaled%20Hussain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D1B2-9363-42E6-B89D-F2D015C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9446</Words>
  <Characters>53845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Khaldoon Albitar</dc:creator>
  <cp:keywords/>
  <dc:description/>
  <cp:lastModifiedBy>Khaled Hussainey (Staff)</cp:lastModifiedBy>
  <cp:revision>2</cp:revision>
  <cp:lastPrinted>2020-05-11T14:30:00Z</cp:lastPrinted>
  <dcterms:created xsi:type="dcterms:W3CDTF">2024-04-24T12:24:00Z</dcterms:created>
  <dcterms:modified xsi:type="dcterms:W3CDTF">2024-04-24T12:24:00Z</dcterms:modified>
</cp:coreProperties>
</file>